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268D6961" w:rsidR="00CD6E84" w:rsidRPr="00AE55F2" w:rsidRDefault="00754B8D" w:rsidP="00754B8D">
      <w:pPr>
        <w:pStyle w:val="Pagedecouverture"/>
        <w:rPr>
          <w:noProof/>
        </w:rPr>
      </w:pPr>
      <w:bookmarkStart w:id="0" w:name="LW_BM_COVERPAGE"/>
      <w:r>
        <w:rPr>
          <w:noProof/>
        </w:rPr>
        <w:pict w14:anchorId="0D0DC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8C565A-255D-4810-9D53-0E867F5FC858" style="width:455.25pt;height:342pt">
            <v:imagedata r:id="rId11" o:title=""/>
          </v:shape>
        </w:pict>
      </w:r>
    </w:p>
    <w:bookmarkEnd w:id="0"/>
    <w:p w14:paraId="0A37501D" w14:textId="77777777" w:rsidR="00CD6E84" w:rsidRPr="00AE55F2" w:rsidRDefault="00CD6E84" w:rsidP="00CD6E84">
      <w:pPr>
        <w:rPr>
          <w:rFonts w:ascii="Times New Roman" w:hAnsi="Times New Roman" w:cs="Times New Roman"/>
          <w:noProof/>
        </w:rPr>
        <w:sectPr w:rsidR="00CD6E84" w:rsidRPr="00AE55F2" w:rsidSect="00754B8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8B4F07" w14:textId="6B8BA3A7" w:rsidR="74982C6C" w:rsidRPr="00AE55F2" w:rsidRDefault="74982C6C" w:rsidP="00C27014">
      <w:pPr>
        <w:pStyle w:val="Style1"/>
        <w:rPr>
          <w:noProof/>
        </w:rPr>
      </w:pPr>
      <w:bookmarkStart w:id="1" w:name="_Toc109647466"/>
      <w:bookmarkStart w:id="2" w:name="_GoBack"/>
      <w:bookmarkEnd w:id="2"/>
      <w:r w:rsidRPr="00AE55F2">
        <w:rPr>
          <w:noProof/>
        </w:rPr>
        <w:lastRenderedPageBreak/>
        <w:t>INTRODUCERE</w:t>
      </w:r>
      <w:bookmarkEnd w:id="1"/>
    </w:p>
    <w:p w14:paraId="0FB78278" w14:textId="77777777" w:rsidR="74982C6C" w:rsidRPr="00AE55F2" w:rsidRDefault="74982C6C" w:rsidP="74982C6C">
      <w:pPr>
        <w:pStyle w:val="NormalTimesNewRoman"/>
        <w:rPr>
          <w:noProof/>
        </w:rPr>
      </w:pPr>
    </w:p>
    <w:p w14:paraId="75BD0B43" w14:textId="2C4964AB" w:rsidR="74982C6C" w:rsidRPr="00AE55F2" w:rsidRDefault="00876C47" w:rsidP="00DB5257">
      <w:pPr>
        <w:pStyle w:val="NormalTimesNewRoman"/>
        <w:spacing w:line="276" w:lineRule="auto"/>
        <w:rPr>
          <w:noProof/>
        </w:rPr>
      </w:pPr>
      <w:r w:rsidRPr="00AE55F2">
        <w:rPr>
          <w:noProof/>
        </w:rPr>
        <w:t xml:space="preserve">Directiva (UE) </w:t>
      </w:r>
      <w:r w:rsidRPr="00B97A01">
        <w:rPr>
          <w:noProof/>
        </w:rPr>
        <w:t>2018</w:t>
      </w:r>
      <w:r w:rsidRPr="00AE55F2">
        <w:rPr>
          <w:noProof/>
        </w:rPr>
        <w:t>/</w:t>
      </w:r>
      <w:r w:rsidRPr="00B97A01">
        <w:rPr>
          <w:noProof/>
        </w:rPr>
        <w:t>2001</w:t>
      </w:r>
      <w:r w:rsidRPr="00AE55F2">
        <w:rPr>
          <w:rStyle w:val="FootnoteReference"/>
          <w:noProof/>
        </w:rPr>
        <w:footnoteReference w:id="2"/>
      </w:r>
      <w:r w:rsidRPr="00AE55F2">
        <w:rPr>
          <w:noProof/>
        </w:rPr>
        <w:t xml:space="preserve"> (Directiva privind energia din surse regenerabile) introduce o abordare specifică pentru a soluționa problema emisiilor cauzate de schimbarea indirectă a destinației terenurilor (ILUC) asociată cu biocombustibilii, biolichidele și combustibilii din biomasă convenționali. Directiva stabilește o limită pentru biocombustibilii, biolichidele și combustibilii din biomasă produși din culturi alimentare sau furajere pentru care se observă o expansiune semnificativă în detrimentul terenurilor care stochează cantități ridicate de carbon (combustibili cu risc ridicat de ILUC). Această limită se aplică pentru a stabili cantitatea de astfel de combustibili care poate fi luată în calcul pentru îndeplinirea obiectivelor privind energia din surse regenerabile stabilite în Directiva privind energia din surse regenerabile. Limita trebuie să scadă treptat și să ajungă la zero până în </w:t>
      </w:r>
      <w:r w:rsidRPr="00B97A01">
        <w:rPr>
          <w:noProof/>
        </w:rPr>
        <w:t>2030</w:t>
      </w:r>
      <w:r w:rsidRPr="00AE55F2">
        <w:rPr>
          <w:noProof/>
        </w:rPr>
        <w:t>. Sunt exceptați de la limită biocombustibilii, biolichidele și combustibilii din biomasă care sunt certificați ca prezentând riscuri reduse din perspectiva ILUC (combustibili cu risc redus de ILUC).</w:t>
      </w:r>
    </w:p>
    <w:p w14:paraId="08574ED5" w14:textId="31A12BA5" w:rsidR="74982C6C" w:rsidRPr="00AE55F2" w:rsidRDefault="74982C6C" w:rsidP="67FE5085">
      <w:pPr>
        <w:pStyle w:val="NormalTimesNewRoman"/>
        <w:spacing w:line="276" w:lineRule="auto"/>
        <w:rPr>
          <w:noProof/>
        </w:rPr>
      </w:pPr>
      <w:r w:rsidRPr="00AE55F2">
        <w:rPr>
          <w:noProof/>
        </w:rPr>
        <w:t xml:space="preserve">În completarea Directivei privind energia din surse regenerabile, Regulamentul delegat (UE) </w:t>
      </w:r>
      <w:r w:rsidRPr="00B97A01">
        <w:rPr>
          <w:noProof/>
        </w:rPr>
        <w:t>2019</w:t>
      </w:r>
      <w:r w:rsidRPr="00AE55F2">
        <w:rPr>
          <w:noProof/>
        </w:rPr>
        <w:t>/</w:t>
      </w:r>
      <w:r w:rsidRPr="00B97A01">
        <w:rPr>
          <w:noProof/>
        </w:rPr>
        <w:t>807</w:t>
      </w:r>
      <w:r w:rsidRPr="00AE55F2">
        <w:rPr>
          <w:rStyle w:val="FootnoteReference"/>
          <w:noProof/>
        </w:rPr>
        <w:footnoteReference w:id="3"/>
      </w:r>
      <w:r w:rsidRPr="00AE55F2">
        <w:rPr>
          <w:noProof/>
        </w:rPr>
        <w:t xml:space="preserve"> („Regulamentul delegat privind ILUC”) definește atât criteriile de stabilire a situațiilor în care materiile prime pentru producția de biocombustibili, biolichide și combustibili din biomasă prezintă un risc ridicat de ILUC, cât și normele de certificare a combustibililor cu risc redus de ILUC (a se vedea capitolul III). </w:t>
      </w:r>
    </w:p>
    <w:p w14:paraId="7051CF2D" w14:textId="1A29398B" w:rsidR="00354168" w:rsidRPr="00AE55F2" w:rsidRDefault="00354168" w:rsidP="67FE5085">
      <w:pPr>
        <w:pStyle w:val="NormalTimesNewRoman"/>
        <w:spacing w:line="276" w:lineRule="auto"/>
        <w:rPr>
          <w:noProof/>
        </w:rPr>
      </w:pPr>
      <w:r w:rsidRPr="00AE55F2">
        <w:rPr>
          <w:noProof/>
        </w:rPr>
        <w:t>Articolul </w:t>
      </w:r>
      <w:r w:rsidRPr="00B97A01">
        <w:rPr>
          <w:noProof/>
        </w:rPr>
        <w:t>3</w:t>
      </w:r>
      <w:r w:rsidRPr="00AE55F2">
        <w:rPr>
          <w:noProof/>
        </w:rPr>
        <w:t xml:space="preserve"> din Regulamentul delegat privind ILUC prevede că, pentru a stabili materiile prime cu risc ridicat de ILUC, trebuie să se aplice cumulativ două criterii (a se vedea caseta de mai jos). Primul criteriu vizează expansiunea anuală medie a suprafeței globale de producție a materiilor prime începând cu </w:t>
      </w:r>
      <w:r w:rsidRPr="00B97A01">
        <w:rPr>
          <w:noProof/>
        </w:rPr>
        <w:t>2008</w:t>
      </w:r>
      <w:r w:rsidRPr="00AE55F2">
        <w:rPr>
          <w:noProof/>
        </w:rPr>
        <w:t xml:space="preserve">. Pentru ca o materie primă să fie caracterizată ca prezentând un risc ridicat de ILUC, expansiunea anuală medie trebuie să fie mai mare de </w:t>
      </w:r>
      <w:r w:rsidRPr="00B97A01">
        <w:rPr>
          <w:noProof/>
        </w:rPr>
        <w:t>1</w:t>
      </w:r>
      <w:r w:rsidRPr="00AE55F2">
        <w:rPr>
          <w:noProof/>
        </w:rPr>
        <w:t xml:space="preserve"> % și să afecteze peste </w:t>
      </w:r>
      <w:r w:rsidRPr="00B97A01">
        <w:rPr>
          <w:noProof/>
        </w:rPr>
        <w:t>100</w:t>
      </w:r>
      <w:r w:rsidRPr="00AE55F2">
        <w:rPr>
          <w:noProof/>
        </w:rPr>
        <w:t> </w:t>
      </w:r>
      <w:r w:rsidRPr="00B97A01">
        <w:rPr>
          <w:noProof/>
        </w:rPr>
        <w:t>000</w:t>
      </w:r>
      <w:r w:rsidRPr="00AE55F2">
        <w:rPr>
          <w:noProof/>
        </w:rPr>
        <w:t xml:space="preserve"> de hectare. Al doilea criteriu se referă la ponderea acestei expansiuni în detrimentul terenurilor care stochează cantități ridicate de carbon. Pentru ca o materie primă să fie caracterizată ca prezentând un risc ridicat de ILUC, această pondere trebuie să fie de peste </w:t>
      </w:r>
      <w:r w:rsidRPr="00B97A01">
        <w:rPr>
          <w:noProof/>
        </w:rPr>
        <w:t>10</w:t>
      </w:r>
      <w:r w:rsidRPr="00AE55F2">
        <w:rPr>
          <w:noProof/>
        </w:rPr>
        <w:t> %, calculată conform formulei de mai jos.</w:t>
      </w:r>
    </w:p>
    <w:tbl>
      <w:tblPr>
        <w:tblStyle w:val="TableGrid"/>
        <w:tblW w:w="0" w:type="auto"/>
        <w:tblLook w:val="04A0" w:firstRow="1" w:lastRow="0" w:firstColumn="1" w:lastColumn="0" w:noHBand="0" w:noVBand="1"/>
      </w:tblPr>
      <w:tblGrid>
        <w:gridCol w:w="9016"/>
      </w:tblGrid>
      <w:tr w:rsidR="00C02ABB" w:rsidRPr="00AE55F2" w14:paraId="0B99B491" w14:textId="77777777" w:rsidTr="00C02ABB">
        <w:tc>
          <w:tcPr>
            <w:tcW w:w="9350" w:type="dxa"/>
          </w:tcPr>
          <w:p w14:paraId="01066E90" w14:textId="77777777" w:rsidR="00C02ABB" w:rsidRPr="00AE55F2" w:rsidRDefault="00C02ABB" w:rsidP="00C02ABB">
            <w:pPr>
              <w:jc w:val="both"/>
              <w:rPr>
                <w:rFonts w:ascii="Times New Roman" w:hAnsi="Times New Roman" w:cs="Times New Roman"/>
                <w:noProof/>
              </w:rPr>
            </w:pPr>
            <w:r w:rsidRPr="00AE55F2">
              <w:rPr>
                <w:rFonts w:ascii="Times New Roman" w:hAnsi="Times New Roman"/>
                <w:noProof/>
              </w:rPr>
              <w:t>În scopul stabilirii materiilor prime cu risc ridicat din perspectiva schimbării indirecte a destinației terenurilor, în cazul cărora se observă o expansiune semnificativă a suprafeței de producție în detrimentul terenurilor care stochează cantități ridicate de carbon, se aplică următoarele criterii cumulative:</w:t>
            </w:r>
          </w:p>
          <w:p w14:paraId="3EE8D249" w14:textId="77777777" w:rsidR="00C02ABB" w:rsidRPr="00AE55F2" w:rsidRDefault="00C02ABB" w:rsidP="00C02ABB">
            <w:pPr>
              <w:jc w:val="both"/>
              <w:rPr>
                <w:rFonts w:ascii="Times New Roman" w:hAnsi="Times New Roman" w:cs="Times New Roman"/>
                <w:noProof/>
              </w:rPr>
            </w:pPr>
            <w:r w:rsidRPr="00AE55F2">
              <w:rPr>
                <w:rFonts w:ascii="Times New Roman" w:hAnsi="Times New Roman"/>
                <w:noProof/>
              </w:rPr>
              <w:t xml:space="preserve">(a) expansiunea anuală medie a suprafeței globale de producție a materiilor prime începând cu </w:t>
            </w:r>
            <w:r w:rsidRPr="00B97A01">
              <w:rPr>
                <w:rFonts w:ascii="Times New Roman" w:hAnsi="Times New Roman"/>
                <w:noProof/>
              </w:rPr>
              <w:t>2008</w:t>
            </w:r>
            <w:r w:rsidRPr="00AE55F2">
              <w:rPr>
                <w:rFonts w:ascii="Times New Roman" w:hAnsi="Times New Roman"/>
                <w:noProof/>
              </w:rPr>
              <w:t xml:space="preserve"> este mai mare de </w:t>
            </w:r>
            <w:r w:rsidRPr="00B97A01">
              <w:rPr>
                <w:rFonts w:ascii="Times New Roman" w:hAnsi="Times New Roman"/>
                <w:noProof/>
              </w:rPr>
              <w:t>1</w:t>
            </w:r>
            <w:r w:rsidRPr="00AE55F2">
              <w:rPr>
                <w:rFonts w:ascii="Times New Roman" w:hAnsi="Times New Roman"/>
                <w:noProof/>
              </w:rPr>
              <w:t xml:space="preserve"> % și afectează peste </w:t>
            </w:r>
            <w:r w:rsidRPr="00B97A01">
              <w:rPr>
                <w:rFonts w:ascii="Times New Roman" w:hAnsi="Times New Roman"/>
                <w:noProof/>
              </w:rPr>
              <w:t>100</w:t>
            </w:r>
            <w:r w:rsidRPr="00AE55F2">
              <w:rPr>
                <w:rFonts w:ascii="Times New Roman" w:hAnsi="Times New Roman"/>
                <w:noProof/>
              </w:rPr>
              <w:t> </w:t>
            </w:r>
            <w:r w:rsidRPr="00B97A01">
              <w:rPr>
                <w:rFonts w:ascii="Times New Roman" w:hAnsi="Times New Roman"/>
                <w:noProof/>
              </w:rPr>
              <w:t>000</w:t>
            </w:r>
            <w:r w:rsidRPr="00AE55F2">
              <w:rPr>
                <w:rFonts w:ascii="Times New Roman" w:hAnsi="Times New Roman"/>
                <w:noProof/>
              </w:rPr>
              <w:t xml:space="preserve"> de hectare; </w:t>
            </w:r>
          </w:p>
          <w:p w14:paraId="47C1C27C" w14:textId="77777777" w:rsidR="00C02ABB" w:rsidRPr="00AE55F2" w:rsidRDefault="00C02ABB" w:rsidP="00C02ABB">
            <w:pPr>
              <w:jc w:val="both"/>
              <w:rPr>
                <w:rFonts w:ascii="Times New Roman" w:hAnsi="Times New Roman" w:cs="Times New Roman"/>
                <w:noProof/>
              </w:rPr>
            </w:pPr>
            <w:r w:rsidRPr="00AE55F2">
              <w:rPr>
                <w:rFonts w:ascii="Times New Roman" w:hAnsi="Times New Roman"/>
                <w:noProof/>
              </w:rPr>
              <w:t xml:space="preserve">(b) ponderea acestei expansiuni în detrimentul terenurilor care stochează cantități ridicate de carbon este de peste </w:t>
            </w:r>
            <w:r w:rsidRPr="00B97A01">
              <w:rPr>
                <w:rFonts w:ascii="Times New Roman" w:hAnsi="Times New Roman"/>
                <w:noProof/>
              </w:rPr>
              <w:t>10</w:t>
            </w:r>
            <w:r w:rsidRPr="00AE55F2">
              <w:rPr>
                <w:rFonts w:ascii="Times New Roman" w:hAnsi="Times New Roman"/>
                <w:noProof/>
              </w:rPr>
              <w:t> %, conform următoarei formule:</w:t>
            </w:r>
          </w:p>
          <w:p w14:paraId="1FC39945" w14:textId="77777777" w:rsidR="00C02ABB" w:rsidRPr="00AE55F2" w:rsidRDefault="00C02ABB" w:rsidP="00C02ABB">
            <w:pPr>
              <w:rPr>
                <w:rFonts w:ascii="Times New Roman" w:hAnsi="Times New Roman" w:cs="Times New Roman"/>
                <w:noProof/>
              </w:rPr>
            </w:pPr>
          </w:p>
          <w:p w14:paraId="1E17DDFF" w14:textId="77777777" w:rsidR="00C02ABB" w:rsidRPr="00AE55F2" w:rsidRDefault="00754B8D" w:rsidP="00C02ABB">
            <w:pPr>
              <w:rPr>
                <w:rFonts w:ascii="Times New Roman" w:hAnsi="Times New Roman" w:cs="Times New Roman"/>
                <w:noProof/>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h</m:t>
                    </m:r>
                    <m:r>
                      <w:rPr>
                        <w:rFonts w:ascii="Cambria Math" w:hAnsi="Cambria Math" w:cs="Times New Roman"/>
                        <w:noProof/>
                      </w:rPr>
                      <m:t>cs</m:t>
                    </m:r>
                  </m:sub>
                </m:sSub>
                <m:r>
                  <w:rPr>
                    <w:rFonts w:ascii="Cambria Math" w:hAnsi="Cambria Math" w:cs="Times New Roman"/>
                    <w:noProof/>
                  </w:rPr>
                  <m:t xml:space="preserve">= </m:t>
                </m:r>
                <m:f>
                  <m:fPr>
                    <m:ctrlPr>
                      <w:rPr>
                        <w:rFonts w:ascii="Cambria Math" w:hAnsi="Cambria Math" w:cs="Times New Roman"/>
                        <w:i/>
                        <w:noProof/>
                      </w:rPr>
                    </m:ctrlPr>
                  </m:fPr>
                  <m:num>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f</m:t>
                        </m:r>
                      </m:sub>
                    </m:sSub>
                    <m:r>
                      <w:rPr>
                        <w:rFonts w:ascii="Cambria Math" w:hAnsi="Cambria Math" w:cs="Times New Roman"/>
                        <w:noProof/>
                      </w:rPr>
                      <m:t xml:space="preserve">+2,6 </m:t>
                    </m:r>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p</m:t>
                        </m:r>
                      </m:sub>
                    </m:sSub>
                  </m:num>
                  <m:den>
                    <m:r>
                      <w:rPr>
                        <w:rFonts w:ascii="Cambria Math" w:hAnsi="Cambria Math" w:cs="Times New Roman"/>
                        <w:noProof/>
                      </w:rPr>
                      <m:t>PF</m:t>
                    </m:r>
                  </m:den>
                </m:f>
              </m:oMath>
            </m:oMathPara>
          </w:p>
          <w:p w14:paraId="4F954D74" w14:textId="77777777" w:rsidR="00C02ABB" w:rsidRPr="00AE55F2" w:rsidRDefault="00C02ABB" w:rsidP="00C02ABB">
            <w:pPr>
              <w:rPr>
                <w:rFonts w:ascii="Times New Roman" w:hAnsi="Times New Roman" w:cs="Times New Roman"/>
                <w:noProof/>
              </w:rPr>
            </w:pPr>
            <w:r w:rsidRPr="00AE55F2">
              <w:rPr>
                <w:rFonts w:ascii="Times New Roman" w:hAnsi="Times New Roman"/>
                <w:noProof/>
              </w:rPr>
              <w:t>unde</w:t>
            </w:r>
          </w:p>
          <w:p w14:paraId="6177643B" w14:textId="77777777" w:rsidR="00C02ABB" w:rsidRPr="00AE55F2" w:rsidRDefault="00C02ABB" w:rsidP="00C02ABB">
            <w:pPr>
              <w:rPr>
                <w:rFonts w:ascii="Times New Roman" w:hAnsi="Times New Roman" w:cs="Times New Roman"/>
                <w:noProof/>
              </w:rPr>
            </w:pPr>
            <w:r w:rsidRPr="00AE55F2">
              <w:rPr>
                <w:rFonts w:ascii="Times New Roman" w:hAnsi="Times New Roman"/>
                <w:i/>
                <w:noProof/>
              </w:rPr>
              <w:t>x</w:t>
            </w:r>
            <w:r w:rsidRPr="00AE55F2">
              <w:rPr>
                <w:rFonts w:ascii="Times New Roman" w:hAnsi="Times New Roman"/>
                <w:i/>
                <w:noProof/>
                <w:vertAlign w:val="subscript"/>
              </w:rPr>
              <w:t>hcs</w:t>
            </w:r>
            <w:r w:rsidRPr="00AE55F2">
              <w:rPr>
                <w:rFonts w:ascii="Times New Roman" w:hAnsi="Times New Roman"/>
                <w:noProof/>
              </w:rPr>
              <w:t xml:space="preserve"> = ponderea expansiunii în detrimentul terenurilor care stochează cantități ridicate de carbon;</w:t>
            </w:r>
          </w:p>
          <w:p w14:paraId="24CA688D" w14:textId="7573CFC9" w:rsidR="00C02ABB" w:rsidRPr="00AE55F2" w:rsidRDefault="00C02ABB" w:rsidP="00C02ABB">
            <w:pPr>
              <w:rPr>
                <w:rFonts w:ascii="Times New Roman" w:hAnsi="Times New Roman" w:cs="Times New Roman"/>
                <w:noProof/>
              </w:rPr>
            </w:pPr>
            <w:r w:rsidRPr="00AE55F2">
              <w:rPr>
                <w:rFonts w:ascii="Times New Roman" w:hAnsi="Times New Roman"/>
                <w:i/>
                <w:noProof/>
              </w:rPr>
              <w:t>x</w:t>
            </w:r>
            <w:r w:rsidRPr="00AE55F2">
              <w:rPr>
                <w:rFonts w:ascii="Times New Roman" w:hAnsi="Times New Roman"/>
                <w:i/>
                <w:noProof/>
                <w:vertAlign w:val="subscript"/>
              </w:rPr>
              <w:t>f</w:t>
            </w:r>
            <w:r w:rsidRPr="00AE55F2">
              <w:rPr>
                <w:rFonts w:ascii="Times New Roman" w:hAnsi="Times New Roman"/>
                <w:noProof/>
              </w:rPr>
              <w:t xml:space="preserve"> = ponderea expansiunii în detrimentul terenurilor menționate la articolul </w:t>
            </w:r>
            <w:r w:rsidRPr="00B97A01">
              <w:rPr>
                <w:rFonts w:ascii="Times New Roman" w:hAnsi="Times New Roman"/>
                <w:noProof/>
              </w:rPr>
              <w:t>29</w:t>
            </w:r>
            <w:r w:rsidRPr="00AE55F2">
              <w:rPr>
                <w:rFonts w:ascii="Times New Roman" w:hAnsi="Times New Roman"/>
                <w:noProof/>
              </w:rPr>
              <w:t xml:space="preserve"> alineatul (</w:t>
            </w:r>
            <w:r w:rsidRPr="00B97A01">
              <w:rPr>
                <w:rFonts w:ascii="Times New Roman" w:hAnsi="Times New Roman"/>
                <w:noProof/>
              </w:rPr>
              <w:t>4</w:t>
            </w:r>
            <w:r w:rsidRPr="00AE55F2">
              <w:rPr>
                <w:rFonts w:ascii="Times New Roman" w:hAnsi="Times New Roman"/>
                <w:noProof/>
              </w:rPr>
              <w:t xml:space="preserve">) literele (b) și (c) din Directiva (UE) </w:t>
            </w:r>
            <w:r w:rsidRPr="00B97A01">
              <w:rPr>
                <w:rFonts w:ascii="Times New Roman" w:hAnsi="Times New Roman"/>
                <w:noProof/>
              </w:rPr>
              <w:t>2018</w:t>
            </w:r>
            <w:r w:rsidRPr="00AE55F2">
              <w:rPr>
                <w:rFonts w:ascii="Times New Roman" w:hAnsi="Times New Roman"/>
                <w:noProof/>
              </w:rPr>
              <w:t>/</w:t>
            </w:r>
            <w:r w:rsidRPr="00B97A01">
              <w:rPr>
                <w:rFonts w:ascii="Times New Roman" w:hAnsi="Times New Roman"/>
                <w:noProof/>
              </w:rPr>
              <w:t>2001</w:t>
            </w:r>
            <w:r w:rsidRPr="00AE55F2">
              <w:rPr>
                <w:rFonts w:ascii="Times New Roman" w:hAnsi="Times New Roman"/>
                <w:noProof/>
              </w:rPr>
              <w:t>;</w:t>
            </w:r>
          </w:p>
          <w:p w14:paraId="4A8A87F4" w14:textId="7B4E14F1" w:rsidR="00C02ABB" w:rsidRPr="00AE55F2" w:rsidRDefault="00C02ABB" w:rsidP="00C02ABB">
            <w:pPr>
              <w:rPr>
                <w:rFonts w:ascii="Times New Roman" w:hAnsi="Times New Roman" w:cs="Times New Roman"/>
                <w:noProof/>
              </w:rPr>
            </w:pPr>
            <w:r w:rsidRPr="00AE55F2">
              <w:rPr>
                <w:rFonts w:ascii="Times New Roman" w:hAnsi="Times New Roman"/>
                <w:i/>
                <w:noProof/>
              </w:rPr>
              <w:t>x</w:t>
            </w:r>
            <w:r w:rsidRPr="00AE55F2">
              <w:rPr>
                <w:rFonts w:ascii="Times New Roman" w:hAnsi="Times New Roman"/>
                <w:i/>
                <w:noProof/>
                <w:vertAlign w:val="subscript"/>
              </w:rPr>
              <w:t>p</w:t>
            </w:r>
            <w:r w:rsidRPr="00AE55F2">
              <w:rPr>
                <w:rFonts w:ascii="Times New Roman" w:hAnsi="Times New Roman"/>
                <w:noProof/>
              </w:rPr>
              <w:t xml:space="preserve"> = ponderea expansiunii în detrimentul terenurilor menționate la articolul </w:t>
            </w:r>
            <w:r w:rsidRPr="00B97A01">
              <w:rPr>
                <w:rFonts w:ascii="Times New Roman" w:hAnsi="Times New Roman"/>
                <w:noProof/>
              </w:rPr>
              <w:t>29</w:t>
            </w:r>
            <w:r w:rsidRPr="00AE55F2">
              <w:rPr>
                <w:rFonts w:ascii="Times New Roman" w:hAnsi="Times New Roman"/>
                <w:noProof/>
              </w:rPr>
              <w:t xml:space="preserve"> alineatul (</w:t>
            </w:r>
            <w:r w:rsidRPr="00B97A01">
              <w:rPr>
                <w:rFonts w:ascii="Times New Roman" w:hAnsi="Times New Roman"/>
                <w:noProof/>
              </w:rPr>
              <w:t>4</w:t>
            </w:r>
            <w:r w:rsidRPr="00AE55F2">
              <w:rPr>
                <w:rFonts w:ascii="Times New Roman" w:hAnsi="Times New Roman"/>
                <w:noProof/>
              </w:rPr>
              <w:t xml:space="preserve">) litera (a) din Directiva (UE) </w:t>
            </w:r>
            <w:r w:rsidRPr="00B97A01">
              <w:rPr>
                <w:rFonts w:ascii="Times New Roman" w:hAnsi="Times New Roman"/>
                <w:noProof/>
              </w:rPr>
              <w:t>2018</w:t>
            </w:r>
            <w:r w:rsidRPr="00AE55F2">
              <w:rPr>
                <w:rFonts w:ascii="Times New Roman" w:hAnsi="Times New Roman"/>
                <w:noProof/>
              </w:rPr>
              <w:t>/</w:t>
            </w:r>
            <w:r w:rsidRPr="00B97A01">
              <w:rPr>
                <w:rFonts w:ascii="Times New Roman" w:hAnsi="Times New Roman"/>
                <w:noProof/>
              </w:rPr>
              <w:t>2001</w:t>
            </w:r>
            <w:r w:rsidRPr="00AE55F2">
              <w:rPr>
                <w:rFonts w:ascii="Times New Roman" w:hAnsi="Times New Roman"/>
                <w:noProof/>
              </w:rPr>
              <w:t>, inclusiv turbăriile;</w:t>
            </w:r>
          </w:p>
          <w:p w14:paraId="6F6DB723" w14:textId="77777777" w:rsidR="0061203C" w:rsidRPr="00AE55F2" w:rsidRDefault="00C02ABB" w:rsidP="00C02ABB">
            <w:pPr>
              <w:rPr>
                <w:rFonts w:ascii="Times New Roman" w:hAnsi="Times New Roman" w:cs="Times New Roman"/>
                <w:noProof/>
              </w:rPr>
            </w:pPr>
            <w:r w:rsidRPr="00AE55F2">
              <w:rPr>
                <w:rFonts w:ascii="Times New Roman" w:hAnsi="Times New Roman"/>
                <w:b/>
                <w:i/>
                <w:noProof/>
              </w:rPr>
              <w:t>PF</w:t>
            </w:r>
            <w:r w:rsidRPr="00AE55F2">
              <w:rPr>
                <w:rFonts w:ascii="Times New Roman" w:hAnsi="Times New Roman"/>
                <w:noProof/>
              </w:rPr>
              <w:t xml:space="preserve"> = factor de productivitate. </w:t>
            </w:r>
          </w:p>
          <w:p w14:paraId="0E160B6A" w14:textId="16506F41" w:rsidR="00C02ABB" w:rsidRPr="00AE55F2" w:rsidRDefault="00C02ABB" w:rsidP="00C02ABB">
            <w:pPr>
              <w:rPr>
                <w:rFonts w:ascii="Times New Roman" w:hAnsi="Times New Roman" w:cs="Times New Roman"/>
                <w:noProof/>
              </w:rPr>
            </w:pPr>
            <w:r w:rsidRPr="00AE55F2">
              <w:rPr>
                <w:rFonts w:ascii="Times New Roman" w:hAnsi="Times New Roman"/>
                <w:noProof/>
              </w:rPr>
              <w:t xml:space="preserve">PF trebuie sa fie egal cu </w:t>
            </w:r>
            <w:r w:rsidRPr="00B97A01">
              <w:rPr>
                <w:rFonts w:ascii="Times New Roman" w:hAnsi="Times New Roman"/>
                <w:noProof/>
              </w:rPr>
              <w:t>1</w:t>
            </w:r>
            <w:r w:rsidRPr="00AE55F2">
              <w:rPr>
                <w:rFonts w:ascii="Times New Roman" w:hAnsi="Times New Roman"/>
                <w:noProof/>
              </w:rPr>
              <w:t>,</w:t>
            </w:r>
            <w:r w:rsidRPr="00B97A01">
              <w:rPr>
                <w:rFonts w:ascii="Times New Roman" w:hAnsi="Times New Roman"/>
                <w:noProof/>
              </w:rPr>
              <w:t>7</w:t>
            </w:r>
            <w:r w:rsidRPr="00AE55F2">
              <w:rPr>
                <w:rFonts w:ascii="Times New Roman" w:hAnsi="Times New Roman"/>
                <w:noProof/>
              </w:rPr>
              <w:t xml:space="preserve"> pentru porumb, </w:t>
            </w:r>
            <w:r w:rsidRPr="00B97A01">
              <w:rPr>
                <w:rFonts w:ascii="Times New Roman" w:hAnsi="Times New Roman"/>
                <w:noProof/>
              </w:rPr>
              <w:t>2</w:t>
            </w:r>
            <w:r w:rsidRPr="00AE55F2">
              <w:rPr>
                <w:rFonts w:ascii="Times New Roman" w:hAnsi="Times New Roman"/>
                <w:noProof/>
              </w:rPr>
              <w:t>,</w:t>
            </w:r>
            <w:r w:rsidRPr="00B97A01">
              <w:rPr>
                <w:rFonts w:ascii="Times New Roman" w:hAnsi="Times New Roman"/>
                <w:noProof/>
              </w:rPr>
              <w:t>5</w:t>
            </w:r>
            <w:r w:rsidRPr="00AE55F2">
              <w:rPr>
                <w:rFonts w:ascii="Times New Roman" w:hAnsi="Times New Roman"/>
                <w:noProof/>
              </w:rPr>
              <w:t xml:space="preserve"> pentru uleiul de palmier, </w:t>
            </w:r>
            <w:r w:rsidRPr="00B97A01">
              <w:rPr>
                <w:rFonts w:ascii="Times New Roman" w:hAnsi="Times New Roman"/>
                <w:noProof/>
              </w:rPr>
              <w:t>3</w:t>
            </w:r>
            <w:r w:rsidRPr="00AE55F2">
              <w:rPr>
                <w:rFonts w:ascii="Times New Roman" w:hAnsi="Times New Roman"/>
                <w:noProof/>
              </w:rPr>
              <w:t>,</w:t>
            </w:r>
            <w:r w:rsidRPr="00B97A01">
              <w:rPr>
                <w:rFonts w:ascii="Times New Roman" w:hAnsi="Times New Roman"/>
                <w:noProof/>
              </w:rPr>
              <w:t>2</w:t>
            </w:r>
            <w:r w:rsidRPr="00AE55F2">
              <w:rPr>
                <w:rFonts w:ascii="Times New Roman" w:hAnsi="Times New Roman"/>
                <w:noProof/>
              </w:rPr>
              <w:t xml:space="preserve"> pentru sfecla de zahăr, </w:t>
            </w:r>
            <w:r w:rsidRPr="00B97A01">
              <w:rPr>
                <w:rFonts w:ascii="Times New Roman" w:hAnsi="Times New Roman"/>
                <w:noProof/>
              </w:rPr>
              <w:t>2</w:t>
            </w:r>
            <w:r w:rsidRPr="00AE55F2">
              <w:rPr>
                <w:rFonts w:ascii="Times New Roman" w:hAnsi="Times New Roman"/>
                <w:noProof/>
              </w:rPr>
              <w:t>,</w:t>
            </w:r>
            <w:r w:rsidRPr="00B97A01">
              <w:rPr>
                <w:rFonts w:ascii="Times New Roman" w:hAnsi="Times New Roman"/>
                <w:noProof/>
              </w:rPr>
              <w:t>2</w:t>
            </w:r>
            <w:r w:rsidRPr="00AE55F2">
              <w:rPr>
                <w:rFonts w:ascii="Times New Roman" w:hAnsi="Times New Roman"/>
                <w:noProof/>
              </w:rPr>
              <w:t xml:space="preserve"> pentru trestia de zahăr și </w:t>
            </w:r>
            <w:r w:rsidRPr="00B97A01">
              <w:rPr>
                <w:rFonts w:ascii="Times New Roman" w:hAnsi="Times New Roman"/>
                <w:noProof/>
              </w:rPr>
              <w:t>1</w:t>
            </w:r>
            <w:r w:rsidRPr="00AE55F2">
              <w:rPr>
                <w:rFonts w:ascii="Times New Roman" w:hAnsi="Times New Roman"/>
                <w:noProof/>
              </w:rPr>
              <w:t xml:space="preserve"> pentru toate celelalte culturi.</w:t>
            </w:r>
          </w:p>
          <w:p w14:paraId="0562CB0E" w14:textId="1FD15E07" w:rsidR="00C02ABB" w:rsidRPr="00AE55F2" w:rsidRDefault="00FD7137" w:rsidP="00ED004A">
            <w:pPr>
              <w:jc w:val="both"/>
              <w:rPr>
                <w:noProof/>
              </w:rPr>
            </w:pPr>
            <w:r w:rsidRPr="00AE55F2">
              <w:rPr>
                <w:rFonts w:ascii="Times New Roman" w:hAnsi="Times New Roman"/>
                <w:noProof/>
              </w:rPr>
              <w:t xml:space="preserve">Aplicarea criteriilor de la literele (a) și (b) de mai sus se bazează pe informațiile incluse în anexă, astfel cum au fost revizuite în conformitate cu articolul </w:t>
            </w:r>
            <w:r w:rsidRPr="00B97A01">
              <w:rPr>
                <w:rFonts w:ascii="Times New Roman" w:hAnsi="Times New Roman"/>
                <w:noProof/>
              </w:rPr>
              <w:t>7</w:t>
            </w:r>
            <w:r w:rsidRPr="00AE55F2">
              <w:rPr>
                <w:rFonts w:ascii="Times New Roman" w:hAnsi="Times New Roman"/>
                <w:noProof/>
              </w:rPr>
              <w:t>.</w:t>
            </w:r>
          </w:p>
        </w:tc>
      </w:tr>
    </w:tbl>
    <w:p w14:paraId="37413708" w14:textId="5FF4A5C7" w:rsidR="74982C6C" w:rsidRPr="00AE55F2" w:rsidRDefault="67FE5085" w:rsidP="72E8964A">
      <w:pPr>
        <w:pStyle w:val="NormalTimesNewRoman"/>
        <w:spacing w:line="276" w:lineRule="auto"/>
        <w:rPr>
          <w:i/>
          <w:iCs/>
          <w:noProof/>
          <w:sz w:val="20"/>
          <w:szCs w:val="20"/>
        </w:rPr>
      </w:pPr>
      <w:r w:rsidRPr="00AE55F2">
        <w:rPr>
          <w:i/>
          <w:noProof/>
          <w:sz w:val="20"/>
        </w:rPr>
        <w:t>Articolul </w:t>
      </w:r>
      <w:r w:rsidRPr="00B97A01">
        <w:rPr>
          <w:i/>
          <w:noProof/>
          <w:sz w:val="20"/>
        </w:rPr>
        <w:t>3</w:t>
      </w:r>
      <w:r w:rsidRPr="00AE55F2">
        <w:rPr>
          <w:i/>
          <w:noProof/>
          <w:sz w:val="20"/>
        </w:rPr>
        <w:t xml:space="preserve"> din Regulamentul delegat privind ILUC, care definește criteriile de stabilire a materiilor prime cu risc ridicat de ILUC.</w:t>
      </w:r>
    </w:p>
    <w:p w14:paraId="1FEDD15F" w14:textId="6D0F985C" w:rsidR="005D5178" w:rsidRPr="00AE55F2" w:rsidRDefault="00E44E1E" w:rsidP="005D5178">
      <w:pPr>
        <w:pStyle w:val="NormalTimesNewRoman"/>
        <w:rPr>
          <w:noProof/>
        </w:rPr>
      </w:pPr>
      <w:r w:rsidRPr="00AE55F2">
        <w:rPr>
          <w:noProof/>
        </w:rPr>
        <w:t xml:space="preserve">Regulamentul delegat privind ILUC a fost însoțit de un raport al Comisiei privind situația expansiunii la nivel mondial a producției de anumite culturi alimentare și furajere („Raportul Comisiei din </w:t>
      </w:r>
      <w:r w:rsidRPr="00B97A01">
        <w:rPr>
          <w:noProof/>
        </w:rPr>
        <w:t>2019</w:t>
      </w:r>
      <w:r w:rsidRPr="00AE55F2">
        <w:rPr>
          <w:noProof/>
        </w:rPr>
        <w:t xml:space="preserve"> privind ILUC”)</w:t>
      </w:r>
      <w:r w:rsidRPr="00AE55F2">
        <w:rPr>
          <w:rStyle w:val="FootnoteReference"/>
          <w:noProof/>
        </w:rPr>
        <w:footnoteReference w:id="4"/>
      </w:r>
      <w:r w:rsidRPr="00AE55F2">
        <w:rPr>
          <w:noProof/>
        </w:rPr>
        <w:t>. În conformitate cu articolul </w:t>
      </w:r>
      <w:r w:rsidRPr="00B97A01">
        <w:rPr>
          <w:noProof/>
        </w:rPr>
        <w:t>7</w:t>
      </w:r>
      <w:r w:rsidRPr="00AE55F2">
        <w:rPr>
          <w:noProof/>
        </w:rPr>
        <w:t xml:space="preserve"> din Regulamentul delegat privind ILUC, Comisia are obligația de a reexamina raportul respectiv, acesta fiind obiectivul prezentului raport. În plus, articolul </w:t>
      </w:r>
      <w:r w:rsidRPr="00B97A01">
        <w:rPr>
          <w:noProof/>
        </w:rPr>
        <w:t>26</w:t>
      </w:r>
      <w:r w:rsidRPr="00AE55F2">
        <w:rPr>
          <w:noProof/>
        </w:rPr>
        <w:t xml:space="preserve"> alineatul (</w:t>
      </w:r>
      <w:r w:rsidRPr="00B97A01">
        <w:rPr>
          <w:noProof/>
        </w:rPr>
        <w:t>2</w:t>
      </w:r>
      <w:r w:rsidRPr="00AE55F2">
        <w:rPr>
          <w:noProof/>
        </w:rPr>
        <w:t xml:space="preserve">) al cincilea paragraf din Directiva privind energia din surse regenerabile prevede obligația Comisiei de a revizui criteriile stabilite prin Regulamentul delegat privind ILUC și de a include o traiectorie de scădere treptată a contribuției combustibililor cu risc ridicat de ILUC la obiectivul general al Uniunii și la ponderea minimă de </w:t>
      </w:r>
      <w:r w:rsidRPr="00B97A01">
        <w:rPr>
          <w:noProof/>
        </w:rPr>
        <w:t>29</w:t>
      </w:r>
      <w:r w:rsidRPr="00AE55F2">
        <w:rPr>
          <w:noProof/>
        </w:rPr>
        <w:t xml:space="preserve"> % a energiei din surse regenerabile sau la obiectivul de reducere cu </w:t>
      </w:r>
      <w:r w:rsidRPr="00B97A01">
        <w:rPr>
          <w:noProof/>
        </w:rPr>
        <w:t>14</w:t>
      </w:r>
      <w:r w:rsidRPr="00AE55F2">
        <w:rPr>
          <w:noProof/>
        </w:rPr>
        <w:t>,</w:t>
      </w:r>
      <w:r w:rsidRPr="00B97A01">
        <w:rPr>
          <w:noProof/>
        </w:rPr>
        <w:t>5</w:t>
      </w:r>
      <w:r w:rsidRPr="00AE55F2">
        <w:rPr>
          <w:noProof/>
        </w:rPr>
        <w:t> % a intensității gazelor cu efect de seră în sectorul transporturilor, menționat la articolul </w:t>
      </w:r>
      <w:r w:rsidRPr="00B97A01">
        <w:rPr>
          <w:noProof/>
        </w:rPr>
        <w:t>25</w:t>
      </w:r>
      <w:r w:rsidRPr="00AE55F2">
        <w:rPr>
          <w:noProof/>
        </w:rPr>
        <w:t xml:space="preserve"> alineatul (</w:t>
      </w:r>
      <w:r w:rsidRPr="00B97A01">
        <w:rPr>
          <w:noProof/>
        </w:rPr>
        <w:t>1</w:t>
      </w:r>
      <w:r w:rsidRPr="00AE55F2">
        <w:rPr>
          <w:noProof/>
        </w:rPr>
        <w:t>) primul paragraf litera (a) din Directiva privind energia din surse regenerabile.</w:t>
      </w:r>
    </w:p>
    <w:p w14:paraId="34CE0A41" w14:textId="77777777" w:rsidR="005C0ABA" w:rsidRPr="00AE55F2" w:rsidRDefault="005C0ABA" w:rsidP="005D5178">
      <w:pPr>
        <w:pStyle w:val="NormalTimesNewRoman"/>
        <w:spacing w:line="276" w:lineRule="auto"/>
        <w:rPr>
          <w:noProof/>
        </w:rPr>
      </w:pPr>
    </w:p>
    <w:p w14:paraId="4B07DC3F" w14:textId="77777777" w:rsidR="74982C6C" w:rsidRPr="00AE55F2" w:rsidRDefault="67FE5085" w:rsidP="00C27014">
      <w:pPr>
        <w:pStyle w:val="Style1"/>
        <w:rPr>
          <w:rFonts w:eastAsiaTheme="minorEastAsia"/>
          <w:noProof/>
        </w:rPr>
      </w:pPr>
      <w:bookmarkStart w:id="3" w:name="_Toc109647467"/>
      <w:r w:rsidRPr="00AE55F2">
        <w:rPr>
          <w:noProof/>
        </w:rPr>
        <w:t>ACTUALIZAREA ȘI EVALUAREA DATELOR ȘTIINȚIFICE DISPONIBILE</w:t>
      </w:r>
      <w:bookmarkEnd w:id="3"/>
      <w:r w:rsidRPr="00AE55F2">
        <w:rPr>
          <w:noProof/>
        </w:rPr>
        <w:t xml:space="preserve"> </w:t>
      </w:r>
    </w:p>
    <w:p w14:paraId="62EBF3C5" w14:textId="77777777" w:rsidR="74982C6C" w:rsidRPr="00AE55F2" w:rsidRDefault="74982C6C" w:rsidP="005D5178">
      <w:pPr>
        <w:rPr>
          <w:rFonts w:ascii="Times New Roman" w:hAnsi="Times New Roman" w:cs="Times New Roman"/>
          <w:noProof/>
        </w:rPr>
      </w:pPr>
    </w:p>
    <w:p w14:paraId="7306AC22" w14:textId="385CAE1F" w:rsidR="007F2E51" w:rsidRPr="00AE55F2" w:rsidRDefault="7C92C639" w:rsidP="00195800">
      <w:pPr>
        <w:pStyle w:val="NormalTimesNewRoman"/>
        <w:rPr>
          <w:noProof/>
        </w:rPr>
      </w:pPr>
      <w:r w:rsidRPr="00AE55F2">
        <w:rPr>
          <w:noProof/>
        </w:rPr>
        <w:t xml:space="preserve">Pentru a sprijini reexaminarea Raportului Comisiei din </w:t>
      </w:r>
      <w:r w:rsidRPr="00B97A01">
        <w:rPr>
          <w:noProof/>
        </w:rPr>
        <w:t>2019</w:t>
      </w:r>
      <w:r w:rsidRPr="00AE55F2">
        <w:rPr>
          <w:noProof/>
        </w:rPr>
        <w:t xml:space="preserve"> privind ILUC, care s-a bazat pe o evaluare efectuată de Centrul Comun de Cercetare (JRC) al Comisiei, a fost realizat un studiu cu scopul de a actualiza datele privind expansiunea materiilor prime, pe baza unor noi dovezi științifice. Studiul a fost conceput în două etape și a fost realizat de un consorțiu condus de Guidehouse. A fost efectuată o analiză a literaturii de specialitate și au fost actualizate statisticile privind expansiunea materiilor prime la nivel mondial</w:t>
      </w:r>
      <w:r w:rsidRPr="00AE55F2">
        <w:rPr>
          <w:rStyle w:val="FootnoteReference"/>
          <w:noProof/>
        </w:rPr>
        <w:footnoteReference w:id="5"/>
      </w:r>
      <w:r w:rsidRPr="00AE55F2">
        <w:rPr>
          <w:noProof/>
        </w:rPr>
        <w:t xml:space="preserve">. Analiza literaturii de specialitate a confirmat concluzia Comisiei, exprimată în evaluarea din </w:t>
      </w:r>
      <w:r w:rsidRPr="00B97A01">
        <w:rPr>
          <w:noProof/>
        </w:rPr>
        <w:t>2019</w:t>
      </w:r>
      <w:r w:rsidRPr="00AE55F2">
        <w:rPr>
          <w:noProof/>
        </w:rPr>
        <w:t xml:space="preserve">, potrivit căreia majoritatea studiilor nu prezintă rezultate globale, ci se axează pe regiuni specifice și pe culturi specifice. Literatura de specialitate identificată analizează regiunile din America Latină, Asia de Sud-Est (în principal Indonezia și Malaysia) și Africa de Vest despre care se știe că prezintă un risc ridicat de defrișare. Principalele rezultate ale acestui exercițiu sunt sintetizate mai jos pentru fiecare materie primă. </w:t>
      </w:r>
    </w:p>
    <w:p w14:paraId="4AB34B10" w14:textId="09E91D25" w:rsidR="007B31D2" w:rsidRPr="00AE55F2" w:rsidRDefault="00B6594E" w:rsidP="00195800">
      <w:pPr>
        <w:pStyle w:val="NormalTimesNewRoman"/>
        <w:rPr>
          <w:noProof/>
        </w:rPr>
      </w:pPr>
      <w:r w:rsidRPr="00AE55F2">
        <w:rPr>
          <w:noProof/>
        </w:rPr>
        <w:t xml:space="preserve">În ceea ce privește </w:t>
      </w:r>
      <w:r w:rsidRPr="00AE55F2">
        <w:rPr>
          <w:b/>
          <w:noProof/>
        </w:rPr>
        <w:t>soia</w:t>
      </w:r>
      <w:r w:rsidRPr="00AE55F2">
        <w:rPr>
          <w:noProof/>
        </w:rPr>
        <w:t>, literatura științifică se axează în principal pe țările din America de Sud. Noile studii evaluează legătura dintre expansiunea culturilor de soia în detrimentul pășunilor și expansiunea în consecință a pășunilor în detrimentul terenurilor care stochează cantități ridicate de carbon, precum și impactul noilor politici, cum ar fi moratoriul brazilian privind soia și noul cod forestier al Braziliei. Unul dintre studii</w:t>
      </w:r>
      <w:r w:rsidRPr="00AE55F2">
        <w:rPr>
          <w:rStyle w:val="FootnoteReference"/>
          <w:noProof/>
        </w:rPr>
        <w:footnoteReference w:id="6"/>
      </w:r>
      <w:r w:rsidRPr="00AE55F2">
        <w:rPr>
          <w:noProof/>
        </w:rPr>
        <w:t xml:space="preserve"> a constatat că inițiativele de politică au dus la o scădere a ratelor defrișărilor, dar au reorientat noua producție de soia către zone convertite anterior, de exemplu către pășuni. În mod similar, un alt studiu</w:t>
      </w:r>
      <w:r w:rsidRPr="00AE55F2">
        <w:rPr>
          <w:rStyle w:val="FootnoteReference"/>
          <w:noProof/>
        </w:rPr>
        <w:footnoteReference w:id="7"/>
      </w:r>
      <w:r w:rsidRPr="00AE55F2">
        <w:rPr>
          <w:noProof/>
        </w:rPr>
        <w:t xml:space="preserve"> a analizat legătura dintre expansiunea culturilor de soia și cea a pășunilor și a constatat că expansiunea culturilor de soia are loc în mod frecvent în detrimentul pășunilor, având drept consecință expansiunea pășunilor și, ca atare, transformarea destinației unor terenuri care stochează cantități ridicate de carbon. În perioada </w:t>
      </w:r>
      <w:r w:rsidRPr="00B97A01">
        <w:rPr>
          <w:noProof/>
        </w:rPr>
        <w:t>2006</w:t>
      </w:r>
      <w:r w:rsidRPr="00AE55F2">
        <w:rPr>
          <w:noProof/>
        </w:rPr>
        <w:t>-</w:t>
      </w:r>
      <w:r w:rsidRPr="00B97A01">
        <w:rPr>
          <w:noProof/>
        </w:rPr>
        <w:t>2017</w:t>
      </w:r>
      <w:r w:rsidRPr="00AE55F2">
        <w:rPr>
          <w:noProof/>
        </w:rPr>
        <w:t xml:space="preserve">, suprafețele producătoare de soia din Mato Grosso s-au extins de la </w:t>
      </w:r>
      <w:r w:rsidRPr="00B97A01">
        <w:rPr>
          <w:noProof/>
        </w:rPr>
        <w:t>5</w:t>
      </w:r>
      <w:r w:rsidRPr="00AE55F2">
        <w:rPr>
          <w:noProof/>
        </w:rPr>
        <w:t>,</w:t>
      </w:r>
      <w:r w:rsidRPr="00B97A01">
        <w:rPr>
          <w:noProof/>
        </w:rPr>
        <w:t>8</w:t>
      </w:r>
      <w:r w:rsidRPr="00AE55F2">
        <w:rPr>
          <w:noProof/>
        </w:rPr>
        <w:t xml:space="preserve"> la </w:t>
      </w:r>
      <w:r w:rsidRPr="00B97A01">
        <w:rPr>
          <w:noProof/>
        </w:rPr>
        <w:t>9</w:t>
      </w:r>
      <w:r w:rsidRPr="00AE55F2">
        <w:rPr>
          <w:noProof/>
        </w:rPr>
        <w:t>,</w:t>
      </w:r>
      <w:r w:rsidRPr="00B97A01">
        <w:rPr>
          <w:noProof/>
        </w:rPr>
        <w:t>3</w:t>
      </w:r>
      <w:r w:rsidRPr="00AE55F2">
        <w:rPr>
          <w:noProof/>
        </w:rPr>
        <w:t xml:space="preserve"> milioane ha, adică o creștere de </w:t>
      </w:r>
      <w:r w:rsidRPr="00B97A01">
        <w:rPr>
          <w:noProof/>
        </w:rPr>
        <w:t>59</w:t>
      </w:r>
      <w:r w:rsidRPr="00AE55F2">
        <w:rPr>
          <w:noProof/>
        </w:rPr>
        <w:t>,</w:t>
      </w:r>
      <w:r w:rsidRPr="00B97A01">
        <w:rPr>
          <w:noProof/>
        </w:rPr>
        <w:t>5</w:t>
      </w:r>
      <w:r w:rsidRPr="00AE55F2">
        <w:rPr>
          <w:noProof/>
        </w:rPr>
        <w:t> %. În plus, un studiu diferit</w:t>
      </w:r>
      <w:r w:rsidRPr="00AE55F2">
        <w:rPr>
          <w:rStyle w:val="FootnoteReference"/>
          <w:noProof/>
        </w:rPr>
        <w:footnoteReference w:id="8"/>
      </w:r>
      <w:r w:rsidRPr="00AE55F2">
        <w:rPr>
          <w:noProof/>
        </w:rPr>
        <w:t xml:space="preserve"> a constatat că, în perioada </w:t>
      </w:r>
      <w:r w:rsidRPr="00B97A01">
        <w:rPr>
          <w:noProof/>
        </w:rPr>
        <w:t>2000</w:t>
      </w:r>
      <w:r w:rsidRPr="00AE55F2">
        <w:rPr>
          <w:noProof/>
        </w:rPr>
        <w:t>-</w:t>
      </w:r>
      <w:r w:rsidRPr="00B97A01">
        <w:rPr>
          <w:noProof/>
        </w:rPr>
        <w:t>2019</w:t>
      </w:r>
      <w:r w:rsidRPr="00AE55F2">
        <w:rPr>
          <w:noProof/>
        </w:rPr>
        <w:t xml:space="preserve">, expansiunea anuală a culturilor de soia în America de Sud a crescut de la </w:t>
      </w:r>
      <w:r w:rsidRPr="00B97A01">
        <w:rPr>
          <w:noProof/>
        </w:rPr>
        <w:t>26</w:t>
      </w:r>
      <w:r w:rsidRPr="00AE55F2">
        <w:rPr>
          <w:noProof/>
        </w:rPr>
        <w:t>,</w:t>
      </w:r>
      <w:r w:rsidRPr="00B97A01">
        <w:rPr>
          <w:noProof/>
        </w:rPr>
        <w:t>4</w:t>
      </w:r>
      <w:r w:rsidRPr="00AE55F2">
        <w:rPr>
          <w:noProof/>
        </w:rPr>
        <w:t xml:space="preserve"> la </w:t>
      </w:r>
      <w:r w:rsidRPr="00B97A01">
        <w:rPr>
          <w:noProof/>
        </w:rPr>
        <w:t>55</w:t>
      </w:r>
      <w:r w:rsidRPr="00AE55F2">
        <w:rPr>
          <w:noProof/>
        </w:rPr>
        <w:t>,</w:t>
      </w:r>
      <w:r w:rsidRPr="00B97A01">
        <w:rPr>
          <w:noProof/>
        </w:rPr>
        <w:t>1</w:t>
      </w:r>
      <w:r w:rsidRPr="00AE55F2">
        <w:rPr>
          <w:noProof/>
        </w:rPr>
        <w:t xml:space="preserve"> milioane ha, cu o creștere semnificativă de-a lungul „fronturilor defrișărilor”, cauzând indirect defrișări prin relocarea pășunilor. Producția de soia din Brazilia amazoniană a cunoscut cea mai rapidă expansiune, crescând de la </w:t>
      </w:r>
      <w:r w:rsidRPr="00B97A01">
        <w:rPr>
          <w:noProof/>
        </w:rPr>
        <w:t>0</w:t>
      </w:r>
      <w:r w:rsidRPr="00AE55F2">
        <w:rPr>
          <w:noProof/>
        </w:rPr>
        <w:t>,</w:t>
      </w:r>
      <w:r w:rsidRPr="00B97A01">
        <w:rPr>
          <w:noProof/>
        </w:rPr>
        <w:t>4</w:t>
      </w:r>
      <w:r w:rsidRPr="00AE55F2">
        <w:rPr>
          <w:noProof/>
        </w:rPr>
        <w:t xml:space="preserve"> milioane ha la </w:t>
      </w:r>
      <w:r w:rsidRPr="00B97A01">
        <w:rPr>
          <w:noProof/>
        </w:rPr>
        <w:t>4</w:t>
      </w:r>
      <w:r w:rsidRPr="00AE55F2">
        <w:rPr>
          <w:noProof/>
        </w:rPr>
        <w:t>,</w:t>
      </w:r>
      <w:r w:rsidRPr="00B97A01">
        <w:rPr>
          <w:noProof/>
        </w:rPr>
        <w:t>6</w:t>
      </w:r>
      <w:r w:rsidR="00AE55F2" w:rsidRPr="00AE55F2">
        <w:rPr>
          <w:noProof/>
        </w:rPr>
        <w:t> </w:t>
      </w:r>
      <w:r w:rsidRPr="00AE55F2">
        <w:rPr>
          <w:noProof/>
        </w:rPr>
        <w:t>milioane ha în decursul perioadei. Un alt studiu</w:t>
      </w:r>
      <w:r w:rsidRPr="00AE55F2">
        <w:rPr>
          <w:rStyle w:val="FootnoteReference"/>
          <w:noProof/>
        </w:rPr>
        <w:footnoteReference w:id="9"/>
      </w:r>
      <w:r w:rsidRPr="00AE55F2">
        <w:rPr>
          <w:noProof/>
        </w:rPr>
        <w:t xml:space="preserve"> a estimat că, în medie, </w:t>
      </w:r>
      <w:r w:rsidRPr="00B97A01">
        <w:rPr>
          <w:noProof/>
        </w:rPr>
        <w:t>19</w:t>
      </w:r>
      <w:r w:rsidRPr="00AE55F2">
        <w:rPr>
          <w:noProof/>
        </w:rPr>
        <w:t xml:space="preserve"> % din expansiunea producției de soia implică un risc ridicat de ILUC. </w:t>
      </w:r>
      <w:bookmarkStart w:id="4" w:name="_Hlk115690094"/>
    </w:p>
    <w:bookmarkEnd w:id="4"/>
    <w:p w14:paraId="419B1F60" w14:textId="06CD361D" w:rsidR="00C27014" w:rsidRPr="00AE55F2" w:rsidRDefault="003467CE" w:rsidP="00195800">
      <w:pPr>
        <w:pStyle w:val="NormalTimesNewRoman"/>
        <w:rPr>
          <w:noProof/>
        </w:rPr>
      </w:pPr>
      <w:r w:rsidRPr="00AE55F2">
        <w:rPr>
          <w:noProof/>
        </w:rPr>
        <w:t xml:space="preserve">În ceea ce privește </w:t>
      </w:r>
      <w:r w:rsidRPr="00AE55F2">
        <w:rPr>
          <w:b/>
          <w:noProof/>
        </w:rPr>
        <w:t>uleiul de palmier</w:t>
      </w:r>
      <w:r w:rsidRPr="00AE55F2">
        <w:rPr>
          <w:noProof/>
        </w:rPr>
        <w:t>, dovezile științifice au dus la concluzia că acesta continuă să se extindă în detrimentul pădurilor și al turbăriilor în Malaysia, Indonezia și Thailanda, precum și că este o cultură emergentă în regiuni din ce în ce mai extinse din Brazilia, Peru și Africa. Studiile relevă o dinamică complexă a cultivării palmierilor de ulei, arătând că, deși măsuri de politică precum moratoriul privind pădurile și programele de producție durabilă din Indonezia au încercat să reducă defrișările, mediul continuă să sufere schimbări semnificative. Se pot menționa în acest sens ratele ridicate de conversie a destinației terenurilor din păduri și turbării în plantații, cu impacturi diferite</w:t>
      </w:r>
      <w:r w:rsidRPr="00AE55F2">
        <w:rPr>
          <w:rStyle w:val="FootnoteReference"/>
          <w:noProof/>
        </w:rPr>
        <w:footnoteReference w:id="10"/>
      </w:r>
      <w:r w:rsidRPr="00AE55F2">
        <w:rPr>
          <w:noProof/>
        </w:rPr>
        <w:t xml:space="preserve"> ca urmare a practicilor industriei și ale micilor proprietari agricoli. În Asia de Sud-Est (Indonezia, Malaysia, Thailanda), studiile</w:t>
      </w:r>
      <w:r w:rsidRPr="00AE55F2">
        <w:rPr>
          <w:rStyle w:val="FootnoteReference"/>
          <w:noProof/>
        </w:rPr>
        <w:footnoteReference w:id="11"/>
      </w:r>
      <w:r w:rsidRPr="00AE55F2">
        <w:rPr>
          <w:noProof/>
        </w:rPr>
        <w:t xml:space="preserve"> au constatat o expansiune semnificativă a uleiului de palmier, plantațiile extinzându-se în detrimentul turbăriilor și al pădurilor naturale. În America de Sud, palmierii de ulei sunt cultivați în principal pe pășuni în Brazilia</w:t>
      </w:r>
      <w:r w:rsidRPr="00AE55F2">
        <w:rPr>
          <w:rStyle w:val="FootnoteReference"/>
          <w:noProof/>
        </w:rPr>
        <w:footnoteReference w:id="12"/>
      </w:r>
      <w:r w:rsidRPr="00AE55F2">
        <w:rPr>
          <w:noProof/>
        </w:rPr>
        <w:t>, iar în Peru plantațiile industriale s-au extins în mare măsură pe terenuri cu păduri seculare. Un studiu realizat în Peru</w:t>
      </w:r>
      <w:r w:rsidRPr="00AE55F2">
        <w:rPr>
          <w:rStyle w:val="FootnoteReference"/>
          <w:noProof/>
        </w:rPr>
        <w:footnoteReference w:id="13"/>
      </w:r>
      <w:r w:rsidRPr="00AE55F2">
        <w:rPr>
          <w:noProof/>
        </w:rPr>
        <w:t xml:space="preserve"> a constatat că </w:t>
      </w:r>
      <w:r w:rsidRPr="00B97A01">
        <w:rPr>
          <w:noProof/>
        </w:rPr>
        <w:t>26</w:t>
      </w:r>
      <w:r w:rsidRPr="00AE55F2">
        <w:rPr>
          <w:noProof/>
        </w:rPr>
        <w:t xml:space="preserve"> % din expansiunea micilor plantații de palmieri de ulei are loc pe terenuri cu păduri seculare, acest procent crescând la </w:t>
      </w:r>
      <w:r w:rsidRPr="00B97A01">
        <w:rPr>
          <w:noProof/>
        </w:rPr>
        <w:t>70</w:t>
      </w:r>
      <w:r w:rsidRPr="00AE55F2">
        <w:rPr>
          <w:noProof/>
        </w:rPr>
        <w:t xml:space="preserve"> % în cazul plantațiilor industriale. În Africa, producția de ulei de palmier a crescut semnificativ, de la </w:t>
      </w:r>
      <w:r w:rsidRPr="00B97A01">
        <w:rPr>
          <w:noProof/>
        </w:rPr>
        <w:t>2</w:t>
      </w:r>
      <w:r w:rsidRPr="00AE55F2">
        <w:rPr>
          <w:noProof/>
        </w:rPr>
        <w:t xml:space="preserve"> milioane ha în anii </w:t>
      </w:r>
      <w:r w:rsidRPr="00B97A01">
        <w:rPr>
          <w:noProof/>
        </w:rPr>
        <w:t>1980</w:t>
      </w:r>
      <w:r w:rsidRPr="00AE55F2">
        <w:rPr>
          <w:noProof/>
        </w:rPr>
        <w:t xml:space="preserve"> la </w:t>
      </w:r>
      <w:r w:rsidRPr="00B97A01">
        <w:rPr>
          <w:noProof/>
        </w:rPr>
        <w:t>5</w:t>
      </w:r>
      <w:r w:rsidRPr="00AE55F2">
        <w:rPr>
          <w:noProof/>
        </w:rPr>
        <w:t xml:space="preserve"> milioane ha în </w:t>
      </w:r>
      <w:r w:rsidRPr="00B97A01">
        <w:rPr>
          <w:noProof/>
        </w:rPr>
        <w:t>2018</w:t>
      </w:r>
      <w:r w:rsidRPr="00AE55F2">
        <w:rPr>
          <w:noProof/>
        </w:rPr>
        <w:t>, în mare parte ca urmare a expansiunii în Nigeria și în Côte d’Ivoire</w:t>
      </w:r>
      <w:r w:rsidRPr="00AE55F2">
        <w:rPr>
          <w:rStyle w:val="FootnoteReference"/>
          <w:noProof/>
        </w:rPr>
        <w:footnoteReference w:id="14"/>
      </w:r>
      <w:r w:rsidRPr="00AE55F2">
        <w:rPr>
          <w:noProof/>
        </w:rPr>
        <w:t xml:space="preserve">. </w:t>
      </w:r>
    </w:p>
    <w:p w14:paraId="720C9E21" w14:textId="1AB0E8D3" w:rsidR="00367727" w:rsidRPr="00AE55F2" w:rsidRDefault="0080046C" w:rsidP="00195800">
      <w:pPr>
        <w:pStyle w:val="NormalTimesNewRoman"/>
        <w:rPr>
          <w:noProof/>
        </w:rPr>
      </w:pPr>
      <w:r w:rsidRPr="00AE55F2">
        <w:rPr>
          <w:noProof/>
        </w:rPr>
        <w:t xml:space="preserve">În ceea ce privește </w:t>
      </w:r>
      <w:r w:rsidRPr="00AE55F2">
        <w:rPr>
          <w:b/>
          <w:noProof/>
        </w:rPr>
        <w:t>trestia de zahăr și porumbul</w:t>
      </w:r>
      <w:r w:rsidRPr="00AE55F2">
        <w:rPr>
          <w:noProof/>
        </w:rPr>
        <w:t xml:space="preserve">, au fost identificate câteva studii suplimentare față de Raportul Comisiei din </w:t>
      </w:r>
      <w:r w:rsidRPr="00B97A01">
        <w:rPr>
          <w:noProof/>
        </w:rPr>
        <w:t>2019</w:t>
      </w:r>
      <w:r w:rsidRPr="00AE55F2">
        <w:rPr>
          <w:noProof/>
        </w:rPr>
        <w:t xml:space="preserve"> privind ILUC. Concluziile referitoare la ambele materii prime au fost confirmate: a fost identificată expansiunea pe pășuni sau pe terenuri agricole. În ceea ce privește trestia de zahăr, studiile</w:t>
      </w:r>
      <w:r w:rsidRPr="00AE55F2">
        <w:rPr>
          <w:rStyle w:val="FootnoteReference"/>
          <w:noProof/>
        </w:rPr>
        <w:footnoteReference w:id="15"/>
      </w:r>
      <w:r w:rsidRPr="00AE55F2">
        <w:rPr>
          <w:noProof/>
        </w:rPr>
        <w:t xml:space="preserve"> au constatat că, deși expansiunea plantațiilor de trestie de zahăr în detrimentul pădurilor nu este proeminentă, rata de expansiune este în creștere, în principal în Brazilia și mai ales în detrimentul pășunilor. </w:t>
      </w:r>
    </w:p>
    <w:p w14:paraId="6D98A12B" w14:textId="07F443BD" w:rsidR="007F2E51" w:rsidRPr="00AE55F2" w:rsidRDefault="00367727" w:rsidP="007F2E51">
      <w:pPr>
        <w:pStyle w:val="NormalTimesNewRoman"/>
        <w:rPr>
          <w:b/>
          <w:bCs/>
          <w:noProof/>
        </w:rPr>
      </w:pPr>
      <w:r w:rsidRPr="00AE55F2">
        <w:rPr>
          <w:b/>
          <w:noProof/>
        </w:rPr>
        <w:t>Pentru alte culturi</w:t>
      </w:r>
      <w:r w:rsidRPr="00AE55F2">
        <w:rPr>
          <w:noProof/>
        </w:rPr>
        <w:t xml:space="preserve"> nu au fost identificate studii suplimentare.</w:t>
      </w:r>
      <w:r w:rsidRPr="00AE55F2">
        <w:rPr>
          <w:b/>
          <w:noProof/>
        </w:rPr>
        <w:t xml:space="preserve"> </w:t>
      </w:r>
    </w:p>
    <w:p w14:paraId="34FD152C" w14:textId="77777777" w:rsidR="00922ED6" w:rsidRPr="00AE55F2" w:rsidRDefault="00922ED6" w:rsidP="007F2E51">
      <w:pPr>
        <w:pStyle w:val="NormalTimesNewRoman"/>
        <w:rPr>
          <w:noProof/>
        </w:rPr>
      </w:pPr>
    </w:p>
    <w:p w14:paraId="21D6F452" w14:textId="455C37EE" w:rsidR="00922ED6" w:rsidRPr="00AE55F2" w:rsidRDefault="00922ED6" w:rsidP="00922ED6">
      <w:pPr>
        <w:pStyle w:val="Style1"/>
        <w:rPr>
          <w:noProof/>
        </w:rPr>
      </w:pPr>
      <w:bookmarkStart w:id="5" w:name="_Toc109647468"/>
      <w:r w:rsidRPr="00AE55F2">
        <w:rPr>
          <w:noProof/>
        </w:rPr>
        <w:t>ACTUALIZAREA INFORMAȚIILOR PRIVIND EXPANSIUNEA LA NIVEL MONDIAL A MATERIILOR PRIME AGRICOLE</w:t>
      </w:r>
      <w:bookmarkEnd w:id="5"/>
      <w:r w:rsidRPr="00AE55F2">
        <w:rPr>
          <w:noProof/>
        </w:rPr>
        <w:t xml:space="preserve"> </w:t>
      </w:r>
    </w:p>
    <w:p w14:paraId="31CB5E34" w14:textId="03CCBA1B" w:rsidR="00922ED6" w:rsidRPr="00AE55F2" w:rsidRDefault="00922ED6" w:rsidP="00A32704">
      <w:pPr>
        <w:pStyle w:val="Style1"/>
        <w:numPr>
          <w:ilvl w:val="0"/>
          <w:numId w:val="0"/>
        </w:numPr>
        <w:ind w:left="720"/>
        <w:rPr>
          <w:noProof/>
        </w:rPr>
      </w:pPr>
    </w:p>
    <w:p w14:paraId="3F5D64F0" w14:textId="08DC73FB" w:rsidR="00361E3C" w:rsidRPr="00AE55F2" w:rsidRDefault="00354168" w:rsidP="00457526">
      <w:pPr>
        <w:pStyle w:val="NormalTimesNewRoman"/>
        <w:rPr>
          <w:noProof/>
        </w:rPr>
      </w:pPr>
      <w:r w:rsidRPr="00AE55F2">
        <w:rPr>
          <w:noProof/>
        </w:rPr>
        <w:t>Analiza tendințelor în ceea ce privește expansiunea la nivel mondial a producției de materii prime care pot fi utilizate pentru producerea de combustibili a fost actualizată și, în prezent, conține cele mai recente date disponibile de la FAOstat</w:t>
      </w:r>
      <w:r w:rsidRPr="00AE55F2">
        <w:rPr>
          <w:rStyle w:val="FootnoteReference"/>
          <w:noProof/>
        </w:rPr>
        <w:footnoteReference w:id="16"/>
      </w:r>
      <w:r w:rsidRPr="00AE55F2">
        <w:rPr>
          <w:noProof/>
        </w:rPr>
        <w:t xml:space="preserve"> și USDA</w:t>
      </w:r>
      <w:r w:rsidRPr="00AE55F2">
        <w:rPr>
          <w:rStyle w:val="FootnoteReference"/>
          <w:noProof/>
        </w:rPr>
        <w:footnoteReference w:id="17"/>
      </w:r>
      <w:r w:rsidRPr="00AE55F2">
        <w:rPr>
          <w:noProof/>
        </w:rPr>
        <w:t xml:space="preserve">, bazate pe date din perioada </w:t>
      </w:r>
      <w:r w:rsidRPr="00B97A01">
        <w:rPr>
          <w:noProof/>
        </w:rPr>
        <w:t>2014</w:t>
      </w:r>
      <w:r w:rsidRPr="00AE55F2">
        <w:rPr>
          <w:noProof/>
        </w:rPr>
        <w:t>-</w:t>
      </w:r>
      <w:r w:rsidRPr="00B97A01">
        <w:rPr>
          <w:noProof/>
        </w:rPr>
        <w:t>2021</w:t>
      </w:r>
      <w:r w:rsidRPr="00AE55F2">
        <w:rPr>
          <w:noProof/>
        </w:rPr>
        <w:t xml:space="preserve">. În ceea ce privește porumbul și boabele de soia din Brazilia, unde predomină culturile multiple, precum și producția de fructe de palmier de ulei din Indonezia și Malaysia, datele FAOStat privind suprafața recoltată au fost înlocuite cu date privind suprafața plantată extrase din statisticile naționale, pentru a măsura mai bine suprafața de teren utilizată pentru producerea acestor culturi. FAOstat furnizează doar date privind suprafețele recoltate, nu și privind suprafețele plantate, ceea ce înseamnă că suprafața cultivată apare ca fiind dublă în cazul unor practici precum culturile multiple sau secvențiale, iar în cazul palmierilor suprafața recoltată nu reflectă cu acuratețe utilizarea terenurilor, deoarece este nevoie de mai mulți ani pentru ca palmierii să ajungă la maturitate înainte de a fi recoltați. Rezultatele actualizate sunt incluse în tabelul </w:t>
      </w:r>
      <w:r w:rsidRPr="00B97A01">
        <w:rPr>
          <w:noProof/>
        </w:rPr>
        <w:t>1</w:t>
      </w:r>
      <w:r w:rsidRPr="00AE55F2">
        <w:rPr>
          <w:noProof/>
        </w:rPr>
        <w:t xml:space="preserve">. </w:t>
      </w:r>
    </w:p>
    <w:p w14:paraId="308B6346" w14:textId="77777777" w:rsidR="000B3318" w:rsidRPr="00AE55F2" w:rsidRDefault="000B3318" w:rsidP="00361E3C">
      <w:pPr>
        <w:pStyle w:val="NormalTimesNewRoman"/>
        <w:rPr>
          <w:noProof/>
        </w:rPr>
      </w:pPr>
    </w:p>
    <w:tbl>
      <w:tblPr>
        <w:tblStyle w:val="ESIReport2"/>
        <w:tblW w:w="9026" w:type="dxa"/>
        <w:tblLayout w:type="fixed"/>
        <w:tblCellMar>
          <w:top w:w="57" w:type="dxa"/>
          <w:left w:w="57" w:type="dxa"/>
          <w:bottom w:w="57" w:type="dxa"/>
          <w:right w:w="57" w:type="dxa"/>
        </w:tblCellMar>
        <w:tblLook w:val="04A0" w:firstRow="1" w:lastRow="0" w:firstColumn="1" w:lastColumn="0" w:noHBand="0" w:noVBand="1"/>
      </w:tblPr>
      <w:tblGrid>
        <w:gridCol w:w="988"/>
        <w:gridCol w:w="992"/>
        <w:gridCol w:w="1276"/>
        <w:gridCol w:w="992"/>
        <w:gridCol w:w="954"/>
        <w:gridCol w:w="939"/>
        <w:gridCol w:w="939"/>
        <w:gridCol w:w="973"/>
        <w:gridCol w:w="973"/>
      </w:tblGrid>
      <w:tr w:rsidR="00BB5FB1" w:rsidRPr="00AE55F2" w14:paraId="6787713D" w14:textId="77777777">
        <w:trPr>
          <w:cnfStyle w:val="100000000000" w:firstRow="1" w:lastRow="0" w:firstColumn="0" w:lastColumn="0" w:oddVBand="0" w:evenVBand="0" w:oddHBand="0" w:evenHBand="0" w:firstRowFirstColumn="0" w:firstRowLastColumn="0" w:lastRowFirstColumn="0" w:lastRowLastColumn="0"/>
          <w:trHeight w:val="723"/>
        </w:trPr>
        <w:tc>
          <w:tcPr>
            <w:tcW w:w="988" w:type="dxa"/>
            <w:hideMark/>
          </w:tcPr>
          <w:p w14:paraId="03BE662D"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Cultură</w:t>
            </w:r>
          </w:p>
        </w:tc>
        <w:tc>
          <w:tcPr>
            <w:tcW w:w="992" w:type="dxa"/>
            <w:hideMark/>
          </w:tcPr>
          <w:p w14:paraId="3A62866B"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 xml:space="preserve">Producție totală </w:t>
            </w:r>
            <w:r w:rsidRPr="00B97A01">
              <w:rPr>
                <w:rFonts w:ascii="Times New Roman" w:hAnsi="Times New Roman"/>
                <w:noProof/>
                <w:sz w:val="16"/>
              </w:rPr>
              <w:t>2014</w:t>
            </w:r>
            <w:r w:rsidRPr="00AE55F2">
              <w:rPr>
                <w:rFonts w:ascii="Times New Roman" w:hAnsi="Times New Roman"/>
                <w:noProof/>
                <w:sz w:val="16"/>
              </w:rPr>
              <w:t xml:space="preserve"> (kt)</w:t>
            </w:r>
          </w:p>
        </w:tc>
        <w:tc>
          <w:tcPr>
            <w:tcW w:w="1276" w:type="dxa"/>
            <w:hideMark/>
          </w:tcPr>
          <w:p w14:paraId="70CB87F1"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 xml:space="preserve">Creștere netă anuală a producției </w:t>
            </w:r>
            <w:r w:rsidRPr="00B97A01">
              <w:rPr>
                <w:rFonts w:ascii="Times New Roman" w:hAnsi="Times New Roman"/>
                <w:noProof/>
                <w:sz w:val="16"/>
              </w:rPr>
              <w:t>2014</w:t>
            </w:r>
            <w:r w:rsidRPr="00AE55F2">
              <w:rPr>
                <w:rFonts w:ascii="Times New Roman" w:hAnsi="Times New Roman"/>
                <w:noProof/>
                <w:sz w:val="16"/>
              </w:rPr>
              <w:t>-</w:t>
            </w:r>
            <w:r w:rsidRPr="00B97A01">
              <w:rPr>
                <w:rFonts w:ascii="Times New Roman" w:hAnsi="Times New Roman"/>
                <w:noProof/>
                <w:sz w:val="16"/>
              </w:rPr>
              <w:t>2021</w:t>
            </w:r>
            <w:r w:rsidRPr="00AE55F2">
              <w:rPr>
                <w:rFonts w:ascii="Times New Roman" w:hAnsi="Times New Roman"/>
                <w:noProof/>
                <w:sz w:val="16"/>
              </w:rPr>
              <w:t xml:space="preserve"> (%)</w:t>
            </w:r>
          </w:p>
        </w:tc>
        <w:tc>
          <w:tcPr>
            <w:tcW w:w="992" w:type="dxa"/>
            <w:hideMark/>
          </w:tcPr>
          <w:p w14:paraId="4B2B16EB"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 xml:space="preserve">Suprafață recoltată </w:t>
            </w:r>
            <w:r w:rsidRPr="00B97A01">
              <w:rPr>
                <w:rFonts w:ascii="Times New Roman" w:hAnsi="Times New Roman"/>
                <w:noProof/>
                <w:sz w:val="16"/>
              </w:rPr>
              <w:t>2014</w:t>
            </w:r>
            <w:r w:rsidRPr="00AE55F2">
              <w:rPr>
                <w:rFonts w:ascii="Times New Roman" w:hAnsi="Times New Roman"/>
                <w:noProof/>
                <w:sz w:val="16"/>
              </w:rPr>
              <w:t xml:space="preserve"> (kha)</w:t>
            </w:r>
          </w:p>
        </w:tc>
        <w:tc>
          <w:tcPr>
            <w:tcW w:w="954" w:type="dxa"/>
          </w:tcPr>
          <w:p w14:paraId="4F1B24A4"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 xml:space="preserve">Suprafață recoltată </w:t>
            </w:r>
            <w:r w:rsidRPr="00B97A01">
              <w:rPr>
                <w:rFonts w:ascii="Times New Roman" w:hAnsi="Times New Roman"/>
                <w:noProof/>
                <w:sz w:val="16"/>
              </w:rPr>
              <w:t>2021</w:t>
            </w:r>
            <w:r w:rsidRPr="00AE55F2">
              <w:rPr>
                <w:rFonts w:ascii="Times New Roman" w:hAnsi="Times New Roman"/>
                <w:noProof/>
                <w:sz w:val="16"/>
              </w:rPr>
              <w:t xml:space="preserve"> (kha)</w:t>
            </w:r>
          </w:p>
        </w:tc>
        <w:tc>
          <w:tcPr>
            <w:tcW w:w="939" w:type="dxa"/>
            <w:hideMark/>
          </w:tcPr>
          <w:p w14:paraId="5F59774D"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 xml:space="preserve">Creștere netă anuală a suprafeței recoltate </w:t>
            </w:r>
            <w:r w:rsidRPr="00B97A01">
              <w:rPr>
                <w:rFonts w:ascii="Times New Roman" w:hAnsi="Times New Roman"/>
                <w:noProof/>
                <w:sz w:val="16"/>
              </w:rPr>
              <w:t>2014</w:t>
            </w:r>
            <w:r w:rsidRPr="00AE55F2">
              <w:rPr>
                <w:rFonts w:ascii="Times New Roman" w:hAnsi="Times New Roman"/>
                <w:noProof/>
                <w:sz w:val="16"/>
              </w:rPr>
              <w:t>-</w:t>
            </w:r>
            <w:r w:rsidRPr="00B97A01">
              <w:rPr>
                <w:rFonts w:ascii="Times New Roman" w:hAnsi="Times New Roman"/>
                <w:noProof/>
                <w:sz w:val="16"/>
              </w:rPr>
              <w:t>2021</w:t>
            </w:r>
            <w:r w:rsidRPr="00AE55F2">
              <w:rPr>
                <w:rFonts w:ascii="Times New Roman" w:hAnsi="Times New Roman"/>
                <w:noProof/>
                <w:sz w:val="16"/>
              </w:rPr>
              <w:t xml:space="preserve"> (kha)</w:t>
            </w:r>
          </w:p>
        </w:tc>
        <w:tc>
          <w:tcPr>
            <w:tcW w:w="939" w:type="dxa"/>
            <w:hideMark/>
          </w:tcPr>
          <w:p w14:paraId="0642A901"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 xml:space="preserve">Creștere netă anuală a suprafeței recoltate </w:t>
            </w:r>
            <w:r w:rsidRPr="00B97A01">
              <w:rPr>
                <w:rFonts w:ascii="Times New Roman" w:hAnsi="Times New Roman"/>
                <w:noProof/>
                <w:sz w:val="16"/>
              </w:rPr>
              <w:t>2014</w:t>
            </w:r>
            <w:r w:rsidRPr="00AE55F2">
              <w:rPr>
                <w:rFonts w:ascii="Times New Roman" w:hAnsi="Times New Roman"/>
                <w:noProof/>
                <w:sz w:val="16"/>
              </w:rPr>
              <w:t>-</w:t>
            </w:r>
            <w:r w:rsidRPr="00B97A01">
              <w:rPr>
                <w:rFonts w:ascii="Times New Roman" w:hAnsi="Times New Roman"/>
                <w:noProof/>
                <w:sz w:val="16"/>
              </w:rPr>
              <w:t>2021</w:t>
            </w:r>
            <w:r w:rsidRPr="00AE55F2">
              <w:rPr>
                <w:rFonts w:ascii="Times New Roman" w:hAnsi="Times New Roman"/>
                <w:noProof/>
                <w:sz w:val="16"/>
              </w:rPr>
              <w:t xml:space="preserve"> (%)</w:t>
            </w:r>
          </w:p>
        </w:tc>
        <w:tc>
          <w:tcPr>
            <w:tcW w:w="973" w:type="dxa"/>
          </w:tcPr>
          <w:p w14:paraId="465A51A5"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Expansiune netă totală (kha)</w:t>
            </w:r>
          </w:p>
        </w:tc>
        <w:tc>
          <w:tcPr>
            <w:tcW w:w="973" w:type="dxa"/>
          </w:tcPr>
          <w:p w14:paraId="11FB0F52" w14:textId="77777777" w:rsidR="00BB5FB1" w:rsidRPr="00AE55F2" w:rsidRDefault="00BB5FB1">
            <w:pPr>
              <w:pStyle w:val="BodyText"/>
              <w:rPr>
                <w:rFonts w:ascii="Times New Roman" w:hAnsi="Times New Roman"/>
                <w:noProof/>
                <w:sz w:val="16"/>
                <w:szCs w:val="14"/>
              </w:rPr>
            </w:pPr>
            <w:r w:rsidRPr="00AE55F2">
              <w:rPr>
                <w:rFonts w:ascii="Times New Roman" w:hAnsi="Times New Roman"/>
                <w:noProof/>
                <w:sz w:val="16"/>
              </w:rPr>
              <w:t>Expansiune brută totală (kha)</w:t>
            </w:r>
          </w:p>
        </w:tc>
      </w:tr>
      <w:tr w:rsidR="00BB5FB1" w:rsidRPr="00AE55F2" w14:paraId="2B5AC7F5" w14:textId="77777777">
        <w:trPr>
          <w:trHeight w:val="210"/>
        </w:trPr>
        <w:tc>
          <w:tcPr>
            <w:tcW w:w="988" w:type="dxa"/>
            <w:noWrap/>
            <w:hideMark/>
          </w:tcPr>
          <w:p w14:paraId="521010B1"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Grâu</w:t>
            </w:r>
          </w:p>
        </w:tc>
        <w:tc>
          <w:tcPr>
            <w:tcW w:w="992" w:type="dxa"/>
            <w:noWrap/>
            <w:hideMark/>
          </w:tcPr>
          <w:p w14:paraId="4D5D46D8"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728</w:t>
            </w:r>
            <w:r w:rsidRPr="00AE55F2">
              <w:rPr>
                <w:rFonts w:ascii="Times New Roman" w:hAnsi="Times New Roman"/>
                <w:noProof/>
                <w:sz w:val="16"/>
              </w:rPr>
              <w:t> </w:t>
            </w:r>
            <w:r w:rsidRPr="00B97A01">
              <w:rPr>
                <w:rFonts w:ascii="Times New Roman" w:hAnsi="Times New Roman"/>
                <w:noProof/>
                <w:sz w:val="16"/>
              </w:rPr>
              <w:t>758</w:t>
            </w:r>
          </w:p>
        </w:tc>
        <w:tc>
          <w:tcPr>
            <w:tcW w:w="1276" w:type="dxa"/>
            <w:noWrap/>
            <w:hideMark/>
          </w:tcPr>
          <w:p w14:paraId="0E739F91"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8</w:t>
            </w:r>
            <w:r w:rsidRPr="00AE55F2">
              <w:rPr>
                <w:rFonts w:ascii="Times New Roman" w:hAnsi="Times New Roman"/>
                <w:noProof/>
                <w:sz w:val="16"/>
              </w:rPr>
              <w:t> %</w:t>
            </w:r>
          </w:p>
        </w:tc>
        <w:tc>
          <w:tcPr>
            <w:tcW w:w="992" w:type="dxa"/>
            <w:noWrap/>
            <w:hideMark/>
          </w:tcPr>
          <w:p w14:paraId="04BD4204"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219</w:t>
            </w:r>
            <w:r w:rsidRPr="00AE55F2">
              <w:rPr>
                <w:rFonts w:ascii="Times New Roman" w:hAnsi="Times New Roman"/>
                <w:noProof/>
                <w:sz w:val="16"/>
              </w:rPr>
              <w:t> </w:t>
            </w:r>
            <w:r w:rsidRPr="00B97A01">
              <w:rPr>
                <w:rFonts w:ascii="Times New Roman" w:hAnsi="Times New Roman"/>
                <w:noProof/>
                <w:sz w:val="16"/>
              </w:rPr>
              <w:t>755</w:t>
            </w:r>
          </w:p>
        </w:tc>
        <w:tc>
          <w:tcPr>
            <w:tcW w:w="954" w:type="dxa"/>
          </w:tcPr>
          <w:p w14:paraId="6B9A39BD"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220</w:t>
            </w:r>
            <w:r w:rsidRPr="00AE55F2">
              <w:rPr>
                <w:rFonts w:ascii="Times New Roman" w:hAnsi="Times New Roman"/>
                <w:noProof/>
                <w:sz w:val="16"/>
              </w:rPr>
              <w:t> </w:t>
            </w:r>
            <w:r w:rsidRPr="00B97A01">
              <w:rPr>
                <w:rFonts w:ascii="Times New Roman" w:hAnsi="Times New Roman"/>
                <w:noProof/>
                <w:sz w:val="16"/>
              </w:rPr>
              <w:t>760</w:t>
            </w:r>
          </w:p>
        </w:tc>
        <w:tc>
          <w:tcPr>
            <w:tcW w:w="939" w:type="dxa"/>
            <w:noWrap/>
            <w:hideMark/>
          </w:tcPr>
          <w:p w14:paraId="16A600E6"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143</w:t>
            </w:r>
          </w:p>
        </w:tc>
        <w:tc>
          <w:tcPr>
            <w:tcW w:w="939" w:type="dxa"/>
            <w:noWrap/>
            <w:hideMark/>
          </w:tcPr>
          <w:p w14:paraId="797D2722"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1</w:t>
            </w:r>
            <w:r w:rsidRPr="00AE55F2">
              <w:rPr>
                <w:rFonts w:ascii="Times New Roman" w:hAnsi="Times New Roman"/>
                <w:noProof/>
                <w:sz w:val="16"/>
              </w:rPr>
              <w:t> %</w:t>
            </w:r>
          </w:p>
        </w:tc>
        <w:tc>
          <w:tcPr>
            <w:tcW w:w="973" w:type="dxa"/>
          </w:tcPr>
          <w:p w14:paraId="51532A4D"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w:t>
            </w:r>
            <w:r w:rsidRPr="00AE55F2">
              <w:rPr>
                <w:rFonts w:ascii="Times New Roman" w:hAnsi="Times New Roman"/>
                <w:noProof/>
                <w:sz w:val="16"/>
              </w:rPr>
              <w:t> </w:t>
            </w:r>
            <w:r w:rsidRPr="00B97A01">
              <w:rPr>
                <w:rFonts w:ascii="Times New Roman" w:hAnsi="Times New Roman"/>
                <w:noProof/>
                <w:sz w:val="16"/>
              </w:rPr>
              <w:t>004</w:t>
            </w:r>
          </w:p>
        </w:tc>
        <w:tc>
          <w:tcPr>
            <w:tcW w:w="973" w:type="dxa"/>
          </w:tcPr>
          <w:p w14:paraId="7E8ABBFD"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11</w:t>
            </w:r>
            <w:r w:rsidRPr="00AE55F2">
              <w:rPr>
                <w:rFonts w:ascii="Times New Roman" w:hAnsi="Times New Roman"/>
                <w:noProof/>
                <w:sz w:val="16"/>
              </w:rPr>
              <w:t> </w:t>
            </w:r>
            <w:r w:rsidRPr="00B97A01">
              <w:rPr>
                <w:rFonts w:ascii="Times New Roman" w:hAnsi="Times New Roman"/>
                <w:noProof/>
                <w:sz w:val="16"/>
              </w:rPr>
              <w:t>001</w:t>
            </w:r>
          </w:p>
        </w:tc>
      </w:tr>
      <w:tr w:rsidR="00BB5FB1" w:rsidRPr="00AE55F2" w14:paraId="429C396C" w14:textId="77777777">
        <w:trPr>
          <w:trHeight w:val="210"/>
        </w:trPr>
        <w:tc>
          <w:tcPr>
            <w:tcW w:w="988" w:type="dxa"/>
            <w:noWrap/>
            <w:hideMark/>
          </w:tcPr>
          <w:p w14:paraId="54B5BCF9"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Porumb</w:t>
            </w:r>
          </w:p>
        </w:tc>
        <w:tc>
          <w:tcPr>
            <w:tcW w:w="992" w:type="dxa"/>
            <w:noWrap/>
            <w:hideMark/>
          </w:tcPr>
          <w:p w14:paraId="5B1F746C"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w:t>
            </w:r>
            <w:r w:rsidRPr="00AE55F2">
              <w:rPr>
                <w:rFonts w:ascii="Times New Roman" w:hAnsi="Times New Roman"/>
                <w:noProof/>
                <w:sz w:val="16"/>
              </w:rPr>
              <w:t> </w:t>
            </w:r>
            <w:r w:rsidRPr="00B97A01">
              <w:rPr>
                <w:rFonts w:ascii="Times New Roman" w:hAnsi="Times New Roman"/>
                <w:noProof/>
                <w:sz w:val="16"/>
              </w:rPr>
              <w:t>040</w:t>
            </w:r>
            <w:r w:rsidRPr="00AE55F2">
              <w:rPr>
                <w:rFonts w:ascii="Times New Roman" w:hAnsi="Times New Roman"/>
                <w:noProof/>
                <w:sz w:val="16"/>
              </w:rPr>
              <w:t> </w:t>
            </w:r>
            <w:r w:rsidRPr="00B97A01">
              <w:rPr>
                <w:rFonts w:ascii="Times New Roman" w:hAnsi="Times New Roman"/>
                <w:noProof/>
                <w:sz w:val="16"/>
              </w:rPr>
              <w:t>718</w:t>
            </w:r>
          </w:p>
        </w:tc>
        <w:tc>
          <w:tcPr>
            <w:tcW w:w="1276" w:type="dxa"/>
            <w:noWrap/>
            <w:hideMark/>
          </w:tcPr>
          <w:p w14:paraId="60C23683"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w:t>
            </w:r>
            <w:r w:rsidRPr="00AE55F2">
              <w:rPr>
                <w:rFonts w:ascii="Times New Roman" w:hAnsi="Times New Roman"/>
                <w:noProof/>
                <w:sz w:val="16"/>
              </w:rPr>
              <w:t>,</w:t>
            </w:r>
            <w:r w:rsidRPr="00B97A01">
              <w:rPr>
                <w:rFonts w:ascii="Times New Roman" w:hAnsi="Times New Roman"/>
                <w:noProof/>
                <w:sz w:val="16"/>
              </w:rPr>
              <w:t>2</w:t>
            </w:r>
            <w:r w:rsidRPr="00AE55F2">
              <w:rPr>
                <w:rFonts w:ascii="Times New Roman" w:hAnsi="Times New Roman"/>
                <w:noProof/>
                <w:sz w:val="16"/>
              </w:rPr>
              <w:t> %</w:t>
            </w:r>
          </w:p>
        </w:tc>
        <w:tc>
          <w:tcPr>
            <w:tcW w:w="992" w:type="dxa"/>
            <w:noWrap/>
            <w:hideMark/>
          </w:tcPr>
          <w:p w14:paraId="15B23348"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177</w:t>
            </w:r>
            <w:r w:rsidRPr="00AE55F2">
              <w:rPr>
                <w:rFonts w:ascii="Times New Roman" w:hAnsi="Times New Roman"/>
                <w:noProof/>
                <w:sz w:val="16"/>
              </w:rPr>
              <w:t> </w:t>
            </w:r>
            <w:r w:rsidRPr="00B97A01">
              <w:rPr>
                <w:rFonts w:ascii="Times New Roman" w:hAnsi="Times New Roman"/>
                <w:noProof/>
                <w:sz w:val="16"/>
              </w:rPr>
              <w:t>675</w:t>
            </w:r>
          </w:p>
        </w:tc>
        <w:tc>
          <w:tcPr>
            <w:tcW w:w="954" w:type="dxa"/>
          </w:tcPr>
          <w:p w14:paraId="70661603"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191</w:t>
            </w:r>
            <w:r w:rsidRPr="00AE55F2">
              <w:rPr>
                <w:rFonts w:ascii="Times New Roman" w:hAnsi="Times New Roman"/>
                <w:noProof/>
                <w:sz w:val="16"/>
              </w:rPr>
              <w:t> </w:t>
            </w:r>
            <w:r w:rsidRPr="00B97A01">
              <w:rPr>
                <w:rFonts w:ascii="Times New Roman" w:hAnsi="Times New Roman"/>
                <w:noProof/>
                <w:sz w:val="16"/>
              </w:rPr>
              <w:t>193</w:t>
            </w:r>
          </w:p>
        </w:tc>
        <w:tc>
          <w:tcPr>
            <w:tcW w:w="939" w:type="dxa"/>
            <w:noWrap/>
            <w:hideMark/>
          </w:tcPr>
          <w:p w14:paraId="17676E86"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w:t>
            </w:r>
            <w:r w:rsidRPr="00AE55F2">
              <w:rPr>
                <w:rFonts w:ascii="Times New Roman" w:hAnsi="Times New Roman"/>
                <w:noProof/>
                <w:sz w:val="16"/>
              </w:rPr>
              <w:t> </w:t>
            </w:r>
            <w:r w:rsidRPr="00B97A01">
              <w:rPr>
                <w:rFonts w:ascii="Times New Roman" w:hAnsi="Times New Roman"/>
                <w:noProof/>
                <w:sz w:val="16"/>
              </w:rPr>
              <w:t>931</w:t>
            </w:r>
          </w:p>
        </w:tc>
        <w:tc>
          <w:tcPr>
            <w:tcW w:w="939" w:type="dxa"/>
            <w:noWrap/>
            <w:hideMark/>
          </w:tcPr>
          <w:p w14:paraId="7607C0DA"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1</w:t>
            </w:r>
            <w:r w:rsidRPr="00AE55F2">
              <w:rPr>
                <w:rFonts w:ascii="Times New Roman" w:hAnsi="Times New Roman"/>
                <w:noProof/>
                <w:sz w:val="16"/>
              </w:rPr>
              <w:t> %</w:t>
            </w:r>
          </w:p>
        </w:tc>
        <w:tc>
          <w:tcPr>
            <w:tcW w:w="973" w:type="dxa"/>
          </w:tcPr>
          <w:p w14:paraId="227E518D"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13</w:t>
            </w:r>
            <w:r w:rsidRPr="00AE55F2">
              <w:rPr>
                <w:rFonts w:ascii="Times New Roman" w:hAnsi="Times New Roman"/>
                <w:noProof/>
                <w:sz w:val="16"/>
              </w:rPr>
              <w:t> </w:t>
            </w:r>
            <w:r w:rsidRPr="00B97A01">
              <w:rPr>
                <w:rFonts w:ascii="Times New Roman" w:hAnsi="Times New Roman"/>
                <w:noProof/>
                <w:sz w:val="16"/>
              </w:rPr>
              <w:t>518</w:t>
            </w:r>
          </w:p>
        </w:tc>
        <w:tc>
          <w:tcPr>
            <w:tcW w:w="973" w:type="dxa"/>
          </w:tcPr>
          <w:p w14:paraId="630B467E"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18</w:t>
            </w:r>
            <w:r w:rsidRPr="00AE55F2">
              <w:rPr>
                <w:rFonts w:ascii="Times New Roman" w:hAnsi="Times New Roman"/>
                <w:noProof/>
                <w:sz w:val="16"/>
              </w:rPr>
              <w:t> </w:t>
            </w:r>
            <w:r w:rsidRPr="00B97A01">
              <w:rPr>
                <w:rFonts w:ascii="Times New Roman" w:hAnsi="Times New Roman"/>
                <w:noProof/>
                <w:sz w:val="16"/>
              </w:rPr>
              <w:t>096</w:t>
            </w:r>
          </w:p>
        </w:tc>
      </w:tr>
      <w:tr w:rsidR="00BB5FB1" w:rsidRPr="00AE55F2" w14:paraId="24CF7FAF" w14:textId="77777777">
        <w:trPr>
          <w:trHeight w:val="210"/>
        </w:trPr>
        <w:tc>
          <w:tcPr>
            <w:tcW w:w="988" w:type="dxa"/>
            <w:noWrap/>
            <w:hideMark/>
          </w:tcPr>
          <w:p w14:paraId="7E53C26A"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Trestie de zahăr</w:t>
            </w:r>
          </w:p>
        </w:tc>
        <w:tc>
          <w:tcPr>
            <w:tcW w:w="992" w:type="dxa"/>
            <w:noWrap/>
            <w:hideMark/>
          </w:tcPr>
          <w:p w14:paraId="6E566912"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w:t>
            </w:r>
            <w:r w:rsidRPr="00AE55F2">
              <w:rPr>
                <w:rFonts w:ascii="Times New Roman" w:hAnsi="Times New Roman"/>
                <w:noProof/>
                <w:sz w:val="16"/>
              </w:rPr>
              <w:t> </w:t>
            </w:r>
            <w:r w:rsidRPr="00B97A01">
              <w:rPr>
                <w:rFonts w:ascii="Times New Roman" w:hAnsi="Times New Roman"/>
                <w:noProof/>
                <w:sz w:val="16"/>
              </w:rPr>
              <w:t>885</w:t>
            </w:r>
            <w:r w:rsidRPr="00AE55F2">
              <w:rPr>
                <w:rFonts w:ascii="Times New Roman" w:hAnsi="Times New Roman"/>
                <w:noProof/>
                <w:sz w:val="16"/>
              </w:rPr>
              <w:t> </w:t>
            </w:r>
            <w:r w:rsidRPr="00B97A01">
              <w:rPr>
                <w:rFonts w:ascii="Times New Roman" w:hAnsi="Times New Roman"/>
                <w:noProof/>
                <w:sz w:val="16"/>
              </w:rPr>
              <w:t>079</w:t>
            </w:r>
          </w:p>
        </w:tc>
        <w:tc>
          <w:tcPr>
            <w:tcW w:w="1276" w:type="dxa"/>
            <w:noWrap/>
            <w:hideMark/>
          </w:tcPr>
          <w:p w14:paraId="0409CE74"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2</w:t>
            </w:r>
            <w:r w:rsidRPr="00AE55F2">
              <w:rPr>
                <w:rFonts w:ascii="Times New Roman" w:hAnsi="Times New Roman"/>
                <w:noProof/>
                <w:sz w:val="16"/>
              </w:rPr>
              <w:t> %</w:t>
            </w:r>
          </w:p>
        </w:tc>
        <w:tc>
          <w:tcPr>
            <w:tcW w:w="992" w:type="dxa"/>
            <w:noWrap/>
            <w:hideMark/>
          </w:tcPr>
          <w:p w14:paraId="0741F5CF"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27</w:t>
            </w:r>
            <w:r w:rsidRPr="00AE55F2">
              <w:rPr>
                <w:rFonts w:ascii="Times New Roman" w:hAnsi="Times New Roman"/>
                <w:noProof/>
                <w:sz w:val="16"/>
              </w:rPr>
              <w:t> </w:t>
            </w:r>
            <w:r w:rsidRPr="00B97A01">
              <w:rPr>
                <w:rFonts w:ascii="Times New Roman" w:hAnsi="Times New Roman"/>
                <w:noProof/>
                <w:sz w:val="16"/>
              </w:rPr>
              <w:t>069</w:t>
            </w:r>
          </w:p>
        </w:tc>
        <w:tc>
          <w:tcPr>
            <w:tcW w:w="954" w:type="dxa"/>
          </w:tcPr>
          <w:p w14:paraId="087FCC7C"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26</w:t>
            </w:r>
            <w:r w:rsidRPr="00AE55F2">
              <w:rPr>
                <w:rFonts w:ascii="Times New Roman" w:hAnsi="Times New Roman"/>
                <w:noProof/>
                <w:sz w:val="16"/>
              </w:rPr>
              <w:t> </w:t>
            </w:r>
            <w:r w:rsidRPr="00B97A01">
              <w:rPr>
                <w:rFonts w:ascii="Times New Roman" w:hAnsi="Times New Roman"/>
                <w:noProof/>
                <w:sz w:val="16"/>
              </w:rPr>
              <w:t>350</w:t>
            </w:r>
          </w:p>
        </w:tc>
        <w:tc>
          <w:tcPr>
            <w:tcW w:w="939" w:type="dxa"/>
            <w:noWrap/>
            <w:hideMark/>
          </w:tcPr>
          <w:p w14:paraId="29D4730F"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103</w:t>
            </w:r>
          </w:p>
        </w:tc>
        <w:tc>
          <w:tcPr>
            <w:tcW w:w="939" w:type="dxa"/>
            <w:noWrap/>
            <w:hideMark/>
          </w:tcPr>
          <w:p w14:paraId="564EE143"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4</w:t>
            </w:r>
            <w:r w:rsidRPr="00AE55F2">
              <w:rPr>
                <w:rFonts w:ascii="Times New Roman" w:hAnsi="Times New Roman"/>
                <w:noProof/>
                <w:sz w:val="16"/>
              </w:rPr>
              <w:t> %</w:t>
            </w:r>
          </w:p>
        </w:tc>
        <w:tc>
          <w:tcPr>
            <w:tcW w:w="973" w:type="dxa"/>
          </w:tcPr>
          <w:p w14:paraId="2B24A6E0"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720</w:t>
            </w:r>
          </w:p>
        </w:tc>
        <w:tc>
          <w:tcPr>
            <w:tcW w:w="973" w:type="dxa"/>
          </w:tcPr>
          <w:p w14:paraId="3822A98E"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976</w:t>
            </w:r>
          </w:p>
        </w:tc>
      </w:tr>
      <w:tr w:rsidR="00BB5FB1" w:rsidRPr="00AE55F2" w14:paraId="2E6BDCE6" w14:textId="77777777">
        <w:trPr>
          <w:trHeight w:val="210"/>
        </w:trPr>
        <w:tc>
          <w:tcPr>
            <w:tcW w:w="988" w:type="dxa"/>
            <w:noWrap/>
            <w:hideMark/>
          </w:tcPr>
          <w:p w14:paraId="476220E9"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Sfeclă de zahăr</w:t>
            </w:r>
          </w:p>
        </w:tc>
        <w:tc>
          <w:tcPr>
            <w:tcW w:w="992" w:type="dxa"/>
            <w:noWrap/>
            <w:hideMark/>
          </w:tcPr>
          <w:p w14:paraId="1A95574C"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270</w:t>
            </w:r>
            <w:r w:rsidRPr="00AE55F2">
              <w:rPr>
                <w:rFonts w:ascii="Times New Roman" w:hAnsi="Times New Roman"/>
                <w:noProof/>
                <w:sz w:val="16"/>
              </w:rPr>
              <w:t> </w:t>
            </w:r>
            <w:r w:rsidRPr="00B97A01">
              <w:rPr>
                <w:rFonts w:ascii="Times New Roman" w:hAnsi="Times New Roman"/>
                <w:noProof/>
                <w:sz w:val="16"/>
              </w:rPr>
              <w:t>250</w:t>
            </w:r>
          </w:p>
        </w:tc>
        <w:tc>
          <w:tcPr>
            <w:tcW w:w="1276" w:type="dxa"/>
            <w:noWrap/>
            <w:hideMark/>
          </w:tcPr>
          <w:p w14:paraId="6E42D17A"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w:t>
            </w:r>
          </w:p>
        </w:tc>
        <w:tc>
          <w:tcPr>
            <w:tcW w:w="992" w:type="dxa"/>
            <w:noWrap/>
            <w:hideMark/>
          </w:tcPr>
          <w:p w14:paraId="146B317B"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4</w:t>
            </w:r>
            <w:r w:rsidRPr="00AE55F2">
              <w:rPr>
                <w:rFonts w:ascii="Times New Roman" w:hAnsi="Times New Roman"/>
                <w:noProof/>
                <w:sz w:val="16"/>
              </w:rPr>
              <w:t> </w:t>
            </w:r>
            <w:r w:rsidRPr="00B97A01">
              <w:rPr>
                <w:rFonts w:ascii="Times New Roman" w:hAnsi="Times New Roman"/>
                <w:noProof/>
                <w:sz w:val="16"/>
              </w:rPr>
              <w:t>469</w:t>
            </w:r>
          </w:p>
        </w:tc>
        <w:tc>
          <w:tcPr>
            <w:tcW w:w="954" w:type="dxa"/>
          </w:tcPr>
          <w:p w14:paraId="6F55EE68"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4</w:t>
            </w:r>
            <w:r w:rsidRPr="00AE55F2">
              <w:rPr>
                <w:rFonts w:ascii="Times New Roman" w:hAnsi="Times New Roman"/>
                <w:noProof/>
                <w:sz w:val="16"/>
              </w:rPr>
              <w:t> </w:t>
            </w:r>
            <w:r w:rsidRPr="00B97A01">
              <w:rPr>
                <w:rFonts w:ascii="Times New Roman" w:hAnsi="Times New Roman"/>
                <w:noProof/>
                <w:sz w:val="16"/>
              </w:rPr>
              <w:t>399</w:t>
            </w:r>
          </w:p>
        </w:tc>
        <w:tc>
          <w:tcPr>
            <w:tcW w:w="939" w:type="dxa"/>
            <w:noWrap/>
            <w:hideMark/>
          </w:tcPr>
          <w:p w14:paraId="4EA80ADC"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10</w:t>
            </w:r>
          </w:p>
        </w:tc>
        <w:tc>
          <w:tcPr>
            <w:tcW w:w="939" w:type="dxa"/>
            <w:noWrap/>
            <w:hideMark/>
          </w:tcPr>
          <w:p w14:paraId="1FB57629"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2</w:t>
            </w:r>
            <w:r w:rsidRPr="00AE55F2">
              <w:rPr>
                <w:rFonts w:ascii="Times New Roman" w:hAnsi="Times New Roman"/>
                <w:noProof/>
                <w:sz w:val="16"/>
              </w:rPr>
              <w:t> %</w:t>
            </w:r>
          </w:p>
        </w:tc>
        <w:tc>
          <w:tcPr>
            <w:tcW w:w="973" w:type="dxa"/>
          </w:tcPr>
          <w:p w14:paraId="0F82CD60"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70</w:t>
            </w:r>
          </w:p>
        </w:tc>
        <w:tc>
          <w:tcPr>
            <w:tcW w:w="973" w:type="dxa"/>
          </w:tcPr>
          <w:p w14:paraId="280DA47B"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313</w:t>
            </w:r>
          </w:p>
        </w:tc>
      </w:tr>
      <w:tr w:rsidR="00BB5FB1" w:rsidRPr="00AE55F2" w14:paraId="6384DE31" w14:textId="77777777">
        <w:trPr>
          <w:trHeight w:val="210"/>
        </w:trPr>
        <w:tc>
          <w:tcPr>
            <w:tcW w:w="988" w:type="dxa"/>
            <w:noWrap/>
            <w:hideMark/>
          </w:tcPr>
          <w:p w14:paraId="7B0631B4"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Rapiță</w:t>
            </w:r>
          </w:p>
        </w:tc>
        <w:tc>
          <w:tcPr>
            <w:tcW w:w="992" w:type="dxa"/>
            <w:noWrap/>
            <w:hideMark/>
          </w:tcPr>
          <w:p w14:paraId="37ADB18A"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74</w:t>
            </w:r>
            <w:r w:rsidRPr="00AE55F2">
              <w:rPr>
                <w:rFonts w:ascii="Times New Roman" w:hAnsi="Times New Roman"/>
                <w:noProof/>
                <w:sz w:val="16"/>
              </w:rPr>
              <w:t> </w:t>
            </w:r>
            <w:r w:rsidRPr="00B97A01">
              <w:rPr>
                <w:rFonts w:ascii="Times New Roman" w:hAnsi="Times New Roman"/>
                <w:noProof/>
                <w:sz w:val="16"/>
              </w:rPr>
              <w:t>509</w:t>
            </w:r>
          </w:p>
        </w:tc>
        <w:tc>
          <w:tcPr>
            <w:tcW w:w="1276" w:type="dxa"/>
            <w:noWrap/>
            <w:hideMark/>
          </w:tcPr>
          <w:p w14:paraId="1D80CB62"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6</w:t>
            </w:r>
            <w:r w:rsidRPr="00AE55F2">
              <w:rPr>
                <w:rFonts w:ascii="Times New Roman" w:hAnsi="Times New Roman"/>
                <w:noProof/>
                <w:sz w:val="16"/>
              </w:rPr>
              <w:t> %</w:t>
            </w:r>
          </w:p>
        </w:tc>
        <w:tc>
          <w:tcPr>
            <w:tcW w:w="992" w:type="dxa"/>
            <w:noWrap/>
            <w:hideMark/>
          </w:tcPr>
          <w:p w14:paraId="710736AE"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36</w:t>
            </w:r>
            <w:r w:rsidRPr="00AE55F2">
              <w:rPr>
                <w:rFonts w:ascii="Times New Roman" w:hAnsi="Times New Roman"/>
                <w:noProof/>
                <w:sz w:val="16"/>
              </w:rPr>
              <w:t> </w:t>
            </w:r>
            <w:r w:rsidRPr="00B97A01">
              <w:rPr>
                <w:rFonts w:ascii="Times New Roman" w:hAnsi="Times New Roman"/>
                <w:noProof/>
                <w:sz w:val="16"/>
              </w:rPr>
              <w:t>460</w:t>
            </w:r>
          </w:p>
        </w:tc>
        <w:tc>
          <w:tcPr>
            <w:tcW w:w="954" w:type="dxa"/>
          </w:tcPr>
          <w:p w14:paraId="3CC9A760"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36</w:t>
            </w:r>
            <w:r w:rsidRPr="00AE55F2">
              <w:rPr>
                <w:rFonts w:ascii="Times New Roman" w:hAnsi="Times New Roman"/>
                <w:noProof/>
                <w:sz w:val="16"/>
              </w:rPr>
              <w:t> </w:t>
            </w:r>
            <w:r w:rsidRPr="00B97A01">
              <w:rPr>
                <w:rFonts w:ascii="Times New Roman" w:hAnsi="Times New Roman"/>
                <w:noProof/>
                <w:sz w:val="16"/>
              </w:rPr>
              <w:t>774</w:t>
            </w:r>
          </w:p>
        </w:tc>
        <w:tc>
          <w:tcPr>
            <w:tcW w:w="939" w:type="dxa"/>
            <w:noWrap/>
            <w:hideMark/>
          </w:tcPr>
          <w:p w14:paraId="1F26D296"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45</w:t>
            </w:r>
          </w:p>
        </w:tc>
        <w:tc>
          <w:tcPr>
            <w:tcW w:w="939" w:type="dxa"/>
            <w:noWrap/>
            <w:hideMark/>
          </w:tcPr>
          <w:p w14:paraId="2F698DA0"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1</w:t>
            </w:r>
            <w:r w:rsidRPr="00AE55F2">
              <w:rPr>
                <w:rFonts w:ascii="Times New Roman" w:hAnsi="Times New Roman"/>
                <w:noProof/>
                <w:sz w:val="16"/>
              </w:rPr>
              <w:t> %</w:t>
            </w:r>
          </w:p>
        </w:tc>
        <w:tc>
          <w:tcPr>
            <w:tcW w:w="973" w:type="dxa"/>
          </w:tcPr>
          <w:p w14:paraId="7F6AF163"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313</w:t>
            </w:r>
          </w:p>
        </w:tc>
        <w:tc>
          <w:tcPr>
            <w:tcW w:w="973" w:type="dxa"/>
          </w:tcPr>
          <w:p w14:paraId="44BB60FF"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3</w:t>
            </w:r>
            <w:r w:rsidRPr="00AE55F2">
              <w:rPr>
                <w:rFonts w:ascii="Times New Roman" w:hAnsi="Times New Roman"/>
                <w:noProof/>
                <w:sz w:val="16"/>
              </w:rPr>
              <w:t> </w:t>
            </w:r>
            <w:r w:rsidRPr="00B97A01">
              <w:rPr>
                <w:rFonts w:ascii="Times New Roman" w:hAnsi="Times New Roman"/>
                <w:noProof/>
                <w:sz w:val="16"/>
              </w:rPr>
              <w:t>494</w:t>
            </w:r>
          </w:p>
        </w:tc>
      </w:tr>
      <w:tr w:rsidR="00BB5FB1" w:rsidRPr="00AE55F2" w14:paraId="519532B4" w14:textId="77777777">
        <w:trPr>
          <w:trHeight w:val="200"/>
        </w:trPr>
        <w:tc>
          <w:tcPr>
            <w:tcW w:w="988" w:type="dxa"/>
            <w:noWrap/>
            <w:hideMark/>
          </w:tcPr>
          <w:p w14:paraId="7B4CE98B"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Palmier de ulei</w:t>
            </w:r>
          </w:p>
        </w:tc>
        <w:tc>
          <w:tcPr>
            <w:tcW w:w="992" w:type="dxa"/>
            <w:noWrap/>
            <w:hideMark/>
          </w:tcPr>
          <w:p w14:paraId="50A88157"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327</w:t>
            </w:r>
            <w:r w:rsidRPr="00AE55F2">
              <w:rPr>
                <w:rFonts w:ascii="Times New Roman" w:hAnsi="Times New Roman"/>
                <w:noProof/>
                <w:sz w:val="16"/>
              </w:rPr>
              <w:t> </w:t>
            </w:r>
            <w:r w:rsidRPr="00B97A01">
              <w:rPr>
                <w:rFonts w:ascii="Times New Roman" w:hAnsi="Times New Roman"/>
                <w:noProof/>
                <w:sz w:val="16"/>
              </w:rPr>
              <w:t>489</w:t>
            </w:r>
          </w:p>
        </w:tc>
        <w:tc>
          <w:tcPr>
            <w:tcW w:w="1276" w:type="dxa"/>
            <w:noWrap/>
            <w:hideMark/>
          </w:tcPr>
          <w:p w14:paraId="6B76CC95"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3</w:t>
            </w:r>
            <w:r w:rsidRPr="00AE55F2">
              <w:rPr>
                <w:rFonts w:ascii="Times New Roman" w:hAnsi="Times New Roman"/>
                <w:noProof/>
                <w:sz w:val="16"/>
              </w:rPr>
              <w:t>,</w:t>
            </w:r>
            <w:r w:rsidRPr="00B97A01">
              <w:rPr>
                <w:rFonts w:ascii="Times New Roman" w:hAnsi="Times New Roman"/>
                <w:noProof/>
                <w:sz w:val="16"/>
              </w:rPr>
              <w:t>5</w:t>
            </w:r>
            <w:r w:rsidRPr="00AE55F2">
              <w:rPr>
                <w:rFonts w:ascii="Times New Roman" w:hAnsi="Times New Roman"/>
                <w:noProof/>
                <w:sz w:val="16"/>
              </w:rPr>
              <w:t> %</w:t>
            </w:r>
          </w:p>
        </w:tc>
        <w:tc>
          <w:tcPr>
            <w:tcW w:w="992" w:type="dxa"/>
            <w:noWrap/>
            <w:hideMark/>
          </w:tcPr>
          <w:p w14:paraId="47935223"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22</w:t>
            </w:r>
            <w:r w:rsidRPr="00AE55F2">
              <w:rPr>
                <w:rFonts w:ascii="Times New Roman" w:hAnsi="Times New Roman"/>
                <w:noProof/>
                <w:sz w:val="16"/>
              </w:rPr>
              <w:t> </w:t>
            </w:r>
            <w:r w:rsidRPr="00B97A01">
              <w:rPr>
                <w:rFonts w:ascii="Times New Roman" w:hAnsi="Times New Roman"/>
                <w:noProof/>
                <w:sz w:val="16"/>
              </w:rPr>
              <w:t>971</w:t>
            </w:r>
          </w:p>
        </w:tc>
        <w:tc>
          <w:tcPr>
            <w:tcW w:w="954" w:type="dxa"/>
          </w:tcPr>
          <w:p w14:paraId="79C2D2AA"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29</w:t>
            </w:r>
            <w:r w:rsidRPr="00AE55F2">
              <w:rPr>
                <w:rFonts w:ascii="Times New Roman" w:hAnsi="Times New Roman"/>
                <w:noProof/>
                <w:sz w:val="16"/>
              </w:rPr>
              <w:t> </w:t>
            </w:r>
            <w:r w:rsidRPr="00B97A01">
              <w:rPr>
                <w:rFonts w:ascii="Times New Roman" w:hAnsi="Times New Roman"/>
                <w:noProof/>
                <w:sz w:val="16"/>
              </w:rPr>
              <w:t>124</w:t>
            </w:r>
          </w:p>
        </w:tc>
        <w:tc>
          <w:tcPr>
            <w:tcW w:w="939" w:type="dxa"/>
            <w:noWrap/>
            <w:hideMark/>
          </w:tcPr>
          <w:p w14:paraId="4218CEAD"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879</w:t>
            </w:r>
          </w:p>
        </w:tc>
        <w:tc>
          <w:tcPr>
            <w:tcW w:w="939" w:type="dxa"/>
            <w:noWrap/>
            <w:hideMark/>
          </w:tcPr>
          <w:p w14:paraId="4CBD93B2"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3</w:t>
            </w:r>
            <w:r w:rsidRPr="00AE55F2">
              <w:rPr>
                <w:rFonts w:ascii="Times New Roman" w:hAnsi="Times New Roman"/>
                <w:noProof/>
                <w:sz w:val="16"/>
              </w:rPr>
              <w:t>,</w:t>
            </w:r>
            <w:r w:rsidRPr="00B97A01">
              <w:rPr>
                <w:rFonts w:ascii="Times New Roman" w:hAnsi="Times New Roman"/>
                <w:noProof/>
                <w:sz w:val="16"/>
              </w:rPr>
              <w:t>4</w:t>
            </w:r>
            <w:r w:rsidRPr="00AE55F2">
              <w:rPr>
                <w:rFonts w:ascii="Times New Roman" w:hAnsi="Times New Roman"/>
                <w:noProof/>
                <w:sz w:val="16"/>
              </w:rPr>
              <w:t> %</w:t>
            </w:r>
          </w:p>
        </w:tc>
        <w:tc>
          <w:tcPr>
            <w:tcW w:w="973" w:type="dxa"/>
          </w:tcPr>
          <w:p w14:paraId="1FD7ED21"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6</w:t>
            </w:r>
            <w:r w:rsidRPr="00AE55F2">
              <w:rPr>
                <w:rFonts w:ascii="Times New Roman" w:hAnsi="Times New Roman"/>
                <w:noProof/>
                <w:sz w:val="16"/>
              </w:rPr>
              <w:t> </w:t>
            </w:r>
            <w:r w:rsidRPr="00B97A01">
              <w:rPr>
                <w:rFonts w:ascii="Times New Roman" w:hAnsi="Times New Roman"/>
                <w:noProof/>
                <w:sz w:val="16"/>
              </w:rPr>
              <w:t>153</w:t>
            </w:r>
          </w:p>
        </w:tc>
        <w:tc>
          <w:tcPr>
            <w:tcW w:w="973" w:type="dxa"/>
          </w:tcPr>
          <w:p w14:paraId="39B0E02F"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7</w:t>
            </w:r>
            <w:r w:rsidRPr="00AE55F2">
              <w:rPr>
                <w:rFonts w:ascii="Times New Roman" w:hAnsi="Times New Roman"/>
                <w:noProof/>
                <w:sz w:val="16"/>
              </w:rPr>
              <w:t> </w:t>
            </w:r>
            <w:r w:rsidRPr="00B97A01">
              <w:rPr>
                <w:rFonts w:ascii="Times New Roman" w:hAnsi="Times New Roman"/>
                <w:noProof/>
                <w:sz w:val="16"/>
              </w:rPr>
              <w:t>244</w:t>
            </w:r>
          </w:p>
        </w:tc>
      </w:tr>
      <w:tr w:rsidR="00BB5FB1" w:rsidRPr="00AE55F2" w14:paraId="6FDE7C63" w14:textId="77777777">
        <w:trPr>
          <w:trHeight w:val="200"/>
        </w:trPr>
        <w:tc>
          <w:tcPr>
            <w:tcW w:w="988" w:type="dxa"/>
            <w:noWrap/>
            <w:hideMark/>
          </w:tcPr>
          <w:p w14:paraId="63C7161B"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Boabe de soia</w:t>
            </w:r>
          </w:p>
        </w:tc>
        <w:tc>
          <w:tcPr>
            <w:tcW w:w="992" w:type="dxa"/>
            <w:noWrap/>
            <w:hideMark/>
          </w:tcPr>
          <w:p w14:paraId="67A7E72B"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306</w:t>
            </w:r>
            <w:r w:rsidRPr="00AE55F2">
              <w:rPr>
                <w:rFonts w:ascii="Times New Roman" w:hAnsi="Times New Roman"/>
                <w:noProof/>
                <w:sz w:val="16"/>
              </w:rPr>
              <w:t> </w:t>
            </w:r>
            <w:r w:rsidRPr="00B97A01">
              <w:rPr>
                <w:rFonts w:ascii="Times New Roman" w:hAnsi="Times New Roman"/>
                <w:noProof/>
                <w:sz w:val="16"/>
              </w:rPr>
              <w:t>301</w:t>
            </w:r>
          </w:p>
        </w:tc>
        <w:tc>
          <w:tcPr>
            <w:tcW w:w="1276" w:type="dxa"/>
            <w:noWrap/>
            <w:hideMark/>
          </w:tcPr>
          <w:p w14:paraId="2F5C42E6"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w:t>
            </w:r>
            <w:r w:rsidRPr="00AE55F2">
              <w:rPr>
                <w:rFonts w:ascii="Times New Roman" w:hAnsi="Times New Roman"/>
                <w:noProof/>
                <w:sz w:val="16"/>
              </w:rPr>
              <w:t>,</w:t>
            </w:r>
            <w:r w:rsidRPr="00B97A01">
              <w:rPr>
                <w:rFonts w:ascii="Times New Roman" w:hAnsi="Times New Roman"/>
                <w:noProof/>
                <w:sz w:val="16"/>
              </w:rPr>
              <w:t>8</w:t>
            </w:r>
            <w:r w:rsidRPr="00AE55F2">
              <w:rPr>
                <w:rFonts w:ascii="Times New Roman" w:hAnsi="Times New Roman"/>
                <w:noProof/>
                <w:sz w:val="16"/>
              </w:rPr>
              <w:t> %</w:t>
            </w:r>
          </w:p>
        </w:tc>
        <w:tc>
          <w:tcPr>
            <w:tcW w:w="992" w:type="dxa"/>
            <w:noWrap/>
            <w:hideMark/>
          </w:tcPr>
          <w:p w14:paraId="017F4913"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117</w:t>
            </w:r>
            <w:r w:rsidRPr="00AE55F2">
              <w:rPr>
                <w:rFonts w:ascii="Times New Roman" w:hAnsi="Times New Roman"/>
                <w:noProof/>
                <w:sz w:val="16"/>
              </w:rPr>
              <w:t> </w:t>
            </w:r>
            <w:r w:rsidRPr="00B97A01">
              <w:rPr>
                <w:rFonts w:ascii="Times New Roman" w:hAnsi="Times New Roman"/>
                <w:noProof/>
                <w:sz w:val="16"/>
              </w:rPr>
              <w:t>633</w:t>
            </w:r>
          </w:p>
        </w:tc>
        <w:tc>
          <w:tcPr>
            <w:tcW w:w="954" w:type="dxa"/>
          </w:tcPr>
          <w:p w14:paraId="0B231760"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128</w:t>
            </w:r>
            <w:r w:rsidRPr="00AE55F2">
              <w:rPr>
                <w:rFonts w:ascii="Times New Roman" w:hAnsi="Times New Roman"/>
                <w:noProof/>
                <w:sz w:val="16"/>
              </w:rPr>
              <w:t> </w:t>
            </w:r>
            <w:r w:rsidRPr="00B97A01">
              <w:rPr>
                <w:rFonts w:ascii="Times New Roman" w:hAnsi="Times New Roman"/>
                <w:noProof/>
                <w:sz w:val="16"/>
              </w:rPr>
              <w:t>886</w:t>
            </w:r>
          </w:p>
        </w:tc>
        <w:tc>
          <w:tcPr>
            <w:tcW w:w="939" w:type="dxa"/>
            <w:noWrap/>
            <w:hideMark/>
          </w:tcPr>
          <w:p w14:paraId="5C447D90"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w:t>
            </w:r>
            <w:r w:rsidRPr="00AE55F2">
              <w:rPr>
                <w:rFonts w:ascii="Times New Roman" w:hAnsi="Times New Roman"/>
                <w:noProof/>
                <w:sz w:val="16"/>
              </w:rPr>
              <w:t> </w:t>
            </w:r>
            <w:r w:rsidRPr="00B97A01">
              <w:rPr>
                <w:rFonts w:ascii="Times New Roman" w:hAnsi="Times New Roman"/>
                <w:noProof/>
                <w:sz w:val="16"/>
              </w:rPr>
              <w:t>608</w:t>
            </w:r>
          </w:p>
        </w:tc>
        <w:tc>
          <w:tcPr>
            <w:tcW w:w="939" w:type="dxa"/>
            <w:noWrap/>
            <w:hideMark/>
          </w:tcPr>
          <w:p w14:paraId="4A91F1CA"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3</w:t>
            </w:r>
            <w:r w:rsidRPr="00AE55F2">
              <w:rPr>
                <w:rFonts w:ascii="Times New Roman" w:hAnsi="Times New Roman"/>
                <w:noProof/>
                <w:sz w:val="16"/>
              </w:rPr>
              <w:t> %</w:t>
            </w:r>
          </w:p>
        </w:tc>
        <w:tc>
          <w:tcPr>
            <w:tcW w:w="973" w:type="dxa"/>
          </w:tcPr>
          <w:p w14:paraId="5BF5A6E7"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11</w:t>
            </w:r>
            <w:r w:rsidRPr="00AE55F2">
              <w:rPr>
                <w:rFonts w:ascii="Times New Roman" w:hAnsi="Times New Roman"/>
                <w:noProof/>
                <w:sz w:val="16"/>
              </w:rPr>
              <w:t> </w:t>
            </w:r>
            <w:r w:rsidRPr="00B97A01">
              <w:rPr>
                <w:rFonts w:ascii="Times New Roman" w:hAnsi="Times New Roman"/>
                <w:noProof/>
                <w:sz w:val="16"/>
              </w:rPr>
              <w:t>253</w:t>
            </w:r>
          </w:p>
        </w:tc>
        <w:tc>
          <w:tcPr>
            <w:tcW w:w="973" w:type="dxa"/>
          </w:tcPr>
          <w:p w14:paraId="7A10C18F"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14</w:t>
            </w:r>
            <w:r w:rsidRPr="00AE55F2">
              <w:rPr>
                <w:rFonts w:ascii="Times New Roman" w:hAnsi="Times New Roman"/>
                <w:noProof/>
                <w:sz w:val="16"/>
              </w:rPr>
              <w:t> </w:t>
            </w:r>
            <w:r w:rsidRPr="00B97A01">
              <w:rPr>
                <w:rFonts w:ascii="Times New Roman" w:hAnsi="Times New Roman"/>
                <w:noProof/>
                <w:sz w:val="16"/>
              </w:rPr>
              <w:t>486</w:t>
            </w:r>
          </w:p>
        </w:tc>
      </w:tr>
      <w:tr w:rsidR="00BB5FB1" w:rsidRPr="00AE55F2" w14:paraId="32B97A73" w14:textId="77777777">
        <w:trPr>
          <w:trHeight w:val="200"/>
        </w:trPr>
        <w:tc>
          <w:tcPr>
            <w:tcW w:w="988" w:type="dxa"/>
            <w:noWrap/>
            <w:hideMark/>
          </w:tcPr>
          <w:p w14:paraId="4556E278" w14:textId="77777777" w:rsidR="00BB5FB1" w:rsidRPr="00AE55F2" w:rsidRDefault="00BB5FB1">
            <w:pPr>
              <w:pStyle w:val="BodyText"/>
              <w:spacing w:after="0"/>
              <w:jc w:val="center"/>
              <w:rPr>
                <w:rFonts w:ascii="Times New Roman" w:hAnsi="Times New Roman"/>
                <w:noProof/>
                <w:sz w:val="16"/>
                <w:szCs w:val="14"/>
              </w:rPr>
            </w:pPr>
            <w:r w:rsidRPr="00AE55F2">
              <w:rPr>
                <w:rFonts w:ascii="Times New Roman" w:hAnsi="Times New Roman"/>
                <w:noProof/>
                <w:sz w:val="16"/>
              </w:rPr>
              <w:t>Semințe de floarea-soarelui</w:t>
            </w:r>
          </w:p>
        </w:tc>
        <w:tc>
          <w:tcPr>
            <w:tcW w:w="992" w:type="dxa"/>
            <w:noWrap/>
            <w:hideMark/>
          </w:tcPr>
          <w:p w14:paraId="313ADCDA"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40</w:t>
            </w:r>
            <w:r w:rsidRPr="00AE55F2">
              <w:rPr>
                <w:rFonts w:ascii="Times New Roman" w:hAnsi="Times New Roman"/>
                <w:noProof/>
                <w:sz w:val="16"/>
              </w:rPr>
              <w:t> </w:t>
            </w:r>
            <w:r w:rsidRPr="00B97A01">
              <w:rPr>
                <w:rFonts w:ascii="Times New Roman" w:hAnsi="Times New Roman"/>
                <w:noProof/>
                <w:sz w:val="16"/>
              </w:rPr>
              <w:t>613</w:t>
            </w:r>
          </w:p>
        </w:tc>
        <w:tc>
          <w:tcPr>
            <w:tcW w:w="1276" w:type="dxa"/>
            <w:noWrap/>
            <w:hideMark/>
          </w:tcPr>
          <w:p w14:paraId="3A376712"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5</w:t>
            </w:r>
            <w:r w:rsidRPr="00AE55F2">
              <w:rPr>
                <w:rFonts w:ascii="Times New Roman" w:hAnsi="Times New Roman"/>
                <w:noProof/>
                <w:sz w:val="16"/>
              </w:rPr>
              <w:t>,</w:t>
            </w:r>
            <w:r w:rsidRPr="00B97A01">
              <w:rPr>
                <w:rFonts w:ascii="Times New Roman" w:hAnsi="Times New Roman"/>
                <w:noProof/>
                <w:sz w:val="16"/>
              </w:rPr>
              <w:t>3</w:t>
            </w:r>
            <w:r w:rsidRPr="00AE55F2">
              <w:rPr>
                <w:rFonts w:ascii="Times New Roman" w:hAnsi="Times New Roman"/>
                <w:noProof/>
                <w:sz w:val="16"/>
              </w:rPr>
              <w:t> %</w:t>
            </w:r>
          </w:p>
        </w:tc>
        <w:tc>
          <w:tcPr>
            <w:tcW w:w="992" w:type="dxa"/>
            <w:noWrap/>
            <w:hideMark/>
          </w:tcPr>
          <w:p w14:paraId="7A79E923"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24</w:t>
            </w:r>
            <w:r w:rsidRPr="00AE55F2">
              <w:rPr>
                <w:rFonts w:ascii="Times New Roman" w:hAnsi="Times New Roman"/>
                <w:noProof/>
                <w:sz w:val="16"/>
              </w:rPr>
              <w:t> </w:t>
            </w:r>
            <w:r w:rsidRPr="00B97A01">
              <w:rPr>
                <w:rFonts w:ascii="Times New Roman" w:hAnsi="Times New Roman"/>
                <w:noProof/>
                <w:sz w:val="16"/>
              </w:rPr>
              <w:t>350</w:t>
            </w:r>
          </w:p>
        </w:tc>
        <w:tc>
          <w:tcPr>
            <w:tcW w:w="954" w:type="dxa"/>
          </w:tcPr>
          <w:p w14:paraId="31F1EE7C"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29</w:t>
            </w:r>
            <w:r w:rsidRPr="00AE55F2">
              <w:rPr>
                <w:rFonts w:ascii="Times New Roman" w:hAnsi="Times New Roman"/>
                <w:noProof/>
                <w:sz w:val="16"/>
              </w:rPr>
              <w:t> </w:t>
            </w:r>
            <w:r w:rsidRPr="00B97A01">
              <w:rPr>
                <w:rFonts w:ascii="Times New Roman" w:hAnsi="Times New Roman"/>
                <w:noProof/>
                <w:sz w:val="16"/>
              </w:rPr>
              <w:t>532</w:t>
            </w:r>
          </w:p>
        </w:tc>
        <w:tc>
          <w:tcPr>
            <w:tcW w:w="939" w:type="dxa"/>
            <w:noWrap/>
            <w:hideMark/>
          </w:tcPr>
          <w:p w14:paraId="2956CDCF"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740</w:t>
            </w:r>
          </w:p>
        </w:tc>
        <w:tc>
          <w:tcPr>
            <w:tcW w:w="939" w:type="dxa"/>
            <w:noWrap/>
            <w:hideMark/>
          </w:tcPr>
          <w:p w14:paraId="022251F9"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2</w:t>
            </w:r>
            <w:r w:rsidRPr="00AE55F2">
              <w:rPr>
                <w:rFonts w:ascii="Times New Roman" w:hAnsi="Times New Roman"/>
                <w:noProof/>
                <w:sz w:val="16"/>
              </w:rPr>
              <w:t>,</w:t>
            </w:r>
            <w:r w:rsidRPr="00B97A01">
              <w:rPr>
                <w:rFonts w:ascii="Times New Roman" w:hAnsi="Times New Roman"/>
                <w:noProof/>
                <w:sz w:val="16"/>
              </w:rPr>
              <w:t>8</w:t>
            </w:r>
            <w:r w:rsidRPr="00AE55F2">
              <w:rPr>
                <w:rFonts w:ascii="Times New Roman" w:hAnsi="Times New Roman"/>
                <w:noProof/>
                <w:sz w:val="16"/>
              </w:rPr>
              <w:t> %</w:t>
            </w:r>
          </w:p>
        </w:tc>
        <w:tc>
          <w:tcPr>
            <w:tcW w:w="973" w:type="dxa"/>
          </w:tcPr>
          <w:p w14:paraId="79AF73C7" w14:textId="77777777" w:rsidR="00BB5FB1" w:rsidRPr="00AE55F2" w:rsidRDefault="00BB5FB1">
            <w:pPr>
              <w:pStyle w:val="BodyText"/>
              <w:spacing w:after="0"/>
              <w:jc w:val="center"/>
              <w:rPr>
                <w:rFonts w:ascii="Times New Roman" w:hAnsi="Times New Roman"/>
                <w:noProof/>
                <w:sz w:val="16"/>
                <w:szCs w:val="14"/>
              </w:rPr>
            </w:pPr>
            <w:r w:rsidRPr="00B97A01">
              <w:rPr>
                <w:rFonts w:ascii="Times New Roman" w:hAnsi="Times New Roman"/>
                <w:noProof/>
                <w:sz w:val="16"/>
              </w:rPr>
              <w:t>5</w:t>
            </w:r>
            <w:r w:rsidRPr="00AE55F2">
              <w:rPr>
                <w:rFonts w:ascii="Times New Roman" w:hAnsi="Times New Roman"/>
                <w:noProof/>
                <w:sz w:val="16"/>
              </w:rPr>
              <w:t> </w:t>
            </w:r>
            <w:r w:rsidRPr="00B97A01">
              <w:rPr>
                <w:rFonts w:ascii="Times New Roman" w:hAnsi="Times New Roman"/>
                <w:noProof/>
                <w:sz w:val="16"/>
              </w:rPr>
              <w:t>182</w:t>
            </w:r>
          </w:p>
        </w:tc>
        <w:tc>
          <w:tcPr>
            <w:tcW w:w="973" w:type="dxa"/>
          </w:tcPr>
          <w:p w14:paraId="5AF98D95" w14:textId="77777777" w:rsidR="00BB5FB1" w:rsidRPr="00AE55F2" w:rsidRDefault="00BB5FB1">
            <w:pPr>
              <w:pStyle w:val="BodyText"/>
              <w:spacing w:after="0"/>
              <w:jc w:val="center"/>
              <w:rPr>
                <w:rFonts w:ascii="Times New Roman" w:hAnsi="Times New Roman"/>
                <w:noProof/>
                <w:sz w:val="16"/>
                <w:szCs w:val="16"/>
              </w:rPr>
            </w:pPr>
            <w:r w:rsidRPr="00B97A01">
              <w:rPr>
                <w:rFonts w:ascii="Times New Roman" w:hAnsi="Times New Roman"/>
                <w:noProof/>
                <w:sz w:val="16"/>
              </w:rPr>
              <w:t>5</w:t>
            </w:r>
            <w:r w:rsidRPr="00AE55F2">
              <w:rPr>
                <w:rFonts w:ascii="Times New Roman" w:hAnsi="Times New Roman"/>
                <w:noProof/>
                <w:sz w:val="16"/>
              </w:rPr>
              <w:t> </w:t>
            </w:r>
            <w:r w:rsidRPr="00B97A01">
              <w:rPr>
                <w:rFonts w:ascii="Times New Roman" w:hAnsi="Times New Roman"/>
                <w:noProof/>
                <w:sz w:val="16"/>
              </w:rPr>
              <w:t>893</w:t>
            </w:r>
          </w:p>
        </w:tc>
      </w:tr>
    </w:tbl>
    <w:p w14:paraId="047B79ED" w14:textId="68BDDF1A" w:rsidR="00361E3C" w:rsidRPr="00AE55F2" w:rsidRDefault="00361E3C" w:rsidP="00361E3C">
      <w:pPr>
        <w:pStyle w:val="NormalTimesNewRoman"/>
        <w:rPr>
          <w:noProof/>
          <w:sz w:val="20"/>
          <w:szCs w:val="20"/>
        </w:rPr>
      </w:pPr>
      <w:r w:rsidRPr="00AE55F2">
        <w:rPr>
          <w:i/>
          <w:noProof/>
          <w:sz w:val="20"/>
        </w:rPr>
        <w:t xml:space="preserve">Tabelul </w:t>
      </w:r>
      <w:r w:rsidRPr="00B97A01">
        <w:rPr>
          <w:i/>
          <w:noProof/>
          <w:sz w:val="20"/>
        </w:rPr>
        <w:t>1</w:t>
      </w:r>
      <w:r w:rsidRPr="00AE55F2">
        <w:rPr>
          <w:i/>
          <w:noProof/>
          <w:sz w:val="20"/>
        </w:rPr>
        <w:t xml:space="preserve">: Calcule Guidehouse pentru actualizarea tabelului privind expansiunea la nivel mondial a producției principalelor materii prime pentru biocombustibili, pe baza datelor furnizate de FAOstat, USDA FAS (CONAB, </w:t>
      </w:r>
      <w:r w:rsidRPr="00B97A01">
        <w:rPr>
          <w:i/>
          <w:noProof/>
          <w:sz w:val="20"/>
        </w:rPr>
        <w:t>2022</w:t>
      </w:r>
      <w:r w:rsidRPr="00AE55F2">
        <w:rPr>
          <w:i/>
          <w:noProof/>
          <w:sz w:val="20"/>
        </w:rPr>
        <w:t xml:space="preserve">) pentru porumb și boabe de soia în Brazilia, Statistics Indonesia (Statistics Indonesia, </w:t>
      </w:r>
      <w:r w:rsidRPr="00B97A01">
        <w:rPr>
          <w:i/>
          <w:noProof/>
          <w:sz w:val="20"/>
        </w:rPr>
        <w:t>2022</w:t>
      </w:r>
      <w:r w:rsidRPr="00AE55F2">
        <w:rPr>
          <w:i/>
          <w:noProof/>
          <w:sz w:val="20"/>
        </w:rPr>
        <w:t xml:space="preserve">) pentru fructele de palmier de ulei din Indonezia, MPOB (Malaysian Palm Oil Board, </w:t>
      </w:r>
      <w:r w:rsidRPr="00B97A01">
        <w:rPr>
          <w:i/>
          <w:noProof/>
          <w:sz w:val="20"/>
        </w:rPr>
        <w:t>2022</w:t>
      </w:r>
      <w:r w:rsidRPr="00AE55F2">
        <w:rPr>
          <w:i/>
          <w:noProof/>
          <w:sz w:val="20"/>
        </w:rPr>
        <w:t xml:space="preserve">) și Gunarso et al. (Gunarso, Hartoyo, Agus și Killeen, </w:t>
      </w:r>
      <w:r w:rsidRPr="00B97A01">
        <w:rPr>
          <w:i/>
          <w:noProof/>
          <w:sz w:val="20"/>
        </w:rPr>
        <w:t>2013</w:t>
      </w:r>
      <w:r w:rsidRPr="00AE55F2">
        <w:rPr>
          <w:i/>
          <w:noProof/>
          <w:sz w:val="20"/>
        </w:rPr>
        <w:t>) pentru fructele de palmier de ulei din Malaysia.</w:t>
      </w:r>
    </w:p>
    <w:p w14:paraId="2946DB82" w14:textId="5D8D5FF2" w:rsidR="0080046C" w:rsidRPr="00AE55F2" w:rsidRDefault="000A4298" w:rsidP="000A4298">
      <w:pPr>
        <w:pStyle w:val="NormalTimesNewRoman"/>
        <w:rPr>
          <w:noProof/>
        </w:rPr>
      </w:pPr>
      <w:r w:rsidRPr="00AE55F2">
        <w:rPr>
          <w:noProof/>
        </w:rPr>
        <w:t xml:space="preserve">Pe baza rezultatelor incluse în tabelul </w:t>
      </w:r>
      <w:r w:rsidRPr="00B97A01">
        <w:rPr>
          <w:noProof/>
        </w:rPr>
        <w:t>1</w:t>
      </w:r>
      <w:r w:rsidRPr="00AE55F2">
        <w:rPr>
          <w:noProof/>
        </w:rPr>
        <w:t>, cea mai mare creștere netă anuală a suprafeței recoltate</w:t>
      </w:r>
      <w:r w:rsidRPr="00AE55F2">
        <w:rPr>
          <w:rStyle w:val="FootnoteReference"/>
          <w:noProof/>
        </w:rPr>
        <w:footnoteReference w:id="18"/>
      </w:r>
      <w:r w:rsidRPr="00AE55F2">
        <w:rPr>
          <w:noProof/>
        </w:rPr>
        <w:t xml:space="preserve"> în perioada </w:t>
      </w:r>
      <w:r w:rsidRPr="00B97A01">
        <w:rPr>
          <w:noProof/>
        </w:rPr>
        <w:t>2014</w:t>
      </w:r>
      <w:r w:rsidRPr="00AE55F2">
        <w:rPr>
          <w:noProof/>
        </w:rPr>
        <w:t>-</w:t>
      </w:r>
      <w:r w:rsidRPr="00B97A01">
        <w:rPr>
          <w:noProof/>
        </w:rPr>
        <w:t>2021</w:t>
      </w:r>
      <w:r w:rsidRPr="00AE55F2">
        <w:rPr>
          <w:noProof/>
        </w:rPr>
        <w:t xml:space="preserve"> s-a observat în cazul palmierilor de ulei (</w:t>
      </w:r>
      <w:r w:rsidRPr="00B97A01">
        <w:rPr>
          <w:noProof/>
        </w:rPr>
        <w:t>3</w:t>
      </w:r>
      <w:r w:rsidRPr="00AE55F2">
        <w:rPr>
          <w:noProof/>
        </w:rPr>
        <w:t>,</w:t>
      </w:r>
      <w:r w:rsidRPr="00B97A01">
        <w:rPr>
          <w:noProof/>
        </w:rPr>
        <w:t>4</w:t>
      </w:r>
      <w:r w:rsidRPr="00AE55F2">
        <w:rPr>
          <w:noProof/>
        </w:rPr>
        <w:t> %), urmați de semințele de floarea-soarelui (</w:t>
      </w:r>
      <w:r w:rsidRPr="00B97A01">
        <w:rPr>
          <w:noProof/>
        </w:rPr>
        <w:t>2</w:t>
      </w:r>
      <w:r w:rsidRPr="00AE55F2">
        <w:rPr>
          <w:noProof/>
        </w:rPr>
        <w:t>,</w:t>
      </w:r>
      <w:r w:rsidRPr="00B97A01">
        <w:rPr>
          <w:noProof/>
        </w:rPr>
        <w:t>8</w:t>
      </w:r>
      <w:r w:rsidRPr="00AE55F2">
        <w:rPr>
          <w:noProof/>
        </w:rPr>
        <w:t> %). S-a observat o creștere și în cazul culturilor de boabe de soia (</w:t>
      </w:r>
      <w:r w:rsidRPr="00B97A01">
        <w:rPr>
          <w:noProof/>
        </w:rPr>
        <w:t>1</w:t>
      </w:r>
      <w:r w:rsidRPr="00AE55F2">
        <w:rPr>
          <w:noProof/>
        </w:rPr>
        <w:t>,</w:t>
      </w:r>
      <w:r w:rsidRPr="00B97A01">
        <w:rPr>
          <w:noProof/>
        </w:rPr>
        <w:t>3</w:t>
      </w:r>
      <w:r w:rsidRPr="00AE55F2">
        <w:rPr>
          <w:noProof/>
        </w:rPr>
        <w:t> %) și de porumb (</w:t>
      </w:r>
      <w:r w:rsidRPr="00B97A01">
        <w:rPr>
          <w:noProof/>
        </w:rPr>
        <w:t>1</w:t>
      </w:r>
      <w:r w:rsidRPr="00AE55F2">
        <w:rPr>
          <w:noProof/>
        </w:rPr>
        <w:t>,</w:t>
      </w:r>
      <w:r w:rsidRPr="00B97A01">
        <w:rPr>
          <w:noProof/>
        </w:rPr>
        <w:t>1</w:t>
      </w:r>
      <w:r w:rsidRPr="00AE55F2">
        <w:rPr>
          <w:noProof/>
        </w:rPr>
        <w:t xml:space="preserve"> %). În timp ce creșterea pentru grâu și rapiță a fost minimă (câte </w:t>
      </w:r>
      <w:r w:rsidRPr="00B97A01">
        <w:rPr>
          <w:noProof/>
        </w:rPr>
        <w:t>0</w:t>
      </w:r>
      <w:r w:rsidRPr="00AE55F2">
        <w:rPr>
          <w:noProof/>
        </w:rPr>
        <w:t>,</w:t>
      </w:r>
      <w:r w:rsidRPr="00B97A01">
        <w:rPr>
          <w:noProof/>
        </w:rPr>
        <w:t>1</w:t>
      </w:r>
      <w:r w:rsidRPr="00AE55F2">
        <w:rPr>
          <w:noProof/>
        </w:rPr>
        <w:t> %), trestia de zahăr și sfecla de zahăr sunt singurele culturi pentru care rezultatele indică valori negative (-</w:t>
      </w:r>
      <w:r w:rsidRPr="00B97A01">
        <w:rPr>
          <w:noProof/>
        </w:rPr>
        <w:t>0</w:t>
      </w:r>
      <w:r w:rsidRPr="00AE55F2">
        <w:rPr>
          <w:noProof/>
        </w:rPr>
        <w:t>,</w:t>
      </w:r>
      <w:r w:rsidRPr="00B97A01">
        <w:rPr>
          <w:noProof/>
        </w:rPr>
        <w:t>4</w:t>
      </w:r>
      <w:r w:rsidRPr="00AE55F2">
        <w:rPr>
          <w:noProof/>
        </w:rPr>
        <w:t> % și, respectiv, -</w:t>
      </w:r>
      <w:r w:rsidRPr="00B97A01">
        <w:rPr>
          <w:noProof/>
        </w:rPr>
        <w:t>0</w:t>
      </w:r>
      <w:r w:rsidRPr="00AE55F2">
        <w:rPr>
          <w:noProof/>
        </w:rPr>
        <w:t>,</w:t>
      </w:r>
      <w:r w:rsidRPr="00B97A01">
        <w:rPr>
          <w:noProof/>
        </w:rPr>
        <w:t>2</w:t>
      </w:r>
      <w:r w:rsidRPr="00AE55F2">
        <w:rPr>
          <w:noProof/>
        </w:rPr>
        <w:t xml:space="preserve"> %). </w:t>
      </w:r>
    </w:p>
    <w:p w14:paraId="649BF7FA" w14:textId="72C5FDDC" w:rsidR="007F2E51" w:rsidRPr="00AE55F2" w:rsidRDefault="00922ED6" w:rsidP="00FB170F">
      <w:pPr>
        <w:pStyle w:val="Style1"/>
        <w:rPr>
          <w:noProof/>
        </w:rPr>
      </w:pPr>
      <w:bookmarkStart w:id="6" w:name="_Toc109647469"/>
      <w:r w:rsidRPr="00AE55F2">
        <w:rPr>
          <w:noProof/>
        </w:rPr>
        <w:t>ACTUALIZAREA EVALUĂRII GIS PRIVIND CARTOGRAFIEREA GLOBALĂ ȘI A EVALUĂRII PRIVIND CARTOGRAFIEREA REGIONALĂ PENTRU A ESTIMA EXPANSIUNEA MATERIILOR PRIME ÎN DETRIMENTUL TERENURILOR CARE STOCHEAZĂ CANTITĂȚI RIDICATE DE CARBON</w:t>
      </w:r>
      <w:bookmarkEnd w:id="6"/>
      <w:r w:rsidRPr="00AE55F2">
        <w:rPr>
          <w:noProof/>
        </w:rPr>
        <w:t xml:space="preserve"> </w:t>
      </w:r>
    </w:p>
    <w:p w14:paraId="12735A43" w14:textId="77777777" w:rsidR="00415E00" w:rsidRPr="00AE55F2" w:rsidRDefault="00415E00" w:rsidP="007E484F">
      <w:pPr>
        <w:pStyle w:val="NormalTimesNewRoman"/>
        <w:rPr>
          <w:i/>
          <w:noProof/>
        </w:rPr>
      </w:pPr>
    </w:p>
    <w:p w14:paraId="23CBB6A2" w14:textId="48983699" w:rsidR="00D160BF" w:rsidRPr="00AE55F2" w:rsidRDefault="00D160BF" w:rsidP="007E484F">
      <w:pPr>
        <w:pStyle w:val="NormalTimesNewRoman"/>
        <w:rPr>
          <w:i/>
          <w:noProof/>
        </w:rPr>
      </w:pPr>
      <w:r w:rsidRPr="00AE55F2">
        <w:rPr>
          <w:i/>
          <w:noProof/>
        </w:rPr>
        <w:t xml:space="preserve">Cartografierea globală </w:t>
      </w:r>
    </w:p>
    <w:p w14:paraId="50287DF7" w14:textId="2625F028" w:rsidR="00371F34" w:rsidRPr="00AE55F2" w:rsidRDefault="00E46127" w:rsidP="007E484F">
      <w:pPr>
        <w:pStyle w:val="NormalTimesNewRoman"/>
        <w:rPr>
          <w:noProof/>
        </w:rPr>
      </w:pPr>
      <w:r w:rsidRPr="00AE55F2">
        <w:rPr>
          <w:noProof/>
        </w:rPr>
        <w:t xml:space="preserve">În ultimii ani, la nivel mondial a crescut cererea de materii prime agricole (pentru alimente, furaje, fibre sau energie), iar o parte din ea a fost satisfăcută prin expansiunea terenurilor agricole pe tot cuprinsul globului. La această evoluție a contribuit și creșterea cererii de biocombustibili, biolichide și combustibili din biomasă. Dacă această expansiune are loc pe terenuri care stochează cantități ridicate de carbon, ea duce la o creștere semnificativă a emisiilor de gaze cu efect de seră și la pierderea biodiversității. </w:t>
      </w:r>
    </w:p>
    <w:p w14:paraId="60050B88" w14:textId="5DA70EC5" w:rsidR="002E265D" w:rsidRPr="00AE55F2" w:rsidRDefault="00CC3F6F" w:rsidP="007E484F">
      <w:pPr>
        <w:pStyle w:val="NormalTimesNewRoman"/>
        <w:rPr>
          <w:noProof/>
        </w:rPr>
      </w:pPr>
      <w:r w:rsidRPr="00AE55F2">
        <w:rPr>
          <w:noProof/>
        </w:rPr>
        <w:t xml:space="preserve">Pentru a actualiza datele privind impactul defrișărilor asupra culturilor și a determina ponderea expansiunii acestora în detrimentul terenurilor care stochează cantități ridicate de carbon, s-a efectuat un exercițiu de cartografiere care a inclus cele opt culturi principale utilizate în producția de biocombustibili: porumb, palmier de ulei, rapiță, soia, sfeclă de zahăr, trestie de zahăr, floarea-soarelui și grâu. Metodologia folosită a fost similară cu cea utilizată în Raportul Comisiei din </w:t>
      </w:r>
      <w:r w:rsidRPr="00B97A01">
        <w:rPr>
          <w:noProof/>
        </w:rPr>
        <w:t>2019</w:t>
      </w:r>
      <w:r w:rsidRPr="00AE55F2">
        <w:rPr>
          <w:noProof/>
        </w:rPr>
        <w:t xml:space="preserve"> privind ILUC, dar a introdus o serie de îmbunătățiri. </w:t>
      </w:r>
    </w:p>
    <w:p w14:paraId="43DB2F78" w14:textId="06AFA5AC" w:rsidR="00915F37" w:rsidRPr="00AE55F2" w:rsidRDefault="00FE0F69" w:rsidP="006D0751">
      <w:pPr>
        <w:pStyle w:val="NormalTimesNewRoman"/>
        <w:rPr>
          <w:noProof/>
        </w:rPr>
      </w:pPr>
      <w:r w:rsidRPr="00AE55F2">
        <w:rPr>
          <w:noProof/>
        </w:rPr>
        <w:t xml:space="preserve">Principalele îmbunătățiri ale metodologiei s-au axat pe optimizarea seturilor de date referitoare la (i) distribuția culturilor și a pajiștilor, (ii) factorii determinanți ai defrișărilor și (iii) expansiunea plantațiilor de palmieri de ulei în turbării. Seturile de date privind culturile și pajiștile au fost îmbunătățite prin integrarea produsului MapSPAM </w:t>
      </w:r>
      <w:r w:rsidRPr="00B97A01">
        <w:rPr>
          <w:noProof/>
        </w:rPr>
        <w:t>2010</w:t>
      </w:r>
      <w:r w:rsidRPr="00AE55F2">
        <w:rPr>
          <w:noProof/>
        </w:rPr>
        <w:t xml:space="preserve"> actualizat pentru </w:t>
      </w:r>
      <w:r w:rsidRPr="00B97A01">
        <w:rPr>
          <w:noProof/>
        </w:rPr>
        <w:t>2010</w:t>
      </w:r>
      <w:r w:rsidRPr="00AE55F2">
        <w:rPr>
          <w:rStyle w:val="FootnoteReference"/>
          <w:noProof/>
        </w:rPr>
        <w:footnoteReference w:id="19"/>
      </w:r>
      <w:r w:rsidRPr="00AE55F2">
        <w:rPr>
          <w:noProof/>
        </w:rPr>
        <w:t xml:space="preserve"> și a unei hărți globale precise a culturilor de soia din </w:t>
      </w:r>
      <w:r w:rsidRPr="00B97A01">
        <w:rPr>
          <w:noProof/>
        </w:rPr>
        <w:t>2015</w:t>
      </w:r>
      <w:r w:rsidRPr="00AE55F2">
        <w:rPr>
          <w:noProof/>
        </w:rPr>
        <w:t>, ceea ce a făcut posibilă o monitorizare mai precisă. În ceea ce privește factorii determinanți ai defrișărilor, a fost creat un nivel al factorilor tropicali care determină pierderea de suprafață forestieră (IIASA-TDFL v</w:t>
      </w:r>
      <w:r w:rsidRPr="00B97A01">
        <w:rPr>
          <w:noProof/>
        </w:rPr>
        <w:t>1</w:t>
      </w:r>
      <w:r w:rsidRPr="00AE55F2">
        <w:rPr>
          <w:noProof/>
        </w:rPr>
        <w:t xml:space="preserve">) pentru a reflecta mai precis defrișările cauzate de culturile de materii prime agricole. În plus, estimările privind expansiunea plantațiilor de palmieri de ulei în turbării au fost îmbunătățite prin compararea hărților din </w:t>
      </w:r>
      <w:r w:rsidRPr="00B97A01">
        <w:rPr>
          <w:noProof/>
        </w:rPr>
        <w:t>2007</w:t>
      </w:r>
      <w:r w:rsidRPr="00AE55F2">
        <w:rPr>
          <w:noProof/>
        </w:rPr>
        <w:t xml:space="preserve"> cu cele din </w:t>
      </w:r>
      <w:r w:rsidRPr="00B97A01">
        <w:rPr>
          <w:noProof/>
        </w:rPr>
        <w:t>2017</w:t>
      </w:r>
      <w:r w:rsidRPr="00AE55F2">
        <w:rPr>
          <w:noProof/>
        </w:rPr>
        <w:t>-</w:t>
      </w:r>
      <w:r w:rsidRPr="00B97A01">
        <w:rPr>
          <w:noProof/>
        </w:rPr>
        <w:t>2019</w:t>
      </w:r>
      <w:r w:rsidRPr="00AE55F2">
        <w:rPr>
          <w:noProof/>
        </w:rPr>
        <w:t xml:space="preserve">, ceea ce a oferit informații cu privire la evoluțiile expansiunii. GRAS a pus la dispoziție hărți actualizate care ilustrează expansiunea plantațiilor de palmieri de ulei în turbăriile din Indonezia și Malaysia în decursul aceleiași perioade. În plus, a fost actualizat nivelul privind pierderea arborilor, care include pierderile de arbori până în </w:t>
      </w:r>
      <w:r w:rsidRPr="00B97A01">
        <w:rPr>
          <w:noProof/>
        </w:rPr>
        <w:t>2021</w:t>
      </w:r>
      <w:r w:rsidRPr="00AE55F2">
        <w:rPr>
          <w:noProof/>
        </w:rPr>
        <w:t>.</w:t>
      </w:r>
    </w:p>
    <w:p w14:paraId="0384DE20" w14:textId="77777777" w:rsidR="00A31C04" w:rsidRPr="00AE55F2" w:rsidRDefault="00A31C04" w:rsidP="002E265D">
      <w:pPr>
        <w:pStyle w:val="NormalTimesNewRoman"/>
        <w:rPr>
          <w:noProof/>
        </w:rPr>
      </w:pPr>
    </w:p>
    <w:p w14:paraId="31C9348B" w14:textId="77777777" w:rsidR="00D160BF" w:rsidRPr="00AE55F2" w:rsidRDefault="00D160BF" w:rsidP="007E484F">
      <w:pPr>
        <w:pStyle w:val="NormalTimesNewRoman"/>
        <w:rPr>
          <w:i/>
          <w:noProof/>
        </w:rPr>
      </w:pPr>
      <w:r w:rsidRPr="00AE55F2">
        <w:rPr>
          <w:i/>
          <w:noProof/>
        </w:rPr>
        <w:t xml:space="preserve">Cartografierea regională </w:t>
      </w:r>
    </w:p>
    <w:p w14:paraId="723C2A43" w14:textId="12A02B54" w:rsidR="00917428" w:rsidRPr="00AE55F2" w:rsidRDefault="00C72BB9" w:rsidP="00301BA2">
      <w:pPr>
        <w:pStyle w:val="NormalTimesNewRoman"/>
        <w:rPr>
          <w:noProof/>
        </w:rPr>
      </w:pPr>
      <w:r w:rsidRPr="00AE55F2">
        <w:rPr>
          <w:noProof/>
        </w:rPr>
        <w:t xml:space="preserve">Rezultatele cartografierii globale au fost completate de o </w:t>
      </w:r>
      <w:r w:rsidRPr="00AE55F2">
        <w:rPr>
          <w:b/>
          <w:i/>
          <w:noProof/>
        </w:rPr>
        <w:t>cartografiere regională mai precisă, care a făcut posibilă o evaluare mai detaliată</w:t>
      </w:r>
      <w:r w:rsidRPr="00AE55F2">
        <w:rPr>
          <w:noProof/>
        </w:rPr>
        <w:t xml:space="preserve"> a expansiunii culturilor pe terenuri care stochează cantități ridicate de carbon din regiunile-cheie identificate în literatura de specialitate și în hărțile defrișărilor ca fiind deosebit de relevante sau care reprezintă regiuni esențiale de producție în cazul culturilor asociate expansiunii. La realizarea cartografierii regionale s-au utilizat teledetecția și imaginile din satelit. Pe baza criteriilor menționate anterior, au fost alese cinci regiuni: Indonezia pentru palmierii de ulei, Malaysia pentru palmierii de ulei, statele braziliene din bazinul amazonian și din regiunea Cerrado pentru boabele de soia, regiunea Cerrado și zonele sudice din Brazilia pentru trestia de zahăr și regiunea Gran Chaco din Paraguay, Bolivia și Argentina pentru boabele de soia. La realizarea cartografierii regionale s-au utilizat teledetecția și imaginile din satelit. </w:t>
      </w:r>
    </w:p>
    <w:p w14:paraId="002CFA8E" w14:textId="77777777" w:rsidR="002B100E" w:rsidRPr="00AE55F2" w:rsidRDefault="002B100E" w:rsidP="002B100E">
      <w:pPr>
        <w:pStyle w:val="NormalTimesNewRoman"/>
        <w:rPr>
          <w:rFonts w:eastAsiaTheme="minorEastAsia"/>
          <w:noProof/>
        </w:rPr>
      </w:pPr>
      <w:r w:rsidRPr="00AE55F2">
        <w:rPr>
          <w:noProof/>
        </w:rPr>
        <w:t xml:space="preserve">La final, diferitele surse de date au fost integrate în setul de date folosit pentru cartografierea globală. Datele primare privind culturile au fost extrase din harta MapSPAM </w:t>
      </w:r>
      <w:r w:rsidRPr="00B97A01">
        <w:rPr>
          <w:noProof/>
        </w:rPr>
        <w:t>2010</w:t>
      </w:r>
      <w:r w:rsidRPr="00AE55F2">
        <w:rPr>
          <w:noProof/>
        </w:rPr>
        <w:t xml:space="preserve"> cu rezoluția de </w:t>
      </w:r>
      <w:r w:rsidRPr="00B97A01">
        <w:rPr>
          <w:noProof/>
        </w:rPr>
        <w:t>10</w:t>
      </w:r>
      <w:r w:rsidRPr="00AE55F2">
        <w:rPr>
          <w:noProof/>
        </w:rPr>
        <w:t>x</w:t>
      </w:r>
      <w:r w:rsidRPr="00B97A01">
        <w:rPr>
          <w:noProof/>
        </w:rPr>
        <w:t>10</w:t>
      </w:r>
      <w:r w:rsidRPr="00AE55F2">
        <w:rPr>
          <w:noProof/>
        </w:rPr>
        <w:t xml:space="preserve"> km, care a fost adusă la o rezoluție de </w:t>
      </w:r>
      <w:r w:rsidRPr="00B97A01">
        <w:rPr>
          <w:noProof/>
        </w:rPr>
        <w:t>30</w:t>
      </w:r>
      <w:r w:rsidRPr="00AE55F2">
        <w:rPr>
          <w:noProof/>
        </w:rPr>
        <w:t>x</w:t>
      </w:r>
      <w:r w:rsidRPr="00B97A01">
        <w:rPr>
          <w:noProof/>
        </w:rPr>
        <w:t>30</w:t>
      </w:r>
      <w:r w:rsidRPr="00AE55F2">
        <w:rPr>
          <w:noProof/>
        </w:rPr>
        <w:t xml:space="preserve"> m pe baza rezultatelor regionale, astfel încât să poată fi identificate cu precizie zonele din Indonezia și Malaysia cultivate cu palmieri de ulei și zonele din Brazilia cultivate cu trestie de zahăr. În plus, nivelul plantațiilor de soia din harta GEOGLAM </w:t>
      </w:r>
      <w:r w:rsidRPr="00B97A01">
        <w:rPr>
          <w:noProof/>
        </w:rPr>
        <w:t>2015</w:t>
      </w:r>
      <w:r w:rsidRPr="00AE55F2">
        <w:rPr>
          <w:noProof/>
        </w:rPr>
        <w:t xml:space="preserve"> cu rezoluția de </w:t>
      </w:r>
      <w:r w:rsidRPr="00B97A01">
        <w:rPr>
          <w:noProof/>
        </w:rPr>
        <w:t>5</w:t>
      </w:r>
      <w:r w:rsidRPr="00AE55F2">
        <w:rPr>
          <w:noProof/>
        </w:rPr>
        <w:t>x</w:t>
      </w:r>
      <w:r w:rsidRPr="00B97A01">
        <w:rPr>
          <w:noProof/>
        </w:rPr>
        <w:t>5</w:t>
      </w:r>
      <w:r w:rsidRPr="00AE55F2">
        <w:rPr>
          <w:noProof/>
        </w:rPr>
        <w:t> km a oferit o acoperire globală cuprinzătoare, care încorporează cartografierea regională pentru țări din America de Sud cum ar fi Brazilia, Argentina, Paraguay și Bolivia. Datorită acestor niveluri de înaltă rezoluție, combinate cu nivelurile Hansen Global Forest Change actualizate privind pierderea arborilor</w:t>
      </w:r>
      <w:r w:rsidRPr="00AE55F2">
        <w:rPr>
          <w:rFonts w:eastAsiaTheme="minorEastAsia"/>
          <w:noProof/>
          <w:vertAlign w:val="superscript"/>
        </w:rPr>
        <w:footnoteReference w:id="20"/>
      </w:r>
      <w:r w:rsidRPr="00AE55F2">
        <w:rPr>
          <w:noProof/>
        </w:rPr>
        <w:t xml:space="preserve"> și cu datele Miettinen privind expansiunea în turbării</w:t>
      </w:r>
      <w:r w:rsidRPr="00AE55F2">
        <w:rPr>
          <w:rFonts w:eastAsiaTheme="minorEastAsia"/>
          <w:noProof/>
          <w:vertAlign w:val="superscript"/>
        </w:rPr>
        <w:footnoteReference w:id="21"/>
      </w:r>
      <w:r w:rsidRPr="00AE55F2">
        <w:rPr>
          <w:noProof/>
        </w:rPr>
        <w:t xml:space="preserve">, s-a putut realiza o evaluare detaliată a evoluțiilor expansiunii culturilor. </w:t>
      </w:r>
    </w:p>
    <w:p w14:paraId="2FD2B8F7" w14:textId="505C4D13" w:rsidR="00B27348" w:rsidRPr="00AE55F2" w:rsidRDefault="00922ED6" w:rsidP="009F16FB">
      <w:pPr>
        <w:pStyle w:val="Style1"/>
        <w:rPr>
          <w:noProof/>
        </w:rPr>
      </w:pPr>
      <w:bookmarkStart w:id="7" w:name="_Toc109647470"/>
      <w:r w:rsidRPr="00AE55F2">
        <w:rPr>
          <w:noProof/>
        </w:rPr>
        <w:t>DETERMINAREA EXPANSIUNII „SEMNIFICATIVE” ÎN DETRIMENTUL TERENURILOR CARE STOCHEAZĂ CANTITĂȚI RIDICATE DE CARBON</w:t>
      </w:r>
      <w:bookmarkEnd w:id="7"/>
    </w:p>
    <w:p w14:paraId="4AEBC4ED" w14:textId="0B3B75FB" w:rsidR="009F16FB" w:rsidRPr="00AE55F2" w:rsidRDefault="009F16FB" w:rsidP="00AB79C0">
      <w:pPr>
        <w:pStyle w:val="Style1"/>
        <w:numPr>
          <w:ilvl w:val="0"/>
          <w:numId w:val="0"/>
        </w:numPr>
        <w:rPr>
          <w:noProof/>
        </w:rPr>
      </w:pPr>
    </w:p>
    <w:p w14:paraId="1AFCAF86" w14:textId="6C4DD63F" w:rsidR="00AD16D0" w:rsidRPr="00AE55F2" w:rsidRDefault="00AD16D0" w:rsidP="006E112B">
      <w:pPr>
        <w:jc w:val="both"/>
        <w:rPr>
          <w:rFonts w:ascii="Times New Roman" w:hAnsi="Times New Roman" w:cs="Times New Roman"/>
          <w:i/>
          <w:iCs/>
          <w:noProof/>
          <w:sz w:val="24"/>
          <w:szCs w:val="24"/>
        </w:rPr>
      </w:pPr>
      <w:r w:rsidRPr="00AE55F2">
        <w:rPr>
          <w:rFonts w:ascii="Times New Roman" w:hAnsi="Times New Roman"/>
          <w:i/>
          <w:noProof/>
          <w:sz w:val="24"/>
        </w:rPr>
        <w:t xml:space="preserve">Emisiile de gaze cu efect de seră asociate expansiunii materiilor prime pe terenuri care stochează cantități ridicate de carbon </w:t>
      </w:r>
    </w:p>
    <w:p w14:paraId="6D1F23CC" w14:textId="7A751B98" w:rsidR="002F4E5C" w:rsidRPr="00AE55F2" w:rsidRDefault="00AD16D0" w:rsidP="006E112B">
      <w:pPr>
        <w:jc w:val="both"/>
        <w:rPr>
          <w:rFonts w:ascii="Times New Roman" w:hAnsi="Times New Roman" w:cs="Times New Roman"/>
          <w:noProof/>
          <w:sz w:val="24"/>
          <w:szCs w:val="24"/>
        </w:rPr>
      </w:pPr>
      <w:r w:rsidRPr="00AE55F2">
        <w:rPr>
          <w:rFonts w:ascii="Times New Roman" w:hAnsi="Times New Roman"/>
          <w:noProof/>
          <w:sz w:val="24"/>
        </w:rPr>
        <w:t xml:space="preserve">La evaluarea emisiilor de GES asociate expansiunii materiilor prime în detrimentul terenurilor care stochează cantități ridicate de carbon s-a constatat că, în perioada </w:t>
      </w:r>
      <w:r w:rsidRPr="00B97A01">
        <w:rPr>
          <w:rFonts w:ascii="Times New Roman" w:hAnsi="Times New Roman"/>
          <w:noProof/>
          <w:sz w:val="24"/>
        </w:rPr>
        <w:t>2014</w:t>
      </w:r>
      <w:r w:rsidRPr="00AE55F2">
        <w:rPr>
          <w:rFonts w:ascii="Times New Roman" w:hAnsi="Times New Roman"/>
          <w:noProof/>
          <w:sz w:val="24"/>
        </w:rPr>
        <w:t>-</w:t>
      </w:r>
      <w:r w:rsidRPr="00B97A01">
        <w:rPr>
          <w:rFonts w:ascii="Times New Roman" w:hAnsi="Times New Roman"/>
          <w:noProof/>
          <w:sz w:val="24"/>
        </w:rPr>
        <w:t>2021</w:t>
      </w:r>
      <w:r w:rsidRPr="00AE55F2">
        <w:rPr>
          <w:rFonts w:ascii="Times New Roman" w:hAnsi="Times New Roman"/>
          <w:noProof/>
          <w:sz w:val="24"/>
        </w:rPr>
        <w:t xml:space="preserve">, cultura care a generat cea mai mare cantitate de GES a fost cea de palmieri de ulei, în mare parte din cauza expansiunii producției de ulei de palmier în detrimentul turbăriilor, ceea ce a generat aproximativ </w:t>
      </w:r>
      <w:r w:rsidRPr="00B97A01">
        <w:rPr>
          <w:rFonts w:ascii="Times New Roman" w:hAnsi="Times New Roman"/>
          <w:noProof/>
          <w:sz w:val="24"/>
        </w:rPr>
        <w:t>52</w:t>
      </w:r>
      <w:r w:rsidRPr="00AE55F2">
        <w:rPr>
          <w:rFonts w:ascii="Times New Roman" w:hAnsi="Times New Roman"/>
          <w:noProof/>
          <w:sz w:val="24"/>
        </w:rPr>
        <w:t xml:space="preserve"> % din emisiile aferente. Alte culturi, cum ar fi cele de porumb, trestie de zahăr și sfeclă de zahăr au avut de asemenea o contribuție semnificativă la emisii, în principal din cauza eliminării biomasei vii și a materiei organice moarte, ceea ce a generat peste </w:t>
      </w:r>
      <w:r w:rsidRPr="00B97A01">
        <w:rPr>
          <w:rFonts w:ascii="Times New Roman" w:hAnsi="Times New Roman"/>
          <w:noProof/>
          <w:sz w:val="24"/>
        </w:rPr>
        <w:t>85</w:t>
      </w:r>
      <w:r w:rsidRPr="00AE55F2">
        <w:rPr>
          <w:rFonts w:ascii="Times New Roman" w:hAnsi="Times New Roman"/>
          <w:noProof/>
          <w:sz w:val="24"/>
        </w:rPr>
        <w:t xml:space="preserve"> % din emisiile aferente. </w:t>
      </w:r>
    </w:p>
    <w:p w14:paraId="102618E3" w14:textId="7DFE98EB" w:rsidR="00323753" w:rsidRPr="00AE55F2" w:rsidRDefault="006875E0" w:rsidP="00323753">
      <w:pPr>
        <w:jc w:val="both"/>
        <w:rPr>
          <w:rFonts w:ascii="Times New Roman" w:hAnsi="Times New Roman" w:cs="Times New Roman"/>
          <w:noProof/>
          <w:sz w:val="24"/>
          <w:szCs w:val="24"/>
        </w:rPr>
      </w:pPr>
      <w:r w:rsidRPr="00AE55F2">
        <w:rPr>
          <w:rFonts w:ascii="Times New Roman" w:hAnsi="Times New Roman"/>
          <w:noProof/>
          <w:sz w:val="24"/>
        </w:rPr>
        <w:t xml:space="preserve">Media ponderată a emisiilor de GES în raport cu suprafața de expansiune pentru toate cele opt culturi este de </w:t>
      </w:r>
      <w:r w:rsidRPr="00B97A01">
        <w:rPr>
          <w:rFonts w:ascii="Times New Roman" w:hAnsi="Times New Roman"/>
          <w:noProof/>
          <w:sz w:val="24"/>
        </w:rPr>
        <w:t>25</w:t>
      </w:r>
      <w:r w:rsidRPr="00AE55F2">
        <w:rPr>
          <w:rFonts w:ascii="Times New Roman" w:hAnsi="Times New Roman"/>
          <w:noProof/>
          <w:sz w:val="24"/>
        </w:rPr>
        <w:t> tCO</w:t>
      </w:r>
      <w:r w:rsidRPr="00B97A01">
        <w:rPr>
          <w:rFonts w:ascii="Times New Roman" w:hAnsi="Times New Roman"/>
          <w:noProof/>
          <w:sz w:val="24"/>
        </w:rPr>
        <w:t>2</w:t>
      </w:r>
      <w:r w:rsidRPr="00AE55F2">
        <w:rPr>
          <w:rFonts w:ascii="Times New Roman" w:hAnsi="Times New Roman"/>
          <w:noProof/>
          <w:sz w:val="24"/>
        </w:rPr>
        <w:t xml:space="preserve">/ha/an, mai mare decât cea de </w:t>
      </w:r>
      <w:r w:rsidRPr="00B97A01">
        <w:rPr>
          <w:rFonts w:ascii="Times New Roman" w:hAnsi="Times New Roman"/>
          <w:noProof/>
          <w:sz w:val="24"/>
        </w:rPr>
        <w:t>19</w:t>
      </w:r>
      <w:r w:rsidRPr="00AE55F2">
        <w:rPr>
          <w:rFonts w:ascii="Times New Roman" w:hAnsi="Times New Roman"/>
          <w:noProof/>
          <w:sz w:val="24"/>
        </w:rPr>
        <w:t>,</w:t>
      </w:r>
      <w:r w:rsidRPr="00B97A01">
        <w:rPr>
          <w:rFonts w:ascii="Times New Roman" w:hAnsi="Times New Roman"/>
          <w:noProof/>
          <w:sz w:val="24"/>
        </w:rPr>
        <w:t>6</w:t>
      </w:r>
      <w:r w:rsidRPr="00AE55F2">
        <w:rPr>
          <w:rFonts w:ascii="Times New Roman" w:hAnsi="Times New Roman"/>
          <w:noProof/>
          <w:sz w:val="24"/>
        </w:rPr>
        <w:t> tCO</w:t>
      </w:r>
      <w:r w:rsidRPr="00B97A01">
        <w:rPr>
          <w:rFonts w:ascii="Times New Roman" w:hAnsi="Times New Roman"/>
          <w:noProof/>
          <w:sz w:val="24"/>
        </w:rPr>
        <w:t>2</w:t>
      </w:r>
      <w:r w:rsidRPr="00AE55F2">
        <w:rPr>
          <w:rFonts w:ascii="Times New Roman" w:hAnsi="Times New Roman"/>
          <w:noProof/>
          <w:sz w:val="24"/>
        </w:rPr>
        <w:t xml:space="preserve">/ha/an menționată în Raportul Comisiei din </w:t>
      </w:r>
      <w:r w:rsidRPr="00B97A01">
        <w:rPr>
          <w:rFonts w:ascii="Times New Roman" w:hAnsi="Times New Roman"/>
          <w:noProof/>
          <w:sz w:val="24"/>
        </w:rPr>
        <w:t>2019</w:t>
      </w:r>
      <w:r w:rsidRPr="00AE55F2">
        <w:rPr>
          <w:rFonts w:ascii="Times New Roman" w:hAnsi="Times New Roman"/>
          <w:noProof/>
          <w:sz w:val="24"/>
        </w:rPr>
        <w:t xml:space="preserve"> privind ILUC. Această creștere are o dublă explicație. În primul rând, calculul a utilizat valori specifice ale biomasei de suprafață pentru fiecare zonă climatică și ale hectarelor de expansiune pentru fiecare zonă climatică. Rezultatul a fost o valoare medie mai mare a pierderii nete de carbon la hectar pentru toate culturile. În al doilea rând, au fost incluse și emisiile provenite de la carbonul din sol, de la biomasa subterană (rădăcini) și de la materia organică moartă. </w:t>
      </w:r>
    </w:p>
    <w:p w14:paraId="6EE0DA11" w14:textId="41E7F673" w:rsidR="00AD16D0" w:rsidRPr="00AE55F2" w:rsidRDefault="00D01117" w:rsidP="006E112B">
      <w:pPr>
        <w:jc w:val="both"/>
        <w:rPr>
          <w:rFonts w:ascii="Times New Roman" w:hAnsi="Times New Roman" w:cs="Times New Roman"/>
          <w:noProof/>
          <w:sz w:val="24"/>
          <w:szCs w:val="24"/>
        </w:rPr>
      </w:pPr>
      <w:r w:rsidRPr="00AE55F2">
        <w:rPr>
          <w:rFonts w:ascii="Times New Roman" w:hAnsi="Times New Roman"/>
          <w:noProof/>
          <w:sz w:val="24"/>
        </w:rPr>
        <w:t>Rezultatele privind emisiile de GES depind de tipul pădurii pe care se presupune că o înlocuiesc culturile, și anume pădure primară sau secundară, acesta determinând stocul de carbon din biomasa de suprafață. Pentru a gestiona această variabilitate, s-a adoptat un factor mediu pentru biomasa de suprafață a pădurilor tropicale din Indonezia și Malaysia conform Evaluării globale privind resursele forestiere</w:t>
      </w:r>
      <w:r w:rsidRPr="00AE55F2">
        <w:rPr>
          <w:rStyle w:val="FootnoteReference"/>
          <w:rFonts w:ascii="Times New Roman" w:hAnsi="Times New Roman" w:cs="Times New Roman"/>
          <w:noProof/>
          <w:sz w:val="24"/>
          <w:szCs w:val="24"/>
        </w:rPr>
        <w:footnoteReference w:id="22"/>
      </w:r>
      <w:r w:rsidRPr="00AE55F2">
        <w:rPr>
          <w:rFonts w:ascii="Times New Roman" w:hAnsi="Times New Roman"/>
          <w:noProof/>
          <w:sz w:val="24"/>
        </w:rPr>
        <w:t xml:space="preserve">. </w:t>
      </w:r>
    </w:p>
    <w:tbl>
      <w:tblPr>
        <w:tblStyle w:val="EnergyReportTable1"/>
        <w:tblW w:w="5000" w:type="pct"/>
        <w:jc w:val="center"/>
        <w:tblInd w:w="0" w:type="dxa"/>
        <w:tblLook w:val="04A0" w:firstRow="1" w:lastRow="0" w:firstColumn="1" w:lastColumn="0" w:noHBand="0" w:noVBand="1"/>
      </w:tblPr>
      <w:tblGrid>
        <w:gridCol w:w="2694"/>
        <w:gridCol w:w="3039"/>
        <w:gridCol w:w="3293"/>
      </w:tblGrid>
      <w:tr w:rsidR="00F165B3" w:rsidRPr="00AE55F2" w14:paraId="18A6C028" w14:textId="77777777" w:rsidTr="00AE55F2">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1492" w:type="pct"/>
            <w:shd w:val="clear" w:color="auto" w:fill="93D500"/>
            <w:hideMark/>
          </w:tcPr>
          <w:p w14:paraId="3D9F67ED" w14:textId="77777777" w:rsidR="00F165B3" w:rsidRPr="00AE55F2" w:rsidRDefault="00F165B3" w:rsidP="00F165B3">
            <w:pPr>
              <w:keepNext/>
              <w:keepLines/>
              <w:spacing w:after="0"/>
              <w:jc w:val="center"/>
              <w:rPr>
                <w:noProof/>
                <w:sz w:val="18"/>
              </w:rPr>
            </w:pPr>
            <w:r w:rsidRPr="00AE55F2">
              <w:rPr>
                <w:noProof/>
                <w:sz w:val="18"/>
              </w:rPr>
              <w:t>Cultură</w:t>
            </w:r>
          </w:p>
        </w:tc>
        <w:tc>
          <w:tcPr>
            <w:tcW w:w="1683" w:type="pct"/>
            <w:shd w:val="clear" w:color="auto" w:fill="93D500"/>
            <w:hideMark/>
          </w:tcPr>
          <w:p w14:paraId="2762C6FE" w14:textId="77777777" w:rsidR="00F165B3" w:rsidRPr="00AE55F2"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sidRPr="00AE55F2">
              <w:rPr>
                <w:noProof/>
                <w:sz w:val="18"/>
              </w:rPr>
              <w:t>Nivelul de GES [tCO</w:t>
            </w:r>
            <w:r w:rsidRPr="00B97A01">
              <w:rPr>
                <w:noProof/>
                <w:sz w:val="18"/>
                <w:vertAlign w:val="subscript"/>
              </w:rPr>
              <w:t>2</w:t>
            </w:r>
            <w:r w:rsidRPr="00AE55F2">
              <w:rPr>
                <w:noProof/>
                <w:sz w:val="18"/>
              </w:rPr>
              <w:t>/an/ha]</w:t>
            </w:r>
          </w:p>
        </w:tc>
        <w:tc>
          <w:tcPr>
            <w:tcW w:w="1824" w:type="pct"/>
            <w:shd w:val="clear" w:color="auto" w:fill="93D500"/>
            <w:hideMark/>
          </w:tcPr>
          <w:p w14:paraId="1378B43A" w14:textId="77777777" w:rsidR="00F165B3" w:rsidRPr="00AE55F2"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sidRPr="00AE55F2">
              <w:rPr>
                <w:noProof/>
                <w:sz w:val="18"/>
              </w:rPr>
              <w:t>Ponderea din suprafața totală de expansiune a tuturor culturilor [ha]</w:t>
            </w:r>
          </w:p>
        </w:tc>
      </w:tr>
      <w:tr w:rsidR="00F165B3" w:rsidRPr="00AE55F2" w14:paraId="6C5023AA" w14:textId="77777777" w:rsidTr="00AE55F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4" w:space="0" w:color="DCDDDE"/>
              <w:right w:val="nil"/>
            </w:tcBorders>
            <w:hideMark/>
          </w:tcPr>
          <w:p w14:paraId="50268304" w14:textId="77777777" w:rsidR="00F165B3" w:rsidRPr="00AE55F2" w:rsidRDefault="00F165B3" w:rsidP="00F165B3">
            <w:pPr>
              <w:keepNext/>
              <w:keepLines/>
              <w:spacing w:after="0"/>
              <w:rPr>
                <w:noProof/>
                <w:sz w:val="18"/>
              </w:rPr>
            </w:pPr>
            <w:r w:rsidRPr="00AE55F2">
              <w:rPr>
                <w:noProof/>
                <w:sz w:val="18"/>
              </w:rPr>
              <w:t>Palmieri de ulei</w:t>
            </w:r>
          </w:p>
        </w:tc>
        <w:tc>
          <w:tcPr>
            <w:tcW w:w="1683" w:type="pct"/>
            <w:tcBorders>
              <w:top w:val="single" w:sz="4" w:space="0" w:color="DCDDDE"/>
              <w:left w:val="nil"/>
              <w:bottom w:val="single" w:sz="4" w:space="0" w:color="DCDDDE"/>
              <w:right w:val="nil"/>
            </w:tcBorders>
            <w:vAlign w:val="bottom"/>
            <w:hideMark/>
          </w:tcPr>
          <w:p w14:paraId="707D0B0A"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32</w:t>
            </w:r>
            <w:r w:rsidRPr="00AE55F2">
              <w:rPr>
                <w:noProof/>
                <w:sz w:val="18"/>
              </w:rPr>
              <w:t>,</w:t>
            </w:r>
            <w:r w:rsidRPr="00B97A01">
              <w:rPr>
                <w:noProof/>
                <w:sz w:val="18"/>
              </w:rPr>
              <w:t>6</w:t>
            </w:r>
          </w:p>
        </w:tc>
        <w:tc>
          <w:tcPr>
            <w:tcW w:w="1824" w:type="pct"/>
            <w:tcBorders>
              <w:top w:val="single" w:sz="4" w:space="0" w:color="DCDDDE"/>
              <w:left w:val="nil"/>
              <w:bottom w:val="single" w:sz="4" w:space="0" w:color="DCDDDE"/>
              <w:right w:val="nil"/>
            </w:tcBorders>
            <w:vAlign w:val="bottom"/>
            <w:hideMark/>
          </w:tcPr>
          <w:p w14:paraId="081D6FA1"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39</w:t>
            </w:r>
            <w:r w:rsidRPr="00AE55F2">
              <w:rPr>
                <w:noProof/>
                <w:sz w:val="18"/>
              </w:rPr>
              <w:t> %</w:t>
            </w:r>
          </w:p>
        </w:tc>
      </w:tr>
      <w:tr w:rsidR="00F165B3" w:rsidRPr="00AE55F2" w14:paraId="08B94F0D" w14:textId="77777777" w:rsidTr="00AE55F2">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4" w:space="0" w:color="DCDDDE"/>
              <w:right w:val="nil"/>
            </w:tcBorders>
            <w:hideMark/>
          </w:tcPr>
          <w:p w14:paraId="59752917" w14:textId="77777777" w:rsidR="00F165B3" w:rsidRPr="00AE55F2" w:rsidRDefault="00F165B3" w:rsidP="00F165B3">
            <w:pPr>
              <w:keepNext/>
              <w:keepLines/>
              <w:spacing w:after="0"/>
              <w:rPr>
                <w:noProof/>
                <w:sz w:val="18"/>
              </w:rPr>
            </w:pPr>
            <w:r w:rsidRPr="00AE55F2">
              <w:rPr>
                <w:noProof/>
                <w:sz w:val="18"/>
              </w:rPr>
              <w:t>Boabe de soia</w:t>
            </w:r>
          </w:p>
        </w:tc>
        <w:tc>
          <w:tcPr>
            <w:tcW w:w="1683" w:type="pct"/>
            <w:tcBorders>
              <w:top w:val="single" w:sz="4" w:space="0" w:color="DCDDDE"/>
              <w:left w:val="nil"/>
              <w:bottom w:val="single" w:sz="4" w:space="0" w:color="DCDDDE"/>
              <w:right w:val="nil"/>
            </w:tcBorders>
            <w:vAlign w:val="bottom"/>
            <w:hideMark/>
          </w:tcPr>
          <w:p w14:paraId="7EB64CC4"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19</w:t>
            </w:r>
            <w:r w:rsidRPr="00AE55F2">
              <w:rPr>
                <w:noProof/>
                <w:sz w:val="18"/>
              </w:rPr>
              <w:t>,</w:t>
            </w:r>
            <w:r w:rsidRPr="00B97A01">
              <w:rPr>
                <w:noProof/>
                <w:sz w:val="18"/>
              </w:rPr>
              <w:t>9</w:t>
            </w:r>
          </w:p>
        </w:tc>
        <w:tc>
          <w:tcPr>
            <w:tcW w:w="1824" w:type="pct"/>
            <w:tcBorders>
              <w:top w:val="single" w:sz="4" w:space="0" w:color="DCDDDE"/>
              <w:left w:val="nil"/>
              <w:bottom w:val="single" w:sz="4" w:space="0" w:color="DCDDDE"/>
              <w:right w:val="nil"/>
            </w:tcBorders>
            <w:vAlign w:val="bottom"/>
            <w:hideMark/>
          </w:tcPr>
          <w:p w14:paraId="32ABED3F"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33</w:t>
            </w:r>
            <w:r w:rsidRPr="00AE55F2">
              <w:rPr>
                <w:noProof/>
                <w:sz w:val="18"/>
              </w:rPr>
              <w:t> %</w:t>
            </w:r>
          </w:p>
        </w:tc>
      </w:tr>
      <w:tr w:rsidR="00F165B3" w:rsidRPr="00AE55F2" w14:paraId="75A65DB4" w14:textId="77777777" w:rsidTr="00AE55F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4" w:space="0" w:color="DCDDDE"/>
              <w:right w:val="nil"/>
            </w:tcBorders>
            <w:hideMark/>
          </w:tcPr>
          <w:p w14:paraId="481A4BF0" w14:textId="77777777" w:rsidR="00F165B3" w:rsidRPr="00AE55F2" w:rsidRDefault="00F165B3" w:rsidP="00F165B3">
            <w:pPr>
              <w:keepNext/>
              <w:keepLines/>
              <w:spacing w:after="0"/>
              <w:rPr>
                <w:noProof/>
                <w:sz w:val="18"/>
              </w:rPr>
            </w:pPr>
            <w:r w:rsidRPr="00AE55F2">
              <w:rPr>
                <w:noProof/>
                <w:sz w:val="18"/>
              </w:rPr>
              <w:t>Porumb</w:t>
            </w:r>
          </w:p>
        </w:tc>
        <w:tc>
          <w:tcPr>
            <w:tcW w:w="1683" w:type="pct"/>
            <w:tcBorders>
              <w:top w:val="single" w:sz="4" w:space="0" w:color="DCDDDE"/>
              <w:left w:val="nil"/>
              <w:bottom w:val="single" w:sz="4" w:space="0" w:color="DCDDDE"/>
              <w:right w:val="nil"/>
            </w:tcBorders>
            <w:vAlign w:val="bottom"/>
            <w:hideMark/>
          </w:tcPr>
          <w:p w14:paraId="33E00217"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22</w:t>
            </w:r>
            <w:r w:rsidRPr="00AE55F2">
              <w:rPr>
                <w:noProof/>
                <w:sz w:val="18"/>
              </w:rPr>
              <w:t>,</w:t>
            </w:r>
            <w:r w:rsidRPr="00B97A01">
              <w:rPr>
                <w:noProof/>
                <w:sz w:val="18"/>
              </w:rPr>
              <w:t>5</w:t>
            </w:r>
          </w:p>
        </w:tc>
        <w:tc>
          <w:tcPr>
            <w:tcW w:w="1824" w:type="pct"/>
            <w:tcBorders>
              <w:top w:val="single" w:sz="4" w:space="0" w:color="DCDDDE"/>
              <w:left w:val="nil"/>
              <w:bottom w:val="single" w:sz="4" w:space="0" w:color="DCDDDE"/>
              <w:right w:val="nil"/>
            </w:tcBorders>
            <w:vAlign w:val="bottom"/>
            <w:hideMark/>
          </w:tcPr>
          <w:p w14:paraId="33BD0645"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21</w:t>
            </w:r>
            <w:r w:rsidRPr="00AE55F2">
              <w:rPr>
                <w:noProof/>
                <w:sz w:val="18"/>
              </w:rPr>
              <w:t> %</w:t>
            </w:r>
          </w:p>
        </w:tc>
      </w:tr>
      <w:tr w:rsidR="00F165B3" w:rsidRPr="00AE55F2" w14:paraId="20D68022" w14:textId="77777777" w:rsidTr="00AE55F2">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4" w:space="0" w:color="DCDDDE"/>
              <w:right w:val="nil"/>
            </w:tcBorders>
            <w:hideMark/>
          </w:tcPr>
          <w:p w14:paraId="0A65BE07" w14:textId="77777777" w:rsidR="00F165B3" w:rsidRPr="00AE55F2" w:rsidRDefault="00F165B3" w:rsidP="00F165B3">
            <w:pPr>
              <w:keepNext/>
              <w:keepLines/>
              <w:spacing w:after="0"/>
              <w:rPr>
                <w:noProof/>
                <w:sz w:val="18"/>
              </w:rPr>
            </w:pPr>
            <w:r w:rsidRPr="00AE55F2">
              <w:rPr>
                <w:noProof/>
                <w:sz w:val="18"/>
              </w:rPr>
              <w:t>Trestie de zahăr</w:t>
            </w:r>
          </w:p>
        </w:tc>
        <w:tc>
          <w:tcPr>
            <w:tcW w:w="1683" w:type="pct"/>
            <w:tcBorders>
              <w:top w:val="single" w:sz="4" w:space="0" w:color="DCDDDE"/>
              <w:left w:val="nil"/>
              <w:bottom w:val="single" w:sz="4" w:space="0" w:color="DCDDDE"/>
              <w:right w:val="nil"/>
            </w:tcBorders>
            <w:vAlign w:val="bottom"/>
            <w:hideMark/>
          </w:tcPr>
          <w:p w14:paraId="7C37BAED"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20</w:t>
            </w:r>
            <w:r w:rsidRPr="00AE55F2">
              <w:rPr>
                <w:noProof/>
                <w:sz w:val="18"/>
              </w:rPr>
              <w:t>,</w:t>
            </w:r>
            <w:r w:rsidRPr="00B97A01">
              <w:rPr>
                <w:noProof/>
                <w:sz w:val="18"/>
              </w:rPr>
              <w:t>8</w:t>
            </w:r>
          </w:p>
        </w:tc>
        <w:tc>
          <w:tcPr>
            <w:tcW w:w="1824" w:type="pct"/>
            <w:tcBorders>
              <w:top w:val="single" w:sz="4" w:space="0" w:color="DCDDDE"/>
              <w:left w:val="nil"/>
              <w:bottom w:val="single" w:sz="4" w:space="0" w:color="DCDDDE"/>
              <w:right w:val="nil"/>
            </w:tcBorders>
            <w:vAlign w:val="bottom"/>
            <w:hideMark/>
          </w:tcPr>
          <w:p w14:paraId="010B12A2"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3</w:t>
            </w:r>
            <w:r w:rsidRPr="00AE55F2">
              <w:rPr>
                <w:noProof/>
                <w:sz w:val="18"/>
              </w:rPr>
              <w:t> %</w:t>
            </w:r>
          </w:p>
        </w:tc>
      </w:tr>
      <w:tr w:rsidR="00F165B3" w:rsidRPr="00AE55F2" w14:paraId="7F3EF4C3" w14:textId="77777777" w:rsidTr="00AE55F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4" w:space="0" w:color="DCDDDE"/>
              <w:right w:val="nil"/>
            </w:tcBorders>
            <w:hideMark/>
          </w:tcPr>
          <w:p w14:paraId="5FFE636E" w14:textId="77777777" w:rsidR="00F165B3" w:rsidRPr="00AE55F2" w:rsidRDefault="00F165B3" w:rsidP="00F165B3">
            <w:pPr>
              <w:keepNext/>
              <w:keepLines/>
              <w:spacing w:after="0"/>
              <w:rPr>
                <w:noProof/>
                <w:sz w:val="18"/>
              </w:rPr>
            </w:pPr>
            <w:r w:rsidRPr="00AE55F2">
              <w:rPr>
                <w:noProof/>
                <w:sz w:val="18"/>
              </w:rPr>
              <w:t>Grâu</w:t>
            </w:r>
          </w:p>
        </w:tc>
        <w:tc>
          <w:tcPr>
            <w:tcW w:w="1683" w:type="pct"/>
            <w:tcBorders>
              <w:top w:val="single" w:sz="4" w:space="0" w:color="DCDDDE"/>
              <w:left w:val="nil"/>
              <w:bottom w:val="single" w:sz="4" w:space="0" w:color="DCDDDE"/>
              <w:right w:val="nil"/>
            </w:tcBorders>
            <w:vAlign w:val="bottom"/>
            <w:hideMark/>
          </w:tcPr>
          <w:p w14:paraId="3D395874"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16</w:t>
            </w:r>
            <w:r w:rsidRPr="00AE55F2">
              <w:rPr>
                <w:noProof/>
                <w:sz w:val="18"/>
              </w:rPr>
              <w:t>,</w:t>
            </w:r>
            <w:r w:rsidRPr="00B97A01">
              <w:rPr>
                <w:noProof/>
                <w:sz w:val="18"/>
              </w:rPr>
              <w:t>2</w:t>
            </w:r>
          </w:p>
        </w:tc>
        <w:tc>
          <w:tcPr>
            <w:tcW w:w="1824" w:type="pct"/>
            <w:tcBorders>
              <w:top w:val="single" w:sz="4" w:space="0" w:color="DCDDDE"/>
              <w:left w:val="nil"/>
              <w:bottom w:val="single" w:sz="4" w:space="0" w:color="DCDDDE"/>
              <w:right w:val="nil"/>
            </w:tcBorders>
            <w:vAlign w:val="bottom"/>
            <w:hideMark/>
          </w:tcPr>
          <w:p w14:paraId="5C032212"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3</w:t>
            </w:r>
            <w:r w:rsidRPr="00AE55F2">
              <w:rPr>
                <w:noProof/>
                <w:sz w:val="18"/>
              </w:rPr>
              <w:t> %</w:t>
            </w:r>
          </w:p>
        </w:tc>
      </w:tr>
      <w:tr w:rsidR="00F165B3" w:rsidRPr="00AE55F2" w14:paraId="3B2DC585" w14:textId="77777777" w:rsidTr="00AE55F2">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4" w:space="0" w:color="DCDDDE"/>
              <w:right w:val="nil"/>
            </w:tcBorders>
            <w:hideMark/>
          </w:tcPr>
          <w:p w14:paraId="2D40D015" w14:textId="77777777" w:rsidR="00F165B3" w:rsidRPr="00AE55F2" w:rsidRDefault="00F165B3" w:rsidP="00F165B3">
            <w:pPr>
              <w:keepNext/>
              <w:keepLines/>
              <w:spacing w:after="0"/>
              <w:rPr>
                <w:noProof/>
                <w:sz w:val="18"/>
              </w:rPr>
            </w:pPr>
            <w:r w:rsidRPr="00AE55F2">
              <w:rPr>
                <w:noProof/>
                <w:sz w:val="18"/>
              </w:rPr>
              <w:t>Semințe de floarea-soarelui</w:t>
            </w:r>
          </w:p>
        </w:tc>
        <w:tc>
          <w:tcPr>
            <w:tcW w:w="1683" w:type="pct"/>
            <w:tcBorders>
              <w:top w:val="single" w:sz="4" w:space="0" w:color="DCDDDE"/>
              <w:left w:val="nil"/>
              <w:bottom w:val="single" w:sz="4" w:space="0" w:color="DCDDDE"/>
              <w:right w:val="nil"/>
            </w:tcBorders>
            <w:vAlign w:val="bottom"/>
            <w:hideMark/>
          </w:tcPr>
          <w:p w14:paraId="2A7B7731"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19</w:t>
            </w:r>
            <w:r w:rsidRPr="00AE55F2">
              <w:rPr>
                <w:noProof/>
                <w:sz w:val="18"/>
              </w:rPr>
              <w:t>,</w:t>
            </w:r>
            <w:r w:rsidRPr="00B97A01">
              <w:rPr>
                <w:noProof/>
                <w:sz w:val="18"/>
              </w:rPr>
              <w:t>1</w:t>
            </w:r>
          </w:p>
        </w:tc>
        <w:tc>
          <w:tcPr>
            <w:tcW w:w="1824" w:type="pct"/>
            <w:tcBorders>
              <w:top w:val="single" w:sz="4" w:space="0" w:color="DCDDDE"/>
              <w:left w:val="nil"/>
              <w:bottom w:val="single" w:sz="4" w:space="0" w:color="DCDDDE"/>
              <w:right w:val="nil"/>
            </w:tcBorders>
            <w:vAlign w:val="bottom"/>
            <w:hideMark/>
          </w:tcPr>
          <w:p w14:paraId="5D986A2A"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1</w:t>
            </w:r>
            <w:r w:rsidRPr="00AE55F2">
              <w:rPr>
                <w:noProof/>
                <w:sz w:val="18"/>
              </w:rPr>
              <w:t> %</w:t>
            </w:r>
          </w:p>
        </w:tc>
      </w:tr>
      <w:tr w:rsidR="00F165B3" w:rsidRPr="00AE55F2" w14:paraId="198A58EC" w14:textId="77777777" w:rsidTr="00AE55F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4" w:space="0" w:color="DCDDDE"/>
              <w:right w:val="nil"/>
            </w:tcBorders>
            <w:hideMark/>
          </w:tcPr>
          <w:p w14:paraId="65FF473F" w14:textId="77777777" w:rsidR="00F165B3" w:rsidRPr="00AE55F2" w:rsidRDefault="00F165B3" w:rsidP="00F165B3">
            <w:pPr>
              <w:keepNext/>
              <w:keepLines/>
              <w:spacing w:after="0"/>
              <w:rPr>
                <w:noProof/>
                <w:sz w:val="18"/>
              </w:rPr>
            </w:pPr>
            <w:r w:rsidRPr="00AE55F2">
              <w:rPr>
                <w:noProof/>
                <w:sz w:val="18"/>
              </w:rPr>
              <w:t>Rapiță</w:t>
            </w:r>
          </w:p>
        </w:tc>
        <w:tc>
          <w:tcPr>
            <w:tcW w:w="1683" w:type="pct"/>
            <w:tcBorders>
              <w:top w:val="single" w:sz="4" w:space="0" w:color="DCDDDE"/>
              <w:left w:val="nil"/>
              <w:bottom w:val="single" w:sz="4" w:space="0" w:color="DCDDDE"/>
              <w:right w:val="nil"/>
            </w:tcBorders>
            <w:vAlign w:val="bottom"/>
            <w:hideMark/>
          </w:tcPr>
          <w:p w14:paraId="0D5D241E"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15</w:t>
            </w:r>
            <w:r w:rsidRPr="00AE55F2">
              <w:rPr>
                <w:noProof/>
                <w:sz w:val="18"/>
              </w:rPr>
              <w:t>,</w:t>
            </w:r>
            <w:r w:rsidRPr="00B97A01">
              <w:rPr>
                <w:noProof/>
                <w:sz w:val="18"/>
              </w:rPr>
              <w:t>5</w:t>
            </w:r>
          </w:p>
        </w:tc>
        <w:tc>
          <w:tcPr>
            <w:tcW w:w="1824" w:type="pct"/>
            <w:tcBorders>
              <w:top w:val="single" w:sz="4" w:space="0" w:color="DCDDDE"/>
              <w:left w:val="nil"/>
              <w:bottom w:val="single" w:sz="4" w:space="0" w:color="DCDDDE"/>
              <w:right w:val="nil"/>
            </w:tcBorders>
            <w:vAlign w:val="bottom"/>
            <w:hideMark/>
          </w:tcPr>
          <w:p w14:paraId="493F3969" w14:textId="77777777" w:rsidR="00F165B3" w:rsidRPr="00AE55F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8"/>
              </w:rPr>
              <w:t>1</w:t>
            </w:r>
            <w:r w:rsidRPr="00AE55F2">
              <w:rPr>
                <w:noProof/>
                <w:sz w:val="18"/>
              </w:rPr>
              <w:t> %</w:t>
            </w:r>
          </w:p>
        </w:tc>
      </w:tr>
      <w:tr w:rsidR="00F165B3" w:rsidRPr="00AE55F2" w14:paraId="6CC64502" w14:textId="77777777" w:rsidTr="00AE55F2">
        <w:trPr>
          <w:cnfStyle w:val="000000010000" w:firstRow="0" w:lastRow="0" w:firstColumn="0" w:lastColumn="0" w:oddVBand="0" w:evenVBand="0" w:oddHBand="0" w:evenHBand="1" w:firstRowFirstColumn="0" w:firstRowLastColumn="0" w:lastRowFirstColumn="0" w:lastRowLastColumn="0"/>
          <w:cantSplit/>
          <w:trHeight w:val="60"/>
          <w:jc w:val="center"/>
        </w:trPr>
        <w:tc>
          <w:tcPr>
            <w:cnfStyle w:val="001000000000" w:firstRow="0" w:lastRow="0" w:firstColumn="1" w:lastColumn="0" w:oddVBand="0" w:evenVBand="0" w:oddHBand="0" w:evenHBand="0" w:firstRowFirstColumn="0" w:firstRowLastColumn="0" w:lastRowFirstColumn="0" w:lastRowLastColumn="0"/>
            <w:tcW w:w="1492" w:type="pct"/>
            <w:tcBorders>
              <w:top w:val="single" w:sz="4" w:space="0" w:color="DCDDDE"/>
              <w:left w:val="nil"/>
              <w:bottom w:val="single" w:sz="8" w:space="0" w:color="555759"/>
              <w:right w:val="nil"/>
            </w:tcBorders>
            <w:hideMark/>
          </w:tcPr>
          <w:p w14:paraId="6B821F29" w14:textId="77777777" w:rsidR="00F165B3" w:rsidRPr="00AE55F2" w:rsidRDefault="00F165B3" w:rsidP="00F165B3">
            <w:pPr>
              <w:keepNext/>
              <w:keepLines/>
              <w:spacing w:after="0"/>
              <w:rPr>
                <w:noProof/>
                <w:sz w:val="18"/>
              </w:rPr>
            </w:pPr>
            <w:r w:rsidRPr="00AE55F2">
              <w:rPr>
                <w:noProof/>
                <w:sz w:val="18"/>
              </w:rPr>
              <w:t>Sfeclă de zahăr</w:t>
            </w:r>
          </w:p>
        </w:tc>
        <w:tc>
          <w:tcPr>
            <w:tcW w:w="1683" w:type="pct"/>
            <w:tcBorders>
              <w:top w:val="single" w:sz="4" w:space="0" w:color="DCDDDE"/>
              <w:left w:val="nil"/>
              <w:bottom w:val="single" w:sz="8" w:space="0" w:color="555759"/>
              <w:right w:val="nil"/>
            </w:tcBorders>
            <w:vAlign w:val="bottom"/>
            <w:hideMark/>
          </w:tcPr>
          <w:p w14:paraId="79F26865"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20</w:t>
            </w:r>
            <w:r w:rsidRPr="00AE55F2">
              <w:rPr>
                <w:noProof/>
                <w:sz w:val="18"/>
              </w:rPr>
              <w:t>,</w:t>
            </w:r>
            <w:r w:rsidRPr="00B97A01">
              <w:rPr>
                <w:noProof/>
                <w:sz w:val="18"/>
              </w:rPr>
              <w:t>8</w:t>
            </w:r>
          </w:p>
        </w:tc>
        <w:tc>
          <w:tcPr>
            <w:tcW w:w="1824" w:type="pct"/>
            <w:tcBorders>
              <w:top w:val="single" w:sz="4" w:space="0" w:color="DCDDDE"/>
              <w:left w:val="nil"/>
              <w:bottom w:val="single" w:sz="8" w:space="0" w:color="555759"/>
              <w:right w:val="nil"/>
            </w:tcBorders>
            <w:vAlign w:val="bottom"/>
            <w:hideMark/>
          </w:tcPr>
          <w:p w14:paraId="639BD84F" w14:textId="77777777" w:rsidR="00F165B3" w:rsidRPr="00AE55F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B97A01">
              <w:rPr>
                <w:noProof/>
                <w:sz w:val="18"/>
              </w:rPr>
              <w:t>0</w:t>
            </w:r>
            <w:r w:rsidRPr="00AE55F2">
              <w:rPr>
                <w:noProof/>
                <w:sz w:val="18"/>
              </w:rPr>
              <w:t>,</w:t>
            </w:r>
            <w:r w:rsidRPr="00B97A01">
              <w:rPr>
                <w:noProof/>
                <w:sz w:val="18"/>
              </w:rPr>
              <w:t>01</w:t>
            </w:r>
            <w:r w:rsidRPr="00AE55F2">
              <w:rPr>
                <w:noProof/>
                <w:sz w:val="18"/>
              </w:rPr>
              <w:t> %</w:t>
            </w:r>
          </w:p>
        </w:tc>
      </w:tr>
    </w:tbl>
    <w:p w14:paraId="50CED9DA" w14:textId="72052A77" w:rsidR="00483105" w:rsidRPr="00AE55F2" w:rsidRDefault="00F165B3" w:rsidP="006E112B">
      <w:pPr>
        <w:jc w:val="both"/>
        <w:rPr>
          <w:rFonts w:ascii="Times New Roman" w:eastAsia="Times New Roman" w:hAnsi="Times New Roman" w:cs="Times New Roman"/>
          <w:i/>
          <w:noProof/>
          <w:sz w:val="20"/>
          <w:szCs w:val="20"/>
        </w:rPr>
      </w:pPr>
      <w:r w:rsidRPr="00AE55F2">
        <w:rPr>
          <w:rFonts w:ascii="Times New Roman" w:hAnsi="Times New Roman"/>
          <w:i/>
          <w:noProof/>
          <w:sz w:val="20"/>
        </w:rPr>
        <w:t xml:space="preserve">Tabelul </w:t>
      </w:r>
      <w:r w:rsidRPr="00B97A01">
        <w:rPr>
          <w:rFonts w:ascii="Times New Roman" w:hAnsi="Times New Roman"/>
          <w:i/>
          <w:noProof/>
          <w:sz w:val="20"/>
        </w:rPr>
        <w:t>2</w:t>
      </w:r>
      <w:r w:rsidRPr="00AE55F2">
        <w:rPr>
          <w:rFonts w:ascii="Times New Roman" w:hAnsi="Times New Roman"/>
          <w:i/>
          <w:noProof/>
          <w:sz w:val="20"/>
        </w:rPr>
        <w:t xml:space="preserve"> – Emisiile de GES per cultură și per hectar convertit</w:t>
      </w:r>
    </w:p>
    <w:p w14:paraId="02DEB6C2" w14:textId="38A42CD4" w:rsidR="00483105" w:rsidRPr="00AE55F2" w:rsidRDefault="00F13568" w:rsidP="006E112B">
      <w:pPr>
        <w:jc w:val="both"/>
        <w:rPr>
          <w:rFonts w:ascii="Times New Roman" w:eastAsia="Times New Roman" w:hAnsi="Times New Roman" w:cs="Times New Roman"/>
          <w:i/>
          <w:noProof/>
          <w:sz w:val="24"/>
          <w:szCs w:val="24"/>
        </w:rPr>
      </w:pPr>
      <w:r w:rsidRPr="00AE55F2">
        <w:rPr>
          <w:rFonts w:ascii="Times New Roman" w:hAnsi="Times New Roman"/>
          <w:i/>
          <w:noProof/>
          <w:sz w:val="24"/>
        </w:rPr>
        <w:t xml:space="preserve">Pragul de expansiune </w:t>
      </w:r>
    </w:p>
    <w:p w14:paraId="2D479E93" w14:textId="7FDD052D" w:rsidR="00484E4C" w:rsidRPr="00AE55F2" w:rsidRDefault="00845DA4" w:rsidP="006E112B">
      <w:pPr>
        <w:jc w:val="both"/>
        <w:rPr>
          <w:rFonts w:ascii="Times New Roman" w:hAnsi="Times New Roman" w:cs="Times New Roman"/>
          <w:noProof/>
          <w:sz w:val="24"/>
          <w:szCs w:val="24"/>
        </w:rPr>
      </w:pPr>
      <w:r w:rsidRPr="00AE55F2">
        <w:rPr>
          <w:rFonts w:ascii="Times New Roman" w:hAnsi="Times New Roman"/>
          <w:noProof/>
          <w:sz w:val="24"/>
        </w:rPr>
        <w:t>Pragul de expansiune (%) se estimează prin compararea reducerilor minime implicite ale emisiilor de CO</w:t>
      </w:r>
      <w:r w:rsidRPr="00B97A01">
        <w:rPr>
          <w:rFonts w:ascii="Times New Roman" w:hAnsi="Times New Roman"/>
          <w:noProof/>
          <w:sz w:val="24"/>
          <w:vertAlign w:val="subscript"/>
        </w:rPr>
        <w:t>2</w:t>
      </w:r>
      <w:r w:rsidRPr="00AE55F2">
        <w:rPr>
          <w:rFonts w:ascii="Times New Roman" w:hAnsi="Times New Roman"/>
          <w:noProof/>
          <w:sz w:val="24"/>
        </w:rPr>
        <w:t xml:space="preserve"> (în CO</w:t>
      </w:r>
      <w:r w:rsidRPr="00B97A01">
        <w:rPr>
          <w:rFonts w:ascii="Times New Roman" w:hAnsi="Times New Roman"/>
          <w:noProof/>
          <w:sz w:val="24"/>
          <w:vertAlign w:val="subscript"/>
        </w:rPr>
        <w:t>2</w:t>
      </w:r>
      <w:r w:rsidRPr="00AE55F2">
        <w:rPr>
          <w:rFonts w:ascii="Times New Roman" w:hAnsi="Times New Roman"/>
          <w:noProof/>
          <w:sz w:val="24"/>
        </w:rPr>
        <w:t>/MJ) cu emisiile indirecte de GES calculate (în CO</w:t>
      </w:r>
      <w:r w:rsidRPr="00B97A01">
        <w:rPr>
          <w:rFonts w:ascii="Times New Roman" w:hAnsi="Times New Roman"/>
          <w:noProof/>
          <w:sz w:val="24"/>
          <w:vertAlign w:val="subscript"/>
        </w:rPr>
        <w:t>2</w:t>
      </w:r>
      <w:r w:rsidRPr="00AE55F2">
        <w:rPr>
          <w:rFonts w:ascii="Times New Roman" w:hAnsi="Times New Roman"/>
          <w:noProof/>
          <w:sz w:val="24"/>
        </w:rPr>
        <w:t xml:space="preserve">/MJ) aferente expansiunii materiilor prime în detrimentul terenurilor care stochează cantități ridicate de carbon. Pragul de expansiune anterior, de </w:t>
      </w:r>
      <w:r w:rsidRPr="00B97A01">
        <w:rPr>
          <w:rFonts w:ascii="Times New Roman" w:hAnsi="Times New Roman"/>
          <w:noProof/>
          <w:sz w:val="24"/>
        </w:rPr>
        <w:t>14</w:t>
      </w:r>
      <w:r w:rsidRPr="00AE55F2">
        <w:rPr>
          <w:rFonts w:ascii="Times New Roman" w:hAnsi="Times New Roman"/>
          <w:noProof/>
          <w:sz w:val="24"/>
        </w:rPr>
        <w:t xml:space="preserve"> %, fusese identificat pe baza unor date de intrare specifice privind economiile de GES și randamentul energetic. Aplicând un factor de actualizare precaut de </w:t>
      </w:r>
      <w:r w:rsidRPr="00B97A01">
        <w:rPr>
          <w:rFonts w:ascii="Times New Roman" w:hAnsi="Times New Roman"/>
          <w:noProof/>
          <w:sz w:val="24"/>
        </w:rPr>
        <w:t>30</w:t>
      </w:r>
      <w:r w:rsidRPr="00AE55F2">
        <w:rPr>
          <w:rFonts w:ascii="Times New Roman" w:hAnsi="Times New Roman"/>
          <w:noProof/>
          <w:sz w:val="24"/>
        </w:rPr>
        <w:t xml:space="preserve"> %, pragul a fost coborât la </w:t>
      </w:r>
      <w:r w:rsidRPr="00B97A01">
        <w:rPr>
          <w:rFonts w:ascii="Times New Roman" w:hAnsi="Times New Roman"/>
          <w:noProof/>
          <w:sz w:val="24"/>
        </w:rPr>
        <w:t>10</w:t>
      </w:r>
      <w:r w:rsidRPr="00AE55F2">
        <w:rPr>
          <w:rFonts w:ascii="Times New Roman" w:hAnsi="Times New Roman"/>
          <w:noProof/>
          <w:sz w:val="24"/>
        </w:rPr>
        <w:t> %, astfel cum se prevede la articolul </w:t>
      </w:r>
      <w:r w:rsidRPr="00B97A01">
        <w:rPr>
          <w:rFonts w:ascii="Times New Roman" w:hAnsi="Times New Roman"/>
          <w:noProof/>
          <w:sz w:val="24"/>
        </w:rPr>
        <w:t>3</w:t>
      </w:r>
      <w:r w:rsidRPr="00AE55F2">
        <w:rPr>
          <w:rFonts w:ascii="Times New Roman" w:hAnsi="Times New Roman"/>
          <w:noProof/>
          <w:sz w:val="24"/>
        </w:rPr>
        <w:t xml:space="preserve"> din Regulamentul delegat privind ILUC. Acest prag a fost recalculat cu ajutorul datelor de intrare actualizate, și anume o rată medie mai mare a emisiilor de GES, de </w:t>
      </w:r>
      <w:r w:rsidRPr="00B97A01">
        <w:rPr>
          <w:rFonts w:ascii="Times New Roman" w:hAnsi="Times New Roman"/>
          <w:noProof/>
          <w:sz w:val="24"/>
        </w:rPr>
        <w:t>25</w:t>
      </w:r>
      <w:r w:rsidRPr="00AE55F2">
        <w:rPr>
          <w:rFonts w:ascii="Times New Roman" w:hAnsi="Times New Roman"/>
          <w:noProof/>
          <w:sz w:val="24"/>
        </w:rPr>
        <w:t> tCO</w:t>
      </w:r>
      <w:r w:rsidRPr="00B97A01">
        <w:rPr>
          <w:rFonts w:ascii="Times New Roman" w:hAnsi="Times New Roman"/>
          <w:noProof/>
          <w:sz w:val="24"/>
        </w:rPr>
        <w:t>2</w:t>
      </w:r>
      <w:r w:rsidRPr="00AE55F2">
        <w:rPr>
          <w:rFonts w:ascii="Times New Roman" w:hAnsi="Times New Roman"/>
          <w:noProof/>
          <w:sz w:val="24"/>
        </w:rPr>
        <w:t xml:space="preserve">/ha/an, și un randament energetic ajustat de </w:t>
      </w:r>
      <w:r w:rsidRPr="00B97A01">
        <w:rPr>
          <w:rFonts w:ascii="Times New Roman" w:hAnsi="Times New Roman"/>
          <w:noProof/>
          <w:sz w:val="24"/>
        </w:rPr>
        <w:t>53</w:t>
      </w:r>
      <w:r w:rsidRPr="00AE55F2">
        <w:rPr>
          <w:rFonts w:ascii="Times New Roman" w:hAnsi="Times New Roman"/>
          <w:noProof/>
          <w:sz w:val="24"/>
        </w:rPr>
        <w:t>,</w:t>
      </w:r>
      <w:r w:rsidRPr="00B97A01">
        <w:rPr>
          <w:rFonts w:ascii="Times New Roman" w:hAnsi="Times New Roman"/>
          <w:noProof/>
          <w:sz w:val="24"/>
        </w:rPr>
        <w:t>6</w:t>
      </w:r>
      <w:r w:rsidRPr="00AE55F2">
        <w:rPr>
          <w:rFonts w:ascii="Times New Roman" w:hAnsi="Times New Roman"/>
          <w:noProof/>
          <w:sz w:val="24"/>
        </w:rPr>
        <w:t xml:space="preserve"> GJ/ha/an, rezultând un nou prag de </w:t>
      </w:r>
      <w:r w:rsidRPr="00B97A01">
        <w:rPr>
          <w:rFonts w:ascii="Times New Roman" w:hAnsi="Times New Roman"/>
          <w:noProof/>
          <w:sz w:val="24"/>
        </w:rPr>
        <w:t>11</w:t>
      </w:r>
      <w:r w:rsidRPr="00AE55F2">
        <w:rPr>
          <w:rFonts w:ascii="Times New Roman" w:hAnsi="Times New Roman"/>
          <w:noProof/>
          <w:sz w:val="24"/>
        </w:rPr>
        <w:t>,</w:t>
      </w:r>
      <w:r w:rsidRPr="00B97A01">
        <w:rPr>
          <w:rFonts w:ascii="Times New Roman" w:hAnsi="Times New Roman"/>
          <w:noProof/>
          <w:sz w:val="24"/>
        </w:rPr>
        <w:t>0</w:t>
      </w:r>
      <w:r w:rsidRPr="00AE55F2">
        <w:rPr>
          <w:rFonts w:ascii="Times New Roman" w:hAnsi="Times New Roman"/>
          <w:noProof/>
          <w:sz w:val="24"/>
        </w:rPr>
        <w:t xml:space="preserve"> %, care confirmă alegerea pragului de </w:t>
      </w:r>
      <w:r w:rsidRPr="00B97A01">
        <w:rPr>
          <w:rFonts w:ascii="Times New Roman" w:hAnsi="Times New Roman"/>
          <w:noProof/>
          <w:sz w:val="24"/>
        </w:rPr>
        <w:t>10</w:t>
      </w:r>
      <w:r w:rsidRPr="00AE55F2">
        <w:rPr>
          <w:rFonts w:ascii="Times New Roman" w:hAnsi="Times New Roman"/>
          <w:noProof/>
          <w:sz w:val="24"/>
        </w:rPr>
        <w:t xml:space="preserve"> %. </w:t>
      </w:r>
    </w:p>
    <w:p w14:paraId="4EE49651" w14:textId="2348A3F0" w:rsidR="005D36CE" w:rsidRPr="00AE55F2" w:rsidRDefault="00484E4C" w:rsidP="006E112B">
      <w:pPr>
        <w:jc w:val="both"/>
        <w:rPr>
          <w:rFonts w:ascii="Times New Roman" w:eastAsia="Times New Roman" w:hAnsi="Times New Roman" w:cs="Times New Roman"/>
          <w:i/>
          <w:noProof/>
          <w:sz w:val="24"/>
          <w:szCs w:val="24"/>
        </w:rPr>
      </w:pPr>
      <w:bookmarkStart w:id="8" w:name="_Toc149826817"/>
      <w:r w:rsidRPr="00AE55F2">
        <w:rPr>
          <w:rFonts w:ascii="Times New Roman" w:hAnsi="Times New Roman"/>
          <w:i/>
          <w:noProof/>
          <w:sz w:val="24"/>
        </w:rPr>
        <w:t xml:space="preserve">Randamentul energetic mediu per materie primă </w:t>
      </w:r>
      <w:bookmarkEnd w:id="8"/>
    </w:p>
    <w:p w14:paraId="1B773E2B" w14:textId="69CEB719" w:rsidR="005D36CE" w:rsidRPr="00AE55F2" w:rsidRDefault="003B55FD" w:rsidP="00D937A1">
      <w:pPr>
        <w:jc w:val="both"/>
        <w:rPr>
          <w:rFonts w:ascii="Times New Roman" w:hAnsi="Times New Roman" w:cs="Times New Roman"/>
          <w:noProof/>
          <w:sz w:val="24"/>
          <w:szCs w:val="24"/>
        </w:rPr>
      </w:pPr>
      <w:r w:rsidRPr="00AE55F2">
        <w:rPr>
          <w:rFonts w:ascii="Times New Roman" w:hAnsi="Times New Roman"/>
          <w:noProof/>
          <w:sz w:val="24"/>
        </w:rPr>
        <w:t xml:space="preserve">Randamentul energetic mediu al fiecărei culturi de materii prime a fost calculat printr-o abordare alcătuită din patru etape. În primul rând, au fost identificate principalele zece țări producătoare pentru fiecare materie primă în parte și au fost stabilite contribuțiile procentuale ale acestora. În continuare, pe baza datelor FAOstat privind randamentul s-a calculat randamentul mediu al culturilor din aceste zece țări pentru fiecare an. În a treia etapă, cu ajutorul acestui randament s-a calculat randamentul energetic individual anual al fiecărei culturi. La final s-a calculat randamentul energetic mediu pentru perioada </w:t>
      </w:r>
      <w:r w:rsidRPr="00B97A01">
        <w:rPr>
          <w:rFonts w:ascii="Times New Roman" w:hAnsi="Times New Roman"/>
          <w:noProof/>
          <w:sz w:val="24"/>
        </w:rPr>
        <w:t>2014</w:t>
      </w:r>
      <w:r w:rsidRPr="00AE55F2">
        <w:rPr>
          <w:rFonts w:ascii="Times New Roman" w:hAnsi="Times New Roman"/>
          <w:noProof/>
          <w:sz w:val="24"/>
        </w:rPr>
        <w:t>-</w:t>
      </w:r>
      <w:r w:rsidRPr="00B97A01">
        <w:rPr>
          <w:rFonts w:ascii="Times New Roman" w:hAnsi="Times New Roman"/>
          <w:noProof/>
          <w:sz w:val="24"/>
        </w:rPr>
        <w:t>2021</w:t>
      </w:r>
      <w:r w:rsidRPr="00AE55F2">
        <w:rPr>
          <w:rFonts w:ascii="Times New Roman" w:hAnsi="Times New Roman"/>
          <w:noProof/>
          <w:sz w:val="24"/>
        </w:rPr>
        <w:t xml:space="preserve">, astfel cum se arată în tabelul </w:t>
      </w:r>
      <w:r w:rsidRPr="00B97A01">
        <w:rPr>
          <w:rFonts w:ascii="Times New Roman" w:hAnsi="Times New Roman"/>
          <w:noProof/>
          <w:sz w:val="24"/>
        </w:rPr>
        <w:t>3</w:t>
      </w:r>
      <w:r w:rsidRPr="00AE55F2">
        <w:rPr>
          <w:rFonts w:ascii="Times New Roman" w:hAnsi="Times New Roman"/>
          <w:noProof/>
          <w:sz w:val="24"/>
        </w:rPr>
        <w:t xml:space="preserve">. </w:t>
      </w:r>
    </w:p>
    <w:p w14:paraId="4898C88B" w14:textId="520DF5BF" w:rsidR="005D36CE" w:rsidRPr="00AE55F2" w:rsidRDefault="005D36CE" w:rsidP="005D36CE">
      <w:pPr>
        <w:keepNext/>
        <w:keepLines/>
        <w:spacing w:after="120" w:line="240" w:lineRule="auto"/>
        <w:jc w:val="center"/>
        <w:rPr>
          <w:rFonts w:ascii="Arial" w:eastAsia="Times New Roman" w:hAnsi="Arial" w:cs="Arial"/>
          <w:b/>
          <w:bCs/>
          <w:noProof/>
          <w:szCs w:val="20"/>
        </w:rPr>
      </w:pPr>
    </w:p>
    <w:tbl>
      <w:tblPr>
        <w:tblStyle w:val="EnergyReportTable2"/>
        <w:tblW w:w="5000" w:type="pct"/>
        <w:jc w:val="center"/>
        <w:tblInd w:w="0" w:type="dxa"/>
        <w:tblLook w:val="04A0" w:firstRow="1" w:lastRow="0" w:firstColumn="1" w:lastColumn="0" w:noHBand="0" w:noVBand="1"/>
      </w:tblPr>
      <w:tblGrid>
        <w:gridCol w:w="991"/>
        <w:gridCol w:w="790"/>
        <w:gridCol w:w="911"/>
        <w:gridCol w:w="927"/>
        <w:gridCol w:w="1142"/>
        <w:gridCol w:w="1061"/>
        <w:gridCol w:w="1029"/>
        <w:gridCol w:w="1061"/>
        <w:gridCol w:w="1114"/>
      </w:tblGrid>
      <w:tr w:rsidR="005D36CE" w:rsidRPr="00AE55F2" w14:paraId="1DFD50C1" w14:textId="77777777" w:rsidTr="005D36CE">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494" w:type="pct"/>
            <w:shd w:val="clear" w:color="auto" w:fill="93D500"/>
            <w:hideMark/>
          </w:tcPr>
          <w:p w14:paraId="28525CEE" w14:textId="77777777" w:rsidR="005D36CE" w:rsidRPr="00AE55F2" w:rsidRDefault="005D36CE" w:rsidP="005D36CE">
            <w:pPr>
              <w:keepNext/>
              <w:keepLines/>
              <w:spacing w:after="0"/>
              <w:jc w:val="center"/>
              <w:rPr>
                <w:noProof/>
                <w:sz w:val="18"/>
                <w:szCs w:val="18"/>
              </w:rPr>
            </w:pPr>
            <w:r w:rsidRPr="00AE55F2">
              <w:rPr>
                <w:noProof/>
                <w:sz w:val="18"/>
              </w:rPr>
              <w:t>Perioadă</w:t>
            </w:r>
          </w:p>
        </w:tc>
        <w:tc>
          <w:tcPr>
            <w:tcW w:w="449" w:type="pct"/>
            <w:shd w:val="clear" w:color="auto" w:fill="93D500"/>
            <w:hideMark/>
          </w:tcPr>
          <w:p w14:paraId="7AC3E788"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Grâu</w:t>
            </w:r>
          </w:p>
        </w:tc>
        <w:tc>
          <w:tcPr>
            <w:tcW w:w="481" w:type="pct"/>
            <w:shd w:val="clear" w:color="auto" w:fill="93D500"/>
            <w:hideMark/>
          </w:tcPr>
          <w:p w14:paraId="48963AC7"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Porumb</w:t>
            </w:r>
          </w:p>
        </w:tc>
        <w:tc>
          <w:tcPr>
            <w:tcW w:w="525" w:type="pct"/>
            <w:shd w:val="clear" w:color="auto" w:fill="93D500"/>
            <w:hideMark/>
          </w:tcPr>
          <w:p w14:paraId="4659AD33"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Trestie de zahăr</w:t>
            </w:r>
          </w:p>
        </w:tc>
        <w:tc>
          <w:tcPr>
            <w:tcW w:w="644" w:type="pct"/>
            <w:shd w:val="clear" w:color="auto" w:fill="93D500"/>
            <w:hideMark/>
          </w:tcPr>
          <w:p w14:paraId="79564D3F"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Sfeclă de zahăr</w:t>
            </w:r>
          </w:p>
        </w:tc>
        <w:tc>
          <w:tcPr>
            <w:tcW w:w="599" w:type="pct"/>
            <w:shd w:val="clear" w:color="auto" w:fill="93D500"/>
            <w:hideMark/>
          </w:tcPr>
          <w:p w14:paraId="7EDE7447"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Rapiță</w:t>
            </w:r>
          </w:p>
        </w:tc>
        <w:tc>
          <w:tcPr>
            <w:tcW w:w="581" w:type="pct"/>
            <w:shd w:val="clear" w:color="auto" w:fill="93D500"/>
            <w:hideMark/>
          </w:tcPr>
          <w:p w14:paraId="371FB484"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Fructe de palmier de ulei</w:t>
            </w:r>
          </w:p>
        </w:tc>
        <w:tc>
          <w:tcPr>
            <w:tcW w:w="599" w:type="pct"/>
            <w:shd w:val="clear" w:color="auto" w:fill="93D500"/>
            <w:hideMark/>
          </w:tcPr>
          <w:p w14:paraId="565CF502"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Boabe de soia</w:t>
            </w:r>
          </w:p>
        </w:tc>
        <w:tc>
          <w:tcPr>
            <w:tcW w:w="629" w:type="pct"/>
            <w:shd w:val="clear" w:color="auto" w:fill="93D500"/>
            <w:hideMark/>
          </w:tcPr>
          <w:p w14:paraId="47302B63" w14:textId="77777777" w:rsidR="005D36CE" w:rsidRPr="00AE55F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AE55F2">
              <w:rPr>
                <w:noProof/>
                <w:sz w:val="18"/>
              </w:rPr>
              <w:t>Semințe de floarea-soarelui</w:t>
            </w:r>
          </w:p>
        </w:tc>
      </w:tr>
      <w:tr w:rsidR="005D36CE" w:rsidRPr="00AE55F2" w14:paraId="264FA9CA" w14:textId="77777777" w:rsidTr="005D36CE">
        <w:trPr>
          <w:cnfStyle w:val="000000100000" w:firstRow="0" w:lastRow="0" w:firstColumn="0" w:lastColumn="0" w:oddVBand="0" w:evenVBand="0" w:oddHBand="1" w:evenHBand="0" w:firstRowFirstColumn="0" w:firstRowLastColumn="0" w:lastRowFirstColumn="0" w:lastRowLastColumn="0"/>
          <w:cantSplit/>
          <w:trHeight w:val="259"/>
          <w:jc w:val="center"/>
        </w:trPr>
        <w:tc>
          <w:tcPr>
            <w:cnfStyle w:val="001000000000" w:firstRow="0" w:lastRow="0" w:firstColumn="1" w:lastColumn="0" w:oddVBand="0" w:evenVBand="0" w:oddHBand="0" w:evenHBand="0" w:firstRowFirstColumn="0" w:firstRowLastColumn="0" w:lastRowFirstColumn="0" w:lastRowLastColumn="0"/>
            <w:tcW w:w="494" w:type="pct"/>
            <w:tcBorders>
              <w:top w:val="single" w:sz="4" w:space="0" w:color="DCDDDE"/>
              <w:left w:val="nil"/>
              <w:bottom w:val="single" w:sz="8" w:space="0" w:color="555759"/>
              <w:right w:val="nil"/>
            </w:tcBorders>
            <w:hideMark/>
          </w:tcPr>
          <w:p w14:paraId="1A0FC326" w14:textId="77777777" w:rsidR="005D36CE" w:rsidRPr="00AE55F2" w:rsidRDefault="005D36CE" w:rsidP="005D36CE">
            <w:pPr>
              <w:keepNext/>
              <w:keepLines/>
              <w:spacing w:after="0"/>
              <w:rPr>
                <w:noProof/>
                <w:sz w:val="18"/>
                <w:szCs w:val="18"/>
              </w:rPr>
            </w:pPr>
            <w:r w:rsidRPr="00B97A01">
              <w:rPr>
                <w:noProof/>
                <w:sz w:val="18"/>
              </w:rPr>
              <w:t>2014</w:t>
            </w:r>
            <w:r w:rsidRPr="00AE55F2">
              <w:rPr>
                <w:noProof/>
                <w:sz w:val="18"/>
              </w:rPr>
              <w:t>-</w:t>
            </w:r>
            <w:r w:rsidRPr="00B97A01">
              <w:rPr>
                <w:noProof/>
                <w:sz w:val="18"/>
              </w:rPr>
              <w:t>2021</w:t>
            </w:r>
          </w:p>
        </w:tc>
        <w:tc>
          <w:tcPr>
            <w:tcW w:w="449" w:type="pct"/>
            <w:tcBorders>
              <w:top w:val="single" w:sz="4" w:space="0" w:color="DCDDDE"/>
              <w:left w:val="nil"/>
              <w:bottom w:val="single" w:sz="8" w:space="0" w:color="555759"/>
              <w:right w:val="nil"/>
            </w:tcBorders>
            <w:hideMark/>
          </w:tcPr>
          <w:p w14:paraId="69BE43C5"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32</w:t>
            </w:r>
          </w:p>
        </w:tc>
        <w:tc>
          <w:tcPr>
            <w:tcW w:w="481" w:type="pct"/>
            <w:tcBorders>
              <w:top w:val="single" w:sz="4" w:space="0" w:color="DCDDDE"/>
              <w:left w:val="nil"/>
              <w:bottom w:val="single" w:sz="8" w:space="0" w:color="555759"/>
              <w:right w:val="nil"/>
            </w:tcBorders>
            <w:hideMark/>
          </w:tcPr>
          <w:p w14:paraId="433ADAE5"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62</w:t>
            </w:r>
          </w:p>
        </w:tc>
        <w:tc>
          <w:tcPr>
            <w:tcW w:w="525" w:type="pct"/>
            <w:tcBorders>
              <w:top w:val="single" w:sz="4" w:space="0" w:color="DCDDDE"/>
              <w:left w:val="nil"/>
              <w:bottom w:val="single" w:sz="8" w:space="0" w:color="555759"/>
              <w:right w:val="nil"/>
            </w:tcBorders>
            <w:hideMark/>
          </w:tcPr>
          <w:p w14:paraId="43EC6679"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144</w:t>
            </w:r>
          </w:p>
        </w:tc>
        <w:tc>
          <w:tcPr>
            <w:tcW w:w="644" w:type="pct"/>
            <w:tcBorders>
              <w:top w:val="single" w:sz="4" w:space="0" w:color="DCDDDE"/>
              <w:left w:val="nil"/>
              <w:bottom w:val="single" w:sz="8" w:space="0" w:color="555759"/>
              <w:right w:val="nil"/>
            </w:tcBorders>
            <w:hideMark/>
          </w:tcPr>
          <w:p w14:paraId="5F23FD48"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133</w:t>
            </w:r>
          </w:p>
        </w:tc>
        <w:tc>
          <w:tcPr>
            <w:tcW w:w="599" w:type="pct"/>
            <w:tcBorders>
              <w:top w:val="single" w:sz="4" w:space="0" w:color="DCDDDE"/>
              <w:left w:val="nil"/>
              <w:bottom w:val="single" w:sz="8" w:space="0" w:color="555759"/>
              <w:right w:val="nil"/>
            </w:tcBorders>
            <w:hideMark/>
          </w:tcPr>
          <w:p w14:paraId="02B89E62"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32</w:t>
            </w:r>
          </w:p>
        </w:tc>
        <w:tc>
          <w:tcPr>
            <w:tcW w:w="581" w:type="pct"/>
            <w:tcBorders>
              <w:top w:val="single" w:sz="4" w:space="0" w:color="DCDDDE"/>
              <w:left w:val="nil"/>
              <w:bottom w:val="single" w:sz="8" w:space="0" w:color="555759"/>
              <w:right w:val="nil"/>
            </w:tcBorders>
            <w:hideMark/>
          </w:tcPr>
          <w:p w14:paraId="7FA0C64D"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132</w:t>
            </w:r>
          </w:p>
        </w:tc>
        <w:tc>
          <w:tcPr>
            <w:tcW w:w="599" w:type="pct"/>
            <w:tcBorders>
              <w:top w:val="single" w:sz="4" w:space="0" w:color="DCDDDE"/>
              <w:left w:val="nil"/>
              <w:bottom w:val="single" w:sz="8" w:space="0" w:color="555759"/>
              <w:right w:val="nil"/>
            </w:tcBorders>
            <w:hideMark/>
          </w:tcPr>
          <w:p w14:paraId="55E47AB9"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19</w:t>
            </w:r>
          </w:p>
        </w:tc>
        <w:tc>
          <w:tcPr>
            <w:tcW w:w="629" w:type="pct"/>
            <w:tcBorders>
              <w:top w:val="single" w:sz="4" w:space="0" w:color="DCDDDE"/>
              <w:left w:val="nil"/>
              <w:bottom w:val="single" w:sz="8" w:space="0" w:color="555759"/>
              <w:right w:val="nil"/>
            </w:tcBorders>
            <w:hideMark/>
          </w:tcPr>
          <w:p w14:paraId="3944FAA0" w14:textId="77777777" w:rsidR="005D36CE" w:rsidRPr="00AE55F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B97A01">
              <w:rPr>
                <w:noProof/>
                <w:sz w:val="16"/>
              </w:rPr>
              <w:t>30</w:t>
            </w:r>
          </w:p>
        </w:tc>
      </w:tr>
    </w:tbl>
    <w:p w14:paraId="126E24B5" w14:textId="04A9504D" w:rsidR="005D36CE" w:rsidRPr="00AE55F2" w:rsidRDefault="00484E4C" w:rsidP="006E112B">
      <w:pPr>
        <w:jc w:val="both"/>
        <w:rPr>
          <w:rFonts w:ascii="Times New Roman" w:eastAsia="Times New Roman" w:hAnsi="Times New Roman" w:cs="Times New Roman"/>
          <w:i/>
          <w:noProof/>
          <w:sz w:val="20"/>
          <w:szCs w:val="20"/>
        </w:rPr>
      </w:pPr>
      <w:r w:rsidRPr="00AE55F2">
        <w:rPr>
          <w:rFonts w:ascii="Times New Roman" w:hAnsi="Times New Roman"/>
          <w:i/>
          <w:noProof/>
          <w:sz w:val="20"/>
        </w:rPr>
        <w:t xml:space="preserve">Tabelul </w:t>
      </w:r>
      <w:r w:rsidRPr="00B97A01">
        <w:rPr>
          <w:rFonts w:ascii="Times New Roman" w:hAnsi="Times New Roman"/>
          <w:i/>
          <w:noProof/>
          <w:sz w:val="20"/>
        </w:rPr>
        <w:t>3</w:t>
      </w:r>
      <w:r w:rsidRPr="00AE55F2">
        <w:rPr>
          <w:rFonts w:ascii="Times New Roman" w:hAnsi="Times New Roman"/>
          <w:i/>
          <w:noProof/>
          <w:sz w:val="20"/>
        </w:rPr>
        <w:t xml:space="preserve"> – Randamentul energetic mediu per materie primă, în GJ/ha</w:t>
      </w:r>
    </w:p>
    <w:p w14:paraId="3FF77FA6" w14:textId="0B315442" w:rsidR="00F06A77" w:rsidRPr="00AE55F2" w:rsidRDefault="00F06A77" w:rsidP="006E112B">
      <w:pPr>
        <w:jc w:val="both"/>
        <w:rPr>
          <w:rFonts w:ascii="Times New Roman" w:hAnsi="Times New Roman" w:cs="Times New Roman"/>
          <w:i/>
          <w:iCs/>
          <w:noProof/>
          <w:sz w:val="24"/>
          <w:szCs w:val="24"/>
        </w:rPr>
      </w:pPr>
      <w:r w:rsidRPr="00AE55F2">
        <w:rPr>
          <w:rFonts w:ascii="Times New Roman" w:hAnsi="Times New Roman"/>
          <w:i/>
          <w:noProof/>
          <w:sz w:val="24"/>
        </w:rPr>
        <w:t>Factorii de productivitate</w:t>
      </w:r>
    </w:p>
    <w:p w14:paraId="519F65E2" w14:textId="78B5327E" w:rsidR="00F06A77" w:rsidRPr="00AE55F2" w:rsidRDefault="00EB4080" w:rsidP="006E112B">
      <w:pPr>
        <w:jc w:val="both"/>
        <w:rPr>
          <w:rFonts w:ascii="Times New Roman" w:hAnsi="Times New Roman" w:cs="Times New Roman"/>
          <w:noProof/>
          <w:sz w:val="24"/>
          <w:szCs w:val="24"/>
        </w:rPr>
      </w:pPr>
      <w:r w:rsidRPr="00AE55F2">
        <w:rPr>
          <w:rFonts w:ascii="Times New Roman" w:hAnsi="Times New Roman"/>
          <w:noProof/>
          <w:sz w:val="24"/>
        </w:rPr>
        <w:t xml:space="preserve">Factorii de productivitate ai diverselor culturi au fost calculați determinând mai întâi randamentul mediu la hectar al fiecărei culturi în perioada </w:t>
      </w:r>
      <w:r w:rsidRPr="00B97A01">
        <w:rPr>
          <w:rFonts w:ascii="Times New Roman" w:hAnsi="Times New Roman"/>
          <w:noProof/>
          <w:sz w:val="24"/>
        </w:rPr>
        <w:t>2014</w:t>
      </w:r>
      <w:r w:rsidRPr="00AE55F2">
        <w:rPr>
          <w:rFonts w:ascii="Times New Roman" w:hAnsi="Times New Roman"/>
          <w:noProof/>
          <w:sz w:val="24"/>
        </w:rPr>
        <w:t>-</w:t>
      </w:r>
      <w:r w:rsidRPr="00B97A01">
        <w:rPr>
          <w:rFonts w:ascii="Times New Roman" w:hAnsi="Times New Roman"/>
          <w:noProof/>
          <w:sz w:val="24"/>
        </w:rPr>
        <w:t>2021</w:t>
      </w:r>
      <w:r w:rsidRPr="00AE55F2">
        <w:rPr>
          <w:rFonts w:ascii="Times New Roman" w:hAnsi="Times New Roman"/>
          <w:noProof/>
          <w:sz w:val="24"/>
        </w:rPr>
        <w:t xml:space="preserve">, exprimat în tone la hectar. A fost apoi calculată ponderea energiei totale a tuturor materialelor alocate pe unitate de cultură, luându-se în considerare toate produsele comercializate, precum și eventualele pierderi, cum ar fi cele survenite în timpul transportului. În continuare, s-a calculat energia tuturor materialelor alocate pe durata a </w:t>
      </w:r>
      <w:r w:rsidRPr="00B97A01">
        <w:rPr>
          <w:rFonts w:ascii="Times New Roman" w:hAnsi="Times New Roman"/>
          <w:noProof/>
          <w:sz w:val="24"/>
        </w:rPr>
        <w:t>20</w:t>
      </w:r>
      <w:r w:rsidRPr="00AE55F2">
        <w:rPr>
          <w:rFonts w:ascii="Times New Roman" w:hAnsi="Times New Roman"/>
          <w:noProof/>
          <w:sz w:val="24"/>
        </w:rPr>
        <w:t xml:space="preserve"> de ani pentru un hectar plantat. La final s-a determinat factorul de productivitate al fiecărei culturi, prin indexarea valorilor energetice calculate în etapa anterioară. Valorile calculate în studiul Guidehouse au urmat îndeaproape valorile indicate în Raportul Comisiei din </w:t>
      </w:r>
      <w:r w:rsidRPr="00B97A01">
        <w:rPr>
          <w:rFonts w:ascii="Times New Roman" w:hAnsi="Times New Roman"/>
          <w:noProof/>
          <w:sz w:val="24"/>
        </w:rPr>
        <w:t>2019</w:t>
      </w:r>
      <w:r w:rsidRPr="00AE55F2">
        <w:rPr>
          <w:rFonts w:ascii="Times New Roman" w:hAnsi="Times New Roman"/>
          <w:noProof/>
          <w:sz w:val="24"/>
        </w:rPr>
        <w:t xml:space="preserve"> privind ILUC. S-a constatat că porumbul, trestia de zahăr, sfecla de zahăr și palmierii de ulei au randamente semnificativ mai mari decât alte culturi, ceea ce justifică aplicarea în continuare a unor factori de productivitate mai mari pentru aceste culturi. </w:t>
      </w:r>
    </w:p>
    <w:tbl>
      <w:tblPr>
        <w:tblStyle w:val="EnergyReportTable3"/>
        <w:tblpPr w:leftFromText="180" w:rightFromText="180" w:vertAnchor="text" w:horzAnchor="margin" w:tblpY="351"/>
        <w:tblW w:w="3862" w:type="pct"/>
        <w:tblInd w:w="0" w:type="dxa"/>
        <w:tblLook w:val="04A0" w:firstRow="1" w:lastRow="0" w:firstColumn="1" w:lastColumn="0" w:noHBand="0" w:noVBand="1"/>
      </w:tblPr>
      <w:tblGrid>
        <w:gridCol w:w="2086"/>
        <w:gridCol w:w="2831"/>
        <w:gridCol w:w="2055"/>
      </w:tblGrid>
      <w:tr w:rsidR="00092F1B" w:rsidRPr="00AE55F2" w14:paraId="682654B3" w14:textId="77777777" w:rsidTr="00092F1B">
        <w:trPr>
          <w:cnfStyle w:val="100000000000" w:firstRow="1" w:lastRow="0" w:firstColumn="0" w:lastColumn="0" w:oddVBand="0" w:evenVBand="0" w:oddHBand="0" w:evenHBand="0" w:firstRowFirstColumn="0" w:firstRowLastColumn="0" w:lastRowFirstColumn="0" w:lastRowLastColumn="0"/>
          <w:cantSplit/>
          <w:trHeight w:val="624"/>
        </w:trPr>
        <w:tc>
          <w:tcPr>
            <w:cnfStyle w:val="001000000000" w:firstRow="0" w:lastRow="0" w:firstColumn="1" w:lastColumn="0" w:oddVBand="0" w:evenVBand="0" w:oddHBand="0" w:evenHBand="0" w:firstRowFirstColumn="0" w:firstRowLastColumn="0" w:lastRowFirstColumn="0" w:lastRowLastColumn="0"/>
            <w:tcW w:w="1496" w:type="pct"/>
            <w:shd w:val="clear" w:color="auto" w:fill="93D500"/>
            <w:hideMark/>
          </w:tcPr>
          <w:p w14:paraId="65EBD9DC" w14:textId="77777777" w:rsidR="00092F1B" w:rsidRPr="00AE55F2" w:rsidRDefault="00092F1B" w:rsidP="00092F1B">
            <w:pPr>
              <w:spacing w:after="0"/>
              <w:rPr>
                <w:noProof/>
                <w:sz w:val="18"/>
                <w:szCs w:val="16"/>
              </w:rPr>
            </w:pPr>
            <w:r w:rsidRPr="00AE55F2">
              <w:rPr>
                <w:noProof/>
                <w:sz w:val="18"/>
              </w:rPr>
              <w:t>Cultură</w:t>
            </w:r>
          </w:p>
        </w:tc>
        <w:tc>
          <w:tcPr>
            <w:tcW w:w="2030" w:type="pct"/>
            <w:shd w:val="clear" w:color="auto" w:fill="93D500"/>
            <w:hideMark/>
          </w:tcPr>
          <w:p w14:paraId="2411ADCE" w14:textId="77777777" w:rsidR="00092F1B" w:rsidRPr="00AE55F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sidRPr="00AE55F2">
              <w:rPr>
                <w:noProof/>
                <w:sz w:val="18"/>
              </w:rPr>
              <w:t xml:space="preserve">FP din raportul privind expansiunea materiilor prime </w:t>
            </w:r>
            <w:r w:rsidRPr="00B97A01">
              <w:rPr>
                <w:noProof/>
                <w:sz w:val="18"/>
              </w:rPr>
              <w:t>2008</w:t>
            </w:r>
            <w:r w:rsidRPr="00AE55F2">
              <w:rPr>
                <w:noProof/>
                <w:sz w:val="18"/>
              </w:rPr>
              <w:t>-</w:t>
            </w:r>
            <w:r w:rsidRPr="00B97A01">
              <w:rPr>
                <w:noProof/>
                <w:sz w:val="18"/>
              </w:rPr>
              <w:t>2017</w:t>
            </w:r>
          </w:p>
        </w:tc>
        <w:tc>
          <w:tcPr>
            <w:tcW w:w="1474" w:type="pct"/>
            <w:shd w:val="clear" w:color="auto" w:fill="93D500"/>
            <w:hideMark/>
          </w:tcPr>
          <w:p w14:paraId="55458C5B" w14:textId="77777777" w:rsidR="00092F1B" w:rsidRPr="00AE55F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sidRPr="00AE55F2">
              <w:rPr>
                <w:noProof/>
                <w:sz w:val="18"/>
              </w:rPr>
              <w:t xml:space="preserve">FP din prezenta analiză pentru </w:t>
            </w:r>
            <w:r w:rsidRPr="00B97A01">
              <w:rPr>
                <w:noProof/>
                <w:sz w:val="18"/>
              </w:rPr>
              <w:t>2014</w:t>
            </w:r>
            <w:r w:rsidRPr="00AE55F2">
              <w:rPr>
                <w:noProof/>
                <w:sz w:val="18"/>
              </w:rPr>
              <w:t>-</w:t>
            </w:r>
            <w:r w:rsidRPr="00B97A01">
              <w:rPr>
                <w:noProof/>
                <w:sz w:val="18"/>
              </w:rPr>
              <w:t>2021</w:t>
            </w:r>
          </w:p>
        </w:tc>
      </w:tr>
      <w:tr w:rsidR="00092F1B" w:rsidRPr="00AE55F2" w14:paraId="41F84FCF"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218C4879" w14:textId="77777777" w:rsidR="00092F1B" w:rsidRPr="00AE55F2" w:rsidRDefault="00092F1B" w:rsidP="00092F1B">
            <w:pPr>
              <w:spacing w:after="0"/>
              <w:rPr>
                <w:b/>
                <w:noProof/>
                <w:color w:val="3F4143"/>
                <w:sz w:val="18"/>
                <w:szCs w:val="16"/>
              </w:rPr>
            </w:pPr>
            <w:r w:rsidRPr="00AE55F2">
              <w:rPr>
                <w:b/>
                <w:noProof/>
                <w:color w:val="3F4143"/>
                <w:sz w:val="18"/>
              </w:rPr>
              <w:t>Grâu</w:t>
            </w:r>
          </w:p>
        </w:tc>
        <w:tc>
          <w:tcPr>
            <w:tcW w:w="2030" w:type="pct"/>
            <w:tcBorders>
              <w:top w:val="single" w:sz="4" w:space="0" w:color="DCDDDE"/>
              <w:left w:val="nil"/>
              <w:bottom w:val="single" w:sz="4" w:space="0" w:color="DCDDDE"/>
              <w:right w:val="nil"/>
            </w:tcBorders>
            <w:noWrap/>
            <w:hideMark/>
          </w:tcPr>
          <w:p w14:paraId="1DC4FD96" w14:textId="77777777" w:rsidR="00092F1B" w:rsidRPr="00AE55F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1</w:t>
            </w:r>
          </w:p>
        </w:tc>
        <w:tc>
          <w:tcPr>
            <w:tcW w:w="1474" w:type="pct"/>
            <w:tcBorders>
              <w:top w:val="single" w:sz="4" w:space="0" w:color="DCDDDE"/>
              <w:left w:val="nil"/>
              <w:bottom w:val="single" w:sz="4" w:space="0" w:color="DCDDDE"/>
              <w:right w:val="nil"/>
            </w:tcBorders>
            <w:noWrap/>
            <w:hideMark/>
          </w:tcPr>
          <w:p w14:paraId="29411CBD" w14:textId="5CE671B7" w:rsidR="00092F1B" w:rsidRPr="00AE55F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0</w:t>
            </w:r>
            <w:r w:rsidRPr="00AE55F2">
              <w:rPr>
                <w:noProof/>
                <w:sz w:val="18"/>
              </w:rPr>
              <w:t>,</w:t>
            </w:r>
            <w:r w:rsidRPr="00B97A01">
              <w:rPr>
                <w:noProof/>
                <w:sz w:val="18"/>
              </w:rPr>
              <w:t>9</w:t>
            </w:r>
          </w:p>
        </w:tc>
      </w:tr>
      <w:tr w:rsidR="00092F1B" w:rsidRPr="00AE55F2" w14:paraId="36D15844"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E1A872C" w14:textId="77777777" w:rsidR="00092F1B" w:rsidRPr="00AE55F2" w:rsidRDefault="00092F1B" w:rsidP="00092F1B">
            <w:pPr>
              <w:spacing w:after="0"/>
              <w:rPr>
                <w:b/>
                <w:noProof/>
                <w:color w:val="3F4143"/>
                <w:sz w:val="18"/>
                <w:szCs w:val="16"/>
              </w:rPr>
            </w:pPr>
            <w:r w:rsidRPr="00AE55F2">
              <w:rPr>
                <w:b/>
                <w:noProof/>
                <w:color w:val="3F4143"/>
                <w:sz w:val="18"/>
              </w:rPr>
              <w:t>Porumb</w:t>
            </w:r>
          </w:p>
        </w:tc>
        <w:tc>
          <w:tcPr>
            <w:tcW w:w="2030" w:type="pct"/>
            <w:tcBorders>
              <w:top w:val="single" w:sz="4" w:space="0" w:color="DCDDDE"/>
              <w:left w:val="nil"/>
              <w:bottom w:val="single" w:sz="4" w:space="0" w:color="DCDDDE"/>
              <w:right w:val="nil"/>
            </w:tcBorders>
            <w:noWrap/>
            <w:hideMark/>
          </w:tcPr>
          <w:p w14:paraId="0AC08E0F" w14:textId="77777777" w:rsidR="00092F1B" w:rsidRPr="00AE55F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1</w:t>
            </w:r>
            <w:r w:rsidRPr="00AE55F2">
              <w:rPr>
                <w:noProof/>
                <w:sz w:val="18"/>
              </w:rPr>
              <w:t>,</w:t>
            </w:r>
            <w:r w:rsidRPr="00B97A01">
              <w:rPr>
                <w:noProof/>
                <w:sz w:val="18"/>
              </w:rPr>
              <w:t>7</w:t>
            </w:r>
          </w:p>
        </w:tc>
        <w:tc>
          <w:tcPr>
            <w:tcW w:w="1474" w:type="pct"/>
            <w:tcBorders>
              <w:top w:val="single" w:sz="4" w:space="0" w:color="DCDDDE"/>
              <w:left w:val="nil"/>
              <w:bottom w:val="single" w:sz="4" w:space="0" w:color="DCDDDE"/>
              <w:right w:val="nil"/>
            </w:tcBorders>
            <w:noWrap/>
            <w:hideMark/>
          </w:tcPr>
          <w:p w14:paraId="18169EA8" w14:textId="77777777" w:rsidR="00092F1B" w:rsidRPr="00AE55F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2</w:t>
            </w:r>
            <w:r w:rsidRPr="00AE55F2">
              <w:rPr>
                <w:noProof/>
                <w:sz w:val="18"/>
              </w:rPr>
              <w:t>,</w:t>
            </w:r>
            <w:r w:rsidRPr="00B97A01">
              <w:rPr>
                <w:noProof/>
                <w:sz w:val="18"/>
              </w:rPr>
              <w:t>0</w:t>
            </w:r>
          </w:p>
        </w:tc>
      </w:tr>
      <w:tr w:rsidR="00092F1B" w:rsidRPr="00AE55F2" w14:paraId="78B48F48"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1833FC40" w14:textId="77777777" w:rsidR="00092F1B" w:rsidRPr="00AE55F2" w:rsidRDefault="00092F1B" w:rsidP="00092F1B">
            <w:pPr>
              <w:spacing w:after="0"/>
              <w:rPr>
                <w:b/>
                <w:noProof/>
                <w:color w:val="3F4143"/>
                <w:sz w:val="18"/>
                <w:szCs w:val="16"/>
              </w:rPr>
            </w:pPr>
            <w:r w:rsidRPr="00AE55F2">
              <w:rPr>
                <w:b/>
                <w:noProof/>
                <w:color w:val="3F4143"/>
                <w:sz w:val="18"/>
              </w:rPr>
              <w:t>Trestie de zahăr</w:t>
            </w:r>
          </w:p>
        </w:tc>
        <w:tc>
          <w:tcPr>
            <w:tcW w:w="2030" w:type="pct"/>
            <w:tcBorders>
              <w:top w:val="single" w:sz="4" w:space="0" w:color="DCDDDE"/>
              <w:left w:val="nil"/>
              <w:bottom w:val="single" w:sz="4" w:space="0" w:color="DCDDDE"/>
              <w:right w:val="nil"/>
            </w:tcBorders>
            <w:noWrap/>
            <w:hideMark/>
          </w:tcPr>
          <w:p w14:paraId="1D60EB09" w14:textId="77777777" w:rsidR="00092F1B" w:rsidRPr="00AE55F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2</w:t>
            </w:r>
            <w:r w:rsidRPr="00AE55F2">
              <w:rPr>
                <w:noProof/>
                <w:sz w:val="18"/>
              </w:rPr>
              <w:t>,</w:t>
            </w:r>
            <w:r w:rsidRPr="00B97A01">
              <w:rPr>
                <w:noProof/>
                <w:sz w:val="18"/>
              </w:rPr>
              <w:t>2</w:t>
            </w:r>
          </w:p>
        </w:tc>
        <w:tc>
          <w:tcPr>
            <w:tcW w:w="1474" w:type="pct"/>
            <w:tcBorders>
              <w:top w:val="single" w:sz="4" w:space="0" w:color="DCDDDE"/>
              <w:left w:val="nil"/>
              <w:bottom w:val="single" w:sz="4" w:space="0" w:color="DCDDDE"/>
              <w:right w:val="nil"/>
            </w:tcBorders>
            <w:noWrap/>
            <w:hideMark/>
          </w:tcPr>
          <w:p w14:paraId="2A256C32" w14:textId="77777777" w:rsidR="00092F1B" w:rsidRPr="00AE55F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1</w:t>
            </w:r>
            <w:r w:rsidRPr="00AE55F2">
              <w:rPr>
                <w:noProof/>
                <w:sz w:val="18"/>
              </w:rPr>
              <w:t>,</w:t>
            </w:r>
            <w:r w:rsidRPr="00B97A01">
              <w:rPr>
                <w:noProof/>
                <w:sz w:val="18"/>
              </w:rPr>
              <w:t>9</w:t>
            </w:r>
          </w:p>
        </w:tc>
      </w:tr>
      <w:tr w:rsidR="00092F1B" w:rsidRPr="00AE55F2" w14:paraId="389EF429"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1E9A42F" w14:textId="77777777" w:rsidR="00092F1B" w:rsidRPr="00AE55F2" w:rsidRDefault="00092F1B" w:rsidP="00092F1B">
            <w:pPr>
              <w:spacing w:after="0"/>
              <w:rPr>
                <w:b/>
                <w:noProof/>
                <w:color w:val="3F4143"/>
                <w:sz w:val="18"/>
                <w:szCs w:val="16"/>
              </w:rPr>
            </w:pPr>
            <w:r w:rsidRPr="00AE55F2">
              <w:rPr>
                <w:b/>
                <w:noProof/>
                <w:color w:val="3F4143"/>
                <w:sz w:val="18"/>
              </w:rPr>
              <w:t>Sfeclă de zahăr</w:t>
            </w:r>
          </w:p>
        </w:tc>
        <w:tc>
          <w:tcPr>
            <w:tcW w:w="2030" w:type="pct"/>
            <w:tcBorders>
              <w:top w:val="single" w:sz="4" w:space="0" w:color="DCDDDE"/>
              <w:left w:val="nil"/>
              <w:bottom w:val="single" w:sz="4" w:space="0" w:color="DCDDDE"/>
              <w:right w:val="nil"/>
            </w:tcBorders>
            <w:noWrap/>
            <w:hideMark/>
          </w:tcPr>
          <w:p w14:paraId="3B4C6F9F" w14:textId="77777777" w:rsidR="00092F1B" w:rsidRPr="00AE55F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3</w:t>
            </w:r>
            <w:r w:rsidRPr="00AE55F2">
              <w:rPr>
                <w:noProof/>
                <w:sz w:val="18"/>
              </w:rPr>
              <w:t>,</w:t>
            </w:r>
            <w:r w:rsidRPr="00B97A01">
              <w:rPr>
                <w:noProof/>
                <w:sz w:val="18"/>
              </w:rPr>
              <w:t>2</w:t>
            </w:r>
          </w:p>
        </w:tc>
        <w:tc>
          <w:tcPr>
            <w:tcW w:w="1474" w:type="pct"/>
            <w:tcBorders>
              <w:top w:val="single" w:sz="4" w:space="0" w:color="DCDDDE"/>
              <w:left w:val="nil"/>
              <w:bottom w:val="single" w:sz="4" w:space="0" w:color="DCDDDE"/>
              <w:right w:val="nil"/>
            </w:tcBorders>
            <w:noWrap/>
            <w:hideMark/>
          </w:tcPr>
          <w:p w14:paraId="7E630AB6" w14:textId="77777777" w:rsidR="00092F1B" w:rsidRPr="00AE55F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3</w:t>
            </w:r>
            <w:r w:rsidRPr="00AE55F2">
              <w:rPr>
                <w:noProof/>
                <w:sz w:val="18"/>
              </w:rPr>
              <w:t>,</w:t>
            </w:r>
            <w:r w:rsidRPr="00B97A01">
              <w:rPr>
                <w:noProof/>
                <w:sz w:val="18"/>
              </w:rPr>
              <w:t>1</w:t>
            </w:r>
          </w:p>
        </w:tc>
      </w:tr>
      <w:tr w:rsidR="00092F1B" w:rsidRPr="00AE55F2" w14:paraId="475A3426"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5098F1A" w14:textId="77777777" w:rsidR="00092F1B" w:rsidRPr="00AE55F2" w:rsidRDefault="00092F1B" w:rsidP="00092F1B">
            <w:pPr>
              <w:spacing w:after="0"/>
              <w:rPr>
                <w:b/>
                <w:noProof/>
                <w:color w:val="3F4143"/>
                <w:sz w:val="18"/>
                <w:szCs w:val="16"/>
              </w:rPr>
            </w:pPr>
            <w:r w:rsidRPr="00AE55F2">
              <w:rPr>
                <w:b/>
                <w:noProof/>
                <w:color w:val="3F4143"/>
                <w:sz w:val="18"/>
              </w:rPr>
              <w:t>Rapiță</w:t>
            </w:r>
          </w:p>
        </w:tc>
        <w:tc>
          <w:tcPr>
            <w:tcW w:w="2030" w:type="pct"/>
            <w:tcBorders>
              <w:top w:val="single" w:sz="4" w:space="0" w:color="DCDDDE"/>
              <w:left w:val="nil"/>
              <w:bottom w:val="single" w:sz="4" w:space="0" w:color="DCDDDE"/>
              <w:right w:val="nil"/>
            </w:tcBorders>
            <w:noWrap/>
            <w:hideMark/>
          </w:tcPr>
          <w:p w14:paraId="1AC3B9DB" w14:textId="77777777" w:rsidR="00092F1B" w:rsidRPr="00AE55F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1</w:t>
            </w:r>
          </w:p>
        </w:tc>
        <w:tc>
          <w:tcPr>
            <w:tcW w:w="1474" w:type="pct"/>
            <w:tcBorders>
              <w:top w:val="single" w:sz="4" w:space="0" w:color="DCDDDE"/>
              <w:left w:val="nil"/>
              <w:bottom w:val="single" w:sz="4" w:space="0" w:color="DCDDDE"/>
              <w:right w:val="nil"/>
            </w:tcBorders>
            <w:noWrap/>
            <w:hideMark/>
          </w:tcPr>
          <w:p w14:paraId="61BDBF21" w14:textId="00AD16F8" w:rsidR="00092F1B" w:rsidRPr="00AE55F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0</w:t>
            </w:r>
            <w:r w:rsidRPr="00AE55F2">
              <w:rPr>
                <w:noProof/>
                <w:sz w:val="18"/>
              </w:rPr>
              <w:t>,</w:t>
            </w:r>
            <w:r w:rsidRPr="00B97A01">
              <w:rPr>
                <w:noProof/>
                <w:sz w:val="18"/>
              </w:rPr>
              <w:t>9</w:t>
            </w:r>
          </w:p>
        </w:tc>
      </w:tr>
      <w:tr w:rsidR="00092F1B" w:rsidRPr="00AE55F2" w14:paraId="24E790FA"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A8F6381" w14:textId="77777777" w:rsidR="00092F1B" w:rsidRPr="00AE55F2" w:rsidRDefault="00092F1B" w:rsidP="00092F1B">
            <w:pPr>
              <w:spacing w:after="0"/>
              <w:rPr>
                <w:b/>
                <w:noProof/>
                <w:color w:val="3F4143"/>
                <w:sz w:val="18"/>
                <w:szCs w:val="16"/>
              </w:rPr>
            </w:pPr>
            <w:r w:rsidRPr="00AE55F2">
              <w:rPr>
                <w:b/>
                <w:noProof/>
                <w:color w:val="3F4143"/>
                <w:sz w:val="18"/>
              </w:rPr>
              <w:t>Palmieri de ulei</w:t>
            </w:r>
          </w:p>
        </w:tc>
        <w:tc>
          <w:tcPr>
            <w:tcW w:w="2030" w:type="pct"/>
            <w:tcBorders>
              <w:top w:val="single" w:sz="4" w:space="0" w:color="DCDDDE"/>
              <w:left w:val="nil"/>
              <w:bottom w:val="single" w:sz="4" w:space="0" w:color="DCDDDE"/>
              <w:right w:val="nil"/>
            </w:tcBorders>
            <w:noWrap/>
            <w:hideMark/>
          </w:tcPr>
          <w:p w14:paraId="19E93391" w14:textId="77777777" w:rsidR="00092F1B" w:rsidRPr="00AE55F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2</w:t>
            </w:r>
            <w:r w:rsidRPr="00AE55F2">
              <w:rPr>
                <w:noProof/>
                <w:sz w:val="18"/>
              </w:rPr>
              <w:t>,</w:t>
            </w:r>
            <w:r w:rsidRPr="00B97A01">
              <w:rPr>
                <w:noProof/>
                <w:sz w:val="18"/>
              </w:rPr>
              <w:t>5</w:t>
            </w:r>
          </w:p>
        </w:tc>
        <w:tc>
          <w:tcPr>
            <w:tcW w:w="1474" w:type="pct"/>
            <w:tcBorders>
              <w:top w:val="single" w:sz="4" w:space="0" w:color="DCDDDE"/>
              <w:left w:val="nil"/>
              <w:bottom w:val="single" w:sz="4" w:space="0" w:color="DCDDDE"/>
              <w:right w:val="nil"/>
            </w:tcBorders>
            <w:noWrap/>
            <w:hideMark/>
          </w:tcPr>
          <w:p w14:paraId="226C0424" w14:textId="77777777" w:rsidR="00092F1B" w:rsidRPr="00AE55F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2</w:t>
            </w:r>
            <w:r w:rsidRPr="00AE55F2">
              <w:rPr>
                <w:noProof/>
                <w:sz w:val="18"/>
              </w:rPr>
              <w:t>,</w:t>
            </w:r>
            <w:r w:rsidRPr="00B97A01">
              <w:rPr>
                <w:noProof/>
                <w:sz w:val="18"/>
              </w:rPr>
              <w:t>2</w:t>
            </w:r>
          </w:p>
        </w:tc>
      </w:tr>
      <w:tr w:rsidR="00092F1B" w:rsidRPr="00AE55F2" w14:paraId="1ABCD367"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2B18DA0" w14:textId="77777777" w:rsidR="00092F1B" w:rsidRPr="00AE55F2" w:rsidRDefault="00092F1B" w:rsidP="00092F1B">
            <w:pPr>
              <w:spacing w:after="0"/>
              <w:rPr>
                <w:b/>
                <w:noProof/>
                <w:color w:val="3F4143"/>
                <w:sz w:val="18"/>
                <w:szCs w:val="16"/>
              </w:rPr>
            </w:pPr>
            <w:r w:rsidRPr="00AE55F2">
              <w:rPr>
                <w:b/>
                <w:noProof/>
                <w:color w:val="3F4143"/>
                <w:sz w:val="18"/>
              </w:rPr>
              <w:t>Boabe de soia</w:t>
            </w:r>
          </w:p>
        </w:tc>
        <w:tc>
          <w:tcPr>
            <w:tcW w:w="2030" w:type="pct"/>
            <w:tcBorders>
              <w:top w:val="single" w:sz="4" w:space="0" w:color="DCDDDE"/>
              <w:left w:val="nil"/>
              <w:bottom w:val="single" w:sz="4" w:space="0" w:color="DCDDDE"/>
              <w:right w:val="nil"/>
            </w:tcBorders>
            <w:noWrap/>
            <w:hideMark/>
          </w:tcPr>
          <w:p w14:paraId="509325EA" w14:textId="77777777" w:rsidR="00092F1B" w:rsidRPr="00AE55F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1</w:t>
            </w:r>
          </w:p>
        </w:tc>
        <w:tc>
          <w:tcPr>
            <w:tcW w:w="1474" w:type="pct"/>
            <w:tcBorders>
              <w:top w:val="single" w:sz="4" w:space="0" w:color="DCDDDE"/>
              <w:left w:val="nil"/>
              <w:bottom w:val="single" w:sz="4" w:space="0" w:color="DCDDDE"/>
              <w:right w:val="nil"/>
            </w:tcBorders>
            <w:noWrap/>
            <w:hideMark/>
          </w:tcPr>
          <w:p w14:paraId="38226656" w14:textId="77777777" w:rsidR="00092F1B" w:rsidRPr="00AE55F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B97A01">
              <w:rPr>
                <w:noProof/>
                <w:sz w:val="18"/>
              </w:rPr>
              <w:t>1</w:t>
            </w:r>
            <w:r w:rsidRPr="00AE55F2">
              <w:rPr>
                <w:noProof/>
                <w:sz w:val="18"/>
              </w:rPr>
              <w:t>,</w:t>
            </w:r>
            <w:r w:rsidRPr="00B97A01">
              <w:rPr>
                <w:noProof/>
                <w:sz w:val="18"/>
              </w:rPr>
              <w:t>0</w:t>
            </w:r>
          </w:p>
        </w:tc>
      </w:tr>
      <w:tr w:rsidR="00092F1B" w:rsidRPr="00AE55F2" w14:paraId="2F08EFE1"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8" w:space="0" w:color="555759"/>
              <w:right w:val="nil"/>
            </w:tcBorders>
            <w:noWrap/>
            <w:hideMark/>
          </w:tcPr>
          <w:p w14:paraId="5906C7F2" w14:textId="77777777" w:rsidR="00092F1B" w:rsidRPr="00AE55F2" w:rsidRDefault="00092F1B" w:rsidP="00092F1B">
            <w:pPr>
              <w:spacing w:after="0"/>
              <w:rPr>
                <w:b/>
                <w:noProof/>
                <w:color w:val="3F4143"/>
                <w:sz w:val="18"/>
                <w:szCs w:val="16"/>
              </w:rPr>
            </w:pPr>
            <w:r w:rsidRPr="00AE55F2">
              <w:rPr>
                <w:b/>
                <w:noProof/>
                <w:color w:val="3F4143"/>
                <w:sz w:val="18"/>
              </w:rPr>
              <w:t>Floarea-soarelui</w:t>
            </w:r>
          </w:p>
        </w:tc>
        <w:tc>
          <w:tcPr>
            <w:tcW w:w="2030" w:type="pct"/>
            <w:tcBorders>
              <w:top w:val="single" w:sz="4" w:space="0" w:color="DCDDDE"/>
              <w:left w:val="nil"/>
              <w:bottom w:val="single" w:sz="8" w:space="0" w:color="555759"/>
              <w:right w:val="nil"/>
            </w:tcBorders>
            <w:noWrap/>
            <w:hideMark/>
          </w:tcPr>
          <w:p w14:paraId="74316B39" w14:textId="77777777" w:rsidR="00092F1B" w:rsidRPr="00AE55F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1</w:t>
            </w:r>
          </w:p>
        </w:tc>
        <w:tc>
          <w:tcPr>
            <w:tcW w:w="1474" w:type="pct"/>
            <w:tcBorders>
              <w:top w:val="single" w:sz="4" w:space="0" w:color="DCDDDE"/>
              <w:left w:val="nil"/>
              <w:bottom w:val="single" w:sz="8" w:space="0" w:color="555759"/>
              <w:right w:val="nil"/>
            </w:tcBorders>
            <w:noWrap/>
            <w:hideMark/>
          </w:tcPr>
          <w:p w14:paraId="26EB6185" w14:textId="4F0F15CA" w:rsidR="00092F1B" w:rsidRPr="00AE55F2" w:rsidRDefault="006F1A4D"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B97A01">
              <w:rPr>
                <w:noProof/>
                <w:sz w:val="18"/>
              </w:rPr>
              <w:t>0</w:t>
            </w:r>
            <w:r w:rsidRPr="00AE55F2">
              <w:rPr>
                <w:noProof/>
                <w:sz w:val="18"/>
              </w:rPr>
              <w:t>,</w:t>
            </w:r>
            <w:r w:rsidRPr="00B97A01">
              <w:rPr>
                <w:noProof/>
                <w:sz w:val="18"/>
              </w:rPr>
              <w:t>8</w:t>
            </w:r>
          </w:p>
        </w:tc>
      </w:tr>
    </w:tbl>
    <w:p w14:paraId="2B896EEB" w14:textId="77777777" w:rsidR="00092F1B" w:rsidRPr="00AE55F2" w:rsidRDefault="00092F1B" w:rsidP="006E112B">
      <w:pPr>
        <w:jc w:val="both"/>
        <w:rPr>
          <w:rFonts w:ascii="Times New Roman" w:hAnsi="Times New Roman" w:cs="Times New Roman"/>
          <w:noProof/>
          <w:sz w:val="24"/>
          <w:szCs w:val="24"/>
        </w:rPr>
      </w:pPr>
    </w:p>
    <w:p w14:paraId="316563DF" w14:textId="301A55CD" w:rsidR="78992165" w:rsidRPr="00AE55F2" w:rsidRDefault="78992165" w:rsidP="78992165">
      <w:pPr>
        <w:jc w:val="both"/>
        <w:rPr>
          <w:rFonts w:ascii="Times New Roman" w:hAnsi="Times New Roman" w:cs="Times New Roman"/>
          <w:noProof/>
          <w:sz w:val="24"/>
          <w:szCs w:val="24"/>
        </w:rPr>
      </w:pPr>
    </w:p>
    <w:p w14:paraId="1399E376" w14:textId="77777777" w:rsidR="00092F1B" w:rsidRPr="00AE55F2" w:rsidRDefault="00092F1B" w:rsidP="006E112B">
      <w:pPr>
        <w:jc w:val="both"/>
        <w:rPr>
          <w:rFonts w:ascii="Times New Roman" w:hAnsi="Times New Roman" w:cs="Times New Roman"/>
          <w:noProof/>
          <w:sz w:val="24"/>
          <w:szCs w:val="24"/>
        </w:rPr>
      </w:pPr>
    </w:p>
    <w:p w14:paraId="58FF49C3" w14:textId="77777777" w:rsidR="00092F1B" w:rsidRPr="00AE55F2" w:rsidRDefault="00092F1B" w:rsidP="006E112B">
      <w:pPr>
        <w:jc w:val="both"/>
        <w:rPr>
          <w:rFonts w:ascii="Times New Roman" w:hAnsi="Times New Roman" w:cs="Times New Roman"/>
          <w:noProof/>
          <w:sz w:val="24"/>
          <w:szCs w:val="24"/>
        </w:rPr>
      </w:pPr>
    </w:p>
    <w:p w14:paraId="0C89F0AF" w14:textId="5BDCF268" w:rsidR="00092F1B" w:rsidRPr="00AE55F2" w:rsidRDefault="00092F1B" w:rsidP="006E112B">
      <w:pPr>
        <w:jc w:val="both"/>
        <w:rPr>
          <w:rFonts w:ascii="Times New Roman" w:hAnsi="Times New Roman" w:cs="Times New Roman"/>
          <w:noProof/>
          <w:sz w:val="24"/>
          <w:szCs w:val="24"/>
        </w:rPr>
      </w:pPr>
    </w:p>
    <w:p w14:paraId="7C997C01" w14:textId="77777777" w:rsidR="00092F1B" w:rsidRPr="00AE55F2" w:rsidRDefault="00092F1B" w:rsidP="006E112B">
      <w:pPr>
        <w:jc w:val="both"/>
        <w:rPr>
          <w:rFonts w:ascii="Times New Roman" w:hAnsi="Times New Roman" w:cs="Times New Roman"/>
          <w:noProof/>
          <w:sz w:val="24"/>
          <w:szCs w:val="24"/>
        </w:rPr>
      </w:pPr>
    </w:p>
    <w:p w14:paraId="0C568DF2" w14:textId="77777777" w:rsidR="00092F1B" w:rsidRPr="00AE55F2" w:rsidRDefault="00092F1B" w:rsidP="006E112B">
      <w:pPr>
        <w:jc w:val="both"/>
        <w:rPr>
          <w:rFonts w:ascii="Times New Roman" w:hAnsi="Times New Roman" w:cs="Times New Roman"/>
          <w:noProof/>
          <w:sz w:val="24"/>
          <w:szCs w:val="24"/>
        </w:rPr>
      </w:pPr>
    </w:p>
    <w:p w14:paraId="46201E08" w14:textId="727B9C52" w:rsidR="00092F1B" w:rsidRPr="00AE55F2" w:rsidRDefault="00092F1B" w:rsidP="006E112B">
      <w:pPr>
        <w:jc w:val="both"/>
        <w:rPr>
          <w:rFonts w:ascii="Times New Roman" w:eastAsia="Times New Roman" w:hAnsi="Times New Roman" w:cs="Times New Roman"/>
          <w:i/>
          <w:noProof/>
          <w:sz w:val="20"/>
          <w:szCs w:val="20"/>
        </w:rPr>
      </w:pPr>
      <w:r w:rsidRPr="00AE55F2">
        <w:rPr>
          <w:rFonts w:ascii="Times New Roman" w:hAnsi="Times New Roman"/>
          <w:i/>
          <w:noProof/>
          <w:sz w:val="20"/>
        </w:rPr>
        <w:t xml:space="preserve">Tabelul </w:t>
      </w:r>
      <w:r w:rsidRPr="00B97A01">
        <w:rPr>
          <w:rFonts w:ascii="Times New Roman" w:hAnsi="Times New Roman"/>
          <w:i/>
          <w:noProof/>
          <w:sz w:val="20"/>
        </w:rPr>
        <w:t>4</w:t>
      </w:r>
      <w:r w:rsidRPr="00AE55F2">
        <w:rPr>
          <w:rFonts w:ascii="Times New Roman" w:hAnsi="Times New Roman"/>
          <w:i/>
          <w:noProof/>
          <w:sz w:val="20"/>
        </w:rPr>
        <w:t xml:space="preserve"> – Factori de productivitate per cultură</w:t>
      </w:r>
    </w:p>
    <w:p w14:paraId="5A0B87E0" w14:textId="731165F0" w:rsidR="002B4DCD" w:rsidRPr="00AE55F2" w:rsidRDefault="002B4DCD" w:rsidP="006E112B">
      <w:pPr>
        <w:jc w:val="both"/>
        <w:rPr>
          <w:rFonts w:ascii="Times New Roman" w:hAnsi="Times New Roman" w:cs="Times New Roman"/>
          <w:i/>
          <w:iCs/>
          <w:noProof/>
          <w:sz w:val="24"/>
          <w:szCs w:val="24"/>
        </w:rPr>
      </w:pPr>
      <w:r w:rsidRPr="00AE55F2">
        <w:rPr>
          <w:rFonts w:ascii="Times New Roman" w:hAnsi="Times New Roman"/>
          <w:i/>
          <w:noProof/>
          <w:sz w:val="24"/>
        </w:rPr>
        <w:t>Rezultate finale</w:t>
      </w:r>
    </w:p>
    <w:p w14:paraId="2EC632B2" w14:textId="5A5F11F8" w:rsidR="007C1F5D" w:rsidRPr="00AE55F2" w:rsidRDefault="007C1F5D" w:rsidP="006E112B">
      <w:pPr>
        <w:jc w:val="both"/>
        <w:rPr>
          <w:rFonts w:ascii="Times New Roman" w:hAnsi="Times New Roman" w:cs="Times New Roman"/>
          <w:noProof/>
          <w:sz w:val="24"/>
          <w:szCs w:val="24"/>
        </w:rPr>
      </w:pPr>
      <w:r w:rsidRPr="00AE55F2">
        <w:rPr>
          <w:rFonts w:ascii="Times New Roman" w:hAnsi="Times New Roman"/>
          <w:noProof/>
          <w:sz w:val="24"/>
        </w:rPr>
        <w:t xml:space="preserve">În Raportul Comisiei din </w:t>
      </w:r>
      <w:r w:rsidRPr="00B97A01">
        <w:rPr>
          <w:rFonts w:ascii="Times New Roman" w:hAnsi="Times New Roman"/>
          <w:noProof/>
          <w:sz w:val="24"/>
        </w:rPr>
        <w:t>2019</w:t>
      </w:r>
      <w:r w:rsidRPr="00AE55F2">
        <w:rPr>
          <w:rFonts w:ascii="Times New Roman" w:hAnsi="Times New Roman"/>
          <w:noProof/>
          <w:sz w:val="24"/>
        </w:rPr>
        <w:t xml:space="preserve"> privind ILUC, trei factori au fost considerați esențiali pentru a determina „importanța” expansiunii suprafeței de producție a unei anumite culturi în detrimentul terenurilor care stochează cantități ridicate de carbon în sensul Directivei privind energia din surse regenerabile: (a) importanța absolută și relativă a expansiunii terenurilor începând cu un anumit an de referință, în comparație cu suprafața totală de producție a culturii respective; (b) ponderea acestei expansiuni în detrimentul terenurilor care stochează cantități ridicate de carbon și (c) tipul suprafeței care stochează cantități ridicate de carbon. Acești factori, precum și factorii de productivitate specifici fiecărui grup de culturi, au fost luați în considerare la stabilirea criteriilor de determinare a materiilor prime cu risc ridicat de ILUC în Regulamentul delegat privind ILUC.</w:t>
      </w:r>
    </w:p>
    <w:p w14:paraId="158C7427" w14:textId="72960586" w:rsidR="00122A63" w:rsidRPr="00AE55F2" w:rsidRDefault="00AD2C26" w:rsidP="00C40EEF">
      <w:pPr>
        <w:jc w:val="both"/>
        <w:rPr>
          <w:rFonts w:ascii="Times New Roman" w:hAnsi="Times New Roman" w:cs="Times New Roman"/>
          <w:noProof/>
          <w:sz w:val="24"/>
          <w:szCs w:val="24"/>
        </w:rPr>
      </w:pPr>
      <w:r w:rsidRPr="00AE55F2">
        <w:rPr>
          <w:rFonts w:ascii="Times New Roman" w:hAnsi="Times New Roman"/>
          <w:noProof/>
          <w:sz w:val="24"/>
        </w:rPr>
        <w:t xml:space="preserve">Rezultatele analizei actualizate se găsesc în tabelul de mai jos: </w:t>
      </w:r>
    </w:p>
    <w:tbl>
      <w:tblPr>
        <w:tblW w:w="6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1147"/>
        <w:gridCol w:w="1350"/>
        <w:gridCol w:w="1470"/>
        <w:gridCol w:w="1440"/>
      </w:tblGrid>
      <w:tr w:rsidR="009645C7" w:rsidRPr="00AE55F2" w14:paraId="0A2931EB" w14:textId="77777777" w:rsidTr="00AE55F2">
        <w:trPr>
          <w:trHeight w:val="780"/>
        </w:trPr>
        <w:tc>
          <w:tcPr>
            <w:tcW w:w="1418" w:type="dxa"/>
            <w:tcBorders>
              <w:top w:val="nil"/>
              <w:left w:val="nil"/>
              <w:bottom w:val="single" w:sz="12" w:space="0" w:color="95D600"/>
              <w:right w:val="nil"/>
            </w:tcBorders>
            <w:shd w:val="clear" w:color="auto" w:fill="93D500"/>
            <w:vAlign w:val="center"/>
            <w:hideMark/>
          </w:tcPr>
          <w:p w14:paraId="59D9D60C" w14:textId="77777777" w:rsidR="008012A6" w:rsidRPr="00AE55F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AE55F2">
              <w:rPr>
                <w:rFonts w:ascii="Times New Roman" w:hAnsi="Times New Roman"/>
                <w:b/>
                <w:noProof/>
                <w:sz w:val="18"/>
              </w:rPr>
              <w:t xml:space="preserve">Cultură </w:t>
            </w:r>
          </w:p>
        </w:tc>
        <w:tc>
          <w:tcPr>
            <w:tcW w:w="1147" w:type="dxa"/>
            <w:tcBorders>
              <w:top w:val="nil"/>
              <w:left w:val="nil"/>
              <w:bottom w:val="single" w:sz="12" w:space="0" w:color="95D600"/>
              <w:right w:val="nil"/>
            </w:tcBorders>
            <w:shd w:val="clear" w:color="auto" w:fill="93D500"/>
            <w:vAlign w:val="center"/>
            <w:hideMark/>
          </w:tcPr>
          <w:p w14:paraId="14F567A6" w14:textId="77777777" w:rsidR="008012A6" w:rsidRPr="00AE55F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AE55F2">
              <w:rPr>
                <w:rFonts w:ascii="Times New Roman" w:hAnsi="Times New Roman"/>
                <w:b/>
                <w:noProof/>
                <w:sz w:val="18"/>
              </w:rPr>
              <w:t xml:space="preserve">Ponderea expansiunii în păduri </w:t>
            </w:r>
          </w:p>
        </w:tc>
        <w:tc>
          <w:tcPr>
            <w:tcW w:w="1350" w:type="dxa"/>
            <w:tcBorders>
              <w:top w:val="nil"/>
              <w:left w:val="nil"/>
              <w:bottom w:val="single" w:sz="12" w:space="0" w:color="95D600"/>
              <w:right w:val="nil"/>
            </w:tcBorders>
            <w:shd w:val="clear" w:color="auto" w:fill="93D500"/>
            <w:vAlign w:val="center"/>
            <w:hideMark/>
          </w:tcPr>
          <w:p w14:paraId="25960441" w14:textId="77777777" w:rsidR="008012A6" w:rsidRPr="00AE55F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AE55F2">
              <w:rPr>
                <w:rFonts w:ascii="Times New Roman" w:hAnsi="Times New Roman"/>
                <w:b/>
                <w:noProof/>
                <w:sz w:val="18"/>
              </w:rPr>
              <w:t xml:space="preserve">Ponderea expansiunii în turbării </w:t>
            </w:r>
          </w:p>
        </w:tc>
        <w:tc>
          <w:tcPr>
            <w:tcW w:w="1470" w:type="dxa"/>
            <w:tcBorders>
              <w:top w:val="nil"/>
              <w:left w:val="nil"/>
              <w:bottom w:val="single" w:sz="12" w:space="0" w:color="95D600"/>
              <w:right w:val="nil"/>
            </w:tcBorders>
            <w:shd w:val="clear" w:color="auto" w:fill="93D500"/>
            <w:vAlign w:val="center"/>
            <w:hideMark/>
          </w:tcPr>
          <w:p w14:paraId="06FF71ED" w14:textId="77777777" w:rsidR="008012A6" w:rsidRPr="00AE55F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AE55F2">
              <w:rPr>
                <w:rFonts w:ascii="Times New Roman" w:hAnsi="Times New Roman"/>
                <w:b/>
                <w:noProof/>
                <w:sz w:val="18"/>
              </w:rPr>
              <w:t xml:space="preserve">Expansiune anuală medie (kha) </w:t>
            </w:r>
          </w:p>
        </w:tc>
        <w:tc>
          <w:tcPr>
            <w:tcW w:w="1440" w:type="dxa"/>
            <w:tcBorders>
              <w:top w:val="nil"/>
              <w:left w:val="nil"/>
              <w:bottom w:val="single" w:sz="12" w:space="0" w:color="95D600"/>
              <w:right w:val="nil"/>
            </w:tcBorders>
            <w:shd w:val="clear" w:color="auto" w:fill="93D500"/>
            <w:vAlign w:val="center"/>
            <w:hideMark/>
          </w:tcPr>
          <w:p w14:paraId="10C25450" w14:textId="77777777" w:rsidR="008012A6" w:rsidRPr="00AE55F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AE55F2">
              <w:rPr>
                <w:rFonts w:ascii="Times New Roman" w:hAnsi="Times New Roman"/>
                <w:b/>
                <w:noProof/>
                <w:sz w:val="18"/>
              </w:rPr>
              <w:t xml:space="preserve">Expansiune anuală medie (%) </w:t>
            </w:r>
          </w:p>
        </w:tc>
      </w:tr>
      <w:tr w:rsidR="00322DEE" w:rsidRPr="00AE55F2" w14:paraId="02636E6C" w14:textId="77777777" w:rsidTr="00AE55F2">
        <w:trPr>
          <w:trHeight w:val="210"/>
        </w:trPr>
        <w:tc>
          <w:tcPr>
            <w:tcW w:w="1418" w:type="dxa"/>
            <w:tcBorders>
              <w:top w:val="single" w:sz="6" w:space="0" w:color="DCDDDE"/>
              <w:left w:val="nil"/>
              <w:bottom w:val="single" w:sz="6" w:space="0" w:color="DCDDDE"/>
              <w:right w:val="nil"/>
            </w:tcBorders>
            <w:shd w:val="clear" w:color="auto" w:fill="FFFFFF" w:themeFill="background1"/>
            <w:vAlign w:val="center"/>
            <w:hideMark/>
          </w:tcPr>
          <w:p w14:paraId="696CC854" w14:textId="77777777" w:rsidR="008012A6" w:rsidRPr="00AE55F2" w:rsidRDefault="008012A6" w:rsidP="009909F5">
            <w:pPr>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Grâu</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DCDDDE"/>
              <w:right w:val="nil"/>
            </w:tcBorders>
            <w:shd w:val="clear" w:color="auto" w:fill="FFFFFF" w:themeFill="background1"/>
            <w:vAlign w:val="bottom"/>
            <w:hideMark/>
          </w:tcPr>
          <w:p w14:paraId="0D4E350E" w14:textId="77777777"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6</w:t>
            </w:r>
            <w:r w:rsidRPr="00AE55F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C561B34" w14:textId="77777777"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61E7CB09" w14:textId="6CEE7900"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AE55F2">
              <w:rPr>
                <w:rFonts w:ascii="Times New Roman" w:hAnsi="Times New Roman"/>
                <w:noProof/>
                <w:sz w:val="16"/>
              </w:rPr>
              <w:t>-</w:t>
            </w:r>
            <w:r w:rsidRPr="00B97A01">
              <w:rPr>
                <w:rFonts w:ascii="Times New Roman" w:hAnsi="Times New Roman"/>
                <w:noProof/>
                <w:sz w:val="16"/>
              </w:rPr>
              <w:t>183</w:t>
            </w:r>
            <w:r w:rsidRPr="00AE55F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4650452" w14:textId="77777777"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r>
      <w:tr w:rsidR="009645C7" w:rsidRPr="00AE55F2" w14:paraId="109B0F31" w14:textId="77777777" w:rsidTr="00AE55F2">
        <w:trPr>
          <w:trHeight w:val="210"/>
        </w:trPr>
        <w:tc>
          <w:tcPr>
            <w:tcW w:w="1418" w:type="dxa"/>
            <w:tcBorders>
              <w:top w:val="single" w:sz="6" w:space="0" w:color="DCDDDE"/>
              <w:left w:val="nil"/>
              <w:bottom w:val="single" w:sz="6" w:space="0" w:color="DCDDDE"/>
              <w:right w:val="nil"/>
            </w:tcBorders>
            <w:shd w:val="clear" w:color="auto" w:fill="FFFFFF" w:themeFill="background1"/>
            <w:vAlign w:val="center"/>
            <w:hideMark/>
          </w:tcPr>
          <w:p w14:paraId="3B8FD44A" w14:textId="77777777" w:rsidR="008012A6" w:rsidRPr="00AE55F2" w:rsidRDefault="008012A6" w:rsidP="009909F5">
            <w:pPr>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Porumb</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DCDDDE"/>
              <w:right w:val="nil"/>
            </w:tcBorders>
            <w:shd w:val="clear" w:color="auto" w:fill="FFFFFF" w:themeFill="background1"/>
            <w:vAlign w:val="bottom"/>
            <w:hideMark/>
          </w:tcPr>
          <w:p w14:paraId="17CFF76D" w14:textId="77777777"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7</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053C13A" w14:textId="77777777"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A14CEF2" w14:textId="13A4E240"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2</w:t>
            </w:r>
            <w:r w:rsidRPr="00AE55F2">
              <w:rPr>
                <w:rFonts w:ascii="Times New Roman" w:hAnsi="Times New Roman"/>
                <w:noProof/>
                <w:sz w:val="16"/>
              </w:rPr>
              <w:t> </w:t>
            </w:r>
            <w:r w:rsidRPr="00B97A01">
              <w:rPr>
                <w:rFonts w:ascii="Times New Roman" w:hAnsi="Times New Roman"/>
                <w:noProof/>
                <w:sz w:val="16"/>
              </w:rPr>
              <w:t>527</w:t>
            </w:r>
            <w:r w:rsidRPr="00AE55F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B540044" w14:textId="77777777" w:rsidR="008012A6" w:rsidRPr="00AE55F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4</w:t>
            </w:r>
            <w:r w:rsidRPr="00AE55F2">
              <w:rPr>
                <w:rFonts w:ascii="Times New Roman" w:hAnsi="Times New Roman"/>
                <w:noProof/>
                <w:sz w:val="16"/>
              </w:rPr>
              <w:t xml:space="preserve"> % </w:t>
            </w:r>
          </w:p>
        </w:tc>
      </w:tr>
      <w:tr w:rsidR="009645C7" w:rsidRPr="00AE55F2" w14:paraId="40499132" w14:textId="77777777" w:rsidTr="00AE55F2">
        <w:trPr>
          <w:trHeight w:val="210"/>
        </w:trPr>
        <w:tc>
          <w:tcPr>
            <w:tcW w:w="1418" w:type="dxa"/>
            <w:tcBorders>
              <w:top w:val="single" w:sz="6" w:space="0" w:color="DCDDDE"/>
              <w:left w:val="nil"/>
              <w:bottom w:val="single" w:sz="6" w:space="0" w:color="DCDDDE"/>
              <w:right w:val="nil"/>
            </w:tcBorders>
            <w:shd w:val="clear" w:color="auto" w:fill="FFFFFF" w:themeFill="background1"/>
            <w:vAlign w:val="center"/>
            <w:hideMark/>
          </w:tcPr>
          <w:p w14:paraId="27A2803A" w14:textId="77777777" w:rsidR="008012A6" w:rsidRPr="00AE55F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Trestie de zahăr</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DCDDDE"/>
              <w:right w:val="nil"/>
            </w:tcBorders>
            <w:shd w:val="clear" w:color="auto" w:fill="FFFFFF" w:themeFill="background1"/>
            <w:vAlign w:val="bottom"/>
            <w:hideMark/>
          </w:tcPr>
          <w:p w14:paraId="201DF81B"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16</w:t>
            </w:r>
            <w:r w:rsidRPr="00AE55F2">
              <w:rPr>
                <w:rFonts w:ascii="Times New Roman" w:hAnsi="Times New Roman"/>
                <w:noProof/>
                <w:sz w:val="16"/>
              </w:rPr>
              <w:t>,</w:t>
            </w:r>
            <w:r w:rsidRPr="00B97A01">
              <w:rPr>
                <w:rFonts w:ascii="Times New Roman" w:hAnsi="Times New Roman"/>
                <w:noProof/>
                <w:sz w:val="16"/>
              </w:rPr>
              <w:t>1</w:t>
            </w:r>
            <w:r w:rsidRPr="00AE55F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38C3DEC7"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1D81D742" w14:textId="37885E6F"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215</w:t>
            </w:r>
            <w:r w:rsidRPr="00AE55F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92BCC4E"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7</w:t>
            </w:r>
            <w:r w:rsidRPr="00AE55F2">
              <w:rPr>
                <w:rFonts w:ascii="Times New Roman" w:hAnsi="Times New Roman"/>
                <w:noProof/>
                <w:sz w:val="16"/>
              </w:rPr>
              <w:t xml:space="preserve"> % </w:t>
            </w:r>
          </w:p>
        </w:tc>
      </w:tr>
      <w:tr w:rsidR="009645C7" w:rsidRPr="00AE55F2" w14:paraId="0C9D8FA2" w14:textId="77777777" w:rsidTr="00AE55F2">
        <w:trPr>
          <w:trHeight w:val="210"/>
        </w:trPr>
        <w:tc>
          <w:tcPr>
            <w:tcW w:w="1418" w:type="dxa"/>
            <w:tcBorders>
              <w:top w:val="single" w:sz="6" w:space="0" w:color="DCDDDE"/>
              <w:left w:val="nil"/>
              <w:bottom w:val="single" w:sz="6" w:space="0" w:color="DCDDDE"/>
              <w:right w:val="nil"/>
            </w:tcBorders>
            <w:shd w:val="clear" w:color="auto" w:fill="FFFFFF" w:themeFill="background1"/>
            <w:vAlign w:val="center"/>
            <w:hideMark/>
          </w:tcPr>
          <w:p w14:paraId="6154023B" w14:textId="77777777" w:rsidR="008012A6" w:rsidRPr="00AE55F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Sfeclă de zahăr</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DCDDDE"/>
              <w:right w:val="nil"/>
            </w:tcBorders>
            <w:shd w:val="clear" w:color="auto" w:fill="FFFFFF" w:themeFill="background1"/>
            <w:vAlign w:val="bottom"/>
            <w:hideMark/>
          </w:tcPr>
          <w:p w14:paraId="6EE66DD1"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2</w:t>
            </w:r>
            <w:r w:rsidRPr="00AE55F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0FE9B5"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750AADD" w14:textId="059B901C"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4</w:t>
            </w:r>
            <w:r w:rsidRPr="00AE55F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5CB7A764"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4</w:t>
            </w:r>
            <w:r w:rsidRPr="00AE55F2">
              <w:rPr>
                <w:rFonts w:ascii="Times New Roman" w:hAnsi="Times New Roman"/>
                <w:noProof/>
                <w:sz w:val="16"/>
              </w:rPr>
              <w:t xml:space="preserve"> % </w:t>
            </w:r>
          </w:p>
        </w:tc>
      </w:tr>
      <w:tr w:rsidR="009645C7" w:rsidRPr="00AE55F2" w14:paraId="0D096919" w14:textId="77777777" w:rsidTr="00AE55F2">
        <w:trPr>
          <w:trHeight w:val="210"/>
        </w:trPr>
        <w:tc>
          <w:tcPr>
            <w:tcW w:w="1418" w:type="dxa"/>
            <w:tcBorders>
              <w:top w:val="single" w:sz="6" w:space="0" w:color="DCDDDE"/>
              <w:left w:val="nil"/>
              <w:bottom w:val="single" w:sz="6" w:space="0" w:color="DCDDDE"/>
              <w:right w:val="nil"/>
            </w:tcBorders>
            <w:shd w:val="clear" w:color="auto" w:fill="FFFFFF" w:themeFill="background1"/>
            <w:vAlign w:val="center"/>
            <w:hideMark/>
          </w:tcPr>
          <w:p w14:paraId="139BE756" w14:textId="77777777" w:rsidR="008012A6" w:rsidRPr="00AE55F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Rapiță</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DCDDDE"/>
              <w:right w:val="nil"/>
            </w:tcBorders>
            <w:shd w:val="clear" w:color="auto" w:fill="FFFFFF" w:themeFill="background1"/>
            <w:vAlign w:val="bottom"/>
            <w:hideMark/>
          </w:tcPr>
          <w:p w14:paraId="5F068B88"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23D094"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015A8EC3" w14:textId="3BF43619"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363</w:t>
            </w:r>
            <w:r w:rsidRPr="00AE55F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A237342"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6</w:t>
            </w:r>
            <w:r w:rsidRPr="00AE55F2">
              <w:rPr>
                <w:rFonts w:ascii="Times New Roman" w:hAnsi="Times New Roman"/>
                <w:noProof/>
                <w:sz w:val="16"/>
              </w:rPr>
              <w:t xml:space="preserve"> % </w:t>
            </w:r>
          </w:p>
        </w:tc>
      </w:tr>
      <w:tr w:rsidR="00133FC9" w:rsidRPr="00AE55F2" w14:paraId="10CE4766" w14:textId="77777777" w:rsidTr="00AE55F2">
        <w:trPr>
          <w:trHeight w:val="210"/>
        </w:trPr>
        <w:tc>
          <w:tcPr>
            <w:tcW w:w="1418" w:type="dxa"/>
            <w:tcBorders>
              <w:top w:val="single" w:sz="6" w:space="0" w:color="DCDDDE"/>
              <w:left w:val="nil"/>
              <w:bottom w:val="single" w:sz="6" w:space="0" w:color="DCDDDE"/>
              <w:right w:val="nil"/>
            </w:tcBorders>
            <w:shd w:val="clear" w:color="auto" w:fill="FFFFFF" w:themeFill="background1"/>
            <w:vAlign w:val="center"/>
            <w:hideMark/>
          </w:tcPr>
          <w:p w14:paraId="3D1192F3" w14:textId="77777777" w:rsidR="008012A6" w:rsidRPr="00AE55F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Palmieri de ulei</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DCDDDE"/>
              <w:right w:val="nil"/>
            </w:tcBorders>
            <w:shd w:val="clear" w:color="auto" w:fill="FFFFFF" w:themeFill="background1"/>
            <w:vAlign w:val="bottom"/>
            <w:hideMark/>
          </w:tcPr>
          <w:p w14:paraId="663F5293"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27</w:t>
            </w:r>
            <w:r w:rsidRPr="00AE55F2">
              <w:rPr>
                <w:rFonts w:ascii="Times New Roman" w:hAnsi="Times New Roman"/>
                <w:noProof/>
                <w:sz w:val="16"/>
              </w:rPr>
              <w:t>,</w:t>
            </w:r>
            <w:r w:rsidRPr="00B97A01">
              <w:rPr>
                <w:rFonts w:ascii="Times New Roman" w:hAnsi="Times New Roman"/>
                <w:noProof/>
                <w:sz w:val="16"/>
              </w:rPr>
              <w:t>1</w:t>
            </w:r>
            <w:r w:rsidRPr="00AE55F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64FAEEA"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13</w:t>
            </w:r>
            <w:r w:rsidRPr="00AE55F2">
              <w:rPr>
                <w:rFonts w:ascii="Times New Roman" w:hAnsi="Times New Roman"/>
                <w:noProof/>
                <w:sz w:val="16"/>
              </w:rPr>
              <w:t>,</w:t>
            </w:r>
            <w:r w:rsidRPr="00B97A01">
              <w:rPr>
                <w:rFonts w:ascii="Times New Roman" w:hAnsi="Times New Roman"/>
                <w:noProof/>
                <w:sz w:val="16"/>
              </w:rPr>
              <w:t>7</w:t>
            </w:r>
            <w:r w:rsidRPr="00AE55F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08B0B32" w14:textId="22CC3234"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937</w:t>
            </w:r>
            <w:r w:rsidRPr="00AE55F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1395DC0"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3</w:t>
            </w:r>
            <w:r w:rsidRPr="00AE55F2">
              <w:rPr>
                <w:rFonts w:ascii="Times New Roman" w:hAnsi="Times New Roman"/>
                <w:noProof/>
                <w:sz w:val="16"/>
              </w:rPr>
              <w:t>,</w:t>
            </w:r>
            <w:r w:rsidRPr="00B97A01">
              <w:rPr>
                <w:rFonts w:ascii="Times New Roman" w:hAnsi="Times New Roman"/>
                <w:noProof/>
                <w:sz w:val="16"/>
              </w:rPr>
              <w:t>8</w:t>
            </w:r>
            <w:r w:rsidRPr="00AE55F2">
              <w:rPr>
                <w:rFonts w:ascii="Times New Roman" w:hAnsi="Times New Roman"/>
                <w:noProof/>
                <w:sz w:val="16"/>
              </w:rPr>
              <w:t xml:space="preserve"> % </w:t>
            </w:r>
          </w:p>
        </w:tc>
      </w:tr>
      <w:tr w:rsidR="00133FC9" w:rsidRPr="00AE55F2" w14:paraId="6B3F0C75" w14:textId="77777777" w:rsidTr="00AE55F2">
        <w:trPr>
          <w:trHeight w:val="210"/>
        </w:trPr>
        <w:tc>
          <w:tcPr>
            <w:tcW w:w="1418" w:type="dxa"/>
            <w:tcBorders>
              <w:top w:val="single" w:sz="6" w:space="0" w:color="DCDDDE"/>
              <w:left w:val="nil"/>
              <w:bottom w:val="single" w:sz="6" w:space="0" w:color="DCDDDE"/>
              <w:right w:val="nil"/>
            </w:tcBorders>
            <w:shd w:val="clear" w:color="auto" w:fill="FFFFFF" w:themeFill="background1"/>
            <w:vAlign w:val="center"/>
            <w:hideMark/>
          </w:tcPr>
          <w:p w14:paraId="5495D3D2" w14:textId="77777777" w:rsidR="008012A6" w:rsidRPr="00AE55F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Boabe de soia</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DCDDDE"/>
              <w:right w:val="nil"/>
            </w:tcBorders>
            <w:shd w:val="clear" w:color="auto" w:fill="FFFFFF" w:themeFill="background1"/>
            <w:vAlign w:val="bottom"/>
            <w:hideMark/>
          </w:tcPr>
          <w:p w14:paraId="12EBF460"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14</w:t>
            </w:r>
            <w:r w:rsidRPr="00AE55F2">
              <w:rPr>
                <w:rFonts w:ascii="Times New Roman" w:hAnsi="Times New Roman"/>
                <w:noProof/>
                <w:sz w:val="16"/>
              </w:rPr>
              <w:t>,</w:t>
            </w:r>
            <w:r w:rsidRPr="00B97A01">
              <w:rPr>
                <w:rFonts w:ascii="Times New Roman" w:hAnsi="Times New Roman"/>
                <w:noProof/>
                <w:sz w:val="16"/>
              </w:rPr>
              <w:t>1</w:t>
            </w:r>
            <w:r w:rsidRPr="00AE55F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10AB0D7"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90CC76D" w14:textId="2CF089D6"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2</w:t>
            </w:r>
            <w:r w:rsidRPr="00AE55F2">
              <w:rPr>
                <w:rFonts w:ascii="Times New Roman" w:hAnsi="Times New Roman"/>
                <w:noProof/>
                <w:sz w:val="16"/>
              </w:rPr>
              <w:t> </w:t>
            </w:r>
            <w:r w:rsidRPr="00B97A01">
              <w:rPr>
                <w:rFonts w:ascii="Times New Roman" w:hAnsi="Times New Roman"/>
                <w:noProof/>
                <w:sz w:val="16"/>
              </w:rPr>
              <w:t>565</w:t>
            </w:r>
            <w:r w:rsidRPr="00AE55F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A4B711B"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2</w:t>
            </w:r>
            <w:r w:rsidRPr="00AE55F2">
              <w:rPr>
                <w:rFonts w:ascii="Times New Roman" w:hAnsi="Times New Roman"/>
                <w:noProof/>
                <w:sz w:val="16"/>
              </w:rPr>
              <w:t>,</w:t>
            </w:r>
            <w:r w:rsidRPr="00B97A01">
              <w:rPr>
                <w:rFonts w:ascii="Times New Roman" w:hAnsi="Times New Roman"/>
                <w:noProof/>
                <w:sz w:val="16"/>
              </w:rPr>
              <w:t>2</w:t>
            </w:r>
            <w:r w:rsidRPr="00AE55F2">
              <w:rPr>
                <w:rFonts w:ascii="Times New Roman" w:hAnsi="Times New Roman"/>
                <w:noProof/>
                <w:sz w:val="16"/>
              </w:rPr>
              <w:t xml:space="preserve"> % </w:t>
            </w:r>
          </w:p>
        </w:tc>
      </w:tr>
      <w:tr w:rsidR="0077755C" w:rsidRPr="00AE55F2" w14:paraId="07A9FA54" w14:textId="77777777" w:rsidTr="00AE55F2">
        <w:trPr>
          <w:trHeight w:val="34"/>
        </w:trPr>
        <w:tc>
          <w:tcPr>
            <w:tcW w:w="1418" w:type="dxa"/>
            <w:tcBorders>
              <w:top w:val="single" w:sz="6" w:space="0" w:color="DCDDDE"/>
              <w:left w:val="nil"/>
              <w:bottom w:val="single" w:sz="6" w:space="0" w:color="555759"/>
              <w:right w:val="nil"/>
            </w:tcBorders>
            <w:shd w:val="clear" w:color="auto" w:fill="FFFFFF" w:themeFill="background1"/>
            <w:vAlign w:val="center"/>
            <w:hideMark/>
          </w:tcPr>
          <w:p w14:paraId="6CCDDF62" w14:textId="77777777" w:rsidR="008012A6" w:rsidRPr="00AE55F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AE55F2">
              <w:rPr>
                <w:rFonts w:ascii="Times New Roman" w:hAnsi="Times New Roman"/>
                <w:b/>
                <w:noProof/>
                <w:color w:val="3F4143"/>
                <w:sz w:val="18"/>
              </w:rPr>
              <w:t>Floarea-soarelui</w:t>
            </w:r>
            <w:r w:rsidRPr="00AE55F2">
              <w:rPr>
                <w:rFonts w:ascii="Times New Roman" w:hAnsi="Times New Roman"/>
                <w:noProof/>
                <w:color w:val="3F4143"/>
                <w:sz w:val="18"/>
              </w:rPr>
              <w:t xml:space="preserve"> </w:t>
            </w:r>
          </w:p>
        </w:tc>
        <w:tc>
          <w:tcPr>
            <w:tcW w:w="1147" w:type="dxa"/>
            <w:tcBorders>
              <w:top w:val="single" w:sz="6" w:space="0" w:color="DCDDDE"/>
              <w:left w:val="nil"/>
              <w:bottom w:val="single" w:sz="6" w:space="0" w:color="555759"/>
              <w:right w:val="nil"/>
            </w:tcBorders>
            <w:shd w:val="clear" w:color="auto" w:fill="FFFFFF" w:themeFill="background1"/>
            <w:vAlign w:val="bottom"/>
            <w:hideMark/>
          </w:tcPr>
          <w:p w14:paraId="30FFAE9C"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350" w:type="dxa"/>
            <w:tcBorders>
              <w:top w:val="single" w:sz="6" w:space="0" w:color="DCDDDE"/>
              <w:left w:val="nil"/>
              <w:bottom w:val="single" w:sz="6" w:space="0" w:color="555759"/>
              <w:right w:val="nil"/>
            </w:tcBorders>
            <w:shd w:val="clear" w:color="auto" w:fill="FFFFFF" w:themeFill="background1"/>
            <w:vAlign w:val="bottom"/>
            <w:hideMark/>
          </w:tcPr>
          <w:p w14:paraId="5BDA61D3"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0</w:t>
            </w:r>
            <w:r w:rsidRPr="00AE55F2">
              <w:rPr>
                <w:rFonts w:ascii="Times New Roman" w:hAnsi="Times New Roman"/>
                <w:noProof/>
                <w:sz w:val="16"/>
              </w:rPr>
              <w:t>,</w:t>
            </w:r>
            <w:r w:rsidRPr="00B97A01">
              <w:rPr>
                <w:rFonts w:ascii="Times New Roman" w:hAnsi="Times New Roman"/>
                <w:noProof/>
                <w:sz w:val="16"/>
              </w:rPr>
              <w:t>0</w:t>
            </w:r>
            <w:r w:rsidRPr="00AE55F2">
              <w:rPr>
                <w:rFonts w:ascii="Times New Roman" w:hAnsi="Times New Roman"/>
                <w:noProof/>
                <w:sz w:val="16"/>
              </w:rPr>
              <w:t xml:space="preserve"> % </w:t>
            </w:r>
          </w:p>
        </w:tc>
        <w:tc>
          <w:tcPr>
            <w:tcW w:w="1470" w:type="dxa"/>
            <w:tcBorders>
              <w:top w:val="single" w:sz="6" w:space="0" w:color="DCDDDE"/>
              <w:left w:val="nil"/>
              <w:bottom w:val="single" w:sz="6" w:space="0" w:color="555759"/>
              <w:right w:val="nil"/>
            </w:tcBorders>
            <w:shd w:val="clear" w:color="auto" w:fill="FFFFFF" w:themeFill="background1"/>
            <w:vAlign w:val="bottom"/>
            <w:hideMark/>
          </w:tcPr>
          <w:p w14:paraId="4C3B8829" w14:textId="22E49802"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313</w:t>
            </w:r>
            <w:r w:rsidRPr="00AE55F2">
              <w:rPr>
                <w:rFonts w:ascii="Times New Roman" w:hAnsi="Times New Roman"/>
                <w:noProof/>
                <w:sz w:val="16"/>
              </w:rPr>
              <w:t xml:space="preserve"> </w:t>
            </w:r>
          </w:p>
        </w:tc>
        <w:tc>
          <w:tcPr>
            <w:tcW w:w="1440" w:type="dxa"/>
            <w:tcBorders>
              <w:top w:val="single" w:sz="6" w:space="0" w:color="DCDDDE"/>
              <w:left w:val="nil"/>
              <w:bottom w:val="single" w:sz="6" w:space="0" w:color="555759"/>
              <w:right w:val="nil"/>
            </w:tcBorders>
            <w:shd w:val="clear" w:color="auto" w:fill="FFFFFF" w:themeFill="background1"/>
            <w:vAlign w:val="bottom"/>
            <w:hideMark/>
          </w:tcPr>
          <w:p w14:paraId="22E35E6B" w14:textId="77777777" w:rsidR="008012A6" w:rsidRPr="00AE55F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B97A01">
              <w:rPr>
                <w:rFonts w:ascii="Times New Roman" w:hAnsi="Times New Roman"/>
                <w:noProof/>
                <w:sz w:val="16"/>
              </w:rPr>
              <w:t>1</w:t>
            </w:r>
            <w:r w:rsidRPr="00AE55F2">
              <w:rPr>
                <w:rFonts w:ascii="Times New Roman" w:hAnsi="Times New Roman"/>
                <w:noProof/>
                <w:sz w:val="16"/>
              </w:rPr>
              <w:t>,</w:t>
            </w:r>
            <w:r w:rsidRPr="00B97A01">
              <w:rPr>
                <w:rFonts w:ascii="Times New Roman" w:hAnsi="Times New Roman"/>
                <w:noProof/>
                <w:sz w:val="16"/>
              </w:rPr>
              <w:t>1</w:t>
            </w:r>
            <w:r w:rsidRPr="00AE55F2">
              <w:rPr>
                <w:rFonts w:ascii="Times New Roman" w:hAnsi="Times New Roman"/>
                <w:noProof/>
                <w:sz w:val="16"/>
              </w:rPr>
              <w:t xml:space="preserve"> % </w:t>
            </w:r>
          </w:p>
        </w:tc>
      </w:tr>
    </w:tbl>
    <w:p w14:paraId="6CCB590D" w14:textId="18C96EC3" w:rsidR="00F22F37" w:rsidRPr="00AE55F2" w:rsidRDefault="008B5093" w:rsidP="00407BC7">
      <w:pPr>
        <w:shd w:val="clear" w:color="auto" w:fill="FFFFFF" w:themeFill="background1"/>
        <w:rPr>
          <w:rFonts w:ascii="Times New Roman" w:hAnsi="Times New Roman" w:cs="Times New Roman"/>
          <w:i/>
          <w:noProof/>
          <w:sz w:val="20"/>
          <w:szCs w:val="20"/>
        </w:rPr>
      </w:pPr>
      <w:r w:rsidRPr="00AE55F2">
        <w:rPr>
          <w:rFonts w:ascii="Times New Roman" w:hAnsi="Times New Roman"/>
          <w:i/>
          <w:noProof/>
          <w:sz w:val="20"/>
        </w:rPr>
        <w:t xml:space="preserve">Tabelul </w:t>
      </w:r>
      <w:r w:rsidRPr="00B97A01">
        <w:rPr>
          <w:rFonts w:ascii="Times New Roman" w:hAnsi="Times New Roman"/>
          <w:i/>
          <w:noProof/>
          <w:sz w:val="20"/>
        </w:rPr>
        <w:t>5</w:t>
      </w:r>
      <w:r w:rsidRPr="00AE55F2">
        <w:rPr>
          <w:rFonts w:ascii="Times New Roman" w:hAnsi="Times New Roman"/>
          <w:i/>
          <w:noProof/>
          <w:sz w:val="20"/>
        </w:rPr>
        <w:t>: Calcule Guidehouse – rezultate finale</w:t>
      </w:r>
      <w:r w:rsidRPr="00AE55F2">
        <w:rPr>
          <w:rStyle w:val="FootnoteReference"/>
          <w:rFonts w:ascii="Times New Roman" w:hAnsi="Times New Roman" w:cs="Times New Roman"/>
          <w:i/>
          <w:noProof/>
          <w:sz w:val="20"/>
          <w:szCs w:val="20"/>
        </w:rPr>
        <w:footnoteReference w:id="23"/>
      </w:r>
      <w:r w:rsidRPr="00AE55F2">
        <w:rPr>
          <w:rFonts w:ascii="Times New Roman" w:hAnsi="Times New Roman"/>
          <w:i/>
          <w:noProof/>
          <w:sz w:val="20"/>
        </w:rPr>
        <w:t xml:space="preserve"> </w:t>
      </w:r>
    </w:p>
    <w:p w14:paraId="2677B143" w14:textId="0C413D39" w:rsidR="00765D53" w:rsidRPr="00AE55F2" w:rsidRDefault="00C02A97" w:rsidP="5003CF81">
      <w:pPr>
        <w:pStyle w:val="NormalTimesNewRoman"/>
        <w:rPr>
          <w:noProof/>
        </w:rPr>
      </w:pPr>
      <w:r w:rsidRPr="00AE55F2">
        <w:rPr>
          <w:noProof/>
        </w:rPr>
        <w:t>După cum s-a explicat în capitolul I, pentru ca o anumită cultură să fie clasificată ca prezentând un risc ridicat de ILUC, trebuie îndeplinite cumulativ cele două criterii stabilite la articolul </w:t>
      </w:r>
      <w:r w:rsidRPr="00B97A01">
        <w:rPr>
          <w:noProof/>
        </w:rPr>
        <w:t>3</w:t>
      </w:r>
      <w:r w:rsidRPr="00AE55F2">
        <w:rPr>
          <w:noProof/>
        </w:rPr>
        <w:t xml:space="preserve"> din Regulamentul delegat privind ILUC. Ținând seama de aceste două criterii și în conformitate cu datele actualizate și cu noile dovezi științifice, </w:t>
      </w:r>
      <w:r w:rsidRPr="00AE55F2">
        <w:rPr>
          <w:b/>
          <w:noProof/>
        </w:rPr>
        <w:t>palmierii de ulei rămân</w:t>
      </w:r>
      <w:r w:rsidRPr="00AE55F2">
        <w:rPr>
          <w:noProof/>
        </w:rPr>
        <w:t xml:space="preserve"> o materie primă care trebuie clasificată ca prezentând un risc ridicat de ILUC. </w:t>
      </w:r>
      <w:r w:rsidRPr="00AE55F2">
        <w:rPr>
          <w:b/>
          <w:noProof/>
        </w:rPr>
        <w:t>În plus, boabele de soia</w:t>
      </w:r>
      <w:r w:rsidRPr="00AE55F2">
        <w:rPr>
          <w:noProof/>
        </w:rPr>
        <w:t xml:space="preserve"> ar trebui clasificate ca materie primă cu risc ridicat de ILUC, deoarece sunt îndeplinite ambele criterii prevăzute la articolul </w:t>
      </w:r>
      <w:r w:rsidRPr="00B97A01">
        <w:rPr>
          <w:noProof/>
        </w:rPr>
        <w:t>3</w:t>
      </w:r>
      <w:r w:rsidRPr="00AE55F2">
        <w:rPr>
          <w:noProof/>
        </w:rPr>
        <w:t xml:space="preserve"> din </w:t>
      </w:r>
      <w:r w:rsidRPr="00AE55F2">
        <w:rPr>
          <w:noProof/>
          <w:color w:val="000000" w:themeColor="text1"/>
        </w:rPr>
        <w:t>Regulamentul delegat privind ILUC</w:t>
      </w:r>
      <w:r w:rsidRPr="00AE55F2">
        <w:rPr>
          <w:noProof/>
        </w:rPr>
        <w:t>. Aceasta înseamnă că expansiunea suprafeței de producție a uleiului de palmier și a boabelor de soia în detrimentul terenurilor care stochează cantități ridicate de carbon este atât de semnificativă, încât emisiile de gaze cu efect de seră care rezultă din schimbarea destinației terenurilor anulează toate reducerile de emisii de gaze cu efect de seră generate de combustibilii proveniți din această materie primă în comparație cu utilizarea combustibililor fosili.</w:t>
      </w:r>
    </w:p>
    <w:p w14:paraId="2DC84204" w14:textId="77777777" w:rsidR="003A6E2A" w:rsidRPr="00AE55F2" w:rsidRDefault="003A6E2A" w:rsidP="5003CF81">
      <w:pPr>
        <w:pStyle w:val="NormalTimesNewRoman"/>
        <w:rPr>
          <w:noProof/>
        </w:rPr>
      </w:pPr>
    </w:p>
    <w:p w14:paraId="59995CC3" w14:textId="08C1B909" w:rsidR="74982C6C" w:rsidRPr="00AE55F2" w:rsidRDefault="67FE5085" w:rsidP="00725345">
      <w:pPr>
        <w:pStyle w:val="Style1"/>
        <w:rPr>
          <w:noProof/>
        </w:rPr>
      </w:pPr>
      <w:bookmarkStart w:id="10" w:name="_Toc109647471"/>
      <w:r w:rsidRPr="00AE55F2">
        <w:rPr>
          <w:noProof/>
        </w:rPr>
        <w:t xml:space="preserve">ACTUALIZAREA INFORMAȚIILOR PRIVIND CERTIFICAREA COMBUSTIBILILOR CU RISC REDUS DE ILUC </w:t>
      </w:r>
      <w:bookmarkEnd w:id="10"/>
    </w:p>
    <w:p w14:paraId="23DE523C" w14:textId="77777777" w:rsidR="74982C6C" w:rsidRPr="00AE55F2" w:rsidRDefault="74982C6C" w:rsidP="74982C6C">
      <w:pPr>
        <w:rPr>
          <w:rFonts w:ascii="Times New Roman" w:hAnsi="Times New Roman" w:cs="Times New Roman"/>
          <w:noProof/>
        </w:rPr>
      </w:pPr>
    </w:p>
    <w:p w14:paraId="6140CEEB" w14:textId="41B5220E" w:rsidR="67FE5085" w:rsidRPr="00AE55F2" w:rsidRDefault="67FE5085" w:rsidP="67FE5085">
      <w:pPr>
        <w:pStyle w:val="NormalTimesNewRoman"/>
        <w:rPr>
          <w:noProof/>
        </w:rPr>
      </w:pPr>
      <w:r w:rsidRPr="00AE55F2">
        <w:rPr>
          <w:noProof/>
        </w:rPr>
        <w:t>Biocombustibilii, biolichidele și combustibilii din biomasă care prezintă riscuri reduse din perspectiva schimbării indirecte a destinației terenurilor sunt definiți la articolul </w:t>
      </w:r>
      <w:r w:rsidRPr="00B97A01">
        <w:rPr>
          <w:noProof/>
        </w:rPr>
        <w:t>2</w:t>
      </w:r>
      <w:r w:rsidRPr="00AE55F2">
        <w:rPr>
          <w:noProof/>
        </w:rPr>
        <w:t xml:space="preserve"> punctul </w:t>
      </w:r>
      <w:r w:rsidRPr="00B97A01">
        <w:rPr>
          <w:noProof/>
        </w:rPr>
        <w:t>37</w:t>
      </w:r>
      <w:r w:rsidRPr="00AE55F2">
        <w:rPr>
          <w:noProof/>
        </w:rPr>
        <w:t xml:space="preserve"> din Directiva privind energia din surse regenerabile ca fiind (a) cei care provin din materii prime pentru care s-a observat o îmbunătățire a randamentului pe terenurile existente – datorită unor practici agricole îmbunătățite – sau (b) cei cultivați pe terenuri neutilizate. Aceste două opțiuni sunt denumite „măsuri de adiționalitate” în </w:t>
      </w:r>
      <w:r w:rsidRPr="00AE55F2">
        <w:rPr>
          <w:noProof/>
          <w:color w:val="000000" w:themeColor="text1"/>
        </w:rPr>
        <w:t>Regulamentul delegat privind ILUC</w:t>
      </w:r>
      <w:r w:rsidRPr="00AE55F2">
        <w:rPr>
          <w:rStyle w:val="FootnoteReference"/>
          <w:noProof/>
          <w:color w:val="000000" w:themeColor="text1"/>
        </w:rPr>
        <w:footnoteReference w:id="24"/>
      </w:r>
      <w:r w:rsidRPr="00AE55F2">
        <w:rPr>
          <w:noProof/>
        </w:rPr>
        <w:t>. Articolul </w:t>
      </w:r>
      <w:r w:rsidRPr="00B97A01">
        <w:rPr>
          <w:noProof/>
        </w:rPr>
        <w:t>4</w:t>
      </w:r>
      <w:r w:rsidRPr="00AE55F2">
        <w:rPr>
          <w:noProof/>
        </w:rPr>
        <w:t xml:space="preserve"> din Regulamentul delegat privind ILUC conține criterii generale pentru certificarea biocombustibililor, a biolichidelor și a combustibililor din biomasă care prezintă un risc redus de ILUC, iar articolul </w:t>
      </w:r>
      <w:r w:rsidRPr="00B97A01">
        <w:rPr>
          <w:noProof/>
        </w:rPr>
        <w:t>5</w:t>
      </w:r>
      <w:r w:rsidRPr="00AE55F2">
        <w:rPr>
          <w:noProof/>
        </w:rPr>
        <w:t xml:space="preserve"> descrie mai în detaliu măsurile de adiționalitate. Combustibilii cu risc redus de ILUC trebuie produși în conformitate cu criteriile de durabilitate și de reducere a emisiilor de GES prevăzute la articolul </w:t>
      </w:r>
      <w:r w:rsidRPr="00B97A01">
        <w:rPr>
          <w:noProof/>
        </w:rPr>
        <w:t>29</w:t>
      </w:r>
      <w:r w:rsidRPr="00AE55F2">
        <w:rPr>
          <w:noProof/>
        </w:rPr>
        <w:t xml:space="preserve"> din Directiva privind energia din surse regenerabile.</w:t>
      </w:r>
    </w:p>
    <w:p w14:paraId="21A0EA25" w14:textId="48A03EDF" w:rsidR="00826FFE" w:rsidRPr="00AE55F2" w:rsidRDefault="67FE5085" w:rsidP="00826FFE">
      <w:pPr>
        <w:pStyle w:val="NormalTimesNewRoman"/>
        <w:rPr>
          <w:noProof/>
        </w:rPr>
      </w:pPr>
      <w:r w:rsidRPr="00AE55F2">
        <w:rPr>
          <w:noProof/>
        </w:rPr>
        <w:t>Articolul </w:t>
      </w:r>
      <w:r w:rsidRPr="00B97A01">
        <w:rPr>
          <w:noProof/>
        </w:rPr>
        <w:t>5</w:t>
      </w:r>
      <w:r w:rsidRPr="00AE55F2">
        <w:rPr>
          <w:noProof/>
        </w:rPr>
        <w:t xml:space="preserve"> alineatul (</w:t>
      </w:r>
      <w:r w:rsidRPr="00B97A01">
        <w:rPr>
          <w:noProof/>
        </w:rPr>
        <w:t>1</w:t>
      </w:r>
      <w:r w:rsidRPr="00AE55F2">
        <w:rPr>
          <w:noProof/>
        </w:rPr>
        <w:t xml:space="preserve">) din </w:t>
      </w:r>
      <w:r w:rsidRPr="00AE55F2">
        <w:rPr>
          <w:noProof/>
          <w:color w:val="000000" w:themeColor="text1"/>
        </w:rPr>
        <w:t xml:space="preserve">Regulamentul delegat privind ILUC </w:t>
      </w:r>
      <w:r w:rsidRPr="00AE55F2">
        <w:rPr>
          <w:noProof/>
        </w:rPr>
        <w:t xml:space="preserve">descrie condițiile care trebuie îndeplinite pentru ca materiile prime utilizate </w:t>
      </w:r>
      <w:bookmarkStart w:id="11" w:name="_Int_MYhAf1sC"/>
      <w:r w:rsidRPr="00AE55F2">
        <w:rPr>
          <w:noProof/>
        </w:rPr>
        <w:t>pentru producția de</w:t>
      </w:r>
      <w:bookmarkEnd w:id="11"/>
      <w:r w:rsidRPr="00AE55F2">
        <w:rPr>
          <w:noProof/>
        </w:rPr>
        <w:t xml:space="preserve"> biocombustibili, biolichide și combustibili din biomasă să fie clasificate ca fiind </w:t>
      </w:r>
      <w:r w:rsidRPr="00AE55F2">
        <w:rPr>
          <w:i/>
          <w:noProof/>
        </w:rPr>
        <w:t>suplimentare</w:t>
      </w:r>
      <w:r w:rsidRPr="00AE55F2">
        <w:rPr>
          <w:noProof/>
        </w:rPr>
        <w:t xml:space="preserve"> și, prin urmare, combustibilul produs să fie eligibil pentru certificarea riscului redus de ILUC. La articolul </w:t>
      </w:r>
      <w:r w:rsidRPr="00B97A01">
        <w:rPr>
          <w:noProof/>
        </w:rPr>
        <w:t>5</w:t>
      </w:r>
      <w:r w:rsidRPr="00AE55F2">
        <w:rPr>
          <w:noProof/>
        </w:rPr>
        <w:t xml:space="preserve"> alineatul (</w:t>
      </w:r>
      <w:r w:rsidRPr="00B97A01">
        <w:rPr>
          <w:noProof/>
        </w:rPr>
        <w:t>1</w:t>
      </w:r>
      <w:r w:rsidRPr="00AE55F2">
        <w:rPr>
          <w:noProof/>
        </w:rPr>
        <w:t xml:space="preserve">) litera (a) sunt enumerate trei condiții diferite, dintre care trebuie îndeplinită cel puțin una. Prima condiție este atractivitatea din punct de vedere financiar. Aceasta înseamnă că măsura de adiționalitate face ca un combustibil să devină eligibil pentru certificarea drept combustibil cu risc redus de ILUC în cazul în care aplicarea măsurii este atractivă financiar deoarece combustibilul produs poate fi luat în calcul pentru îndeplinirea obiectivelor privind energia din surse regenerabile sau deoarece alte obstacole, care altfel ar împiedica implementarea, dispar odată ce combustibilul devine eligibil pentru a fi luat în calcul în vederea atingerii obiectivelor respective. În cazul celorlalte două condiții, și anume cultivarea pe terenuri abandonate sau sever degradate și aplicarea măsurilor de adiționalitate de către micii proprietari agricoli, adiționalitatea este asumată implicit, astfel încât să se asigure evitarea sarcinilor administrative inutile. Această scutire este justificată și poate fi menținută deoarece micii proprietari agricoli se confruntă cu obstacole care împiedică punerea în aplicare a unor măsuri de creștere a productivității. </w:t>
      </w:r>
    </w:p>
    <w:p w14:paraId="75F88B29" w14:textId="0AABCA66" w:rsidR="00BF4564" w:rsidRPr="00AE55F2" w:rsidRDefault="00BF2EB9" w:rsidP="00826FFE">
      <w:pPr>
        <w:pStyle w:val="NormalTimesNewRoman"/>
        <w:rPr>
          <w:noProof/>
        </w:rPr>
      </w:pPr>
      <w:r w:rsidRPr="00AE55F2">
        <w:rPr>
          <w:noProof/>
        </w:rPr>
        <w:t>Pentru ca operatorii economici să își poată recupera costurile investițiilor, asigurând în același timp eficacitatea continuă a cadrului, articolul </w:t>
      </w:r>
      <w:r w:rsidRPr="00B97A01">
        <w:rPr>
          <w:noProof/>
        </w:rPr>
        <w:t>5</w:t>
      </w:r>
      <w:r w:rsidRPr="00AE55F2">
        <w:rPr>
          <w:noProof/>
        </w:rPr>
        <w:t xml:space="preserve"> alineatul (</w:t>
      </w:r>
      <w:r w:rsidRPr="00B97A01">
        <w:rPr>
          <w:noProof/>
        </w:rPr>
        <w:t>1</w:t>
      </w:r>
      <w:r w:rsidRPr="00AE55F2">
        <w:rPr>
          <w:noProof/>
        </w:rPr>
        <w:t xml:space="preserve">) litera (b) din Regulamentul delegat privind ILUC prevede că măsurile de adiționalitate trebuie să fie luate pe o perioadă de cel mult </w:t>
      </w:r>
      <w:r w:rsidRPr="00B97A01">
        <w:rPr>
          <w:noProof/>
        </w:rPr>
        <w:t>10</w:t>
      </w:r>
      <w:r w:rsidRPr="00AE55F2">
        <w:rPr>
          <w:noProof/>
        </w:rPr>
        <w:t xml:space="preserve"> ani înainte de certificarea biocombustibililor, a biolichidelor și a combustibililor din biomasă drept combustibili cu risc redus de ILUC. Această condiție funcționează bine pentru măsurile de adiționalitate care produc efect imediat. Totuși, pentru a acoperi mai bine cazurile în care măsurile determină producerea de materii prime suplimentare abia după o perioadă semnificativă, este justificat ca perioada lor de eligibilitate să fie stabilită nu în funcție de momentul punerii lor în aplicare, ci în funcție de momentul în care au început să se obțină materiile prime suplimentare. </w:t>
      </w:r>
    </w:p>
    <w:p w14:paraId="2289B772" w14:textId="580897AE" w:rsidR="00CC3046" w:rsidRPr="00AE55F2" w:rsidRDefault="67FE5085" w:rsidP="00CC3046">
      <w:pPr>
        <w:pStyle w:val="NormalTimesNewRoman"/>
        <w:rPr>
          <w:noProof/>
        </w:rPr>
      </w:pPr>
      <w:r w:rsidRPr="00AE55F2">
        <w:rPr>
          <w:noProof/>
        </w:rPr>
        <w:t>În capitolul V din Regulamentul de punere în aplicare (UE) </w:t>
      </w:r>
      <w:r w:rsidRPr="00B97A01">
        <w:rPr>
          <w:noProof/>
        </w:rPr>
        <w:t>2022</w:t>
      </w:r>
      <w:r w:rsidRPr="00AE55F2">
        <w:rPr>
          <w:noProof/>
        </w:rPr>
        <w:t>/</w:t>
      </w:r>
      <w:r w:rsidRPr="00B97A01">
        <w:rPr>
          <w:noProof/>
        </w:rPr>
        <w:t>996</w:t>
      </w:r>
      <w:r w:rsidRPr="00AE55F2">
        <w:rPr>
          <w:rFonts w:eastAsiaTheme="minorEastAsia"/>
          <w:noProof/>
          <w:vertAlign w:val="superscript"/>
        </w:rPr>
        <w:footnoteReference w:id="25"/>
      </w:r>
      <w:r w:rsidRPr="00AE55F2">
        <w:rPr>
          <w:noProof/>
        </w:rPr>
        <w:t>, referitor la normele de certificare pentru sistemele voluntare, se găsesc orientări suplimentare privind aplicarea în practică a certificării riscului redus de ILUC. Articolele </w:t>
      </w:r>
      <w:r w:rsidRPr="00B97A01">
        <w:rPr>
          <w:noProof/>
        </w:rPr>
        <w:t>24</w:t>
      </w:r>
      <w:r w:rsidRPr="00AE55F2">
        <w:rPr>
          <w:noProof/>
        </w:rPr>
        <w:t>-</w:t>
      </w:r>
      <w:r w:rsidRPr="00B97A01">
        <w:rPr>
          <w:noProof/>
        </w:rPr>
        <w:t>27</w:t>
      </w:r>
      <w:r w:rsidRPr="00AE55F2">
        <w:rPr>
          <w:noProof/>
        </w:rPr>
        <w:t xml:space="preserve"> explică cerințele specifice pentru certificarea riscului redus de ILUC și includ norme pentru demonstrarea adiționalității, precum și orientări detaliate pentru respectarea cerințelor privind producția pe terenuri nefolosite sau abandonate și pentru determinarea biomasei suplimentare pentru măsurile de creștere a randamentului. Aceste norme tehnice au scopul de a asigura o abordare armonizată și riguroasă la nivelul organismelor de certificare. În special în ceea ce privește măsurile de adiționalitate și perioada de eligibilitate menționate mai sus, articolul </w:t>
      </w:r>
      <w:r w:rsidRPr="00B97A01">
        <w:rPr>
          <w:noProof/>
        </w:rPr>
        <w:t>24</w:t>
      </w:r>
      <w:r w:rsidRPr="00AE55F2">
        <w:rPr>
          <w:noProof/>
        </w:rPr>
        <w:t xml:space="preserve"> alineatul (</w:t>
      </w:r>
      <w:r w:rsidRPr="00B97A01">
        <w:rPr>
          <w:noProof/>
        </w:rPr>
        <w:t>6</w:t>
      </w:r>
      <w:r w:rsidRPr="00AE55F2">
        <w:rPr>
          <w:noProof/>
        </w:rPr>
        <w:t xml:space="preserve">) din Regulamentul de punere în aplicare (UE) </w:t>
      </w:r>
      <w:r w:rsidRPr="00B97A01">
        <w:rPr>
          <w:noProof/>
        </w:rPr>
        <w:t>2022</w:t>
      </w:r>
      <w:r w:rsidRPr="00AE55F2">
        <w:rPr>
          <w:noProof/>
        </w:rPr>
        <w:t>/</w:t>
      </w:r>
      <w:r w:rsidRPr="00B97A01">
        <w:rPr>
          <w:noProof/>
        </w:rPr>
        <w:t>996</w:t>
      </w:r>
      <w:r w:rsidRPr="00AE55F2">
        <w:rPr>
          <w:noProof/>
        </w:rPr>
        <w:t xml:space="preserve"> a introdus regula potrivit căreia, în cazul culturilor perene, un operator economic poate alege să amâne începerea perioadei de valabilitate de </w:t>
      </w:r>
      <w:r w:rsidRPr="00B97A01">
        <w:rPr>
          <w:noProof/>
        </w:rPr>
        <w:t>10</w:t>
      </w:r>
      <w:r w:rsidRPr="00AE55F2">
        <w:rPr>
          <w:noProof/>
        </w:rPr>
        <w:t> ani cu până la doi ani în cazul măsurilor de adiționalitate operațională sau cu până la cinci ani în cazul replantării.</w:t>
      </w:r>
    </w:p>
    <w:p w14:paraId="35DBCC75" w14:textId="3924B420" w:rsidR="001C9B45" w:rsidRPr="00AE55F2" w:rsidRDefault="001C9B45" w:rsidP="001C9B45">
      <w:pPr>
        <w:pStyle w:val="NormalTimesNewRoman"/>
        <w:rPr>
          <w:noProof/>
        </w:rPr>
      </w:pPr>
    </w:p>
    <w:p w14:paraId="2E0BB16D" w14:textId="77777777" w:rsidR="74982C6C" w:rsidRPr="00AE55F2" w:rsidRDefault="74982C6C" w:rsidP="00725345">
      <w:pPr>
        <w:pStyle w:val="Style1"/>
        <w:rPr>
          <w:noProof/>
        </w:rPr>
      </w:pPr>
      <w:bookmarkStart w:id="12" w:name="_Toc109647472"/>
      <w:r w:rsidRPr="00AE55F2">
        <w:rPr>
          <w:noProof/>
        </w:rPr>
        <w:t>CONCLUZII</w:t>
      </w:r>
      <w:bookmarkEnd w:id="12"/>
    </w:p>
    <w:p w14:paraId="5043CB0F" w14:textId="77777777" w:rsidR="67FE5085" w:rsidRPr="00AE55F2" w:rsidRDefault="67FE5085" w:rsidP="67FE5085">
      <w:pPr>
        <w:rPr>
          <w:rFonts w:ascii="Times New Roman" w:eastAsia="Times New Roman" w:hAnsi="Times New Roman" w:cs="Times New Roman"/>
          <w:noProof/>
          <w:sz w:val="24"/>
          <w:szCs w:val="24"/>
        </w:rPr>
      </w:pPr>
    </w:p>
    <w:p w14:paraId="07459315" w14:textId="5CAFC5E0" w:rsidR="008243A8" w:rsidRPr="00AE55F2" w:rsidRDefault="00382EB9" w:rsidP="00D937A1">
      <w:pPr>
        <w:pStyle w:val="NormalTimesNewRoman"/>
        <w:rPr>
          <w:noProof/>
        </w:rPr>
      </w:pPr>
      <w:r w:rsidRPr="00AE55F2">
        <w:rPr>
          <w:noProof/>
        </w:rPr>
        <w:t xml:space="preserve">Constatările analizei dovezilor științifice incluse în prezentul raport sunt în concordanță cu datele prezentate în raportul din </w:t>
      </w:r>
      <w:r w:rsidRPr="00B97A01">
        <w:rPr>
          <w:noProof/>
        </w:rPr>
        <w:t>2019</w:t>
      </w:r>
      <w:r w:rsidRPr="00AE55F2">
        <w:rPr>
          <w:noProof/>
        </w:rPr>
        <w:t xml:space="preserve"> privind materiile prime și confirmă abordarea adoptată în Regulamentul delegat privind ILUC. În consecință, Comisia intenționează să limiteze revizuirea </w:t>
      </w:r>
      <w:r w:rsidRPr="00AE55F2">
        <w:rPr>
          <w:noProof/>
          <w:color w:val="000000" w:themeColor="text1"/>
        </w:rPr>
        <w:t xml:space="preserve">Regulamentului delegat privind ILUC la modificări minore ale metodologiei, precum și la o actualizare a datelor privind expansiunea materiilor prime și factorii de productivitate. </w:t>
      </w:r>
      <w:r w:rsidRPr="00AE55F2">
        <w:rPr>
          <w:noProof/>
        </w:rPr>
        <w:t xml:space="preserve">Conform datelor actualizate, atât uleiul de palmier, cât și boabele de soia se califică drept materii prime cu risc ridicat de ILUC. </w:t>
      </w:r>
    </w:p>
    <w:sectPr w:rsidR="008243A8" w:rsidRPr="00AE55F2" w:rsidSect="00CD6E84">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07FC6" w14:textId="77777777" w:rsidR="00C26A7A" w:rsidRDefault="00C26A7A">
      <w:pPr>
        <w:spacing w:after="0" w:line="240" w:lineRule="auto"/>
      </w:pPr>
      <w:r>
        <w:separator/>
      </w:r>
    </w:p>
  </w:endnote>
  <w:endnote w:type="continuationSeparator" w:id="0">
    <w:p w14:paraId="3CE66249" w14:textId="77777777" w:rsidR="00C26A7A" w:rsidRDefault="00C26A7A">
      <w:pPr>
        <w:spacing w:after="0" w:line="240" w:lineRule="auto"/>
      </w:pPr>
      <w:r>
        <w:continuationSeparator/>
      </w:r>
    </w:p>
  </w:endnote>
  <w:endnote w:type="continuationNotice" w:id="1">
    <w:p w14:paraId="008A8881" w14:textId="77777777" w:rsidR="00C26A7A" w:rsidRDefault="00C26A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C5D15" w14:textId="09A16AEB" w:rsidR="00754B8D" w:rsidRPr="00754B8D" w:rsidRDefault="00754B8D" w:rsidP="00754B8D">
    <w:pPr>
      <w:pStyle w:val="FooterCoverPage"/>
      <w:rPr>
        <w:rFonts w:ascii="Arial" w:hAnsi="Arial" w:cs="Arial"/>
        <w:b/>
        <w:sz w:val="48"/>
      </w:rPr>
    </w:pPr>
    <w:r w:rsidRPr="00754B8D">
      <w:rPr>
        <w:rFonts w:ascii="Arial" w:hAnsi="Arial" w:cs="Arial"/>
        <w:b/>
        <w:sz w:val="48"/>
      </w:rPr>
      <w:t>RO</w:t>
    </w:r>
    <w:r w:rsidRPr="00754B8D">
      <w:rPr>
        <w:rFonts w:ascii="Arial" w:hAnsi="Arial" w:cs="Arial"/>
        <w:b/>
        <w:sz w:val="48"/>
      </w:rPr>
      <w:tab/>
    </w:r>
    <w:r w:rsidRPr="00754B8D">
      <w:rPr>
        <w:rFonts w:ascii="Arial" w:hAnsi="Arial" w:cs="Arial"/>
        <w:b/>
        <w:sz w:val="48"/>
      </w:rPr>
      <w:tab/>
    </w:r>
    <w:r w:rsidRPr="00754B8D">
      <w:tab/>
    </w:r>
    <w:r w:rsidRPr="00754B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2F3A8" w14:textId="06CE8164" w:rsidR="00754B8D" w:rsidRPr="00754B8D" w:rsidRDefault="00754B8D" w:rsidP="00754B8D">
    <w:pPr>
      <w:pStyle w:val="FooterCoverPage"/>
      <w:rPr>
        <w:rFonts w:ascii="Arial" w:hAnsi="Arial" w:cs="Arial"/>
        <w:b/>
        <w:sz w:val="48"/>
      </w:rPr>
    </w:pPr>
    <w:r w:rsidRPr="00754B8D">
      <w:rPr>
        <w:rFonts w:ascii="Arial" w:hAnsi="Arial" w:cs="Arial"/>
        <w:b/>
        <w:sz w:val="48"/>
      </w:rPr>
      <w:t>RO</w:t>
    </w:r>
    <w:r w:rsidRPr="00754B8D">
      <w:rPr>
        <w:rFonts w:ascii="Arial" w:hAnsi="Arial" w:cs="Arial"/>
        <w:b/>
        <w:sz w:val="48"/>
      </w:rPr>
      <w:tab/>
    </w:r>
    <w:r w:rsidRPr="00754B8D">
      <w:rPr>
        <w:rFonts w:ascii="Arial" w:hAnsi="Arial" w:cs="Arial"/>
        <w:b/>
        <w:sz w:val="48"/>
      </w:rPr>
      <w:tab/>
    </w:r>
    <w:r w:rsidRPr="00754B8D">
      <w:tab/>
    </w:r>
    <w:r w:rsidRPr="00754B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A14DE" w14:textId="77777777" w:rsidR="00754B8D" w:rsidRPr="00754B8D" w:rsidRDefault="00754B8D" w:rsidP="00754B8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A5D23" w14:textId="77777777" w:rsidR="00CD6E84" w:rsidRDefault="00CD6E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1924244"/>
      <w:docPartObj>
        <w:docPartGallery w:val="Page Numbers (Bottom of Page)"/>
        <w:docPartUnique/>
      </w:docPartObj>
    </w:sdtPr>
    <w:sdtEndPr>
      <w:rPr>
        <w:noProof/>
      </w:rPr>
    </w:sdtEndPr>
    <w:sdtContent>
      <w:p w14:paraId="3D3D22A9" w14:textId="72A2990E" w:rsidR="00CD6E84" w:rsidRDefault="00CD6E84">
        <w:pPr>
          <w:pStyle w:val="Footer"/>
          <w:jc w:val="center"/>
        </w:pPr>
        <w:r>
          <w:fldChar w:fldCharType="begin"/>
        </w:r>
        <w:r>
          <w:instrText xml:space="preserve"> PAGE   \* MERGEFORMAT </w:instrText>
        </w:r>
        <w:r>
          <w:fldChar w:fldCharType="separate"/>
        </w:r>
        <w:r w:rsidR="00754B8D">
          <w:rPr>
            <w:noProof/>
          </w:rPr>
          <w:t>1</w:t>
        </w:r>
        <w:r>
          <w:fldChar w:fldCharType="end"/>
        </w:r>
      </w:p>
    </w:sdtContent>
  </w:sdt>
  <w:p w14:paraId="6DFB9E20" w14:textId="77777777" w:rsidR="00CD6E84" w:rsidRDefault="00CD6E84" w:rsidP="74982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AD66" w14:textId="77777777" w:rsidR="00CD6E84" w:rsidRDefault="00CD6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EB1E0" w14:textId="77777777" w:rsidR="00C26A7A" w:rsidRDefault="00C26A7A">
      <w:pPr>
        <w:spacing w:after="0" w:line="240" w:lineRule="auto"/>
      </w:pPr>
      <w:r>
        <w:separator/>
      </w:r>
    </w:p>
  </w:footnote>
  <w:footnote w:type="continuationSeparator" w:id="0">
    <w:p w14:paraId="3F79D900" w14:textId="77777777" w:rsidR="00C26A7A" w:rsidRDefault="00C26A7A">
      <w:pPr>
        <w:spacing w:after="0" w:line="240" w:lineRule="auto"/>
      </w:pPr>
      <w:r>
        <w:continuationSeparator/>
      </w:r>
    </w:p>
  </w:footnote>
  <w:footnote w:type="continuationNotice" w:id="1">
    <w:p w14:paraId="0761BD23" w14:textId="77777777" w:rsidR="00C26A7A" w:rsidRDefault="00C26A7A">
      <w:pPr>
        <w:spacing w:after="0" w:line="240" w:lineRule="auto"/>
      </w:pPr>
    </w:p>
  </w:footnote>
  <w:footnote w:id="2">
    <w:p w14:paraId="232E177B" w14:textId="25F6A85B" w:rsidR="004B465E" w:rsidRPr="009645C7" w:rsidRDefault="004B465E"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w:t>
      </w:r>
      <w:r w:rsidRPr="00B97A01">
        <w:rPr>
          <w:rFonts w:ascii="Times New Roman" w:hAnsi="Times New Roman"/>
        </w:rPr>
        <w:t>2018</w:t>
      </w:r>
      <w:r>
        <w:rPr>
          <w:rFonts w:ascii="Times New Roman" w:hAnsi="Times New Roman"/>
        </w:rPr>
        <w:t>/</w:t>
      </w:r>
      <w:r w:rsidRPr="00B97A01">
        <w:rPr>
          <w:rFonts w:ascii="Times New Roman" w:hAnsi="Times New Roman"/>
        </w:rPr>
        <w:t>2001</w:t>
      </w:r>
      <w:r>
        <w:rPr>
          <w:rFonts w:ascii="Times New Roman" w:hAnsi="Times New Roman"/>
        </w:rPr>
        <w:t xml:space="preserve"> a Parlamentului European și a Consiliului din </w:t>
      </w:r>
      <w:r w:rsidRPr="00B97A01">
        <w:rPr>
          <w:rFonts w:ascii="Times New Roman" w:hAnsi="Times New Roman"/>
        </w:rPr>
        <w:t>11</w:t>
      </w:r>
      <w:r>
        <w:rPr>
          <w:rFonts w:ascii="Times New Roman" w:hAnsi="Times New Roman"/>
        </w:rPr>
        <w:t xml:space="preserve"> decembrie </w:t>
      </w:r>
      <w:r w:rsidRPr="00B97A01">
        <w:rPr>
          <w:rFonts w:ascii="Times New Roman" w:hAnsi="Times New Roman"/>
        </w:rPr>
        <w:t>2018</w:t>
      </w:r>
      <w:r>
        <w:rPr>
          <w:rFonts w:ascii="Times New Roman" w:hAnsi="Times New Roman"/>
        </w:rPr>
        <w:t xml:space="preserve"> privind promovarea utilizării energiei din surse regenerabile (JO L </w:t>
      </w:r>
      <w:r w:rsidRPr="00B97A01">
        <w:rPr>
          <w:rFonts w:ascii="Times New Roman" w:hAnsi="Times New Roman"/>
        </w:rPr>
        <w:t>328</w:t>
      </w:r>
      <w:r>
        <w:rPr>
          <w:rFonts w:ascii="Times New Roman" w:hAnsi="Times New Roman"/>
        </w:rPr>
        <w:t xml:space="preserve">, </w:t>
      </w:r>
      <w:r w:rsidRPr="00B97A01">
        <w:rPr>
          <w:rFonts w:ascii="Times New Roman" w:hAnsi="Times New Roman"/>
        </w:rPr>
        <w:t>21</w:t>
      </w:r>
      <w:r>
        <w:rPr>
          <w:rFonts w:ascii="Times New Roman" w:hAnsi="Times New Roman"/>
        </w:rPr>
        <w:t>.</w:t>
      </w:r>
      <w:r w:rsidRPr="00B97A01">
        <w:rPr>
          <w:rFonts w:ascii="Times New Roman" w:hAnsi="Times New Roman"/>
        </w:rPr>
        <w:t>12</w:t>
      </w:r>
      <w:r>
        <w:rPr>
          <w:rFonts w:ascii="Times New Roman" w:hAnsi="Times New Roman"/>
        </w:rPr>
        <w:t>.</w:t>
      </w:r>
      <w:r w:rsidRPr="00B97A01">
        <w:rPr>
          <w:rFonts w:ascii="Times New Roman" w:hAnsi="Times New Roman"/>
        </w:rPr>
        <w:t>2018</w:t>
      </w:r>
      <w:r>
        <w:rPr>
          <w:rFonts w:ascii="Times New Roman" w:hAnsi="Times New Roman"/>
        </w:rPr>
        <w:t>, ELI: </w:t>
      </w:r>
      <w:hyperlink r:id="rId1" w:tooltip="Oferă acces la acest document prin identificatorul său uniform de resurse ELI." w:history="1">
        <w:r>
          <w:rPr>
            <w:rStyle w:val="Hyperlink"/>
            <w:rFonts w:ascii="Times New Roman" w:hAnsi="Times New Roman"/>
          </w:rPr>
          <w:t>http://data.europa.eu/eli/dir/</w:t>
        </w:r>
        <w:r w:rsidRPr="00B97A01">
          <w:rPr>
            <w:rStyle w:val="Hyperlink"/>
            <w:rFonts w:ascii="Times New Roman" w:hAnsi="Times New Roman"/>
          </w:rPr>
          <w:t>2018</w:t>
        </w:r>
        <w:r>
          <w:rPr>
            <w:rStyle w:val="Hyperlink"/>
            <w:rFonts w:ascii="Times New Roman" w:hAnsi="Times New Roman"/>
          </w:rPr>
          <w:t>/</w:t>
        </w:r>
        <w:r w:rsidRPr="00B97A01">
          <w:rPr>
            <w:rStyle w:val="Hyperlink"/>
            <w:rFonts w:ascii="Times New Roman" w:hAnsi="Times New Roman"/>
          </w:rPr>
          <w:t>2001</w:t>
        </w:r>
        <w:r>
          <w:rPr>
            <w:rStyle w:val="Hyperlink"/>
            <w:rFonts w:ascii="Times New Roman" w:hAnsi="Times New Roman"/>
          </w:rPr>
          <w:t>/oj</w:t>
        </w:r>
      </w:hyperlink>
      <w:r>
        <w:rPr>
          <w:rFonts w:ascii="Times New Roman" w:hAnsi="Times New Roman"/>
        </w:rPr>
        <w:t xml:space="preserve">), astfel cum a fost modificată prin Directiva (UE) </w:t>
      </w:r>
      <w:r w:rsidRPr="00B97A01">
        <w:rPr>
          <w:rFonts w:ascii="Times New Roman" w:hAnsi="Times New Roman"/>
        </w:rPr>
        <w:t>2023</w:t>
      </w:r>
      <w:r>
        <w:rPr>
          <w:rFonts w:ascii="Times New Roman" w:hAnsi="Times New Roman"/>
        </w:rPr>
        <w:t>/</w:t>
      </w:r>
      <w:r w:rsidRPr="00B97A01">
        <w:rPr>
          <w:rFonts w:ascii="Times New Roman" w:hAnsi="Times New Roman"/>
        </w:rPr>
        <w:t>2413</w:t>
      </w:r>
      <w:r>
        <w:rPr>
          <w:rFonts w:ascii="Times New Roman" w:hAnsi="Times New Roman"/>
        </w:rPr>
        <w:t xml:space="preserve"> a Parlamentului European și a Consiliului din </w:t>
      </w:r>
      <w:r w:rsidRPr="00B97A01">
        <w:rPr>
          <w:rFonts w:ascii="Times New Roman" w:hAnsi="Times New Roman"/>
        </w:rPr>
        <w:t>18</w:t>
      </w:r>
      <w:r>
        <w:rPr>
          <w:rFonts w:ascii="Times New Roman" w:hAnsi="Times New Roman"/>
        </w:rPr>
        <w:t xml:space="preserve"> octombrie </w:t>
      </w:r>
      <w:r w:rsidRPr="00B97A01">
        <w:rPr>
          <w:rFonts w:ascii="Times New Roman" w:hAnsi="Times New Roman"/>
        </w:rPr>
        <w:t>2023</w:t>
      </w:r>
      <w:r>
        <w:rPr>
          <w:rFonts w:ascii="Times New Roman" w:hAnsi="Times New Roman"/>
        </w:rPr>
        <w:t xml:space="preserve"> de modificare a Directivei (UE) </w:t>
      </w:r>
      <w:r w:rsidRPr="00B97A01">
        <w:rPr>
          <w:rFonts w:ascii="Times New Roman" w:hAnsi="Times New Roman"/>
        </w:rPr>
        <w:t>2018</w:t>
      </w:r>
      <w:r>
        <w:rPr>
          <w:rFonts w:ascii="Times New Roman" w:hAnsi="Times New Roman"/>
        </w:rPr>
        <w:t>/</w:t>
      </w:r>
      <w:r w:rsidRPr="00B97A01">
        <w:rPr>
          <w:rFonts w:ascii="Times New Roman" w:hAnsi="Times New Roman"/>
        </w:rPr>
        <w:t>2001</w:t>
      </w:r>
      <w:r>
        <w:rPr>
          <w:rFonts w:ascii="Times New Roman" w:hAnsi="Times New Roman"/>
        </w:rPr>
        <w:t>, a Regulamentului (UE) </w:t>
      </w:r>
      <w:r w:rsidRPr="00B97A01">
        <w:rPr>
          <w:rFonts w:ascii="Times New Roman" w:hAnsi="Times New Roman"/>
        </w:rPr>
        <w:t>2018</w:t>
      </w:r>
      <w:r>
        <w:rPr>
          <w:rFonts w:ascii="Times New Roman" w:hAnsi="Times New Roman"/>
        </w:rPr>
        <w:t>/</w:t>
      </w:r>
      <w:r w:rsidRPr="00B97A01">
        <w:rPr>
          <w:rFonts w:ascii="Times New Roman" w:hAnsi="Times New Roman"/>
        </w:rPr>
        <w:t>1999</w:t>
      </w:r>
      <w:r>
        <w:rPr>
          <w:rFonts w:ascii="Times New Roman" w:hAnsi="Times New Roman"/>
        </w:rPr>
        <w:t xml:space="preserve"> și a Directivei </w:t>
      </w:r>
      <w:r w:rsidRPr="00B97A01">
        <w:rPr>
          <w:rFonts w:ascii="Times New Roman" w:hAnsi="Times New Roman"/>
        </w:rPr>
        <w:t>98</w:t>
      </w:r>
      <w:r>
        <w:rPr>
          <w:rFonts w:ascii="Times New Roman" w:hAnsi="Times New Roman"/>
        </w:rPr>
        <w:t>/</w:t>
      </w:r>
      <w:r w:rsidRPr="00B97A01">
        <w:rPr>
          <w:rFonts w:ascii="Times New Roman" w:hAnsi="Times New Roman"/>
        </w:rPr>
        <w:t>70</w:t>
      </w:r>
      <w:r>
        <w:rPr>
          <w:rFonts w:ascii="Times New Roman" w:hAnsi="Times New Roman"/>
        </w:rPr>
        <w:t>/CE în ceea ce privește promovarea energiei din surse regenerabile și de abrogare a Directivei (UE) </w:t>
      </w:r>
      <w:r w:rsidRPr="00B97A01">
        <w:rPr>
          <w:rFonts w:ascii="Times New Roman" w:hAnsi="Times New Roman"/>
        </w:rPr>
        <w:t>2015</w:t>
      </w:r>
      <w:r>
        <w:rPr>
          <w:rFonts w:ascii="Times New Roman" w:hAnsi="Times New Roman"/>
        </w:rPr>
        <w:t>/</w:t>
      </w:r>
      <w:r w:rsidRPr="00B97A01">
        <w:rPr>
          <w:rFonts w:ascii="Times New Roman" w:hAnsi="Times New Roman"/>
        </w:rPr>
        <w:t>652</w:t>
      </w:r>
      <w:r>
        <w:rPr>
          <w:rFonts w:ascii="Times New Roman" w:hAnsi="Times New Roman"/>
        </w:rPr>
        <w:t xml:space="preserve"> a Consiliului (</w:t>
      </w:r>
      <w:r>
        <w:rPr>
          <w:rFonts w:ascii="Times New Roman" w:hAnsi="Times New Roman"/>
          <w:i/>
        </w:rPr>
        <w:t xml:space="preserve">JO L, </w:t>
      </w:r>
      <w:r w:rsidRPr="00B97A01">
        <w:rPr>
          <w:rFonts w:ascii="Times New Roman" w:hAnsi="Times New Roman"/>
          <w:i/>
        </w:rPr>
        <w:t>2023</w:t>
      </w:r>
      <w:r>
        <w:rPr>
          <w:rFonts w:ascii="Times New Roman" w:hAnsi="Times New Roman"/>
          <w:i/>
        </w:rPr>
        <w:t>/</w:t>
      </w:r>
      <w:r w:rsidRPr="00B97A01">
        <w:rPr>
          <w:rFonts w:ascii="Times New Roman" w:hAnsi="Times New Roman"/>
          <w:i/>
        </w:rPr>
        <w:t>2413</w:t>
      </w:r>
      <w:r>
        <w:rPr>
          <w:rFonts w:ascii="Times New Roman" w:hAnsi="Times New Roman"/>
          <w:i/>
        </w:rPr>
        <w:t xml:space="preserve">, </w:t>
      </w:r>
      <w:r w:rsidRPr="00B97A01">
        <w:rPr>
          <w:rFonts w:ascii="Times New Roman" w:hAnsi="Times New Roman"/>
          <w:i/>
        </w:rPr>
        <w:t>31</w:t>
      </w:r>
      <w:r>
        <w:rPr>
          <w:rFonts w:ascii="Times New Roman" w:hAnsi="Times New Roman"/>
          <w:i/>
        </w:rPr>
        <w:t>.</w:t>
      </w:r>
      <w:r w:rsidRPr="00B97A01">
        <w:rPr>
          <w:rFonts w:ascii="Times New Roman" w:hAnsi="Times New Roman"/>
          <w:i/>
        </w:rPr>
        <w:t>10</w:t>
      </w:r>
      <w:r>
        <w:rPr>
          <w:rFonts w:ascii="Times New Roman" w:hAnsi="Times New Roman"/>
          <w:i/>
        </w:rPr>
        <w:t>.</w:t>
      </w:r>
      <w:r w:rsidRPr="00B97A01">
        <w:rPr>
          <w:rFonts w:ascii="Times New Roman" w:hAnsi="Times New Roman"/>
          <w:i/>
        </w:rPr>
        <w:t>2023</w:t>
      </w:r>
      <w:r>
        <w:rPr>
          <w:rFonts w:ascii="Times New Roman" w:hAnsi="Times New Roman"/>
          <w:i/>
        </w:rPr>
        <w:t>, ELI: </w:t>
      </w:r>
      <w:hyperlink r:id="rId2" w:tgtFrame="_blank" w:tooltip="Oferă acces la acest document prin identificatorul său uniform de resurse ELI." w:history="1">
        <w:r>
          <w:rPr>
            <w:rStyle w:val="Hyperlink"/>
            <w:rFonts w:ascii="Times New Roman" w:hAnsi="Times New Roman"/>
            <w:i/>
          </w:rPr>
          <w:t>http://data.europa.eu/eli/dir/</w:t>
        </w:r>
        <w:r w:rsidRPr="00B97A01">
          <w:rPr>
            <w:rStyle w:val="Hyperlink"/>
            <w:rFonts w:ascii="Times New Roman" w:hAnsi="Times New Roman"/>
            <w:i/>
          </w:rPr>
          <w:t>2023</w:t>
        </w:r>
        <w:r>
          <w:rPr>
            <w:rStyle w:val="Hyperlink"/>
            <w:rFonts w:ascii="Times New Roman" w:hAnsi="Times New Roman"/>
            <w:i/>
          </w:rPr>
          <w:t>/</w:t>
        </w:r>
        <w:r w:rsidRPr="00B97A01">
          <w:rPr>
            <w:rStyle w:val="Hyperlink"/>
            <w:rFonts w:ascii="Times New Roman" w:hAnsi="Times New Roman"/>
            <w:i/>
          </w:rPr>
          <w:t>2413</w:t>
        </w:r>
        <w:r>
          <w:rPr>
            <w:rStyle w:val="Hyperlink"/>
            <w:rFonts w:ascii="Times New Roman" w:hAnsi="Times New Roman"/>
            <w:i/>
          </w:rPr>
          <w:t>/oj</w:t>
        </w:r>
      </w:hyperlink>
      <w:r>
        <w:rPr>
          <w:rFonts w:ascii="Times New Roman" w:hAnsi="Times New Roman"/>
        </w:rPr>
        <w:t>)</w:t>
      </w:r>
      <w:r>
        <w:t>.</w:t>
      </w:r>
    </w:p>
  </w:footnote>
  <w:footnote w:id="3">
    <w:p w14:paraId="44AAE05E" w14:textId="77777777" w:rsidR="003F69F4" w:rsidRPr="009645C7" w:rsidRDefault="003F69F4" w:rsidP="00632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delegat (UE) </w:t>
      </w:r>
      <w:r w:rsidRPr="00B97A01">
        <w:rPr>
          <w:rFonts w:ascii="Times New Roman" w:hAnsi="Times New Roman"/>
        </w:rPr>
        <w:t>2019</w:t>
      </w:r>
      <w:r>
        <w:rPr>
          <w:rFonts w:ascii="Times New Roman" w:hAnsi="Times New Roman"/>
        </w:rPr>
        <w:t>/</w:t>
      </w:r>
      <w:r w:rsidRPr="00B97A01">
        <w:rPr>
          <w:rFonts w:ascii="Times New Roman" w:hAnsi="Times New Roman"/>
        </w:rPr>
        <w:t>807</w:t>
      </w:r>
      <w:r>
        <w:rPr>
          <w:rFonts w:ascii="Times New Roman" w:hAnsi="Times New Roman"/>
        </w:rPr>
        <w:t xml:space="preserve"> al Comisiei din </w:t>
      </w:r>
      <w:r w:rsidRPr="00B97A01">
        <w:rPr>
          <w:rFonts w:ascii="Times New Roman" w:hAnsi="Times New Roman"/>
        </w:rPr>
        <w:t>13</w:t>
      </w:r>
      <w:r>
        <w:rPr>
          <w:rFonts w:ascii="Times New Roman" w:hAnsi="Times New Roman"/>
        </w:rPr>
        <w:t xml:space="preserve"> martie </w:t>
      </w:r>
      <w:r w:rsidRPr="00B97A01">
        <w:rPr>
          <w:rFonts w:ascii="Times New Roman" w:hAnsi="Times New Roman"/>
        </w:rPr>
        <w:t>2019</w:t>
      </w:r>
      <w:r>
        <w:rPr>
          <w:rFonts w:ascii="Times New Roman" w:hAnsi="Times New Roman"/>
        </w:rPr>
        <w:t xml:space="preserve"> de completare a Directivei (UE) </w:t>
      </w:r>
      <w:r w:rsidRPr="00B97A01">
        <w:rPr>
          <w:rFonts w:ascii="Times New Roman" w:hAnsi="Times New Roman"/>
        </w:rPr>
        <w:t>2018</w:t>
      </w:r>
      <w:r>
        <w:rPr>
          <w:rFonts w:ascii="Times New Roman" w:hAnsi="Times New Roman"/>
        </w:rPr>
        <w:t>/</w:t>
      </w:r>
      <w:r w:rsidRPr="00B97A01">
        <w:rPr>
          <w:rFonts w:ascii="Times New Roman" w:hAnsi="Times New Roman"/>
        </w:rPr>
        <w:t>2001</w:t>
      </w:r>
      <w:r>
        <w:rPr>
          <w:rFonts w:ascii="Times New Roman" w:hAnsi="Times New Roman"/>
        </w:rPr>
        <w:t xml:space="preserve">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biocombustibililor, a biolichidelor și a combustibililor din biomasă care prezintă riscuri reduse din perspectiva schimbării indirecte a destinației terenurilor, JO L </w:t>
      </w:r>
      <w:r w:rsidRPr="00B97A01">
        <w:rPr>
          <w:rFonts w:ascii="Times New Roman" w:hAnsi="Times New Roman"/>
        </w:rPr>
        <w:t>133</w:t>
      </w:r>
      <w:r>
        <w:rPr>
          <w:rFonts w:ascii="Times New Roman" w:hAnsi="Times New Roman"/>
        </w:rPr>
        <w:t xml:space="preserve">, </w:t>
      </w:r>
      <w:r w:rsidRPr="00B97A01">
        <w:rPr>
          <w:rFonts w:ascii="Times New Roman" w:hAnsi="Times New Roman"/>
        </w:rPr>
        <w:t>21</w:t>
      </w:r>
      <w:r>
        <w:rPr>
          <w:rFonts w:ascii="Times New Roman" w:hAnsi="Times New Roman"/>
        </w:rPr>
        <w:t>.</w:t>
      </w:r>
      <w:r w:rsidRPr="00B97A01">
        <w:rPr>
          <w:rFonts w:ascii="Times New Roman" w:hAnsi="Times New Roman"/>
        </w:rPr>
        <w:t>5</w:t>
      </w:r>
      <w:r>
        <w:rPr>
          <w:rFonts w:ascii="Times New Roman" w:hAnsi="Times New Roman"/>
        </w:rPr>
        <w:t>.</w:t>
      </w:r>
      <w:r w:rsidRPr="00B97A01">
        <w:rPr>
          <w:rFonts w:ascii="Times New Roman" w:hAnsi="Times New Roman"/>
        </w:rPr>
        <w:t>2019</w:t>
      </w:r>
      <w:r>
        <w:rPr>
          <w:rFonts w:ascii="Times New Roman" w:hAnsi="Times New Roman"/>
        </w:rPr>
        <w:t>, p. </w:t>
      </w:r>
      <w:r w:rsidRPr="00B97A01">
        <w:rPr>
          <w:rFonts w:ascii="Times New Roman" w:hAnsi="Times New Roman"/>
        </w:rPr>
        <w:t>1</w:t>
      </w:r>
      <w:r>
        <w:rPr>
          <w:rFonts w:ascii="Times New Roman" w:hAnsi="Times New Roman"/>
        </w:rPr>
        <w:t>.</w:t>
      </w:r>
    </w:p>
  </w:footnote>
  <w:footnote w:id="4">
    <w:p w14:paraId="473F21FD" w14:textId="3929D1CB" w:rsidR="00656CE7" w:rsidRPr="00412EF2" w:rsidRDefault="00656CE7" w:rsidP="00656CE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B97A01">
        <w:rPr>
          <w:rFonts w:ascii="Times New Roman" w:hAnsi="Times New Roman"/>
        </w:rPr>
        <w:t>2019</w:t>
      </w:r>
      <w:r>
        <w:rPr>
          <w:rFonts w:ascii="Times New Roman" w:hAnsi="Times New Roman"/>
        </w:rPr>
        <w:t>/</w:t>
      </w:r>
      <w:r w:rsidRPr="00B97A01">
        <w:rPr>
          <w:rFonts w:ascii="Times New Roman" w:hAnsi="Times New Roman"/>
        </w:rPr>
        <w:t>142</w:t>
      </w:r>
      <w:r>
        <w:rPr>
          <w:rFonts w:ascii="Times New Roman" w:hAnsi="Times New Roman"/>
        </w:rPr>
        <w:t xml:space="preserve"> final – Raport al Comisiei către Parlamentul European, Consiliu, Comitetul Economic și Social European și Comitetul Regiunilor privind situația expansiunii la nivel mondial a producției de anumite culturi alimentare și furajere.</w:t>
      </w:r>
    </w:p>
  </w:footnote>
  <w:footnote w:id="5">
    <w:p w14:paraId="58CA19A0" w14:textId="1DEEA15C" w:rsidR="00830A7C" w:rsidRPr="002419DC" w:rsidRDefault="00830A7C">
      <w:pPr>
        <w:pStyle w:val="FootnoteText"/>
      </w:pPr>
      <w:r>
        <w:rPr>
          <w:rStyle w:val="FootnoteReference"/>
        </w:rPr>
        <w:footnoteRef/>
      </w:r>
      <w:r>
        <w:t xml:space="preserve"> doi:</w:t>
      </w:r>
      <w:r w:rsidRPr="00B97A01">
        <w:t>10</w:t>
      </w:r>
      <w:r>
        <w:t>.</w:t>
      </w:r>
      <w:r w:rsidRPr="00B97A01">
        <w:t>2833</w:t>
      </w:r>
      <w:r>
        <w:t>/</w:t>
      </w:r>
      <w:r w:rsidRPr="00B97A01">
        <w:t>7401246</w:t>
      </w:r>
      <w:r>
        <w:t>.</w:t>
      </w:r>
    </w:p>
  </w:footnote>
  <w:footnote w:id="6">
    <w:p w14:paraId="282F2D3E" w14:textId="2ACBF33C" w:rsidR="00F45646" w:rsidRPr="00412EF2" w:rsidRDefault="00F456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Amaral, D. F., De Souza Ferreira Filho, J. B., Chagas, A. L. S. și Adami, M. (</w:t>
      </w:r>
      <w:r w:rsidRPr="00B97A01">
        <w:rPr>
          <w:rFonts w:ascii="Times New Roman" w:hAnsi="Times New Roman"/>
        </w:rPr>
        <w:t>2021</w:t>
      </w:r>
      <w:r>
        <w:rPr>
          <w:rFonts w:ascii="Times New Roman" w:hAnsi="Times New Roman"/>
        </w:rPr>
        <w:t xml:space="preserve">). </w:t>
      </w:r>
      <w:r>
        <w:rPr>
          <w:rFonts w:ascii="Times New Roman" w:hAnsi="Times New Roman"/>
          <w:i/>
          <w:iCs/>
        </w:rPr>
        <w:t>Expansion of soybean farming into deforested areas in the amazon biome:</w:t>
      </w:r>
      <w:r>
        <w:rPr>
          <w:rFonts w:ascii="Times New Roman" w:hAnsi="Times New Roman"/>
        </w:rPr>
        <w:t xml:space="preserve"> </w:t>
      </w:r>
      <w:r>
        <w:rPr>
          <w:rFonts w:ascii="Times New Roman" w:hAnsi="Times New Roman"/>
          <w:i/>
          <w:iCs/>
        </w:rPr>
        <w:t>the role and impact of the soy moratorium</w:t>
      </w:r>
      <w:r>
        <w:rPr>
          <w:rFonts w:ascii="Times New Roman" w:hAnsi="Times New Roman"/>
        </w:rPr>
        <w:t xml:space="preserve"> (Extinderea culturilor de soia în zonele defrișate din biomul amazonian: rolul și impactul moratoriului privind soia). </w:t>
      </w:r>
      <w:r>
        <w:rPr>
          <w:rFonts w:ascii="Times New Roman" w:hAnsi="Times New Roman"/>
          <w:i/>
          <w:iCs/>
        </w:rPr>
        <w:t>Sustainability Science</w:t>
      </w:r>
      <w:r>
        <w:rPr>
          <w:rFonts w:ascii="Times New Roman" w:hAnsi="Times New Roman"/>
        </w:rPr>
        <w:t xml:space="preserve">, </w:t>
      </w:r>
      <w:r w:rsidRPr="00B97A01">
        <w:rPr>
          <w:rFonts w:ascii="Times New Roman" w:hAnsi="Times New Roman"/>
        </w:rPr>
        <w:t>16</w:t>
      </w:r>
      <w:r>
        <w:rPr>
          <w:rFonts w:ascii="Times New Roman" w:hAnsi="Times New Roman"/>
        </w:rPr>
        <w:t>(</w:t>
      </w:r>
      <w:r w:rsidRPr="00B97A01">
        <w:rPr>
          <w:rFonts w:ascii="Times New Roman" w:hAnsi="Times New Roman"/>
        </w:rPr>
        <w:t>4</w:t>
      </w:r>
      <w:r>
        <w:rPr>
          <w:rFonts w:ascii="Times New Roman" w:hAnsi="Times New Roman"/>
        </w:rPr>
        <w:t xml:space="preserve">), </w:t>
      </w:r>
      <w:r w:rsidRPr="00B97A01">
        <w:rPr>
          <w:rFonts w:ascii="Times New Roman" w:hAnsi="Times New Roman"/>
        </w:rPr>
        <w:t>1295</w:t>
      </w:r>
      <w:r>
        <w:rPr>
          <w:rFonts w:ascii="Times New Roman" w:hAnsi="Times New Roman"/>
        </w:rPr>
        <w:t>–</w:t>
      </w:r>
      <w:r w:rsidRPr="00B97A01">
        <w:rPr>
          <w:rFonts w:ascii="Times New Roman" w:hAnsi="Times New Roman"/>
        </w:rPr>
        <w:t>1312</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1007</w:t>
      </w:r>
      <w:r>
        <w:rPr>
          <w:rFonts w:ascii="Times New Roman" w:hAnsi="Times New Roman"/>
        </w:rPr>
        <w:t>/s</w:t>
      </w:r>
      <w:r w:rsidRPr="00B97A01">
        <w:rPr>
          <w:rFonts w:ascii="Times New Roman" w:hAnsi="Times New Roman"/>
        </w:rPr>
        <w:t>11625</w:t>
      </w:r>
      <w:r>
        <w:rPr>
          <w:rFonts w:ascii="Times New Roman" w:hAnsi="Times New Roman"/>
        </w:rPr>
        <w:t>-</w:t>
      </w:r>
      <w:r w:rsidRPr="00B97A01">
        <w:rPr>
          <w:rFonts w:ascii="Times New Roman" w:hAnsi="Times New Roman"/>
        </w:rPr>
        <w:t>021</w:t>
      </w:r>
      <w:r>
        <w:rPr>
          <w:rFonts w:ascii="Times New Roman" w:hAnsi="Times New Roman"/>
        </w:rPr>
        <w:t>-</w:t>
      </w:r>
      <w:r w:rsidRPr="00B97A01">
        <w:rPr>
          <w:rFonts w:ascii="Times New Roman" w:hAnsi="Times New Roman"/>
        </w:rPr>
        <w:t>00942</w:t>
      </w:r>
      <w:r>
        <w:rPr>
          <w:rFonts w:ascii="Times New Roman" w:hAnsi="Times New Roman"/>
        </w:rPr>
        <w:t xml:space="preserve">-x. </w:t>
      </w:r>
    </w:p>
  </w:footnote>
  <w:footnote w:id="7">
    <w:p w14:paraId="0380A12B" w14:textId="28E722F0" w:rsidR="003F1429" w:rsidRPr="00412EF2" w:rsidRDefault="003F1429" w:rsidP="00D937A1">
      <w:pPr>
        <w:pStyle w:val="FootnoteText"/>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Picoli, M. C. A., Rorato, A. C., Leitão, P. J., Câmara, G., Maciel, A., Hostert, P. și Sanches, I. D. (</w:t>
      </w:r>
      <w:r w:rsidRPr="00B97A01">
        <w:rPr>
          <w:rFonts w:ascii="Times New Roman" w:hAnsi="Times New Roman"/>
        </w:rPr>
        <w:t>2020</w:t>
      </w:r>
      <w:r>
        <w:rPr>
          <w:rFonts w:ascii="Times New Roman" w:hAnsi="Times New Roman"/>
        </w:rPr>
        <w:t xml:space="preserve">). </w:t>
      </w:r>
      <w:r>
        <w:rPr>
          <w:rFonts w:ascii="Times New Roman" w:hAnsi="Times New Roman"/>
          <w:i/>
          <w:iCs/>
        </w:rPr>
        <w:t xml:space="preserve">Impacts of Public and Private Sector Policies on Soybean and Pasture Expansion in Mato Grosso—Brazil from </w:t>
      </w:r>
      <w:r w:rsidRPr="00B97A01">
        <w:rPr>
          <w:rFonts w:ascii="Times New Roman" w:hAnsi="Times New Roman"/>
          <w:i/>
          <w:iCs/>
        </w:rPr>
        <w:t>2001</w:t>
      </w:r>
      <w:r>
        <w:rPr>
          <w:rFonts w:ascii="Times New Roman" w:hAnsi="Times New Roman"/>
          <w:i/>
          <w:iCs/>
        </w:rPr>
        <w:t xml:space="preserve"> to </w:t>
      </w:r>
      <w:r w:rsidRPr="00B97A01">
        <w:rPr>
          <w:rFonts w:ascii="Times New Roman" w:hAnsi="Times New Roman"/>
          <w:i/>
          <w:iCs/>
        </w:rPr>
        <w:t>2017</w:t>
      </w:r>
      <w:r>
        <w:rPr>
          <w:rFonts w:ascii="Times New Roman" w:hAnsi="Times New Roman"/>
        </w:rPr>
        <w:t xml:space="preserve"> (Impactul politicilor din sectorul public și privat asupra expansiunii culturilor de soia și a pășunilor în Mato Grosso – Brazilia în perioada </w:t>
      </w:r>
      <w:r w:rsidRPr="00B97A01">
        <w:rPr>
          <w:rFonts w:ascii="Times New Roman" w:hAnsi="Times New Roman"/>
        </w:rPr>
        <w:t>2001</w:t>
      </w:r>
      <w:r>
        <w:rPr>
          <w:rFonts w:ascii="Times New Roman" w:hAnsi="Times New Roman"/>
        </w:rPr>
        <w:t>-</w:t>
      </w:r>
      <w:r w:rsidRPr="00B97A01">
        <w:rPr>
          <w:rFonts w:ascii="Times New Roman" w:hAnsi="Times New Roman"/>
        </w:rPr>
        <w:t>2017</w:t>
      </w:r>
      <w:r>
        <w:rPr>
          <w:rFonts w:ascii="Times New Roman" w:hAnsi="Times New Roman"/>
        </w:rPr>
        <w:t xml:space="preserve">). </w:t>
      </w:r>
      <w:r>
        <w:rPr>
          <w:rFonts w:ascii="Times New Roman" w:hAnsi="Times New Roman"/>
          <w:i/>
          <w:iCs/>
        </w:rPr>
        <w:t>Land</w:t>
      </w:r>
      <w:r>
        <w:rPr>
          <w:rFonts w:ascii="Times New Roman" w:hAnsi="Times New Roman"/>
        </w:rPr>
        <w:t xml:space="preserve">, </w:t>
      </w:r>
      <w:r w:rsidRPr="00B97A01">
        <w:rPr>
          <w:rFonts w:ascii="Times New Roman" w:hAnsi="Times New Roman"/>
        </w:rPr>
        <w:t>9</w:t>
      </w:r>
      <w:r>
        <w:rPr>
          <w:rFonts w:ascii="Times New Roman" w:hAnsi="Times New Roman"/>
        </w:rPr>
        <w:t>(</w:t>
      </w:r>
      <w:r w:rsidRPr="00B97A01">
        <w:rPr>
          <w:rFonts w:ascii="Times New Roman" w:hAnsi="Times New Roman"/>
        </w:rPr>
        <w:t>1</w:t>
      </w:r>
      <w:r>
        <w:rPr>
          <w:rFonts w:ascii="Times New Roman" w:hAnsi="Times New Roman"/>
        </w:rPr>
        <w:t xml:space="preserve">), </w:t>
      </w:r>
      <w:r w:rsidRPr="00B97A01">
        <w:rPr>
          <w:rFonts w:ascii="Times New Roman" w:hAnsi="Times New Roman"/>
        </w:rPr>
        <w:t>20</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3390</w:t>
      </w:r>
      <w:r>
        <w:rPr>
          <w:rFonts w:ascii="Times New Roman" w:hAnsi="Times New Roman"/>
        </w:rPr>
        <w:t>/land</w:t>
      </w:r>
      <w:r w:rsidRPr="00B97A01">
        <w:rPr>
          <w:rFonts w:ascii="Times New Roman" w:hAnsi="Times New Roman"/>
        </w:rPr>
        <w:t>9010020</w:t>
      </w:r>
      <w:r>
        <w:rPr>
          <w:rFonts w:ascii="Times New Roman" w:hAnsi="Times New Roman"/>
        </w:rPr>
        <w:t xml:space="preserve">. </w:t>
      </w:r>
    </w:p>
  </w:footnote>
  <w:footnote w:id="8">
    <w:p w14:paraId="6D5B0430" w14:textId="68B9D1A9" w:rsidR="004D7E2C" w:rsidRPr="00EE7A55" w:rsidRDefault="004D7E2C"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Song, X., Hansen, M. C., Potapov, P., Adusei, B., Pickering, J., Adami, M., Lima, A., Zalles, V., Stehman, S. V., Di Bella, C. M., Conde, M. C., Copati, E. J., Fernandes, L. B., Hernández-Serna, A., Jantz, S. M., Pickens, A., Turubanova, S. și Tyukavina, A. (</w:t>
      </w:r>
      <w:r w:rsidRPr="00B97A01">
        <w:rPr>
          <w:rFonts w:ascii="Times New Roman" w:hAnsi="Times New Roman"/>
        </w:rPr>
        <w:t>2021</w:t>
      </w:r>
      <w:r>
        <w:rPr>
          <w:rFonts w:ascii="Times New Roman" w:hAnsi="Times New Roman"/>
        </w:rPr>
        <w:t xml:space="preserve">). </w:t>
      </w:r>
      <w:r>
        <w:rPr>
          <w:rFonts w:ascii="Times New Roman" w:hAnsi="Times New Roman"/>
          <w:i/>
          <w:iCs/>
        </w:rPr>
        <w:t xml:space="preserve">Massive soybean expansion in South America since </w:t>
      </w:r>
      <w:r w:rsidRPr="00B97A01">
        <w:rPr>
          <w:rFonts w:ascii="Times New Roman" w:hAnsi="Times New Roman"/>
          <w:i/>
          <w:iCs/>
        </w:rPr>
        <w:t>2000</w:t>
      </w:r>
      <w:r>
        <w:rPr>
          <w:rFonts w:ascii="Times New Roman" w:hAnsi="Times New Roman"/>
          <w:i/>
          <w:iCs/>
        </w:rPr>
        <w:t xml:space="preserve"> and implications for conservation</w:t>
      </w:r>
      <w:r>
        <w:rPr>
          <w:rFonts w:ascii="Times New Roman" w:hAnsi="Times New Roman"/>
        </w:rPr>
        <w:t xml:space="preserve"> (Expansiunea masivă a culturilor de soia în America de Sud începând din </w:t>
      </w:r>
      <w:r w:rsidRPr="00B97A01">
        <w:rPr>
          <w:rFonts w:ascii="Times New Roman" w:hAnsi="Times New Roman"/>
        </w:rPr>
        <w:t>2000</w:t>
      </w:r>
      <w:r>
        <w:rPr>
          <w:rFonts w:ascii="Times New Roman" w:hAnsi="Times New Roman"/>
        </w:rPr>
        <w:t xml:space="preserve"> și implicațiile pentru conservare). </w:t>
      </w:r>
      <w:r>
        <w:rPr>
          <w:rFonts w:ascii="Times New Roman" w:hAnsi="Times New Roman"/>
          <w:i/>
          <w:iCs/>
        </w:rPr>
        <w:t>Nature Sustainability</w:t>
      </w:r>
      <w:r>
        <w:rPr>
          <w:rFonts w:ascii="Times New Roman" w:hAnsi="Times New Roman"/>
        </w:rPr>
        <w:t xml:space="preserve">, </w:t>
      </w:r>
      <w:r w:rsidRPr="00B97A01">
        <w:rPr>
          <w:rFonts w:ascii="Times New Roman" w:hAnsi="Times New Roman"/>
        </w:rPr>
        <w:t>4</w:t>
      </w:r>
      <w:r>
        <w:rPr>
          <w:rFonts w:ascii="Times New Roman" w:hAnsi="Times New Roman"/>
        </w:rPr>
        <w:t>(</w:t>
      </w:r>
      <w:r w:rsidRPr="00B97A01">
        <w:rPr>
          <w:rFonts w:ascii="Times New Roman" w:hAnsi="Times New Roman"/>
        </w:rPr>
        <w:t>9</w:t>
      </w:r>
      <w:r>
        <w:rPr>
          <w:rFonts w:ascii="Times New Roman" w:hAnsi="Times New Roman"/>
        </w:rPr>
        <w:t xml:space="preserve">), </w:t>
      </w:r>
      <w:r w:rsidRPr="00B97A01">
        <w:rPr>
          <w:rFonts w:ascii="Times New Roman" w:hAnsi="Times New Roman"/>
        </w:rPr>
        <w:t>784</w:t>
      </w:r>
      <w:r>
        <w:rPr>
          <w:rFonts w:ascii="Times New Roman" w:hAnsi="Times New Roman"/>
        </w:rPr>
        <w:t>–</w:t>
      </w:r>
      <w:r w:rsidRPr="00B97A01">
        <w:rPr>
          <w:rFonts w:ascii="Times New Roman" w:hAnsi="Times New Roman"/>
        </w:rPr>
        <w:t>792</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1038</w:t>
      </w:r>
      <w:r>
        <w:rPr>
          <w:rFonts w:ascii="Times New Roman" w:hAnsi="Times New Roman"/>
        </w:rPr>
        <w:t>/s</w:t>
      </w:r>
      <w:r w:rsidRPr="00B97A01">
        <w:rPr>
          <w:rFonts w:ascii="Times New Roman" w:hAnsi="Times New Roman"/>
        </w:rPr>
        <w:t>41893</w:t>
      </w:r>
      <w:r>
        <w:rPr>
          <w:rFonts w:ascii="Times New Roman" w:hAnsi="Times New Roman"/>
        </w:rPr>
        <w:t>-</w:t>
      </w:r>
      <w:r w:rsidRPr="00B97A01">
        <w:rPr>
          <w:rFonts w:ascii="Times New Roman" w:hAnsi="Times New Roman"/>
        </w:rPr>
        <w:t>021</w:t>
      </w:r>
      <w:r>
        <w:rPr>
          <w:rFonts w:ascii="Times New Roman" w:hAnsi="Times New Roman"/>
        </w:rPr>
        <w:t>-</w:t>
      </w:r>
      <w:r w:rsidRPr="00B97A01">
        <w:rPr>
          <w:rFonts w:ascii="Times New Roman" w:hAnsi="Times New Roman"/>
        </w:rPr>
        <w:t>00729</w:t>
      </w:r>
      <w:r>
        <w:rPr>
          <w:rFonts w:ascii="Times New Roman" w:hAnsi="Times New Roman"/>
        </w:rPr>
        <w:t>-z.</w:t>
      </w:r>
    </w:p>
  </w:footnote>
  <w:footnote w:id="9">
    <w:p w14:paraId="0E76D42F" w14:textId="23BCD936" w:rsidR="006F57E9" w:rsidRPr="00EE7A55" w:rsidRDefault="006F57E9"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Strapasson, A., Falcão, J. P., Rossberg, T., Buss, G., Woods, J. și Peterson, S. (</w:t>
      </w:r>
      <w:r w:rsidRPr="00B97A01">
        <w:rPr>
          <w:rFonts w:ascii="Times New Roman" w:hAnsi="Times New Roman"/>
        </w:rPr>
        <w:t>2019</w:t>
      </w:r>
      <w:r>
        <w:rPr>
          <w:rFonts w:ascii="Times New Roman" w:hAnsi="Times New Roman"/>
        </w:rPr>
        <w:t xml:space="preserve">). </w:t>
      </w:r>
      <w:r>
        <w:rPr>
          <w:rFonts w:ascii="Times New Roman" w:hAnsi="Times New Roman"/>
          <w:i/>
          <w:iCs/>
        </w:rPr>
        <w:t>Land Use Change and the European Biofuels Policy:</w:t>
      </w:r>
      <w:r>
        <w:rPr>
          <w:rFonts w:ascii="Times New Roman" w:hAnsi="Times New Roman"/>
        </w:rPr>
        <w:t xml:space="preserve"> </w:t>
      </w:r>
      <w:r>
        <w:rPr>
          <w:rFonts w:ascii="Times New Roman" w:hAnsi="Times New Roman"/>
          <w:i/>
          <w:iCs/>
        </w:rPr>
        <w:t>The expansion of oilseed feedstocks on lands with high carbon stocks</w:t>
      </w:r>
      <w:r>
        <w:rPr>
          <w:rFonts w:ascii="Times New Roman" w:hAnsi="Times New Roman"/>
        </w:rPr>
        <w:t xml:space="preserve"> (Schimbarea destinației terenurilor și politica europeană privind biocombustibilii: Extinderea materiilor prime pentru semințe oleaginoase pe terenuri care stochează cantități ridicate de carbon). </w:t>
      </w:r>
      <w:r>
        <w:rPr>
          <w:rFonts w:ascii="Times New Roman" w:hAnsi="Times New Roman"/>
          <w:i/>
          <w:iCs/>
        </w:rPr>
        <w:t>Oilseeds and Fats, Crops and Lipids</w:t>
      </w:r>
      <w:r>
        <w:rPr>
          <w:rFonts w:ascii="Times New Roman" w:hAnsi="Times New Roman"/>
        </w:rPr>
        <w:t xml:space="preserve">, </w:t>
      </w:r>
      <w:r w:rsidRPr="00B97A01">
        <w:rPr>
          <w:rFonts w:ascii="Times New Roman" w:hAnsi="Times New Roman"/>
        </w:rPr>
        <w:t>26</w:t>
      </w:r>
      <w:r>
        <w:rPr>
          <w:rFonts w:ascii="Times New Roman" w:hAnsi="Times New Roman"/>
        </w:rPr>
        <w:t xml:space="preserve">, </w:t>
      </w:r>
      <w:r w:rsidRPr="00B97A01">
        <w:rPr>
          <w:rFonts w:ascii="Times New Roman" w:hAnsi="Times New Roman"/>
        </w:rPr>
        <w:t>39</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1051</w:t>
      </w:r>
      <w:r>
        <w:rPr>
          <w:rFonts w:ascii="Times New Roman" w:hAnsi="Times New Roman"/>
        </w:rPr>
        <w:t>/ocl/</w:t>
      </w:r>
      <w:r w:rsidRPr="00B97A01">
        <w:rPr>
          <w:rFonts w:ascii="Times New Roman" w:hAnsi="Times New Roman"/>
        </w:rPr>
        <w:t>2019034</w:t>
      </w:r>
      <w:r>
        <w:rPr>
          <w:rFonts w:ascii="Times New Roman" w:hAnsi="Times New Roman"/>
        </w:rPr>
        <w:t>.</w:t>
      </w:r>
    </w:p>
  </w:footnote>
  <w:footnote w:id="10">
    <w:p w14:paraId="7AAA1F2A" w14:textId="28830744" w:rsidR="004A7597" w:rsidRPr="00EE7A55" w:rsidRDefault="004A7597"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Schoneveld, G., Ekowati, D., Andrianto, A. și Van Der Haar, S. (</w:t>
      </w:r>
      <w:r w:rsidRPr="00B97A01">
        <w:rPr>
          <w:rFonts w:ascii="Times New Roman" w:hAnsi="Times New Roman"/>
        </w:rPr>
        <w:t>2019</w:t>
      </w:r>
      <w:r>
        <w:rPr>
          <w:rFonts w:ascii="Times New Roman" w:hAnsi="Times New Roman"/>
        </w:rPr>
        <w:t xml:space="preserve">). </w:t>
      </w:r>
      <w:r>
        <w:rPr>
          <w:rFonts w:ascii="Times New Roman" w:hAnsi="Times New Roman"/>
          <w:i/>
          <w:iCs/>
        </w:rPr>
        <w:t>Modeling peat- and forestland conversion by oil palm smallholders in Indonesian Borneo</w:t>
      </w:r>
      <w:r>
        <w:rPr>
          <w:rFonts w:ascii="Times New Roman" w:hAnsi="Times New Roman"/>
        </w:rPr>
        <w:t xml:space="preserve"> (Modelarea conversiei turbăriilor și a terenurilor împădurite de către micii proprietari de plantații de palmieri de ulei în zona indoneziană din Borneo). </w:t>
      </w:r>
      <w:r>
        <w:rPr>
          <w:rFonts w:ascii="Times New Roman" w:hAnsi="Times New Roman"/>
          <w:i/>
          <w:iCs/>
        </w:rPr>
        <w:t>Environmental Research Letters</w:t>
      </w:r>
      <w:r>
        <w:rPr>
          <w:rFonts w:ascii="Times New Roman" w:hAnsi="Times New Roman"/>
        </w:rPr>
        <w:t xml:space="preserve">, </w:t>
      </w:r>
      <w:r w:rsidRPr="00B97A01">
        <w:rPr>
          <w:rFonts w:ascii="Times New Roman" w:hAnsi="Times New Roman"/>
        </w:rPr>
        <w:t>14</w:t>
      </w:r>
      <w:r>
        <w:rPr>
          <w:rFonts w:ascii="Times New Roman" w:hAnsi="Times New Roman"/>
        </w:rPr>
        <w:t>(</w:t>
      </w:r>
      <w:r w:rsidRPr="00B97A01">
        <w:rPr>
          <w:rFonts w:ascii="Times New Roman" w:hAnsi="Times New Roman"/>
        </w:rPr>
        <w:t>1</w:t>
      </w:r>
      <w:r>
        <w:rPr>
          <w:rFonts w:ascii="Times New Roman" w:hAnsi="Times New Roman"/>
        </w:rPr>
        <w:t xml:space="preserve">), </w:t>
      </w:r>
      <w:r w:rsidRPr="00B97A01">
        <w:rPr>
          <w:rFonts w:ascii="Times New Roman" w:hAnsi="Times New Roman"/>
        </w:rPr>
        <w:t>014006</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1088</w:t>
      </w:r>
      <w:r>
        <w:rPr>
          <w:rFonts w:ascii="Times New Roman" w:hAnsi="Times New Roman"/>
        </w:rPr>
        <w:t>/</w:t>
      </w:r>
      <w:r w:rsidRPr="00B97A01">
        <w:rPr>
          <w:rFonts w:ascii="Times New Roman" w:hAnsi="Times New Roman"/>
        </w:rPr>
        <w:t>1748</w:t>
      </w:r>
      <w:r>
        <w:rPr>
          <w:rFonts w:ascii="Times New Roman" w:hAnsi="Times New Roman"/>
        </w:rPr>
        <w:t>-</w:t>
      </w:r>
      <w:r w:rsidRPr="00B97A01">
        <w:rPr>
          <w:rFonts w:ascii="Times New Roman" w:hAnsi="Times New Roman"/>
        </w:rPr>
        <w:t>9326</w:t>
      </w:r>
      <w:r>
        <w:rPr>
          <w:rFonts w:ascii="Times New Roman" w:hAnsi="Times New Roman"/>
        </w:rPr>
        <w:t>/aaf</w:t>
      </w:r>
      <w:r w:rsidRPr="00B97A01">
        <w:rPr>
          <w:rFonts w:ascii="Times New Roman" w:hAnsi="Times New Roman"/>
        </w:rPr>
        <w:t>044</w:t>
      </w:r>
      <w:r>
        <w:rPr>
          <w:rFonts w:ascii="Times New Roman" w:hAnsi="Times New Roman"/>
        </w:rPr>
        <w:t>, precum și Glinskis, E. A. și Gutiérrez-Vélez, V. H. (</w:t>
      </w:r>
      <w:r w:rsidRPr="00B97A01">
        <w:rPr>
          <w:rFonts w:ascii="Times New Roman" w:hAnsi="Times New Roman"/>
        </w:rPr>
        <w:t>2019</w:t>
      </w:r>
      <w:r>
        <w:rPr>
          <w:rFonts w:ascii="Times New Roman" w:hAnsi="Times New Roman"/>
        </w:rPr>
        <w:t xml:space="preserve">). </w:t>
      </w:r>
      <w:r>
        <w:rPr>
          <w:rFonts w:ascii="Times New Roman" w:hAnsi="Times New Roman"/>
          <w:i/>
          <w:iCs/>
        </w:rPr>
        <w:t>Quantifying and understanding land cover changes by large and small oil palm expansion regimes in the Peruvian Amazon</w:t>
      </w:r>
      <w:r>
        <w:rPr>
          <w:rFonts w:ascii="Times New Roman" w:hAnsi="Times New Roman"/>
        </w:rPr>
        <w:t xml:space="preserve"> (Cuantificarea și înțelegerea schimbărilor în acoperirea terenurilor asociate regimurilor de expansiune a plantațiilor mari și mici de palmieri de ulei în Amazonia peruană). Land Use Policy, </w:t>
      </w:r>
      <w:r w:rsidRPr="00B97A01">
        <w:rPr>
          <w:rFonts w:ascii="Times New Roman" w:hAnsi="Times New Roman"/>
        </w:rPr>
        <w:t>80</w:t>
      </w:r>
      <w:r>
        <w:rPr>
          <w:rFonts w:ascii="Times New Roman" w:hAnsi="Times New Roman"/>
        </w:rPr>
        <w:t xml:space="preserve">, </w:t>
      </w:r>
      <w:r w:rsidRPr="00B97A01">
        <w:rPr>
          <w:rFonts w:ascii="Times New Roman" w:hAnsi="Times New Roman"/>
        </w:rPr>
        <w:t>95</w:t>
      </w:r>
      <w:r>
        <w:rPr>
          <w:rFonts w:ascii="Times New Roman" w:hAnsi="Times New Roman"/>
        </w:rPr>
        <w:t>-</w:t>
      </w:r>
      <w:r w:rsidRPr="00B97A01">
        <w:rPr>
          <w:rFonts w:ascii="Times New Roman" w:hAnsi="Times New Roman"/>
        </w:rPr>
        <w:t>106</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1016</w:t>
      </w:r>
      <w:r>
        <w:rPr>
          <w:rFonts w:ascii="Times New Roman" w:hAnsi="Times New Roman"/>
        </w:rPr>
        <w:t>/j.landusepol.</w:t>
      </w:r>
      <w:r w:rsidRPr="00B97A01">
        <w:rPr>
          <w:rFonts w:ascii="Times New Roman" w:hAnsi="Times New Roman"/>
        </w:rPr>
        <w:t>2018</w:t>
      </w:r>
      <w:r>
        <w:rPr>
          <w:rFonts w:ascii="Times New Roman" w:hAnsi="Times New Roman"/>
        </w:rPr>
        <w:t>.</w:t>
      </w:r>
      <w:r w:rsidRPr="00B97A01">
        <w:rPr>
          <w:rFonts w:ascii="Times New Roman" w:hAnsi="Times New Roman"/>
        </w:rPr>
        <w:t>09</w:t>
      </w:r>
      <w:r>
        <w:rPr>
          <w:rFonts w:ascii="Times New Roman" w:hAnsi="Times New Roman"/>
        </w:rPr>
        <w:t>.</w:t>
      </w:r>
      <w:r w:rsidRPr="00B97A01">
        <w:rPr>
          <w:rFonts w:ascii="Times New Roman" w:hAnsi="Times New Roman"/>
        </w:rPr>
        <w:t>032</w:t>
      </w:r>
      <w:r>
        <w:rPr>
          <w:rFonts w:ascii="Times New Roman" w:hAnsi="Times New Roman"/>
        </w:rPr>
        <w:t>. </w:t>
      </w:r>
    </w:p>
  </w:footnote>
  <w:footnote w:id="11">
    <w:p w14:paraId="4BC5EDF7" w14:textId="49885FD6" w:rsidR="00E53B6C" w:rsidRPr="001D037B" w:rsidRDefault="00E53B6C"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Astuti, R., Miller, M. A., McGregor, A., Sukmara, M. D. P., Saputra, W., Sulistyanto și Taylor, D. (</w:t>
      </w:r>
      <w:r w:rsidRPr="00B97A01">
        <w:rPr>
          <w:rFonts w:ascii="Times New Roman" w:hAnsi="Times New Roman"/>
        </w:rPr>
        <w:t>2022</w:t>
      </w:r>
      <w:r>
        <w:rPr>
          <w:rFonts w:ascii="Times New Roman" w:hAnsi="Times New Roman"/>
        </w:rPr>
        <w:t xml:space="preserve">). </w:t>
      </w:r>
      <w:r>
        <w:rPr>
          <w:rFonts w:ascii="Times New Roman" w:hAnsi="Times New Roman"/>
          <w:i/>
          <w:iCs/>
        </w:rPr>
        <w:t>Making illegality visible:</w:t>
      </w:r>
      <w:r>
        <w:rPr>
          <w:rFonts w:ascii="Times New Roman" w:hAnsi="Times New Roman"/>
        </w:rPr>
        <w:t xml:space="preserve"> </w:t>
      </w:r>
      <w:r>
        <w:rPr>
          <w:rFonts w:ascii="Times New Roman" w:hAnsi="Times New Roman"/>
          <w:i/>
          <w:iCs/>
        </w:rPr>
        <w:t>The governance dilemmas created by visualising illegal palm oil plantations in Central Kalimantan, Indonesia</w:t>
      </w:r>
      <w:r>
        <w:rPr>
          <w:rFonts w:ascii="Times New Roman" w:hAnsi="Times New Roman"/>
        </w:rPr>
        <w:t xml:space="preserve"> (Aducerea la lumină a ilegalității: Dilemele privind guvernanța create de vizualizarea plantațiilor ilegale de palmieri de ulei din Kalimantanul Central, Indonezia). </w:t>
      </w:r>
      <w:r>
        <w:rPr>
          <w:rFonts w:ascii="Times New Roman" w:hAnsi="Times New Roman"/>
          <w:i/>
          <w:iCs/>
        </w:rPr>
        <w:t>Land Use Policy</w:t>
      </w:r>
      <w:r>
        <w:rPr>
          <w:rFonts w:ascii="Times New Roman" w:hAnsi="Times New Roman"/>
        </w:rPr>
        <w:t xml:space="preserve">, </w:t>
      </w:r>
      <w:r w:rsidRPr="00B97A01">
        <w:rPr>
          <w:rFonts w:ascii="Times New Roman" w:hAnsi="Times New Roman"/>
        </w:rPr>
        <w:t>114</w:t>
      </w:r>
      <w:r>
        <w:rPr>
          <w:rFonts w:ascii="Times New Roman" w:hAnsi="Times New Roman"/>
        </w:rPr>
        <w:t xml:space="preserve">, </w:t>
      </w:r>
      <w:r w:rsidRPr="00B97A01">
        <w:rPr>
          <w:rFonts w:ascii="Times New Roman" w:hAnsi="Times New Roman"/>
        </w:rPr>
        <w:t>105942</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1016</w:t>
      </w:r>
      <w:r>
        <w:rPr>
          <w:rFonts w:ascii="Times New Roman" w:hAnsi="Times New Roman"/>
        </w:rPr>
        <w:t>/j.landusepol.</w:t>
      </w:r>
      <w:r w:rsidRPr="00B97A01">
        <w:rPr>
          <w:rFonts w:ascii="Times New Roman" w:hAnsi="Times New Roman"/>
        </w:rPr>
        <w:t>2021</w:t>
      </w:r>
      <w:r>
        <w:rPr>
          <w:rFonts w:ascii="Times New Roman" w:hAnsi="Times New Roman"/>
        </w:rPr>
        <w:t>.</w:t>
      </w:r>
      <w:r w:rsidRPr="00B97A01">
        <w:rPr>
          <w:rFonts w:ascii="Times New Roman" w:hAnsi="Times New Roman"/>
        </w:rPr>
        <w:t>105942</w:t>
      </w:r>
      <w:r>
        <w:rPr>
          <w:rFonts w:ascii="Times New Roman" w:hAnsi="Times New Roman"/>
        </w:rPr>
        <w:t>, Jing, Z., Lee, J. S. H., Elmore, A. J., Fatimah, Y. A., Numata, I., Xin, Z. și Cochrane, M. A. (</w:t>
      </w:r>
      <w:r w:rsidRPr="00B97A01">
        <w:rPr>
          <w:rFonts w:ascii="Times New Roman" w:hAnsi="Times New Roman"/>
        </w:rPr>
        <w:t>2022</w:t>
      </w:r>
      <w:r>
        <w:rPr>
          <w:rFonts w:ascii="Times New Roman" w:hAnsi="Times New Roman"/>
        </w:rPr>
        <w:t xml:space="preserve">). </w:t>
      </w:r>
      <w:r>
        <w:rPr>
          <w:rFonts w:ascii="Times New Roman" w:hAnsi="Times New Roman"/>
          <w:i/>
          <w:iCs/>
        </w:rPr>
        <w:t>Spatial patterns and drivers of smallholder oil palm expansion within peat swamp forests of Riau, Indonesia</w:t>
      </w:r>
      <w:r>
        <w:rPr>
          <w:rFonts w:ascii="Times New Roman" w:hAnsi="Times New Roman"/>
        </w:rPr>
        <w:t xml:space="preserve"> (Modele spațiale și factori determinanți ai expansiunii micilor plantații de palmieri de ulei în pădurile de pe turbării mlăștinoase din Riau, Indonezia). </w:t>
      </w:r>
      <w:r>
        <w:rPr>
          <w:rFonts w:ascii="Times New Roman" w:hAnsi="Times New Roman"/>
          <w:i/>
          <w:iCs/>
        </w:rPr>
        <w:t>Environmental Research Letters</w:t>
      </w:r>
      <w:r>
        <w:rPr>
          <w:rFonts w:ascii="Times New Roman" w:hAnsi="Times New Roman"/>
        </w:rPr>
        <w:t xml:space="preserve">, </w:t>
      </w:r>
      <w:r w:rsidRPr="00B97A01">
        <w:rPr>
          <w:rFonts w:ascii="Times New Roman" w:hAnsi="Times New Roman"/>
        </w:rPr>
        <w:t>17</w:t>
      </w:r>
      <w:r>
        <w:rPr>
          <w:rFonts w:ascii="Times New Roman" w:hAnsi="Times New Roman"/>
        </w:rPr>
        <w:t>(</w:t>
      </w:r>
      <w:r w:rsidRPr="00B97A01">
        <w:rPr>
          <w:rFonts w:ascii="Times New Roman" w:hAnsi="Times New Roman"/>
        </w:rPr>
        <w:t>4</w:t>
      </w:r>
      <w:r>
        <w:rPr>
          <w:rFonts w:ascii="Times New Roman" w:hAnsi="Times New Roman"/>
        </w:rPr>
        <w:t xml:space="preserve">), </w:t>
      </w:r>
      <w:r w:rsidRPr="00B97A01">
        <w:rPr>
          <w:rFonts w:ascii="Times New Roman" w:hAnsi="Times New Roman"/>
        </w:rPr>
        <w:t>044015</w:t>
      </w:r>
      <w:r>
        <w:rPr>
          <w:rFonts w:ascii="Times New Roman" w:hAnsi="Times New Roman"/>
        </w:rPr>
        <w:t xml:space="preserve">. </w:t>
      </w:r>
      <w:hyperlink r:id="rId3" w:history="1">
        <w:r>
          <w:rPr>
            <w:rFonts w:ascii="Times New Roman" w:hAnsi="Times New Roman"/>
          </w:rPr>
          <w:t>https://doi.org/</w:t>
        </w:r>
        <w:r w:rsidRPr="00B97A01">
          <w:rPr>
            <w:rFonts w:ascii="Times New Roman" w:hAnsi="Times New Roman"/>
          </w:rPr>
          <w:t>10</w:t>
        </w:r>
        <w:r>
          <w:rPr>
            <w:rFonts w:ascii="Times New Roman" w:hAnsi="Times New Roman"/>
          </w:rPr>
          <w:t>.</w:t>
        </w:r>
        <w:r w:rsidRPr="00B97A01">
          <w:rPr>
            <w:rFonts w:ascii="Times New Roman" w:hAnsi="Times New Roman"/>
          </w:rPr>
          <w:t>1088</w:t>
        </w:r>
        <w:r>
          <w:rPr>
            <w:rFonts w:ascii="Times New Roman" w:hAnsi="Times New Roman"/>
          </w:rPr>
          <w:t>/</w:t>
        </w:r>
        <w:r w:rsidRPr="00B97A01">
          <w:rPr>
            <w:rFonts w:ascii="Times New Roman" w:hAnsi="Times New Roman"/>
          </w:rPr>
          <w:t>1748</w:t>
        </w:r>
        <w:r>
          <w:rPr>
            <w:rFonts w:ascii="Times New Roman" w:hAnsi="Times New Roman"/>
          </w:rPr>
          <w:t>-</w:t>
        </w:r>
        <w:r w:rsidRPr="00B97A01">
          <w:rPr>
            <w:rFonts w:ascii="Times New Roman" w:hAnsi="Times New Roman"/>
          </w:rPr>
          <w:t>9326</w:t>
        </w:r>
        <w:r>
          <w:rPr>
            <w:rFonts w:ascii="Times New Roman" w:hAnsi="Times New Roman"/>
          </w:rPr>
          <w:t>/ac</w:t>
        </w:r>
        <w:r w:rsidRPr="00B97A01">
          <w:rPr>
            <w:rFonts w:ascii="Times New Roman" w:hAnsi="Times New Roman"/>
          </w:rPr>
          <w:t>4</w:t>
        </w:r>
        <w:r>
          <w:rPr>
            <w:rFonts w:ascii="Times New Roman" w:hAnsi="Times New Roman"/>
          </w:rPr>
          <w:t>dc</w:t>
        </w:r>
        <w:r w:rsidRPr="00B97A01">
          <w:rPr>
            <w:rFonts w:ascii="Times New Roman" w:hAnsi="Times New Roman"/>
          </w:rPr>
          <w:t>6</w:t>
        </w:r>
      </w:hyperlink>
      <w:r>
        <w:rPr>
          <w:rFonts w:ascii="Times New Roman" w:hAnsi="Times New Roman"/>
        </w:rPr>
        <w:t>, precum și Schoneveld, G., Ekowati, D., Andrianto, A. și Van Der Haar, S. (</w:t>
      </w:r>
      <w:r w:rsidRPr="00B97A01">
        <w:rPr>
          <w:rFonts w:ascii="Times New Roman" w:hAnsi="Times New Roman"/>
        </w:rPr>
        <w:t>2019</w:t>
      </w:r>
      <w:r>
        <w:rPr>
          <w:rFonts w:ascii="Times New Roman" w:hAnsi="Times New Roman"/>
        </w:rPr>
        <w:t xml:space="preserve">). </w:t>
      </w:r>
      <w:r>
        <w:rPr>
          <w:rFonts w:ascii="Times New Roman" w:hAnsi="Times New Roman"/>
          <w:i/>
          <w:iCs/>
        </w:rPr>
        <w:t>Modeling peat- and forestland conversion by oil palm smallholders in Indonesian Borneo</w:t>
      </w:r>
      <w:r>
        <w:rPr>
          <w:rFonts w:ascii="Times New Roman" w:hAnsi="Times New Roman"/>
        </w:rPr>
        <w:t xml:space="preserve"> (Modelarea conversiei turbăriilor și a terenurilor împădurite de către micii proprietari de plantații de palmieri de ulei în zona indoneziană din Borneo). </w:t>
      </w:r>
      <w:r>
        <w:rPr>
          <w:rFonts w:ascii="Times New Roman" w:hAnsi="Times New Roman"/>
          <w:i/>
          <w:iCs/>
        </w:rPr>
        <w:t>Environmental Research Letters</w:t>
      </w:r>
      <w:r>
        <w:rPr>
          <w:rFonts w:ascii="Times New Roman" w:hAnsi="Times New Roman"/>
        </w:rPr>
        <w:t xml:space="preserve">, </w:t>
      </w:r>
      <w:r w:rsidRPr="00B97A01">
        <w:rPr>
          <w:rFonts w:ascii="Times New Roman" w:hAnsi="Times New Roman"/>
        </w:rPr>
        <w:t>14</w:t>
      </w:r>
      <w:r>
        <w:rPr>
          <w:rFonts w:ascii="Times New Roman" w:hAnsi="Times New Roman"/>
        </w:rPr>
        <w:t>(</w:t>
      </w:r>
      <w:r w:rsidRPr="00B97A01">
        <w:rPr>
          <w:rFonts w:ascii="Times New Roman" w:hAnsi="Times New Roman"/>
        </w:rPr>
        <w:t>1</w:t>
      </w:r>
      <w:r>
        <w:rPr>
          <w:rFonts w:ascii="Times New Roman" w:hAnsi="Times New Roman"/>
        </w:rPr>
        <w:t xml:space="preserve">), </w:t>
      </w:r>
      <w:r w:rsidRPr="00B97A01">
        <w:rPr>
          <w:rFonts w:ascii="Times New Roman" w:hAnsi="Times New Roman"/>
        </w:rPr>
        <w:t>014006</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1088</w:t>
      </w:r>
      <w:r>
        <w:rPr>
          <w:rFonts w:ascii="Times New Roman" w:hAnsi="Times New Roman"/>
        </w:rPr>
        <w:t>/</w:t>
      </w:r>
      <w:r w:rsidRPr="00B97A01">
        <w:rPr>
          <w:rFonts w:ascii="Times New Roman" w:hAnsi="Times New Roman"/>
        </w:rPr>
        <w:t>1748</w:t>
      </w:r>
      <w:r>
        <w:rPr>
          <w:rFonts w:ascii="Times New Roman" w:hAnsi="Times New Roman"/>
        </w:rPr>
        <w:t>-</w:t>
      </w:r>
      <w:r w:rsidRPr="00B97A01">
        <w:rPr>
          <w:rFonts w:ascii="Times New Roman" w:hAnsi="Times New Roman"/>
        </w:rPr>
        <w:t>9326</w:t>
      </w:r>
      <w:r>
        <w:rPr>
          <w:rFonts w:ascii="Times New Roman" w:hAnsi="Times New Roman"/>
        </w:rPr>
        <w:t>/aaf</w:t>
      </w:r>
      <w:r w:rsidRPr="00B97A01">
        <w:rPr>
          <w:rFonts w:ascii="Times New Roman" w:hAnsi="Times New Roman"/>
        </w:rPr>
        <w:t>044</w:t>
      </w:r>
      <w:r>
        <w:rPr>
          <w:rFonts w:ascii="Times New Roman" w:hAnsi="Times New Roman"/>
        </w:rPr>
        <w:t>. </w:t>
      </w:r>
    </w:p>
  </w:footnote>
  <w:footnote w:id="12">
    <w:p w14:paraId="4849DA9C" w14:textId="4B441638" w:rsidR="00E2437A" w:rsidRPr="001D037B" w:rsidRDefault="00E2437A"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Benami, E., Curran, L. M., Cochrane, M. A., Venturieri, A., Franco, R. V., Kneipp, J. M. și Swartos, A. (</w:t>
      </w:r>
      <w:r w:rsidRPr="00B97A01">
        <w:rPr>
          <w:rFonts w:ascii="Times New Roman" w:hAnsi="Times New Roman"/>
        </w:rPr>
        <w:t>2018</w:t>
      </w:r>
      <w:r>
        <w:rPr>
          <w:rFonts w:ascii="Times New Roman" w:hAnsi="Times New Roman"/>
        </w:rPr>
        <w:t xml:space="preserve">). </w:t>
      </w:r>
      <w:r>
        <w:rPr>
          <w:rFonts w:ascii="Times New Roman" w:hAnsi="Times New Roman"/>
          <w:i/>
          <w:iCs/>
        </w:rPr>
        <w:t xml:space="preserve">Oil palm land conversion in Pará, Brazil, from </w:t>
      </w:r>
      <w:r w:rsidRPr="00B97A01">
        <w:rPr>
          <w:rFonts w:ascii="Times New Roman" w:hAnsi="Times New Roman"/>
          <w:i/>
          <w:iCs/>
        </w:rPr>
        <w:t>2006</w:t>
      </w:r>
      <w:r>
        <w:rPr>
          <w:rFonts w:ascii="Times New Roman" w:hAnsi="Times New Roman"/>
          <w:i/>
          <w:iCs/>
        </w:rPr>
        <w:t>–</w:t>
      </w:r>
      <w:r w:rsidRPr="00B97A01">
        <w:rPr>
          <w:rFonts w:ascii="Times New Roman" w:hAnsi="Times New Roman"/>
          <w:i/>
          <w:iCs/>
        </w:rPr>
        <w:t>2014</w:t>
      </w:r>
      <w:r>
        <w:rPr>
          <w:rFonts w:ascii="Times New Roman" w:hAnsi="Times New Roman"/>
          <w:i/>
          <w:iCs/>
        </w:rPr>
        <w:t>:</w:t>
      </w:r>
      <w:r>
        <w:rPr>
          <w:rFonts w:ascii="Times New Roman" w:hAnsi="Times New Roman"/>
        </w:rPr>
        <w:t xml:space="preserve"> </w:t>
      </w:r>
      <w:r>
        <w:rPr>
          <w:rFonts w:ascii="Times New Roman" w:hAnsi="Times New Roman"/>
          <w:i/>
          <w:iCs/>
        </w:rPr>
        <w:t xml:space="preserve">evaluating the </w:t>
      </w:r>
      <w:r w:rsidRPr="00B97A01">
        <w:rPr>
          <w:rFonts w:ascii="Times New Roman" w:hAnsi="Times New Roman"/>
          <w:i/>
          <w:iCs/>
        </w:rPr>
        <w:t>2010</w:t>
      </w:r>
      <w:r>
        <w:rPr>
          <w:rFonts w:ascii="Times New Roman" w:hAnsi="Times New Roman"/>
          <w:i/>
          <w:iCs/>
        </w:rPr>
        <w:t xml:space="preserve"> Brazilian Sustainable Palm Oil Production Program</w:t>
      </w:r>
      <w:r>
        <w:rPr>
          <w:rFonts w:ascii="Times New Roman" w:hAnsi="Times New Roman"/>
        </w:rPr>
        <w:t xml:space="preserve"> (Conversia terenurilor asociată palmierilor de ulei în Pará, Brazilia, în perioada </w:t>
      </w:r>
      <w:r w:rsidRPr="00B97A01">
        <w:rPr>
          <w:rFonts w:ascii="Times New Roman" w:hAnsi="Times New Roman"/>
        </w:rPr>
        <w:t>2006</w:t>
      </w:r>
      <w:r>
        <w:rPr>
          <w:rFonts w:ascii="Times New Roman" w:hAnsi="Times New Roman"/>
        </w:rPr>
        <w:t>-</w:t>
      </w:r>
      <w:r w:rsidRPr="00B97A01">
        <w:rPr>
          <w:rFonts w:ascii="Times New Roman" w:hAnsi="Times New Roman"/>
        </w:rPr>
        <w:t>2014</w:t>
      </w:r>
      <w:r>
        <w:rPr>
          <w:rFonts w:ascii="Times New Roman" w:hAnsi="Times New Roman"/>
        </w:rPr>
        <w:t xml:space="preserve">: evaluarea Programului brazilian de producție durabilă a uleiului de palmier din </w:t>
      </w:r>
      <w:r w:rsidRPr="00B97A01">
        <w:rPr>
          <w:rFonts w:ascii="Times New Roman" w:hAnsi="Times New Roman"/>
        </w:rPr>
        <w:t>2010</w:t>
      </w:r>
      <w:r>
        <w:rPr>
          <w:rFonts w:ascii="Times New Roman" w:hAnsi="Times New Roman"/>
        </w:rPr>
        <w:t xml:space="preserve">). </w:t>
      </w:r>
      <w:r>
        <w:rPr>
          <w:rFonts w:ascii="Times New Roman" w:hAnsi="Times New Roman"/>
          <w:i/>
          <w:iCs/>
        </w:rPr>
        <w:t>Environmental Research Letters</w:t>
      </w:r>
      <w:r>
        <w:rPr>
          <w:rFonts w:ascii="Times New Roman" w:hAnsi="Times New Roman"/>
        </w:rPr>
        <w:t xml:space="preserve">, </w:t>
      </w:r>
      <w:r w:rsidRPr="00B97A01">
        <w:rPr>
          <w:rFonts w:ascii="Times New Roman" w:hAnsi="Times New Roman"/>
        </w:rPr>
        <w:t>13</w:t>
      </w:r>
      <w:r>
        <w:rPr>
          <w:rFonts w:ascii="Times New Roman" w:hAnsi="Times New Roman"/>
        </w:rPr>
        <w:t>(</w:t>
      </w:r>
      <w:r w:rsidRPr="00B97A01">
        <w:rPr>
          <w:rFonts w:ascii="Times New Roman" w:hAnsi="Times New Roman"/>
        </w:rPr>
        <w:t>3</w:t>
      </w:r>
      <w:r>
        <w:rPr>
          <w:rFonts w:ascii="Times New Roman" w:hAnsi="Times New Roman"/>
        </w:rPr>
        <w:t xml:space="preserve">), </w:t>
      </w:r>
      <w:r w:rsidRPr="00B97A01">
        <w:rPr>
          <w:rFonts w:ascii="Times New Roman" w:hAnsi="Times New Roman"/>
        </w:rPr>
        <w:t>034037</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1088</w:t>
      </w:r>
      <w:r>
        <w:rPr>
          <w:rFonts w:ascii="Times New Roman" w:hAnsi="Times New Roman"/>
        </w:rPr>
        <w:t>/</w:t>
      </w:r>
      <w:r w:rsidRPr="00B97A01">
        <w:rPr>
          <w:rFonts w:ascii="Times New Roman" w:hAnsi="Times New Roman"/>
        </w:rPr>
        <w:t>1748</w:t>
      </w:r>
      <w:r>
        <w:rPr>
          <w:rFonts w:ascii="Times New Roman" w:hAnsi="Times New Roman"/>
        </w:rPr>
        <w:t>-</w:t>
      </w:r>
      <w:r w:rsidRPr="00B97A01">
        <w:rPr>
          <w:rFonts w:ascii="Times New Roman" w:hAnsi="Times New Roman"/>
        </w:rPr>
        <w:t>9326</w:t>
      </w:r>
      <w:r>
        <w:rPr>
          <w:rFonts w:ascii="Times New Roman" w:hAnsi="Times New Roman"/>
        </w:rPr>
        <w:t>/aaa</w:t>
      </w:r>
      <w:r w:rsidRPr="00B97A01">
        <w:rPr>
          <w:rFonts w:ascii="Times New Roman" w:hAnsi="Times New Roman"/>
        </w:rPr>
        <w:t>270</w:t>
      </w:r>
      <w:r>
        <w:rPr>
          <w:rFonts w:ascii="Times New Roman" w:hAnsi="Times New Roman"/>
        </w:rPr>
        <w:t xml:space="preserve">. </w:t>
      </w:r>
    </w:p>
  </w:footnote>
  <w:footnote w:id="13">
    <w:p w14:paraId="2CB30D4B" w14:textId="295005D1" w:rsidR="000B4015" w:rsidRPr="001D037B" w:rsidRDefault="000B4015"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Glinskis, E. A. și Gutiérrez-Vélez, V. H. (</w:t>
      </w:r>
      <w:r w:rsidRPr="00B97A01">
        <w:rPr>
          <w:rFonts w:ascii="Times New Roman" w:hAnsi="Times New Roman"/>
        </w:rPr>
        <w:t>2019</w:t>
      </w:r>
      <w:r>
        <w:rPr>
          <w:rFonts w:ascii="Times New Roman" w:hAnsi="Times New Roman"/>
        </w:rPr>
        <w:t xml:space="preserve">). </w:t>
      </w:r>
      <w:r>
        <w:rPr>
          <w:rFonts w:ascii="Times New Roman" w:hAnsi="Times New Roman"/>
          <w:i/>
          <w:iCs/>
        </w:rPr>
        <w:t>Quantifying and understanding land cover changes by large and small oil palm expansion regimes in the Peruvian Amazon</w:t>
      </w:r>
      <w:r>
        <w:rPr>
          <w:rFonts w:ascii="Times New Roman" w:hAnsi="Times New Roman"/>
        </w:rPr>
        <w:t xml:space="preserve"> (Cuantificarea și înțelegerea schimbărilor în acoperirea terenurilor asociate regimurilor de expansiune a plantațiilor mari și mici de palmieri de ulei în Amazonia peruană). </w:t>
      </w:r>
      <w:r>
        <w:rPr>
          <w:rFonts w:ascii="Times New Roman" w:hAnsi="Times New Roman"/>
          <w:i/>
          <w:iCs/>
        </w:rPr>
        <w:t>Land Use Policy</w:t>
      </w:r>
      <w:r>
        <w:rPr>
          <w:rFonts w:ascii="Times New Roman" w:hAnsi="Times New Roman"/>
        </w:rPr>
        <w:t xml:space="preserve">, </w:t>
      </w:r>
      <w:r w:rsidRPr="00B97A01">
        <w:rPr>
          <w:rFonts w:ascii="Times New Roman" w:hAnsi="Times New Roman"/>
        </w:rPr>
        <w:t>80</w:t>
      </w:r>
      <w:r>
        <w:rPr>
          <w:rFonts w:ascii="Times New Roman" w:hAnsi="Times New Roman"/>
        </w:rPr>
        <w:t xml:space="preserve">, </w:t>
      </w:r>
      <w:r w:rsidRPr="00B97A01">
        <w:rPr>
          <w:rFonts w:ascii="Times New Roman" w:hAnsi="Times New Roman"/>
        </w:rPr>
        <w:t>95</w:t>
      </w:r>
      <w:r>
        <w:rPr>
          <w:rFonts w:ascii="Times New Roman" w:hAnsi="Times New Roman"/>
        </w:rPr>
        <w:t>-</w:t>
      </w:r>
      <w:r w:rsidRPr="00B97A01">
        <w:rPr>
          <w:rFonts w:ascii="Times New Roman" w:hAnsi="Times New Roman"/>
        </w:rPr>
        <w:t>106</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1016</w:t>
      </w:r>
      <w:r>
        <w:rPr>
          <w:rFonts w:ascii="Times New Roman" w:hAnsi="Times New Roman"/>
        </w:rPr>
        <w:t>/j.landusepol.</w:t>
      </w:r>
      <w:r w:rsidRPr="00B97A01">
        <w:rPr>
          <w:rFonts w:ascii="Times New Roman" w:hAnsi="Times New Roman"/>
        </w:rPr>
        <w:t>2018</w:t>
      </w:r>
      <w:r>
        <w:rPr>
          <w:rFonts w:ascii="Times New Roman" w:hAnsi="Times New Roman"/>
        </w:rPr>
        <w:t>.</w:t>
      </w:r>
      <w:r w:rsidRPr="00B97A01">
        <w:rPr>
          <w:rFonts w:ascii="Times New Roman" w:hAnsi="Times New Roman"/>
        </w:rPr>
        <w:t>09</w:t>
      </w:r>
      <w:r>
        <w:rPr>
          <w:rFonts w:ascii="Times New Roman" w:hAnsi="Times New Roman"/>
        </w:rPr>
        <w:t>.</w:t>
      </w:r>
      <w:r w:rsidRPr="00B97A01">
        <w:rPr>
          <w:rFonts w:ascii="Times New Roman" w:hAnsi="Times New Roman"/>
        </w:rPr>
        <w:t>032</w:t>
      </w:r>
      <w:r>
        <w:rPr>
          <w:rFonts w:ascii="Times New Roman" w:hAnsi="Times New Roman"/>
        </w:rPr>
        <w:t>.</w:t>
      </w:r>
    </w:p>
  </w:footnote>
  <w:footnote w:id="14">
    <w:p w14:paraId="7B6988EF" w14:textId="0D0CCD95" w:rsidR="00494115" w:rsidRPr="001D037B" w:rsidRDefault="0049411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Duguma LA, Muthee K, Minang PA, van Noordwijk M, Duba D, Bah A, Piabuo SM, Wainaina P. </w:t>
      </w:r>
      <w:r w:rsidRPr="00B97A01">
        <w:rPr>
          <w:rFonts w:ascii="Times New Roman" w:hAnsi="Times New Roman"/>
        </w:rPr>
        <w:t>2021</w:t>
      </w:r>
      <w:r>
        <w:rPr>
          <w:rFonts w:ascii="Times New Roman" w:hAnsi="Times New Roman"/>
        </w:rPr>
        <w:t xml:space="preserve">. </w:t>
      </w:r>
      <w:r>
        <w:rPr>
          <w:rFonts w:ascii="Times New Roman" w:hAnsi="Times New Roman"/>
          <w:i/>
          <w:iCs/>
        </w:rPr>
        <w:t>The palm oil sector in Africa:</w:t>
      </w:r>
      <w:r>
        <w:rPr>
          <w:rFonts w:ascii="Times New Roman" w:hAnsi="Times New Roman"/>
        </w:rPr>
        <w:t xml:space="preserve"> </w:t>
      </w:r>
      <w:r>
        <w:rPr>
          <w:rFonts w:ascii="Times New Roman" w:hAnsi="Times New Roman"/>
          <w:i/>
          <w:iCs/>
        </w:rPr>
        <w:t>the dynamics, challenges and pathways to sustainability</w:t>
      </w:r>
      <w:r>
        <w:rPr>
          <w:rFonts w:ascii="Times New Roman" w:hAnsi="Times New Roman"/>
        </w:rPr>
        <w:t xml:space="preserve"> (Sectorul uleiului de palmier din Africa: dinamica, provocările și parcursul către durabilitate). Capitolul </w:t>
      </w:r>
      <w:r w:rsidRPr="00B97A01">
        <w:rPr>
          <w:rFonts w:ascii="Times New Roman" w:hAnsi="Times New Roman"/>
        </w:rPr>
        <w:t>9</w:t>
      </w:r>
      <w:r>
        <w:rPr>
          <w:rFonts w:ascii="Times New Roman" w:hAnsi="Times New Roman"/>
        </w:rPr>
        <w:t xml:space="preserve">. În: Minang PA, Duguma LA, van Noordwijk M, editori. </w:t>
      </w:r>
      <w:r>
        <w:rPr>
          <w:rFonts w:ascii="Times New Roman" w:hAnsi="Times New Roman"/>
          <w:i/>
          <w:iCs/>
        </w:rPr>
        <w:t>Tree commodities and resilient green economies in Africa</w:t>
      </w:r>
      <w:r>
        <w:rPr>
          <w:rFonts w:ascii="Times New Roman" w:hAnsi="Times New Roman"/>
        </w:rPr>
        <w:t xml:space="preserve">. </w:t>
      </w:r>
      <w:r>
        <w:rPr>
          <w:rFonts w:ascii="Times New Roman" w:hAnsi="Times New Roman"/>
          <w:i/>
          <w:iCs/>
        </w:rPr>
        <w:t>Nairobi, Kenya:</w:t>
      </w:r>
      <w:r>
        <w:rPr>
          <w:rFonts w:ascii="Times New Roman" w:hAnsi="Times New Roman"/>
        </w:rPr>
        <w:t xml:space="preserve"> </w:t>
      </w:r>
      <w:r>
        <w:rPr>
          <w:rFonts w:ascii="Times New Roman" w:hAnsi="Times New Roman"/>
          <w:i/>
          <w:iCs/>
        </w:rPr>
        <w:t>World Agroforestry</w:t>
      </w:r>
      <w:r>
        <w:rPr>
          <w:rFonts w:ascii="Times New Roman" w:hAnsi="Times New Roman"/>
        </w:rPr>
        <w:t xml:space="preserve"> (ICRAF). </w:t>
      </w:r>
    </w:p>
  </w:footnote>
  <w:footnote w:id="15">
    <w:p w14:paraId="34E19F36" w14:textId="641B3679" w:rsidR="007B6804" w:rsidRPr="001D037B" w:rsidRDefault="007B68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Guarenghi, M. M., Garofalo, D. F. T., Seabra, J. E. A., Moreira, M. M. R., Novaes, R. M. L., Ramos, N. P., Nogueira, S. F. și de Andrade, C. A. (</w:t>
      </w:r>
      <w:r w:rsidRPr="00B97A01">
        <w:rPr>
          <w:rFonts w:ascii="Times New Roman" w:hAnsi="Times New Roman"/>
        </w:rPr>
        <w:t>2023</w:t>
      </w:r>
      <w:r>
        <w:rPr>
          <w:rFonts w:ascii="Times New Roman" w:hAnsi="Times New Roman"/>
        </w:rPr>
        <w:t xml:space="preserve">). </w:t>
      </w:r>
      <w:r>
        <w:rPr>
          <w:rFonts w:ascii="Times New Roman" w:hAnsi="Times New Roman"/>
          <w:i/>
          <w:iCs/>
        </w:rPr>
        <w:t>Land use change net removals associated with sugarcane in Brazil</w:t>
      </w:r>
      <w:r>
        <w:rPr>
          <w:rFonts w:ascii="Times New Roman" w:hAnsi="Times New Roman"/>
        </w:rPr>
        <w:t xml:space="preserve"> (Eliminările nete legate de schimbarea destinației terenurilor asociate trestiei de zahăr în Brazilia). </w:t>
      </w:r>
      <w:r>
        <w:rPr>
          <w:rFonts w:ascii="Times New Roman" w:hAnsi="Times New Roman"/>
          <w:i/>
          <w:iCs/>
        </w:rPr>
        <w:t>Land</w:t>
      </w:r>
      <w:r>
        <w:rPr>
          <w:rFonts w:ascii="Times New Roman" w:hAnsi="Times New Roman"/>
        </w:rPr>
        <w:t xml:space="preserve">, </w:t>
      </w:r>
      <w:r w:rsidRPr="00B97A01">
        <w:rPr>
          <w:rFonts w:ascii="Times New Roman" w:hAnsi="Times New Roman"/>
        </w:rPr>
        <w:t>12</w:t>
      </w:r>
      <w:r>
        <w:rPr>
          <w:rFonts w:ascii="Times New Roman" w:hAnsi="Times New Roman"/>
        </w:rPr>
        <w:t>(</w:t>
      </w:r>
      <w:r w:rsidRPr="00B97A01">
        <w:rPr>
          <w:rFonts w:ascii="Times New Roman" w:hAnsi="Times New Roman"/>
        </w:rPr>
        <w:t>3</w:t>
      </w:r>
      <w:r>
        <w:rPr>
          <w:rFonts w:ascii="Times New Roman" w:hAnsi="Times New Roman"/>
        </w:rPr>
        <w:t xml:space="preserve">), </w:t>
      </w:r>
      <w:r w:rsidRPr="00B97A01">
        <w:rPr>
          <w:rFonts w:ascii="Times New Roman" w:hAnsi="Times New Roman"/>
        </w:rPr>
        <w:t>584</w:t>
      </w:r>
      <w:r>
        <w:rPr>
          <w:rFonts w:ascii="Times New Roman" w:hAnsi="Times New Roman"/>
        </w:rPr>
        <w:t xml:space="preserve">. </w:t>
      </w:r>
      <w:hyperlink r:id="rId4" w:history="1">
        <w:r>
          <w:rPr>
            <w:rFonts w:ascii="Times New Roman" w:hAnsi="Times New Roman"/>
          </w:rPr>
          <w:t>https://doi.org/</w:t>
        </w:r>
        <w:r w:rsidRPr="00B97A01">
          <w:rPr>
            <w:rFonts w:ascii="Times New Roman" w:hAnsi="Times New Roman"/>
          </w:rPr>
          <w:t>10</w:t>
        </w:r>
        <w:r>
          <w:rPr>
            <w:rFonts w:ascii="Times New Roman" w:hAnsi="Times New Roman"/>
          </w:rPr>
          <w:t>.</w:t>
        </w:r>
        <w:r w:rsidRPr="00B97A01">
          <w:rPr>
            <w:rFonts w:ascii="Times New Roman" w:hAnsi="Times New Roman"/>
          </w:rPr>
          <w:t>3390</w:t>
        </w:r>
        <w:r>
          <w:rPr>
            <w:rFonts w:ascii="Times New Roman" w:hAnsi="Times New Roman"/>
          </w:rPr>
          <w:t>/land</w:t>
        </w:r>
        <w:r w:rsidRPr="00B97A01">
          <w:rPr>
            <w:rFonts w:ascii="Times New Roman" w:hAnsi="Times New Roman"/>
          </w:rPr>
          <w:t>12030584</w:t>
        </w:r>
      </w:hyperlink>
      <w:r>
        <w:rPr>
          <w:rFonts w:ascii="Times New Roman" w:hAnsi="Times New Roman"/>
        </w:rPr>
        <w:t>, Vera, I., Wicke, B. și van der Hilst, F. (</w:t>
      </w:r>
      <w:r w:rsidRPr="00B97A01">
        <w:rPr>
          <w:rFonts w:ascii="Times New Roman" w:hAnsi="Times New Roman"/>
        </w:rPr>
        <w:t>2020</w:t>
      </w:r>
      <w:r>
        <w:rPr>
          <w:rFonts w:ascii="Times New Roman" w:hAnsi="Times New Roman"/>
        </w:rPr>
        <w:t xml:space="preserve">). </w:t>
      </w:r>
      <w:r>
        <w:rPr>
          <w:rFonts w:ascii="Times New Roman" w:hAnsi="Times New Roman"/>
          <w:i/>
          <w:iCs/>
        </w:rPr>
        <w:t>Spatial variation in environmental impacts of sugarcane expansion in Brazil</w:t>
      </w:r>
      <w:r>
        <w:rPr>
          <w:rFonts w:ascii="Times New Roman" w:hAnsi="Times New Roman"/>
        </w:rPr>
        <w:t xml:space="preserve"> (Variația spațială a impactului asupra mediului al expansiunii plantațiilor de trestie de zahăr în Brazilia). </w:t>
      </w:r>
      <w:r>
        <w:rPr>
          <w:rFonts w:ascii="Times New Roman" w:hAnsi="Times New Roman"/>
          <w:i/>
          <w:iCs/>
        </w:rPr>
        <w:t>Land</w:t>
      </w:r>
      <w:r>
        <w:rPr>
          <w:rFonts w:ascii="Times New Roman" w:hAnsi="Times New Roman"/>
        </w:rPr>
        <w:t xml:space="preserve">, </w:t>
      </w:r>
      <w:r w:rsidRPr="00B97A01">
        <w:rPr>
          <w:rFonts w:ascii="Times New Roman" w:hAnsi="Times New Roman"/>
        </w:rPr>
        <w:t>9</w:t>
      </w:r>
      <w:r>
        <w:rPr>
          <w:rFonts w:ascii="Times New Roman" w:hAnsi="Times New Roman"/>
        </w:rPr>
        <w:t>(</w:t>
      </w:r>
      <w:r w:rsidRPr="00B97A01">
        <w:rPr>
          <w:rFonts w:ascii="Times New Roman" w:hAnsi="Times New Roman"/>
        </w:rPr>
        <w:t>10</w:t>
      </w:r>
      <w:r>
        <w:rPr>
          <w:rFonts w:ascii="Times New Roman" w:hAnsi="Times New Roman"/>
        </w:rPr>
        <w:t xml:space="preserve">), </w:t>
      </w:r>
      <w:r w:rsidRPr="00B97A01">
        <w:rPr>
          <w:rFonts w:ascii="Times New Roman" w:hAnsi="Times New Roman"/>
        </w:rPr>
        <w:t>397</w:t>
      </w:r>
      <w:r>
        <w:rPr>
          <w:rFonts w:ascii="Times New Roman" w:hAnsi="Times New Roman"/>
        </w:rPr>
        <w:t xml:space="preserve">. </w:t>
      </w:r>
      <w:hyperlink r:id="rId5" w:history="1">
        <w:r>
          <w:rPr>
            <w:rFonts w:ascii="Times New Roman" w:hAnsi="Times New Roman"/>
          </w:rPr>
          <w:t>https://doi.org/</w:t>
        </w:r>
        <w:r w:rsidRPr="00B97A01">
          <w:rPr>
            <w:rFonts w:ascii="Times New Roman" w:hAnsi="Times New Roman"/>
          </w:rPr>
          <w:t>10</w:t>
        </w:r>
        <w:r>
          <w:rPr>
            <w:rFonts w:ascii="Times New Roman" w:hAnsi="Times New Roman"/>
          </w:rPr>
          <w:t>.</w:t>
        </w:r>
        <w:r w:rsidRPr="00B97A01">
          <w:rPr>
            <w:rFonts w:ascii="Times New Roman" w:hAnsi="Times New Roman"/>
          </w:rPr>
          <w:t>3390</w:t>
        </w:r>
        <w:r>
          <w:rPr>
            <w:rFonts w:ascii="Times New Roman" w:hAnsi="Times New Roman"/>
          </w:rPr>
          <w:t>/land</w:t>
        </w:r>
        <w:r w:rsidRPr="00B97A01">
          <w:rPr>
            <w:rFonts w:ascii="Times New Roman" w:hAnsi="Times New Roman"/>
          </w:rPr>
          <w:t>9100397</w:t>
        </w:r>
      </w:hyperlink>
      <w:r>
        <w:rPr>
          <w:rFonts w:ascii="Times New Roman" w:hAnsi="Times New Roman"/>
        </w:rPr>
        <w:t>, precum și Picoli, M. C. A. și Machado, P. G. (</w:t>
      </w:r>
      <w:r w:rsidRPr="00B97A01">
        <w:rPr>
          <w:rFonts w:ascii="Times New Roman" w:hAnsi="Times New Roman"/>
        </w:rPr>
        <w:t>2021</w:t>
      </w:r>
      <w:r>
        <w:rPr>
          <w:rFonts w:ascii="Times New Roman" w:hAnsi="Times New Roman"/>
        </w:rPr>
        <w:t xml:space="preserve">). </w:t>
      </w:r>
      <w:r>
        <w:rPr>
          <w:rFonts w:ascii="Times New Roman" w:hAnsi="Times New Roman"/>
          <w:i/>
          <w:iCs/>
        </w:rPr>
        <w:t>Land use change:</w:t>
      </w:r>
      <w:r>
        <w:rPr>
          <w:rFonts w:ascii="Times New Roman" w:hAnsi="Times New Roman"/>
        </w:rPr>
        <w:t xml:space="preserve"> </w:t>
      </w:r>
      <w:r>
        <w:rPr>
          <w:rFonts w:ascii="Times New Roman" w:hAnsi="Times New Roman"/>
          <w:i/>
          <w:iCs/>
        </w:rPr>
        <w:t>The barrier for sugarcane sustainability</w:t>
      </w:r>
      <w:r>
        <w:rPr>
          <w:rFonts w:ascii="Times New Roman" w:hAnsi="Times New Roman"/>
        </w:rPr>
        <w:t xml:space="preserve"> (Schimbarea destinației terenurilor: Bariera în calea sustenabilității trestiei de zahăr). </w:t>
      </w:r>
      <w:r>
        <w:rPr>
          <w:rFonts w:ascii="Times New Roman" w:hAnsi="Times New Roman"/>
          <w:i/>
          <w:iCs/>
        </w:rPr>
        <w:t>Biofuels, Bioproducts and Biorefining,</w:t>
      </w:r>
      <w:r>
        <w:rPr>
          <w:rFonts w:ascii="Times New Roman" w:hAnsi="Times New Roman"/>
        </w:rPr>
        <w:t xml:space="preserve"> </w:t>
      </w:r>
      <w:r w:rsidRPr="00B97A01">
        <w:rPr>
          <w:rFonts w:ascii="Times New Roman" w:hAnsi="Times New Roman"/>
        </w:rPr>
        <w:t>15</w:t>
      </w:r>
      <w:r>
        <w:rPr>
          <w:rFonts w:ascii="Times New Roman" w:hAnsi="Times New Roman"/>
        </w:rPr>
        <w:t>(</w:t>
      </w:r>
      <w:r w:rsidRPr="00B97A01">
        <w:rPr>
          <w:rFonts w:ascii="Times New Roman" w:hAnsi="Times New Roman"/>
        </w:rPr>
        <w:t>6</w:t>
      </w:r>
      <w:r>
        <w:rPr>
          <w:rFonts w:ascii="Times New Roman" w:hAnsi="Times New Roman"/>
        </w:rPr>
        <w:t xml:space="preserve">), </w:t>
      </w:r>
      <w:r w:rsidRPr="00B97A01">
        <w:rPr>
          <w:rFonts w:ascii="Times New Roman" w:hAnsi="Times New Roman"/>
        </w:rPr>
        <w:t>1591</w:t>
      </w:r>
      <w:r>
        <w:rPr>
          <w:rFonts w:ascii="Times New Roman" w:hAnsi="Times New Roman"/>
        </w:rPr>
        <w:t>–</w:t>
      </w:r>
      <w:r w:rsidRPr="00B97A01">
        <w:rPr>
          <w:rFonts w:ascii="Times New Roman" w:hAnsi="Times New Roman"/>
        </w:rPr>
        <w:t>1603</w:t>
      </w:r>
      <w:r>
        <w:rPr>
          <w:rFonts w:ascii="Times New Roman" w:hAnsi="Times New Roman"/>
        </w:rPr>
        <w:t>. https://doi.org/</w:t>
      </w:r>
      <w:r w:rsidRPr="00B97A01">
        <w:rPr>
          <w:rFonts w:ascii="Times New Roman" w:hAnsi="Times New Roman"/>
        </w:rPr>
        <w:t>10</w:t>
      </w:r>
      <w:r>
        <w:rPr>
          <w:rFonts w:ascii="Times New Roman" w:hAnsi="Times New Roman"/>
        </w:rPr>
        <w:t>.</w:t>
      </w:r>
      <w:r w:rsidRPr="00B97A01">
        <w:rPr>
          <w:rFonts w:ascii="Times New Roman" w:hAnsi="Times New Roman"/>
        </w:rPr>
        <w:t>1002</w:t>
      </w:r>
      <w:r>
        <w:rPr>
          <w:rFonts w:ascii="Times New Roman" w:hAnsi="Times New Roman"/>
        </w:rPr>
        <w:t>/bbb.</w:t>
      </w:r>
      <w:r w:rsidRPr="00B97A01">
        <w:rPr>
          <w:rFonts w:ascii="Times New Roman" w:hAnsi="Times New Roman"/>
        </w:rPr>
        <w:t>2270</w:t>
      </w:r>
      <w:r>
        <w:rPr>
          <w:rFonts w:ascii="Times New Roman" w:hAnsi="Times New Roman"/>
        </w:rPr>
        <w:t>.</w:t>
      </w:r>
    </w:p>
  </w:footnote>
  <w:footnote w:id="16">
    <w:p w14:paraId="6AD624E9"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Organizația Națiunilor Unite pentru Alimentație și Agricultură – Statistici.</w:t>
      </w:r>
    </w:p>
  </w:footnote>
  <w:footnote w:id="17">
    <w:p w14:paraId="41FD5961"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Departamentul pentru Agricultură al Statelor Unite ale Americii, Serviciul Național de Statistici Agricole.</w:t>
      </w:r>
    </w:p>
  </w:footnote>
  <w:footnote w:id="18">
    <w:p w14:paraId="44EB5BF2" w14:textId="1C99B192" w:rsidR="00C515BC" w:rsidRPr="00237AD1" w:rsidRDefault="00C515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Suprafața recoltată cuprinde suprafața pe care sunt produse culturile, excluzând suprafețele plantate care încă nu produc.</w:t>
      </w:r>
    </w:p>
  </w:footnote>
  <w:footnote w:id="19">
    <w:p w14:paraId="7243333A" w14:textId="6A586976" w:rsidR="00CA7301" w:rsidRPr="00237AD1" w:rsidRDefault="00CA730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MapSPAM </w:t>
      </w:r>
      <w:r w:rsidRPr="00B97A01">
        <w:rPr>
          <w:rFonts w:ascii="Times New Roman" w:hAnsi="Times New Roman"/>
        </w:rPr>
        <w:t>2010</w:t>
      </w:r>
      <w:r>
        <w:rPr>
          <w:rFonts w:ascii="Times New Roman" w:hAnsi="Times New Roman"/>
        </w:rPr>
        <w:t xml:space="preserve"> v</w:t>
      </w:r>
      <w:r w:rsidRPr="00B97A01">
        <w:rPr>
          <w:rFonts w:ascii="Times New Roman" w:hAnsi="Times New Roman"/>
        </w:rPr>
        <w:t>2</w:t>
      </w:r>
      <w:r>
        <w:rPr>
          <w:rFonts w:ascii="Times New Roman" w:hAnsi="Times New Roman"/>
        </w:rPr>
        <w:t>r</w:t>
      </w:r>
      <w:r w:rsidRPr="00B97A01">
        <w:rPr>
          <w:rFonts w:ascii="Times New Roman" w:hAnsi="Times New Roman"/>
        </w:rPr>
        <w:t>0</w:t>
      </w:r>
      <w:r>
        <w:rPr>
          <w:rFonts w:ascii="Times New Roman" w:hAnsi="Times New Roman"/>
        </w:rPr>
        <w:t>.</w:t>
      </w:r>
    </w:p>
  </w:footnote>
  <w:footnote w:id="20">
    <w:p w14:paraId="0B36A5DE" w14:textId="77777777" w:rsidR="002B100E" w:rsidRPr="00237AD1"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prima etapă a studiului Guidehouse s-a folosit versiunea </w:t>
      </w:r>
      <w:r w:rsidRPr="00B97A01">
        <w:rPr>
          <w:rFonts w:ascii="Times New Roman" w:hAnsi="Times New Roman"/>
        </w:rPr>
        <w:t>1</w:t>
      </w:r>
      <w:r>
        <w:rPr>
          <w:rFonts w:ascii="Times New Roman" w:hAnsi="Times New Roman"/>
        </w:rPr>
        <w:t>.</w:t>
      </w:r>
      <w:r w:rsidRPr="00B97A01">
        <w:rPr>
          <w:rFonts w:ascii="Times New Roman" w:hAnsi="Times New Roman"/>
        </w:rPr>
        <w:t>7</w:t>
      </w:r>
      <w:r>
        <w:rPr>
          <w:rFonts w:ascii="Times New Roman" w:hAnsi="Times New Roman"/>
        </w:rPr>
        <w:t xml:space="preserve"> a nivelurilor Hansen Global Forest Change (nivelurile Hansen privind modificările suprafețelor împădurite la nivel mondial), iar în cea de a doua etapă s-a folosit versiunea </w:t>
      </w:r>
      <w:r w:rsidRPr="00B97A01">
        <w:rPr>
          <w:rFonts w:ascii="Times New Roman" w:hAnsi="Times New Roman"/>
        </w:rPr>
        <w:t>1</w:t>
      </w:r>
      <w:r>
        <w:rPr>
          <w:rFonts w:ascii="Times New Roman" w:hAnsi="Times New Roman"/>
        </w:rPr>
        <w:t>.</w:t>
      </w:r>
      <w:r w:rsidRPr="00B97A01">
        <w:rPr>
          <w:rFonts w:ascii="Times New Roman" w:hAnsi="Times New Roman"/>
        </w:rPr>
        <w:t>9</w:t>
      </w:r>
      <w:r>
        <w:rPr>
          <w:rFonts w:ascii="Times New Roman" w:hAnsi="Times New Roman"/>
        </w:rPr>
        <w:t xml:space="preserve">, în conformitate cu metodologia descrisă în Hansen et al., </w:t>
      </w:r>
      <w:r w:rsidRPr="00B97A01">
        <w:rPr>
          <w:rFonts w:ascii="Times New Roman" w:hAnsi="Times New Roman"/>
        </w:rPr>
        <w:t>2013</w:t>
      </w:r>
      <w:r>
        <w:rPr>
          <w:rFonts w:ascii="Times New Roman" w:hAnsi="Times New Roman"/>
        </w:rPr>
        <w:t xml:space="preserve">. </w:t>
      </w:r>
    </w:p>
  </w:footnote>
  <w:footnote w:id="21">
    <w:p w14:paraId="4A85FF9A" w14:textId="77777777" w:rsidR="002B100E" w:rsidRPr="00CF6F5F"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Miettinen, J., Shi, C. și Liew, S. C. (</w:t>
      </w:r>
      <w:r w:rsidRPr="00B97A01">
        <w:rPr>
          <w:rFonts w:ascii="Times New Roman" w:hAnsi="Times New Roman"/>
        </w:rPr>
        <w:t>2016</w:t>
      </w:r>
      <w:r>
        <w:rPr>
          <w:rFonts w:ascii="Times New Roman" w:hAnsi="Times New Roman"/>
        </w:rPr>
        <w:t xml:space="preserve">). </w:t>
      </w:r>
      <w:r>
        <w:rPr>
          <w:rFonts w:ascii="Times New Roman" w:hAnsi="Times New Roman"/>
          <w:i/>
          <w:iCs/>
        </w:rPr>
        <w:t xml:space="preserve">Land cover distribution in the peatlands of Peninsular Malaysia, Sumatra and Borneo in </w:t>
      </w:r>
      <w:r w:rsidRPr="00B97A01">
        <w:rPr>
          <w:rFonts w:ascii="Times New Roman" w:hAnsi="Times New Roman"/>
          <w:i/>
          <w:iCs/>
        </w:rPr>
        <w:t>2015</w:t>
      </w:r>
      <w:r>
        <w:rPr>
          <w:rFonts w:ascii="Times New Roman" w:hAnsi="Times New Roman"/>
          <w:i/>
          <w:iCs/>
        </w:rPr>
        <w:t xml:space="preserve"> with changes since </w:t>
      </w:r>
      <w:r w:rsidRPr="00B97A01">
        <w:rPr>
          <w:rFonts w:ascii="Times New Roman" w:hAnsi="Times New Roman"/>
          <w:i/>
          <w:iCs/>
        </w:rPr>
        <w:t>1990</w:t>
      </w:r>
      <w:r>
        <w:rPr>
          <w:rFonts w:ascii="Times New Roman" w:hAnsi="Times New Roman"/>
        </w:rPr>
        <w:t xml:space="preserve"> (Distribuția acoperirii terenurilor în turbăriile din Malaysia peninsulară, Sumatra și Borneo în </w:t>
      </w:r>
      <w:r w:rsidRPr="00B97A01">
        <w:rPr>
          <w:rFonts w:ascii="Times New Roman" w:hAnsi="Times New Roman"/>
        </w:rPr>
        <w:t>2015</w:t>
      </w:r>
      <w:r>
        <w:rPr>
          <w:rFonts w:ascii="Times New Roman" w:hAnsi="Times New Roman"/>
        </w:rPr>
        <w:t xml:space="preserve">, cu modificările față de </w:t>
      </w:r>
      <w:r w:rsidRPr="00B97A01">
        <w:rPr>
          <w:rFonts w:ascii="Times New Roman" w:hAnsi="Times New Roman"/>
        </w:rPr>
        <w:t>1990</w:t>
      </w:r>
      <w:r>
        <w:rPr>
          <w:rFonts w:ascii="Times New Roman" w:hAnsi="Times New Roman"/>
        </w:rPr>
        <w:t xml:space="preserve">). </w:t>
      </w:r>
      <w:r>
        <w:rPr>
          <w:rFonts w:ascii="Times New Roman" w:hAnsi="Times New Roman"/>
          <w:i/>
          <w:iCs/>
        </w:rPr>
        <w:t>Global Ecology and Conservation</w:t>
      </w:r>
      <w:r>
        <w:rPr>
          <w:rFonts w:ascii="Times New Roman" w:hAnsi="Times New Roman"/>
        </w:rPr>
        <w:t xml:space="preserve">. </w:t>
      </w:r>
    </w:p>
  </w:footnote>
  <w:footnote w:id="22">
    <w:p w14:paraId="64C88F8B" w14:textId="32CF04BE" w:rsidR="00483105" w:rsidRPr="00237AD1" w:rsidRDefault="004831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FaoSTAT, </w:t>
      </w:r>
      <w:r w:rsidRPr="00B97A01">
        <w:rPr>
          <w:rFonts w:ascii="Times New Roman" w:hAnsi="Times New Roman"/>
        </w:rPr>
        <w:t>2021</w:t>
      </w:r>
      <w:r>
        <w:rPr>
          <w:rFonts w:ascii="Times New Roman" w:hAnsi="Times New Roman"/>
        </w:rPr>
        <w:t>.</w:t>
      </w:r>
    </w:p>
  </w:footnote>
  <w:footnote w:id="23">
    <w:p w14:paraId="38A5EDB5" w14:textId="28628060" w:rsidR="00802EC3" w:rsidRPr="00237AD1" w:rsidRDefault="00802EC3" w:rsidP="00380D1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9" w:name="_Hlk119587085"/>
      <w:r>
        <w:rPr>
          <w:rFonts w:ascii="Times New Roman" w:hAnsi="Times New Roman"/>
        </w:rPr>
        <w:t xml:space="preserve">Valorile incluse în acest tabel au fost calculate în conformitate cu formula inclusă în Regulamentul delegat </w:t>
      </w:r>
      <w:r w:rsidRPr="00B97A01">
        <w:rPr>
          <w:rFonts w:ascii="Times New Roman" w:hAnsi="Times New Roman"/>
        </w:rPr>
        <w:t>2019</w:t>
      </w:r>
      <w:r>
        <w:rPr>
          <w:rFonts w:ascii="Times New Roman" w:hAnsi="Times New Roman"/>
        </w:rPr>
        <w:t>/</w:t>
      </w:r>
      <w:r w:rsidRPr="00B97A01">
        <w:rPr>
          <w:rFonts w:ascii="Times New Roman" w:hAnsi="Times New Roman"/>
        </w:rPr>
        <w:t>807</w:t>
      </w:r>
      <w:r>
        <w:rPr>
          <w:rFonts w:ascii="Times New Roman" w:hAnsi="Times New Roman"/>
        </w:rPr>
        <w:t xml:space="preserve"> (a se vedea capitolul I). Pentru realizarea calculului, rezultatele analizei statistice actualizate și ale cartografierii actualizate au fost combinate cu factorii de productivitate specifici fiecărui grup de culturi, astfel cum au fost sugerați de JRC și astfel cum sunt indicați în actul delegat.</w:t>
      </w:r>
      <w:bookmarkEnd w:id="9"/>
    </w:p>
  </w:footnote>
  <w:footnote w:id="24">
    <w:p w14:paraId="67258CA5" w14:textId="09120072" w:rsidR="00F92FCA" w:rsidRPr="00F92FCA" w:rsidRDefault="00F92FCA">
      <w:pPr>
        <w:pStyle w:val="FootnoteText"/>
      </w:pPr>
      <w:r>
        <w:rPr>
          <w:rStyle w:val="FootnoteReference"/>
        </w:rPr>
        <w:footnoteRef/>
      </w:r>
      <w:r>
        <w:t xml:space="preserve"> </w:t>
      </w:r>
      <w:r>
        <w:rPr>
          <w:rFonts w:ascii="Times New Roman" w:hAnsi="Times New Roman"/>
        </w:rPr>
        <w:t xml:space="preserve">Articolul </w:t>
      </w:r>
      <w:r w:rsidRPr="00B97A01">
        <w:rPr>
          <w:rFonts w:ascii="Times New Roman" w:hAnsi="Times New Roman"/>
        </w:rPr>
        <w:t>2</w:t>
      </w:r>
      <w:r>
        <w:rPr>
          <w:rFonts w:ascii="Times New Roman" w:hAnsi="Times New Roman"/>
        </w:rPr>
        <w:t xml:space="preserve"> punctul </w:t>
      </w:r>
      <w:r w:rsidRPr="00B97A01">
        <w:rPr>
          <w:rFonts w:ascii="Times New Roman" w:hAnsi="Times New Roman"/>
        </w:rPr>
        <w:t>5</w:t>
      </w:r>
      <w:r>
        <w:rPr>
          <w:rFonts w:ascii="Times New Roman" w:hAnsi="Times New Roman"/>
        </w:rPr>
        <w:t>.</w:t>
      </w:r>
    </w:p>
  </w:footnote>
  <w:footnote w:id="25">
    <w:p w14:paraId="7E03251B" w14:textId="5E471025" w:rsidR="003F69F4" w:rsidRPr="00237AD1" w:rsidRDefault="003F69F4" w:rsidP="00725345">
      <w:pPr>
        <w:pStyle w:val="FootnoteText"/>
        <w:jc w:val="both"/>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Regulamentul de punere în aplicare (UE) </w:t>
      </w:r>
      <w:r w:rsidRPr="00B97A01">
        <w:rPr>
          <w:rFonts w:ascii="Times New Roman" w:hAnsi="Times New Roman"/>
        </w:rPr>
        <w:t>2022</w:t>
      </w:r>
      <w:r>
        <w:rPr>
          <w:rFonts w:ascii="Times New Roman" w:hAnsi="Times New Roman"/>
        </w:rPr>
        <w:t>/</w:t>
      </w:r>
      <w:r w:rsidRPr="00B97A01">
        <w:rPr>
          <w:rFonts w:ascii="Times New Roman" w:hAnsi="Times New Roman"/>
        </w:rPr>
        <w:t>996</w:t>
      </w:r>
      <w:r>
        <w:rPr>
          <w:rFonts w:ascii="Times New Roman" w:hAnsi="Times New Roman"/>
        </w:rPr>
        <w:t xml:space="preserve"> al Comisiei din </w:t>
      </w:r>
      <w:r w:rsidRPr="00B97A01">
        <w:rPr>
          <w:rFonts w:ascii="Times New Roman" w:hAnsi="Times New Roman"/>
        </w:rPr>
        <w:t>14</w:t>
      </w:r>
      <w:r>
        <w:rPr>
          <w:rFonts w:ascii="Times New Roman" w:hAnsi="Times New Roman"/>
        </w:rPr>
        <w:t> iunie </w:t>
      </w:r>
      <w:r w:rsidRPr="00B97A01">
        <w:rPr>
          <w:rFonts w:ascii="Times New Roman" w:hAnsi="Times New Roman"/>
        </w:rPr>
        <w:t>2022</w:t>
      </w:r>
      <w:r>
        <w:rPr>
          <w:rFonts w:ascii="Times New Roman" w:hAnsi="Times New Roman"/>
        </w:rPr>
        <w:t xml:space="preserve"> privind normele de verificare a criteriilor de durabilitate și de reducere a emisiilor de gaze cu efect de seră și a criteriilor privind riscurile reduse din perspectiva schimbării indirecte a destinației terenurilor, JO L </w:t>
      </w:r>
      <w:r w:rsidRPr="00B97A01">
        <w:rPr>
          <w:rFonts w:ascii="Times New Roman" w:hAnsi="Times New Roman"/>
        </w:rPr>
        <w:t>168</w:t>
      </w:r>
      <w:r>
        <w:rPr>
          <w:rFonts w:ascii="Times New Roman" w:hAnsi="Times New Roman"/>
        </w:rPr>
        <w:t xml:space="preserve">, </w:t>
      </w:r>
      <w:r w:rsidRPr="00B97A01">
        <w:rPr>
          <w:rFonts w:ascii="Times New Roman" w:hAnsi="Times New Roman"/>
        </w:rPr>
        <w:t>27</w:t>
      </w:r>
      <w:r>
        <w:rPr>
          <w:rFonts w:ascii="Times New Roman" w:hAnsi="Times New Roman"/>
        </w:rPr>
        <w:t>.</w:t>
      </w:r>
      <w:r w:rsidRPr="00B97A01">
        <w:rPr>
          <w:rFonts w:ascii="Times New Roman" w:hAnsi="Times New Roman"/>
        </w:rPr>
        <w:t>6</w:t>
      </w:r>
      <w:r>
        <w:rPr>
          <w:rFonts w:ascii="Times New Roman" w:hAnsi="Times New Roman"/>
        </w:rPr>
        <w:t>.</w:t>
      </w:r>
      <w:r w:rsidRPr="00B97A01">
        <w:rPr>
          <w:rFonts w:ascii="Times New Roman" w:hAnsi="Times New Roman"/>
        </w:rPr>
        <w:t>2022</w:t>
      </w:r>
      <w:r>
        <w:rPr>
          <w:rFonts w:ascii="Times New Roman" w:hAnsi="Times New Roman"/>
        </w:rPr>
        <w:t>, p. </w:t>
      </w:r>
      <w:r w:rsidRPr="00B97A01">
        <w:rPr>
          <w:rFonts w:ascii="Times New Roman" w:hAnsi="Times New Roman"/>
        </w:rPr>
        <w:t>1</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6FD5" w14:textId="77777777" w:rsidR="00754B8D" w:rsidRPr="00754B8D" w:rsidRDefault="00754B8D" w:rsidP="00754B8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101B" w14:textId="77777777" w:rsidR="00754B8D" w:rsidRPr="00754B8D" w:rsidRDefault="00754B8D" w:rsidP="00754B8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04671" w14:textId="77777777" w:rsidR="00754B8D" w:rsidRPr="00754B8D" w:rsidRDefault="00754B8D" w:rsidP="00754B8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4B5B7" w14:textId="77777777" w:rsidR="00CD6E84" w:rsidRDefault="00CD6E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CD6E84" w14:paraId="738610EB" w14:textId="77777777" w:rsidTr="74982C6C">
      <w:tc>
        <w:tcPr>
          <w:tcW w:w="3120" w:type="dxa"/>
        </w:tcPr>
        <w:p w14:paraId="637805D2" w14:textId="77777777" w:rsidR="00CD6E84" w:rsidRDefault="00CD6E84" w:rsidP="74982C6C">
          <w:pPr>
            <w:pStyle w:val="Header"/>
            <w:ind w:left="-115"/>
          </w:pPr>
        </w:p>
      </w:tc>
      <w:tc>
        <w:tcPr>
          <w:tcW w:w="3120" w:type="dxa"/>
        </w:tcPr>
        <w:p w14:paraId="463F29E8" w14:textId="77777777" w:rsidR="00CD6E84" w:rsidRDefault="00CD6E84" w:rsidP="74982C6C">
          <w:pPr>
            <w:pStyle w:val="Header"/>
            <w:jc w:val="center"/>
          </w:pPr>
        </w:p>
      </w:tc>
      <w:tc>
        <w:tcPr>
          <w:tcW w:w="3120" w:type="dxa"/>
        </w:tcPr>
        <w:p w14:paraId="3B7B4B86" w14:textId="77777777" w:rsidR="00CD6E84" w:rsidRDefault="00CD6E84" w:rsidP="74982C6C">
          <w:pPr>
            <w:pStyle w:val="Header"/>
            <w:ind w:right="-115"/>
            <w:jc w:val="right"/>
          </w:pPr>
        </w:p>
      </w:tc>
    </w:tr>
  </w:tbl>
  <w:p w14:paraId="3A0FF5F2" w14:textId="77777777" w:rsidR="00CD6E84" w:rsidRDefault="00CD6E84" w:rsidP="74982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0D7D" w14:textId="77777777" w:rsidR="00CD6E84" w:rsidRDefault="00CD6E84">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BFE1"/>
    <w:multiLevelType w:val="hybridMultilevel"/>
    <w:tmpl w:val="E59293B2"/>
    <w:lvl w:ilvl="0" w:tplc="8ED4E448">
      <w:start w:val="1"/>
      <w:numFmt w:val="upperRoman"/>
      <w:pStyle w:val="Style1"/>
      <w:lvlText w:val="%1."/>
      <w:lvlJc w:val="right"/>
      <w:pPr>
        <w:ind w:left="720" w:hanging="360"/>
      </w:pPr>
      <w:rPr>
        <w:rFonts w:ascii="Times New Roman" w:hAnsi="Times New Roman" w:cs="Times New Roman" w:hint="default"/>
      </w:rPr>
    </w:lvl>
    <w:lvl w:ilvl="1" w:tplc="A832F536">
      <w:start w:val="1"/>
      <w:numFmt w:val="lowerLetter"/>
      <w:lvlText w:val="%2."/>
      <w:lvlJc w:val="left"/>
      <w:pPr>
        <w:ind w:left="1440" w:hanging="360"/>
      </w:pPr>
    </w:lvl>
    <w:lvl w:ilvl="2" w:tplc="DE90CE2A">
      <w:start w:val="1"/>
      <w:numFmt w:val="lowerRoman"/>
      <w:lvlText w:val="%3."/>
      <w:lvlJc w:val="right"/>
      <w:pPr>
        <w:ind w:left="2160" w:hanging="180"/>
      </w:pPr>
    </w:lvl>
    <w:lvl w:ilvl="3" w:tplc="B598FBA6">
      <w:start w:val="1"/>
      <w:numFmt w:val="decimal"/>
      <w:lvlText w:val="%4."/>
      <w:lvlJc w:val="left"/>
      <w:pPr>
        <w:ind w:left="2880" w:hanging="360"/>
      </w:pPr>
    </w:lvl>
    <w:lvl w:ilvl="4" w:tplc="943E9CEE">
      <w:start w:val="1"/>
      <w:numFmt w:val="lowerLetter"/>
      <w:lvlText w:val="%5."/>
      <w:lvlJc w:val="left"/>
      <w:pPr>
        <w:ind w:left="3600" w:hanging="360"/>
      </w:pPr>
    </w:lvl>
    <w:lvl w:ilvl="5" w:tplc="E18C7634">
      <w:start w:val="1"/>
      <w:numFmt w:val="lowerRoman"/>
      <w:lvlText w:val="%6."/>
      <w:lvlJc w:val="right"/>
      <w:pPr>
        <w:ind w:left="4320" w:hanging="180"/>
      </w:pPr>
    </w:lvl>
    <w:lvl w:ilvl="6" w:tplc="1C0E9696">
      <w:start w:val="1"/>
      <w:numFmt w:val="decimal"/>
      <w:lvlText w:val="%7."/>
      <w:lvlJc w:val="left"/>
      <w:pPr>
        <w:ind w:left="5040" w:hanging="360"/>
      </w:pPr>
    </w:lvl>
    <w:lvl w:ilvl="7" w:tplc="711CBC4E">
      <w:start w:val="1"/>
      <w:numFmt w:val="lowerLetter"/>
      <w:lvlText w:val="%8."/>
      <w:lvlJc w:val="left"/>
      <w:pPr>
        <w:ind w:left="5760" w:hanging="360"/>
      </w:pPr>
    </w:lvl>
    <w:lvl w:ilvl="8" w:tplc="76C60900">
      <w:start w:val="1"/>
      <w:numFmt w:val="lowerRoman"/>
      <w:lvlText w:val="%9."/>
      <w:lvlJc w:val="right"/>
      <w:pPr>
        <w:ind w:left="6480" w:hanging="180"/>
      </w:pPr>
    </w:lvl>
  </w:abstractNum>
  <w:abstractNum w:abstractNumId="1" w15:restartNumberingAfterBreak="0">
    <w:nsid w:val="3CCBA1CE"/>
    <w:multiLevelType w:val="hybridMultilevel"/>
    <w:tmpl w:val="DBAE4F7C"/>
    <w:lvl w:ilvl="0" w:tplc="B7909148">
      <w:start w:val="1"/>
      <w:numFmt w:val="upperRoman"/>
      <w:lvlText w:val="%1."/>
      <w:lvlJc w:val="right"/>
      <w:pPr>
        <w:ind w:left="720" w:hanging="360"/>
      </w:p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2" w15:restartNumberingAfterBreak="0">
    <w:nsid w:val="447468CB"/>
    <w:multiLevelType w:val="hybridMultilevel"/>
    <w:tmpl w:val="E55CBB12"/>
    <w:lvl w:ilvl="0" w:tplc="467A356A">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00715B"/>
    <w:multiLevelType w:val="hybridMultilevel"/>
    <w:tmpl w:val="670A5C76"/>
    <w:lvl w:ilvl="0" w:tplc="7D721E3C">
      <w:start w:val="1"/>
      <w:numFmt w:val="upperRoman"/>
      <w:lvlText w:val="%1."/>
      <w:lvlJc w:val="right"/>
      <w:pPr>
        <w:ind w:left="720" w:hanging="360"/>
      </w:pPr>
      <w:rPr>
        <w:lang w:val="en-GB"/>
      </w:r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4" w15:restartNumberingAfterBreak="0">
    <w:nsid w:val="4BEB804E"/>
    <w:multiLevelType w:val="hybridMultilevel"/>
    <w:tmpl w:val="632017B8"/>
    <w:lvl w:ilvl="0" w:tplc="4AB43EF2">
      <w:start w:val="1"/>
      <w:numFmt w:val="bullet"/>
      <w:lvlText w:val="·"/>
      <w:lvlJc w:val="left"/>
      <w:pPr>
        <w:ind w:left="720" w:hanging="360"/>
      </w:pPr>
      <w:rPr>
        <w:rFonts w:ascii="Symbol" w:hAnsi="Symbol" w:hint="default"/>
      </w:rPr>
    </w:lvl>
    <w:lvl w:ilvl="1" w:tplc="472CD62C">
      <w:start w:val="1"/>
      <w:numFmt w:val="bullet"/>
      <w:lvlText w:val="o"/>
      <w:lvlJc w:val="left"/>
      <w:pPr>
        <w:ind w:left="1440" w:hanging="360"/>
      </w:pPr>
      <w:rPr>
        <w:rFonts w:ascii="Courier New" w:hAnsi="Courier New" w:hint="default"/>
      </w:rPr>
    </w:lvl>
    <w:lvl w:ilvl="2" w:tplc="089EFBC0">
      <w:start w:val="1"/>
      <w:numFmt w:val="bullet"/>
      <w:lvlText w:val=""/>
      <w:lvlJc w:val="left"/>
      <w:pPr>
        <w:ind w:left="2160" w:hanging="360"/>
      </w:pPr>
      <w:rPr>
        <w:rFonts w:ascii="Wingdings" w:hAnsi="Wingdings" w:hint="default"/>
      </w:rPr>
    </w:lvl>
    <w:lvl w:ilvl="3" w:tplc="AA60A776">
      <w:start w:val="1"/>
      <w:numFmt w:val="bullet"/>
      <w:lvlText w:val=""/>
      <w:lvlJc w:val="left"/>
      <w:pPr>
        <w:ind w:left="2880" w:hanging="360"/>
      </w:pPr>
      <w:rPr>
        <w:rFonts w:ascii="Symbol" w:hAnsi="Symbol" w:hint="default"/>
      </w:rPr>
    </w:lvl>
    <w:lvl w:ilvl="4" w:tplc="E410F464">
      <w:start w:val="1"/>
      <w:numFmt w:val="bullet"/>
      <w:lvlText w:val="o"/>
      <w:lvlJc w:val="left"/>
      <w:pPr>
        <w:ind w:left="3600" w:hanging="360"/>
      </w:pPr>
      <w:rPr>
        <w:rFonts w:ascii="Courier New" w:hAnsi="Courier New" w:hint="default"/>
      </w:rPr>
    </w:lvl>
    <w:lvl w:ilvl="5" w:tplc="2E34C542">
      <w:start w:val="1"/>
      <w:numFmt w:val="bullet"/>
      <w:lvlText w:val=""/>
      <w:lvlJc w:val="left"/>
      <w:pPr>
        <w:ind w:left="4320" w:hanging="360"/>
      </w:pPr>
      <w:rPr>
        <w:rFonts w:ascii="Wingdings" w:hAnsi="Wingdings" w:hint="default"/>
      </w:rPr>
    </w:lvl>
    <w:lvl w:ilvl="6" w:tplc="1CFC5636">
      <w:start w:val="1"/>
      <w:numFmt w:val="bullet"/>
      <w:lvlText w:val=""/>
      <w:lvlJc w:val="left"/>
      <w:pPr>
        <w:ind w:left="5040" w:hanging="360"/>
      </w:pPr>
      <w:rPr>
        <w:rFonts w:ascii="Symbol" w:hAnsi="Symbol" w:hint="default"/>
      </w:rPr>
    </w:lvl>
    <w:lvl w:ilvl="7" w:tplc="A926A630">
      <w:start w:val="1"/>
      <w:numFmt w:val="bullet"/>
      <w:lvlText w:val="o"/>
      <w:lvlJc w:val="left"/>
      <w:pPr>
        <w:ind w:left="5760" w:hanging="360"/>
      </w:pPr>
      <w:rPr>
        <w:rFonts w:ascii="Courier New" w:hAnsi="Courier New" w:hint="default"/>
      </w:rPr>
    </w:lvl>
    <w:lvl w:ilvl="8" w:tplc="2154DDD6">
      <w:start w:val="1"/>
      <w:numFmt w:val="bullet"/>
      <w:lvlText w:val=""/>
      <w:lvlJc w:val="left"/>
      <w:pPr>
        <w:ind w:left="6480" w:hanging="360"/>
      </w:pPr>
      <w:rPr>
        <w:rFonts w:ascii="Wingdings" w:hAnsi="Wingdings" w:hint="default"/>
      </w:rPr>
    </w:lvl>
  </w:abstractNum>
  <w:abstractNum w:abstractNumId="5" w15:restartNumberingAfterBreak="0">
    <w:nsid w:val="695DBCF8"/>
    <w:multiLevelType w:val="hybridMultilevel"/>
    <w:tmpl w:val="9CE0E150"/>
    <w:lvl w:ilvl="0" w:tplc="497A4D1C">
      <w:start w:val="1"/>
      <w:numFmt w:val="upperRoman"/>
      <w:lvlText w:val="%1."/>
      <w:lvlJc w:val="right"/>
      <w:pPr>
        <w:ind w:left="720" w:hanging="360"/>
      </w:pPr>
    </w:lvl>
    <w:lvl w:ilvl="1" w:tplc="91607B22">
      <w:start w:val="1"/>
      <w:numFmt w:val="lowerLetter"/>
      <w:lvlText w:val="%2."/>
      <w:lvlJc w:val="left"/>
      <w:pPr>
        <w:ind w:left="1440" w:hanging="360"/>
      </w:pPr>
    </w:lvl>
    <w:lvl w:ilvl="2" w:tplc="3DCE8A1E">
      <w:start w:val="1"/>
      <w:numFmt w:val="lowerRoman"/>
      <w:lvlText w:val="%3."/>
      <w:lvlJc w:val="right"/>
      <w:pPr>
        <w:ind w:left="2160" w:hanging="180"/>
      </w:pPr>
    </w:lvl>
    <w:lvl w:ilvl="3" w:tplc="23C4959C">
      <w:start w:val="1"/>
      <w:numFmt w:val="decimal"/>
      <w:lvlText w:val="%4."/>
      <w:lvlJc w:val="left"/>
      <w:pPr>
        <w:ind w:left="2880" w:hanging="360"/>
      </w:pPr>
    </w:lvl>
    <w:lvl w:ilvl="4" w:tplc="14821CA8">
      <w:start w:val="1"/>
      <w:numFmt w:val="lowerLetter"/>
      <w:lvlText w:val="%5."/>
      <w:lvlJc w:val="left"/>
      <w:pPr>
        <w:ind w:left="3600" w:hanging="360"/>
      </w:pPr>
    </w:lvl>
    <w:lvl w:ilvl="5" w:tplc="CBA2A2DA">
      <w:start w:val="1"/>
      <w:numFmt w:val="lowerRoman"/>
      <w:lvlText w:val="%6."/>
      <w:lvlJc w:val="right"/>
      <w:pPr>
        <w:ind w:left="4320" w:hanging="180"/>
      </w:pPr>
    </w:lvl>
    <w:lvl w:ilvl="6" w:tplc="336285CC">
      <w:start w:val="1"/>
      <w:numFmt w:val="decimal"/>
      <w:lvlText w:val="%7."/>
      <w:lvlJc w:val="left"/>
      <w:pPr>
        <w:ind w:left="5040" w:hanging="360"/>
      </w:pPr>
    </w:lvl>
    <w:lvl w:ilvl="7" w:tplc="5E3446BE">
      <w:start w:val="1"/>
      <w:numFmt w:val="lowerLetter"/>
      <w:lvlText w:val="%8."/>
      <w:lvlJc w:val="left"/>
      <w:pPr>
        <w:ind w:left="5760" w:hanging="360"/>
      </w:pPr>
    </w:lvl>
    <w:lvl w:ilvl="8" w:tplc="442C984A">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2"/>
  </w:num>
  <w:num w:numId="6">
    <w:abstractNumId w:val="3"/>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A8C565A-255D-4810-9D53-0E867F5FC858"/>
    <w:docVar w:name="LW_COVERPAGE_TYPE" w:val="1"/>
    <w:docVar w:name="LW_CROSSREFERENCE" w:val="&lt;UNUSED&gt;"/>
    <w:docVar w:name="LW_DocType" w:val="NORMAL"/>
    <w:docVar w:name="LW_EMISSION" w:val="20.1.2026"/>
    <w:docVar w:name="LW_EMISSION_ISODATE" w:val="2026-01-20"/>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situa\u539?ia expansiunii la nivel mondial a produc\u539?iei de anumite culturi alimentare \u537?i furajere&lt;/FMT&gt;_x000b__x000d__x000d__x000d__x000d__x000b_"/>
    <w:docVar w:name="LW_TYPE.DOC.CP" w:val="RAPORT AL COMISIEI C\u258?TRE PARLAMENTUL EUROPEAN, CONSILIU, COMITETUL ECONOMIC \u536?I SOCIAL EUROPEAN \u536?I COMITETUL REGIUNILOR"/>
    <w:docVar w:name="LwApiVersions" w:val="LW4CoDe 1.24.5.0; LW 9.2, Build 20251112"/>
  </w:docVars>
  <w:rsids>
    <w:rsidRoot w:val="7ECD667B"/>
    <w:rsid w:val="000025EC"/>
    <w:rsid w:val="000028F5"/>
    <w:rsid w:val="0000308E"/>
    <w:rsid w:val="00003F9A"/>
    <w:rsid w:val="000049A7"/>
    <w:rsid w:val="00005FCB"/>
    <w:rsid w:val="0000725D"/>
    <w:rsid w:val="00007CB7"/>
    <w:rsid w:val="00010039"/>
    <w:rsid w:val="00010ECD"/>
    <w:rsid w:val="000119E1"/>
    <w:rsid w:val="00011EF2"/>
    <w:rsid w:val="00012207"/>
    <w:rsid w:val="000129EE"/>
    <w:rsid w:val="0001343F"/>
    <w:rsid w:val="000145D4"/>
    <w:rsid w:val="0001580D"/>
    <w:rsid w:val="00015F09"/>
    <w:rsid w:val="0001612B"/>
    <w:rsid w:val="00020FDC"/>
    <w:rsid w:val="00021A67"/>
    <w:rsid w:val="0002292F"/>
    <w:rsid w:val="00025AD0"/>
    <w:rsid w:val="00030D7D"/>
    <w:rsid w:val="00030DF8"/>
    <w:rsid w:val="0003197E"/>
    <w:rsid w:val="00032574"/>
    <w:rsid w:val="0003391C"/>
    <w:rsid w:val="00033B1E"/>
    <w:rsid w:val="00034E1C"/>
    <w:rsid w:val="000364DC"/>
    <w:rsid w:val="00036657"/>
    <w:rsid w:val="00043C6D"/>
    <w:rsid w:val="00044190"/>
    <w:rsid w:val="00044210"/>
    <w:rsid w:val="00044E24"/>
    <w:rsid w:val="00045BB5"/>
    <w:rsid w:val="00046537"/>
    <w:rsid w:val="000503A2"/>
    <w:rsid w:val="00051AD3"/>
    <w:rsid w:val="00051BA0"/>
    <w:rsid w:val="000527FB"/>
    <w:rsid w:val="0005361D"/>
    <w:rsid w:val="00053E7B"/>
    <w:rsid w:val="00055745"/>
    <w:rsid w:val="00056667"/>
    <w:rsid w:val="0005712F"/>
    <w:rsid w:val="00057890"/>
    <w:rsid w:val="00060074"/>
    <w:rsid w:val="00060F10"/>
    <w:rsid w:val="000616AD"/>
    <w:rsid w:val="00063000"/>
    <w:rsid w:val="000640AD"/>
    <w:rsid w:val="0006458D"/>
    <w:rsid w:val="00064DC9"/>
    <w:rsid w:val="00065199"/>
    <w:rsid w:val="00066DE0"/>
    <w:rsid w:val="000707FE"/>
    <w:rsid w:val="00071727"/>
    <w:rsid w:val="00072FC1"/>
    <w:rsid w:val="00074D64"/>
    <w:rsid w:val="00075B66"/>
    <w:rsid w:val="00092B61"/>
    <w:rsid w:val="00092E41"/>
    <w:rsid w:val="00092F1B"/>
    <w:rsid w:val="00093440"/>
    <w:rsid w:val="0009418C"/>
    <w:rsid w:val="00094B08"/>
    <w:rsid w:val="000961B1"/>
    <w:rsid w:val="00097D16"/>
    <w:rsid w:val="000A1BD4"/>
    <w:rsid w:val="000A1E66"/>
    <w:rsid w:val="000A31CA"/>
    <w:rsid w:val="000A4298"/>
    <w:rsid w:val="000A52BC"/>
    <w:rsid w:val="000A5674"/>
    <w:rsid w:val="000A5E35"/>
    <w:rsid w:val="000A6603"/>
    <w:rsid w:val="000B3292"/>
    <w:rsid w:val="000B3318"/>
    <w:rsid w:val="000B37A6"/>
    <w:rsid w:val="000B4015"/>
    <w:rsid w:val="000B5883"/>
    <w:rsid w:val="000B68AD"/>
    <w:rsid w:val="000B73F1"/>
    <w:rsid w:val="000B7BFF"/>
    <w:rsid w:val="000C181C"/>
    <w:rsid w:val="000C1A5E"/>
    <w:rsid w:val="000C278F"/>
    <w:rsid w:val="000C2AE9"/>
    <w:rsid w:val="000C2DCA"/>
    <w:rsid w:val="000C3D9E"/>
    <w:rsid w:val="000C4456"/>
    <w:rsid w:val="000C52A8"/>
    <w:rsid w:val="000C5418"/>
    <w:rsid w:val="000C6ACA"/>
    <w:rsid w:val="000D0396"/>
    <w:rsid w:val="000D186C"/>
    <w:rsid w:val="000D4174"/>
    <w:rsid w:val="000D41B1"/>
    <w:rsid w:val="000D4920"/>
    <w:rsid w:val="000D4D1E"/>
    <w:rsid w:val="000D6D8A"/>
    <w:rsid w:val="000D7D27"/>
    <w:rsid w:val="000E0B25"/>
    <w:rsid w:val="000E0B99"/>
    <w:rsid w:val="000E1931"/>
    <w:rsid w:val="000E23D5"/>
    <w:rsid w:val="000E2AE3"/>
    <w:rsid w:val="000E3063"/>
    <w:rsid w:val="000E5F25"/>
    <w:rsid w:val="000F093E"/>
    <w:rsid w:val="000F43C1"/>
    <w:rsid w:val="000F46BB"/>
    <w:rsid w:val="000F49FC"/>
    <w:rsid w:val="000F56AA"/>
    <w:rsid w:val="000F59E6"/>
    <w:rsid w:val="000F5E13"/>
    <w:rsid w:val="000F71DD"/>
    <w:rsid w:val="00101A7C"/>
    <w:rsid w:val="0010284D"/>
    <w:rsid w:val="00104887"/>
    <w:rsid w:val="00105E0F"/>
    <w:rsid w:val="00106901"/>
    <w:rsid w:val="00106D66"/>
    <w:rsid w:val="001103B1"/>
    <w:rsid w:val="001105DB"/>
    <w:rsid w:val="00110EAE"/>
    <w:rsid w:val="00111411"/>
    <w:rsid w:val="00112C16"/>
    <w:rsid w:val="0011357C"/>
    <w:rsid w:val="0011390A"/>
    <w:rsid w:val="00113C9F"/>
    <w:rsid w:val="0011636C"/>
    <w:rsid w:val="0011718F"/>
    <w:rsid w:val="001228E7"/>
    <w:rsid w:val="00122A63"/>
    <w:rsid w:val="00123732"/>
    <w:rsid w:val="00126FDC"/>
    <w:rsid w:val="00130B24"/>
    <w:rsid w:val="00130B59"/>
    <w:rsid w:val="001314E6"/>
    <w:rsid w:val="00133FC9"/>
    <w:rsid w:val="0013446C"/>
    <w:rsid w:val="001364A1"/>
    <w:rsid w:val="00137553"/>
    <w:rsid w:val="001404AC"/>
    <w:rsid w:val="00140571"/>
    <w:rsid w:val="00140B5B"/>
    <w:rsid w:val="00140CBE"/>
    <w:rsid w:val="001410EC"/>
    <w:rsid w:val="00141CB2"/>
    <w:rsid w:val="001429C6"/>
    <w:rsid w:val="001430D9"/>
    <w:rsid w:val="00144453"/>
    <w:rsid w:val="0014782B"/>
    <w:rsid w:val="00147B25"/>
    <w:rsid w:val="0015058B"/>
    <w:rsid w:val="0015182D"/>
    <w:rsid w:val="00151B79"/>
    <w:rsid w:val="00152E0F"/>
    <w:rsid w:val="00153D3C"/>
    <w:rsid w:val="00154565"/>
    <w:rsid w:val="00155B08"/>
    <w:rsid w:val="00155C60"/>
    <w:rsid w:val="00160500"/>
    <w:rsid w:val="0016090F"/>
    <w:rsid w:val="001618B0"/>
    <w:rsid w:val="00162793"/>
    <w:rsid w:val="00162CFD"/>
    <w:rsid w:val="00163320"/>
    <w:rsid w:val="001642F7"/>
    <w:rsid w:val="00164555"/>
    <w:rsid w:val="001657BB"/>
    <w:rsid w:val="00165D50"/>
    <w:rsid w:val="001663CC"/>
    <w:rsid w:val="0016CE55"/>
    <w:rsid w:val="001709E5"/>
    <w:rsid w:val="0017136D"/>
    <w:rsid w:val="00172F51"/>
    <w:rsid w:val="0017383B"/>
    <w:rsid w:val="00173A7B"/>
    <w:rsid w:val="0017424D"/>
    <w:rsid w:val="00174406"/>
    <w:rsid w:val="00174CA1"/>
    <w:rsid w:val="00175F05"/>
    <w:rsid w:val="00176F90"/>
    <w:rsid w:val="00177747"/>
    <w:rsid w:val="00181D60"/>
    <w:rsid w:val="0018240F"/>
    <w:rsid w:val="00182B20"/>
    <w:rsid w:val="00182B60"/>
    <w:rsid w:val="00182BF2"/>
    <w:rsid w:val="00186BB2"/>
    <w:rsid w:val="0018754A"/>
    <w:rsid w:val="0019029D"/>
    <w:rsid w:val="001905B6"/>
    <w:rsid w:val="001908CD"/>
    <w:rsid w:val="0019137B"/>
    <w:rsid w:val="00192877"/>
    <w:rsid w:val="00192AF1"/>
    <w:rsid w:val="0019375C"/>
    <w:rsid w:val="00194973"/>
    <w:rsid w:val="0019544D"/>
    <w:rsid w:val="00195800"/>
    <w:rsid w:val="00196247"/>
    <w:rsid w:val="00196A03"/>
    <w:rsid w:val="00197EF0"/>
    <w:rsid w:val="001A2F6F"/>
    <w:rsid w:val="001A34B9"/>
    <w:rsid w:val="001A4660"/>
    <w:rsid w:val="001A46EB"/>
    <w:rsid w:val="001A4C9E"/>
    <w:rsid w:val="001A5F6D"/>
    <w:rsid w:val="001B0D92"/>
    <w:rsid w:val="001B0E4B"/>
    <w:rsid w:val="001B18B8"/>
    <w:rsid w:val="001B5ADA"/>
    <w:rsid w:val="001B6838"/>
    <w:rsid w:val="001B7E5E"/>
    <w:rsid w:val="001C05FD"/>
    <w:rsid w:val="001C0C4E"/>
    <w:rsid w:val="001C3C2C"/>
    <w:rsid w:val="001C5335"/>
    <w:rsid w:val="001C564E"/>
    <w:rsid w:val="001C5DA2"/>
    <w:rsid w:val="001C6750"/>
    <w:rsid w:val="001C6E90"/>
    <w:rsid w:val="001C9B45"/>
    <w:rsid w:val="001D037B"/>
    <w:rsid w:val="001D08DA"/>
    <w:rsid w:val="001D3511"/>
    <w:rsid w:val="001D36F6"/>
    <w:rsid w:val="001D3D34"/>
    <w:rsid w:val="001D4583"/>
    <w:rsid w:val="001D4FD2"/>
    <w:rsid w:val="001D58E1"/>
    <w:rsid w:val="001D59C7"/>
    <w:rsid w:val="001D7A08"/>
    <w:rsid w:val="001E0E77"/>
    <w:rsid w:val="001E0F62"/>
    <w:rsid w:val="001E0FBA"/>
    <w:rsid w:val="001E13AA"/>
    <w:rsid w:val="001E1841"/>
    <w:rsid w:val="001E18C5"/>
    <w:rsid w:val="001E1C2B"/>
    <w:rsid w:val="001E2EF4"/>
    <w:rsid w:val="001E37F5"/>
    <w:rsid w:val="001E3EB6"/>
    <w:rsid w:val="001E4725"/>
    <w:rsid w:val="001E519F"/>
    <w:rsid w:val="001E52A6"/>
    <w:rsid w:val="001E5727"/>
    <w:rsid w:val="001E5BC8"/>
    <w:rsid w:val="001E69CB"/>
    <w:rsid w:val="001F1B62"/>
    <w:rsid w:val="001F2B2D"/>
    <w:rsid w:val="001F4606"/>
    <w:rsid w:val="001F4A6C"/>
    <w:rsid w:val="001F5563"/>
    <w:rsid w:val="001F6E91"/>
    <w:rsid w:val="00200662"/>
    <w:rsid w:val="00200A34"/>
    <w:rsid w:val="00201666"/>
    <w:rsid w:val="00201A9F"/>
    <w:rsid w:val="00202FD8"/>
    <w:rsid w:val="002042BE"/>
    <w:rsid w:val="00204FCD"/>
    <w:rsid w:val="0020568A"/>
    <w:rsid w:val="00205ABE"/>
    <w:rsid w:val="00205D6F"/>
    <w:rsid w:val="0020679E"/>
    <w:rsid w:val="00206994"/>
    <w:rsid w:val="0021033B"/>
    <w:rsid w:val="002114AD"/>
    <w:rsid w:val="002119D1"/>
    <w:rsid w:val="002131BA"/>
    <w:rsid w:val="002133D6"/>
    <w:rsid w:val="0021444D"/>
    <w:rsid w:val="00217281"/>
    <w:rsid w:val="00220897"/>
    <w:rsid w:val="00221E08"/>
    <w:rsid w:val="00221E61"/>
    <w:rsid w:val="0022220A"/>
    <w:rsid w:val="00224E10"/>
    <w:rsid w:val="00224F31"/>
    <w:rsid w:val="00225851"/>
    <w:rsid w:val="002262A1"/>
    <w:rsid w:val="00227762"/>
    <w:rsid w:val="00227A85"/>
    <w:rsid w:val="00227BB3"/>
    <w:rsid w:val="002337B8"/>
    <w:rsid w:val="00237AD1"/>
    <w:rsid w:val="00237B33"/>
    <w:rsid w:val="00237ED8"/>
    <w:rsid w:val="002419DC"/>
    <w:rsid w:val="00243D66"/>
    <w:rsid w:val="002440DB"/>
    <w:rsid w:val="00245703"/>
    <w:rsid w:val="00245E3C"/>
    <w:rsid w:val="00245E46"/>
    <w:rsid w:val="00246E2D"/>
    <w:rsid w:val="002471FF"/>
    <w:rsid w:val="002508C0"/>
    <w:rsid w:val="00250B23"/>
    <w:rsid w:val="00250FEF"/>
    <w:rsid w:val="00251430"/>
    <w:rsid w:val="00251449"/>
    <w:rsid w:val="00251943"/>
    <w:rsid w:val="00252FA2"/>
    <w:rsid w:val="00253C82"/>
    <w:rsid w:val="00254105"/>
    <w:rsid w:val="0025459C"/>
    <w:rsid w:val="0025490E"/>
    <w:rsid w:val="00255BC7"/>
    <w:rsid w:val="0025609A"/>
    <w:rsid w:val="00257F64"/>
    <w:rsid w:val="002601D0"/>
    <w:rsid w:val="002603C1"/>
    <w:rsid w:val="002608DD"/>
    <w:rsid w:val="0026145D"/>
    <w:rsid w:val="00261E86"/>
    <w:rsid w:val="00262A27"/>
    <w:rsid w:val="0026343D"/>
    <w:rsid w:val="002635EC"/>
    <w:rsid w:val="00265CB2"/>
    <w:rsid w:val="00265FFE"/>
    <w:rsid w:val="00272C41"/>
    <w:rsid w:val="00274544"/>
    <w:rsid w:val="00274B5B"/>
    <w:rsid w:val="00275492"/>
    <w:rsid w:val="00276857"/>
    <w:rsid w:val="00277E1C"/>
    <w:rsid w:val="002802A3"/>
    <w:rsid w:val="0028135B"/>
    <w:rsid w:val="002816CF"/>
    <w:rsid w:val="00281813"/>
    <w:rsid w:val="00283FA7"/>
    <w:rsid w:val="0028419D"/>
    <w:rsid w:val="002852B8"/>
    <w:rsid w:val="00286E9C"/>
    <w:rsid w:val="002915A3"/>
    <w:rsid w:val="0029224D"/>
    <w:rsid w:val="002925F6"/>
    <w:rsid w:val="00293500"/>
    <w:rsid w:val="00293574"/>
    <w:rsid w:val="0029357F"/>
    <w:rsid w:val="0029473B"/>
    <w:rsid w:val="00294EB4"/>
    <w:rsid w:val="002A2A80"/>
    <w:rsid w:val="002A55FA"/>
    <w:rsid w:val="002B100E"/>
    <w:rsid w:val="002B1316"/>
    <w:rsid w:val="002B27AD"/>
    <w:rsid w:val="002B4273"/>
    <w:rsid w:val="002B4997"/>
    <w:rsid w:val="002B4B70"/>
    <w:rsid w:val="002B4DCD"/>
    <w:rsid w:val="002B651A"/>
    <w:rsid w:val="002B68D2"/>
    <w:rsid w:val="002B720E"/>
    <w:rsid w:val="002C008A"/>
    <w:rsid w:val="002C00FC"/>
    <w:rsid w:val="002C0F23"/>
    <w:rsid w:val="002C33CD"/>
    <w:rsid w:val="002C3CEA"/>
    <w:rsid w:val="002C5598"/>
    <w:rsid w:val="002C60E5"/>
    <w:rsid w:val="002C6CD5"/>
    <w:rsid w:val="002C6F04"/>
    <w:rsid w:val="002C6FFD"/>
    <w:rsid w:val="002C7492"/>
    <w:rsid w:val="002C792E"/>
    <w:rsid w:val="002D1949"/>
    <w:rsid w:val="002D3160"/>
    <w:rsid w:val="002D6B10"/>
    <w:rsid w:val="002E0CC3"/>
    <w:rsid w:val="002E2181"/>
    <w:rsid w:val="002E265D"/>
    <w:rsid w:val="002E32CC"/>
    <w:rsid w:val="002E6D75"/>
    <w:rsid w:val="002E7763"/>
    <w:rsid w:val="002E7C76"/>
    <w:rsid w:val="002F29AA"/>
    <w:rsid w:val="002F3899"/>
    <w:rsid w:val="002F4623"/>
    <w:rsid w:val="002F4E5C"/>
    <w:rsid w:val="002F7972"/>
    <w:rsid w:val="002F7DDD"/>
    <w:rsid w:val="00300B8C"/>
    <w:rsid w:val="00300ECE"/>
    <w:rsid w:val="00301BA2"/>
    <w:rsid w:val="00302AC6"/>
    <w:rsid w:val="00302D39"/>
    <w:rsid w:val="00304499"/>
    <w:rsid w:val="00304987"/>
    <w:rsid w:val="00304A9B"/>
    <w:rsid w:val="003069F5"/>
    <w:rsid w:val="00312C6D"/>
    <w:rsid w:val="00315D33"/>
    <w:rsid w:val="00316499"/>
    <w:rsid w:val="00317EB7"/>
    <w:rsid w:val="0032113E"/>
    <w:rsid w:val="00322DEE"/>
    <w:rsid w:val="0032337E"/>
    <w:rsid w:val="00323753"/>
    <w:rsid w:val="00323C35"/>
    <w:rsid w:val="003255F2"/>
    <w:rsid w:val="00325E20"/>
    <w:rsid w:val="00326ABB"/>
    <w:rsid w:val="00327117"/>
    <w:rsid w:val="0033068E"/>
    <w:rsid w:val="0033075F"/>
    <w:rsid w:val="003341FE"/>
    <w:rsid w:val="00335DDA"/>
    <w:rsid w:val="003369D0"/>
    <w:rsid w:val="00337486"/>
    <w:rsid w:val="00337789"/>
    <w:rsid w:val="003405A0"/>
    <w:rsid w:val="00340A67"/>
    <w:rsid w:val="0034164C"/>
    <w:rsid w:val="003429E0"/>
    <w:rsid w:val="00342A64"/>
    <w:rsid w:val="00343F92"/>
    <w:rsid w:val="0034521A"/>
    <w:rsid w:val="00346410"/>
    <w:rsid w:val="00346475"/>
    <w:rsid w:val="003467CE"/>
    <w:rsid w:val="0035066C"/>
    <w:rsid w:val="003517E9"/>
    <w:rsid w:val="00351AC7"/>
    <w:rsid w:val="0035247F"/>
    <w:rsid w:val="00352B70"/>
    <w:rsid w:val="00354168"/>
    <w:rsid w:val="003543BD"/>
    <w:rsid w:val="00354ED8"/>
    <w:rsid w:val="00355340"/>
    <w:rsid w:val="00355BE2"/>
    <w:rsid w:val="00355DCE"/>
    <w:rsid w:val="0035641C"/>
    <w:rsid w:val="003564AE"/>
    <w:rsid w:val="00360FBE"/>
    <w:rsid w:val="00361C1A"/>
    <w:rsid w:val="00361E05"/>
    <w:rsid w:val="00361E3C"/>
    <w:rsid w:val="003641AD"/>
    <w:rsid w:val="00364B94"/>
    <w:rsid w:val="00366DDC"/>
    <w:rsid w:val="003670B1"/>
    <w:rsid w:val="00367498"/>
    <w:rsid w:val="00367727"/>
    <w:rsid w:val="00367B22"/>
    <w:rsid w:val="00370172"/>
    <w:rsid w:val="00371E15"/>
    <w:rsid w:val="00371F34"/>
    <w:rsid w:val="00373A17"/>
    <w:rsid w:val="00373A55"/>
    <w:rsid w:val="00374274"/>
    <w:rsid w:val="00374BEC"/>
    <w:rsid w:val="003775CA"/>
    <w:rsid w:val="00377C5C"/>
    <w:rsid w:val="00380038"/>
    <w:rsid w:val="00380D19"/>
    <w:rsid w:val="0038154D"/>
    <w:rsid w:val="003819C3"/>
    <w:rsid w:val="00382921"/>
    <w:rsid w:val="00382A0F"/>
    <w:rsid w:val="00382AB3"/>
    <w:rsid w:val="00382EB9"/>
    <w:rsid w:val="003831E3"/>
    <w:rsid w:val="003848ED"/>
    <w:rsid w:val="00386A6A"/>
    <w:rsid w:val="00390001"/>
    <w:rsid w:val="0039415B"/>
    <w:rsid w:val="003967B3"/>
    <w:rsid w:val="00397C91"/>
    <w:rsid w:val="003A0F3B"/>
    <w:rsid w:val="003A137B"/>
    <w:rsid w:val="003A1AEE"/>
    <w:rsid w:val="003A237A"/>
    <w:rsid w:val="003A324D"/>
    <w:rsid w:val="003A53FD"/>
    <w:rsid w:val="003A6E2A"/>
    <w:rsid w:val="003B125F"/>
    <w:rsid w:val="003B20ED"/>
    <w:rsid w:val="003B24A5"/>
    <w:rsid w:val="003B3559"/>
    <w:rsid w:val="003B4CCF"/>
    <w:rsid w:val="003B4E67"/>
    <w:rsid w:val="003B55FD"/>
    <w:rsid w:val="003C035B"/>
    <w:rsid w:val="003C05B1"/>
    <w:rsid w:val="003C235C"/>
    <w:rsid w:val="003C31A5"/>
    <w:rsid w:val="003C31CB"/>
    <w:rsid w:val="003C3255"/>
    <w:rsid w:val="003C4E09"/>
    <w:rsid w:val="003C6483"/>
    <w:rsid w:val="003C7D9D"/>
    <w:rsid w:val="003D15A9"/>
    <w:rsid w:val="003D317F"/>
    <w:rsid w:val="003D4136"/>
    <w:rsid w:val="003D4289"/>
    <w:rsid w:val="003D4D4D"/>
    <w:rsid w:val="003D7E26"/>
    <w:rsid w:val="003E084F"/>
    <w:rsid w:val="003E087E"/>
    <w:rsid w:val="003E2AD1"/>
    <w:rsid w:val="003E64EE"/>
    <w:rsid w:val="003F1429"/>
    <w:rsid w:val="003F2A2C"/>
    <w:rsid w:val="003F4754"/>
    <w:rsid w:val="003F4FC7"/>
    <w:rsid w:val="003F5492"/>
    <w:rsid w:val="003F6334"/>
    <w:rsid w:val="003F6380"/>
    <w:rsid w:val="003F69F4"/>
    <w:rsid w:val="003F6E6E"/>
    <w:rsid w:val="003F7072"/>
    <w:rsid w:val="004001F6"/>
    <w:rsid w:val="00402C81"/>
    <w:rsid w:val="00402E6E"/>
    <w:rsid w:val="00404177"/>
    <w:rsid w:val="00405424"/>
    <w:rsid w:val="004065B2"/>
    <w:rsid w:val="00406A3B"/>
    <w:rsid w:val="00407794"/>
    <w:rsid w:val="00407B79"/>
    <w:rsid w:val="00407BC7"/>
    <w:rsid w:val="00407F57"/>
    <w:rsid w:val="0041120D"/>
    <w:rsid w:val="004113CB"/>
    <w:rsid w:val="00412BF3"/>
    <w:rsid w:val="00412EF2"/>
    <w:rsid w:val="004131A1"/>
    <w:rsid w:val="00413DCF"/>
    <w:rsid w:val="004144D2"/>
    <w:rsid w:val="00414623"/>
    <w:rsid w:val="004147DB"/>
    <w:rsid w:val="00415C2A"/>
    <w:rsid w:val="00415E00"/>
    <w:rsid w:val="0041626A"/>
    <w:rsid w:val="0041674E"/>
    <w:rsid w:val="0041683D"/>
    <w:rsid w:val="00420DCA"/>
    <w:rsid w:val="00420F42"/>
    <w:rsid w:val="00421714"/>
    <w:rsid w:val="0042333C"/>
    <w:rsid w:val="0042532D"/>
    <w:rsid w:val="00426FE7"/>
    <w:rsid w:val="00430497"/>
    <w:rsid w:val="00431214"/>
    <w:rsid w:val="0043141F"/>
    <w:rsid w:val="00435077"/>
    <w:rsid w:val="00435980"/>
    <w:rsid w:val="00435CDB"/>
    <w:rsid w:val="004364C8"/>
    <w:rsid w:val="00436B44"/>
    <w:rsid w:val="00441D56"/>
    <w:rsid w:val="004429D5"/>
    <w:rsid w:val="0044364E"/>
    <w:rsid w:val="00445336"/>
    <w:rsid w:val="00445EEB"/>
    <w:rsid w:val="00446C38"/>
    <w:rsid w:val="00447B39"/>
    <w:rsid w:val="00447F8E"/>
    <w:rsid w:val="00450934"/>
    <w:rsid w:val="00450BF8"/>
    <w:rsid w:val="00451D10"/>
    <w:rsid w:val="00452215"/>
    <w:rsid w:val="00452E0E"/>
    <w:rsid w:val="00452F3A"/>
    <w:rsid w:val="00454A44"/>
    <w:rsid w:val="00455288"/>
    <w:rsid w:val="0045546A"/>
    <w:rsid w:val="00455493"/>
    <w:rsid w:val="0045558B"/>
    <w:rsid w:val="00457526"/>
    <w:rsid w:val="00457D10"/>
    <w:rsid w:val="00457E48"/>
    <w:rsid w:val="0046241A"/>
    <w:rsid w:val="00462485"/>
    <w:rsid w:val="00464E97"/>
    <w:rsid w:val="00465FD4"/>
    <w:rsid w:val="00466300"/>
    <w:rsid w:val="004675D7"/>
    <w:rsid w:val="004721C3"/>
    <w:rsid w:val="0047325F"/>
    <w:rsid w:val="00474FF4"/>
    <w:rsid w:val="0047541C"/>
    <w:rsid w:val="0047652E"/>
    <w:rsid w:val="0047766B"/>
    <w:rsid w:val="00477BA7"/>
    <w:rsid w:val="00481D02"/>
    <w:rsid w:val="00481F59"/>
    <w:rsid w:val="0048206B"/>
    <w:rsid w:val="00483105"/>
    <w:rsid w:val="0048362E"/>
    <w:rsid w:val="00483826"/>
    <w:rsid w:val="00484E4C"/>
    <w:rsid w:val="00485A20"/>
    <w:rsid w:val="00490E6F"/>
    <w:rsid w:val="00492D87"/>
    <w:rsid w:val="00492E72"/>
    <w:rsid w:val="00493D53"/>
    <w:rsid w:val="00493FCE"/>
    <w:rsid w:val="00494115"/>
    <w:rsid w:val="00494FF2"/>
    <w:rsid w:val="0049628A"/>
    <w:rsid w:val="00496E3A"/>
    <w:rsid w:val="004971D5"/>
    <w:rsid w:val="00497476"/>
    <w:rsid w:val="00497A09"/>
    <w:rsid w:val="004A1226"/>
    <w:rsid w:val="004A4A84"/>
    <w:rsid w:val="004A51BB"/>
    <w:rsid w:val="004A5EDC"/>
    <w:rsid w:val="004A62ED"/>
    <w:rsid w:val="004A6DF6"/>
    <w:rsid w:val="004A7597"/>
    <w:rsid w:val="004B098A"/>
    <w:rsid w:val="004B09E6"/>
    <w:rsid w:val="004B1277"/>
    <w:rsid w:val="004B15B0"/>
    <w:rsid w:val="004B230B"/>
    <w:rsid w:val="004B3A77"/>
    <w:rsid w:val="004B465E"/>
    <w:rsid w:val="004B49D5"/>
    <w:rsid w:val="004B4A45"/>
    <w:rsid w:val="004B7542"/>
    <w:rsid w:val="004B76D2"/>
    <w:rsid w:val="004B77F8"/>
    <w:rsid w:val="004B7AF0"/>
    <w:rsid w:val="004C037B"/>
    <w:rsid w:val="004C0670"/>
    <w:rsid w:val="004C0795"/>
    <w:rsid w:val="004C11CE"/>
    <w:rsid w:val="004C1316"/>
    <w:rsid w:val="004C17A6"/>
    <w:rsid w:val="004C180E"/>
    <w:rsid w:val="004C3406"/>
    <w:rsid w:val="004C4AC6"/>
    <w:rsid w:val="004C5ADC"/>
    <w:rsid w:val="004C6424"/>
    <w:rsid w:val="004C6A5C"/>
    <w:rsid w:val="004D0208"/>
    <w:rsid w:val="004D0376"/>
    <w:rsid w:val="004D0C4E"/>
    <w:rsid w:val="004D1F68"/>
    <w:rsid w:val="004D27A2"/>
    <w:rsid w:val="004D3E36"/>
    <w:rsid w:val="004D4861"/>
    <w:rsid w:val="004D53C8"/>
    <w:rsid w:val="004D61BA"/>
    <w:rsid w:val="004D61DC"/>
    <w:rsid w:val="004D68C9"/>
    <w:rsid w:val="004D6C37"/>
    <w:rsid w:val="004D7020"/>
    <w:rsid w:val="004D7CA2"/>
    <w:rsid w:val="004D7E2C"/>
    <w:rsid w:val="004E0BF5"/>
    <w:rsid w:val="004E1F4D"/>
    <w:rsid w:val="004E3E18"/>
    <w:rsid w:val="004E5DD8"/>
    <w:rsid w:val="004F174B"/>
    <w:rsid w:val="004F18C1"/>
    <w:rsid w:val="004F2630"/>
    <w:rsid w:val="004F2FB6"/>
    <w:rsid w:val="004F37AC"/>
    <w:rsid w:val="004F4028"/>
    <w:rsid w:val="004F6A1B"/>
    <w:rsid w:val="004F7B63"/>
    <w:rsid w:val="00501333"/>
    <w:rsid w:val="005038FB"/>
    <w:rsid w:val="00503E8E"/>
    <w:rsid w:val="005048CA"/>
    <w:rsid w:val="00504A8C"/>
    <w:rsid w:val="005109CB"/>
    <w:rsid w:val="00510E66"/>
    <w:rsid w:val="00510F3A"/>
    <w:rsid w:val="00513F99"/>
    <w:rsid w:val="00514E99"/>
    <w:rsid w:val="0051508B"/>
    <w:rsid w:val="00515300"/>
    <w:rsid w:val="00516AC1"/>
    <w:rsid w:val="005232EF"/>
    <w:rsid w:val="0052516C"/>
    <w:rsid w:val="00525322"/>
    <w:rsid w:val="00525DB2"/>
    <w:rsid w:val="00526778"/>
    <w:rsid w:val="00526C1D"/>
    <w:rsid w:val="00526CB6"/>
    <w:rsid w:val="005312E1"/>
    <w:rsid w:val="0053235C"/>
    <w:rsid w:val="00532F2A"/>
    <w:rsid w:val="00533455"/>
    <w:rsid w:val="0053537E"/>
    <w:rsid w:val="005362A9"/>
    <w:rsid w:val="00537E31"/>
    <w:rsid w:val="0054045F"/>
    <w:rsid w:val="00540E2F"/>
    <w:rsid w:val="00541F0D"/>
    <w:rsid w:val="00542680"/>
    <w:rsid w:val="00544018"/>
    <w:rsid w:val="0054438B"/>
    <w:rsid w:val="00544496"/>
    <w:rsid w:val="00544685"/>
    <w:rsid w:val="00545B87"/>
    <w:rsid w:val="005462C4"/>
    <w:rsid w:val="0054730D"/>
    <w:rsid w:val="005477D5"/>
    <w:rsid w:val="0055009A"/>
    <w:rsid w:val="005507EB"/>
    <w:rsid w:val="00550C3F"/>
    <w:rsid w:val="005518BF"/>
    <w:rsid w:val="005524E8"/>
    <w:rsid w:val="00553199"/>
    <w:rsid w:val="00553486"/>
    <w:rsid w:val="00553915"/>
    <w:rsid w:val="005539E0"/>
    <w:rsid w:val="00554735"/>
    <w:rsid w:val="00554F9E"/>
    <w:rsid w:val="00556B79"/>
    <w:rsid w:val="00557129"/>
    <w:rsid w:val="005600D6"/>
    <w:rsid w:val="00560A01"/>
    <w:rsid w:val="0056268B"/>
    <w:rsid w:val="0056633F"/>
    <w:rsid w:val="00566B2D"/>
    <w:rsid w:val="00567A05"/>
    <w:rsid w:val="00567B3C"/>
    <w:rsid w:val="00570337"/>
    <w:rsid w:val="0057149D"/>
    <w:rsid w:val="00572E3F"/>
    <w:rsid w:val="00573431"/>
    <w:rsid w:val="0057787F"/>
    <w:rsid w:val="00580120"/>
    <w:rsid w:val="00580F01"/>
    <w:rsid w:val="00581EC3"/>
    <w:rsid w:val="005833F2"/>
    <w:rsid w:val="00583891"/>
    <w:rsid w:val="00583996"/>
    <w:rsid w:val="00583B93"/>
    <w:rsid w:val="00585095"/>
    <w:rsid w:val="005850DB"/>
    <w:rsid w:val="00585D38"/>
    <w:rsid w:val="00586660"/>
    <w:rsid w:val="00590C0D"/>
    <w:rsid w:val="00590C24"/>
    <w:rsid w:val="00590CA5"/>
    <w:rsid w:val="00592BF6"/>
    <w:rsid w:val="00592EC1"/>
    <w:rsid w:val="00593CF0"/>
    <w:rsid w:val="00593F50"/>
    <w:rsid w:val="005948DF"/>
    <w:rsid w:val="0059540C"/>
    <w:rsid w:val="0059715F"/>
    <w:rsid w:val="005A0CA0"/>
    <w:rsid w:val="005A3FEE"/>
    <w:rsid w:val="005A5B41"/>
    <w:rsid w:val="005A6B4C"/>
    <w:rsid w:val="005A7522"/>
    <w:rsid w:val="005A7EE5"/>
    <w:rsid w:val="005B0111"/>
    <w:rsid w:val="005B07DD"/>
    <w:rsid w:val="005B0D72"/>
    <w:rsid w:val="005B0FE5"/>
    <w:rsid w:val="005B1935"/>
    <w:rsid w:val="005B29A5"/>
    <w:rsid w:val="005B53CF"/>
    <w:rsid w:val="005B6880"/>
    <w:rsid w:val="005C0A83"/>
    <w:rsid w:val="005C0ABA"/>
    <w:rsid w:val="005C0EC1"/>
    <w:rsid w:val="005C11DB"/>
    <w:rsid w:val="005C1809"/>
    <w:rsid w:val="005C26ED"/>
    <w:rsid w:val="005C36A8"/>
    <w:rsid w:val="005C3B65"/>
    <w:rsid w:val="005C4C73"/>
    <w:rsid w:val="005C51F4"/>
    <w:rsid w:val="005C6A03"/>
    <w:rsid w:val="005C6E81"/>
    <w:rsid w:val="005C743D"/>
    <w:rsid w:val="005D07D4"/>
    <w:rsid w:val="005D0D57"/>
    <w:rsid w:val="005D30B3"/>
    <w:rsid w:val="005D36CE"/>
    <w:rsid w:val="005D5178"/>
    <w:rsid w:val="005E0A1C"/>
    <w:rsid w:val="005E2D74"/>
    <w:rsid w:val="005E2DC2"/>
    <w:rsid w:val="005E4342"/>
    <w:rsid w:val="005E4402"/>
    <w:rsid w:val="005E4E9D"/>
    <w:rsid w:val="005E56BF"/>
    <w:rsid w:val="005E7D28"/>
    <w:rsid w:val="005F053B"/>
    <w:rsid w:val="005F1656"/>
    <w:rsid w:val="005F1692"/>
    <w:rsid w:val="005F1A5F"/>
    <w:rsid w:val="005F34E8"/>
    <w:rsid w:val="005F5214"/>
    <w:rsid w:val="005F5A21"/>
    <w:rsid w:val="005F663F"/>
    <w:rsid w:val="005F71B9"/>
    <w:rsid w:val="006024EA"/>
    <w:rsid w:val="0060426C"/>
    <w:rsid w:val="00605217"/>
    <w:rsid w:val="00607829"/>
    <w:rsid w:val="00607B45"/>
    <w:rsid w:val="00610ED7"/>
    <w:rsid w:val="006112E3"/>
    <w:rsid w:val="0061203C"/>
    <w:rsid w:val="006137F2"/>
    <w:rsid w:val="006155B7"/>
    <w:rsid w:val="0061564A"/>
    <w:rsid w:val="0061651B"/>
    <w:rsid w:val="006201D6"/>
    <w:rsid w:val="006205BE"/>
    <w:rsid w:val="006209F9"/>
    <w:rsid w:val="00622F7C"/>
    <w:rsid w:val="006232FE"/>
    <w:rsid w:val="00623729"/>
    <w:rsid w:val="00626163"/>
    <w:rsid w:val="00626FA2"/>
    <w:rsid w:val="00627469"/>
    <w:rsid w:val="006309BA"/>
    <w:rsid w:val="00631FE8"/>
    <w:rsid w:val="006324EC"/>
    <w:rsid w:val="00632992"/>
    <w:rsid w:val="00632DD1"/>
    <w:rsid w:val="00633726"/>
    <w:rsid w:val="00633A2E"/>
    <w:rsid w:val="00634374"/>
    <w:rsid w:val="00640987"/>
    <w:rsid w:val="00640E7D"/>
    <w:rsid w:val="00642570"/>
    <w:rsid w:val="00642C4C"/>
    <w:rsid w:val="00645733"/>
    <w:rsid w:val="00645A2F"/>
    <w:rsid w:val="00645F45"/>
    <w:rsid w:val="00647B99"/>
    <w:rsid w:val="006521A2"/>
    <w:rsid w:val="00653A4E"/>
    <w:rsid w:val="00654B43"/>
    <w:rsid w:val="00655705"/>
    <w:rsid w:val="0065670B"/>
    <w:rsid w:val="00656C1B"/>
    <w:rsid w:val="00656CE7"/>
    <w:rsid w:val="00656E29"/>
    <w:rsid w:val="00657961"/>
    <w:rsid w:val="0066238B"/>
    <w:rsid w:val="00664211"/>
    <w:rsid w:val="00664E0B"/>
    <w:rsid w:val="00665271"/>
    <w:rsid w:val="006652E0"/>
    <w:rsid w:val="00667920"/>
    <w:rsid w:val="00667C68"/>
    <w:rsid w:val="00674902"/>
    <w:rsid w:val="00674EF1"/>
    <w:rsid w:val="0067597E"/>
    <w:rsid w:val="00675F4E"/>
    <w:rsid w:val="00675FEE"/>
    <w:rsid w:val="006823B9"/>
    <w:rsid w:val="006830BA"/>
    <w:rsid w:val="00683AFC"/>
    <w:rsid w:val="00683F8F"/>
    <w:rsid w:val="00684B4C"/>
    <w:rsid w:val="00684DE8"/>
    <w:rsid w:val="006861AE"/>
    <w:rsid w:val="00687404"/>
    <w:rsid w:val="006875E0"/>
    <w:rsid w:val="00690D71"/>
    <w:rsid w:val="006916F2"/>
    <w:rsid w:val="0069198F"/>
    <w:rsid w:val="00692F6D"/>
    <w:rsid w:val="00693BA0"/>
    <w:rsid w:val="006942F0"/>
    <w:rsid w:val="00695899"/>
    <w:rsid w:val="006972A1"/>
    <w:rsid w:val="00697DA0"/>
    <w:rsid w:val="006A0367"/>
    <w:rsid w:val="006A1664"/>
    <w:rsid w:val="006A2263"/>
    <w:rsid w:val="006A37DF"/>
    <w:rsid w:val="006A39A7"/>
    <w:rsid w:val="006A415F"/>
    <w:rsid w:val="006A48CB"/>
    <w:rsid w:val="006A4B97"/>
    <w:rsid w:val="006A5D9E"/>
    <w:rsid w:val="006A6138"/>
    <w:rsid w:val="006A6279"/>
    <w:rsid w:val="006A65C6"/>
    <w:rsid w:val="006A6B64"/>
    <w:rsid w:val="006A7771"/>
    <w:rsid w:val="006A793B"/>
    <w:rsid w:val="006B1737"/>
    <w:rsid w:val="006B1EDC"/>
    <w:rsid w:val="006B200F"/>
    <w:rsid w:val="006B2530"/>
    <w:rsid w:val="006B58D2"/>
    <w:rsid w:val="006B59DC"/>
    <w:rsid w:val="006B7555"/>
    <w:rsid w:val="006B7965"/>
    <w:rsid w:val="006C1F3B"/>
    <w:rsid w:val="006C361F"/>
    <w:rsid w:val="006C7462"/>
    <w:rsid w:val="006C74D4"/>
    <w:rsid w:val="006C7B0B"/>
    <w:rsid w:val="006D0751"/>
    <w:rsid w:val="006D1B4A"/>
    <w:rsid w:val="006D214B"/>
    <w:rsid w:val="006D4C0D"/>
    <w:rsid w:val="006D4F87"/>
    <w:rsid w:val="006D58B0"/>
    <w:rsid w:val="006D5BC8"/>
    <w:rsid w:val="006D643B"/>
    <w:rsid w:val="006E0322"/>
    <w:rsid w:val="006E112B"/>
    <w:rsid w:val="006E227E"/>
    <w:rsid w:val="006E34E8"/>
    <w:rsid w:val="006E38E6"/>
    <w:rsid w:val="006E3D5F"/>
    <w:rsid w:val="006E425C"/>
    <w:rsid w:val="006E4A13"/>
    <w:rsid w:val="006E51E4"/>
    <w:rsid w:val="006E61B7"/>
    <w:rsid w:val="006E7032"/>
    <w:rsid w:val="006E7EF4"/>
    <w:rsid w:val="006F0225"/>
    <w:rsid w:val="006F1A4D"/>
    <w:rsid w:val="006F2D39"/>
    <w:rsid w:val="006F36EE"/>
    <w:rsid w:val="006F40F5"/>
    <w:rsid w:val="006F57E9"/>
    <w:rsid w:val="00700A87"/>
    <w:rsid w:val="007011F2"/>
    <w:rsid w:val="00702F06"/>
    <w:rsid w:val="00703EB7"/>
    <w:rsid w:val="00704BDF"/>
    <w:rsid w:val="00704FDB"/>
    <w:rsid w:val="007063A0"/>
    <w:rsid w:val="007073DE"/>
    <w:rsid w:val="00707AC6"/>
    <w:rsid w:val="00707F23"/>
    <w:rsid w:val="0071068A"/>
    <w:rsid w:val="00711270"/>
    <w:rsid w:val="007119D2"/>
    <w:rsid w:val="00712376"/>
    <w:rsid w:val="00713315"/>
    <w:rsid w:val="007139F2"/>
    <w:rsid w:val="007156C9"/>
    <w:rsid w:val="00716418"/>
    <w:rsid w:val="00716524"/>
    <w:rsid w:val="00717827"/>
    <w:rsid w:val="007200DD"/>
    <w:rsid w:val="00720607"/>
    <w:rsid w:val="00722EC3"/>
    <w:rsid w:val="00723172"/>
    <w:rsid w:val="00724098"/>
    <w:rsid w:val="00724AD4"/>
    <w:rsid w:val="00725345"/>
    <w:rsid w:val="0072776E"/>
    <w:rsid w:val="0073007A"/>
    <w:rsid w:val="0073025B"/>
    <w:rsid w:val="00730C53"/>
    <w:rsid w:val="00731E05"/>
    <w:rsid w:val="00732398"/>
    <w:rsid w:val="00733942"/>
    <w:rsid w:val="00734869"/>
    <w:rsid w:val="00735A9E"/>
    <w:rsid w:val="0073604C"/>
    <w:rsid w:val="007360E2"/>
    <w:rsid w:val="007373FA"/>
    <w:rsid w:val="0074097F"/>
    <w:rsid w:val="007421A0"/>
    <w:rsid w:val="007421A3"/>
    <w:rsid w:val="007432DA"/>
    <w:rsid w:val="00746BE3"/>
    <w:rsid w:val="00746E15"/>
    <w:rsid w:val="00750505"/>
    <w:rsid w:val="00753219"/>
    <w:rsid w:val="00753684"/>
    <w:rsid w:val="007547AC"/>
    <w:rsid w:val="00754B8D"/>
    <w:rsid w:val="00754F80"/>
    <w:rsid w:val="0075589F"/>
    <w:rsid w:val="00755B46"/>
    <w:rsid w:val="00755D36"/>
    <w:rsid w:val="00756F62"/>
    <w:rsid w:val="00757822"/>
    <w:rsid w:val="007608F0"/>
    <w:rsid w:val="0076135C"/>
    <w:rsid w:val="00761AF2"/>
    <w:rsid w:val="0076327E"/>
    <w:rsid w:val="00765D53"/>
    <w:rsid w:val="00767B00"/>
    <w:rsid w:val="00767BA1"/>
    <w:rsid w:val="007702C4"/>
    <w:rsid w:val="007718CA"/>
    <w:rsid w:val="00771C31"/>
    <w:rsid w:val="00772C4D"/>
    <w:rsid w:val="0077383C"/>
    <w:rsid w:val="0077447F"/>
    <w:rsid w:val="0077755C"/>
    <w:rsid w:val="007779E4"/>
    <w:rsid w:val="007779E5"/>
    <w:rsid w:val="00780B51"/>
    <w:rsid w:val="00783197"/>
    <w:rsid w:val="007835E4"/>
    <w:rsid w:val="00784F80"/>
    <w:rsid w:val="007854FE"/>
    <w:rsid w:val="00785A38"/>
    <w:rsid w:val="00786FBA"/>
    <w:rsid w:val="00787303"/>
    <w:rsid w:val="007875EE"/>
    <w:rsid w:val="00792DB2"/>
    <w:rsid w:val="007939EA"/>
    <w:rsid w:val="0079636F"/>
    <w:rsid w:val="0079702C"/>
    <w:rsid w:val="0079770F"/>
    <w:rsid w:val="00797CA0"/>
    <w:rsid w:val="007A01B9"/>
    <w:rsid w:val="007A0271"/>
    <w:rsid w:val="007A07F2"/>
    <w:rsid w:val="007A0964"/>
    <w:rsid w:val="007A5561"/>
    <w:rsid w:val="007A6035"/>
    <w:rsid w:val="007A6432"/>
    <w:rsid w:val="007A6AEF"/>
    <w:rsid w:val="007A6BC6"/>
    <w:rsid w:val="007A6F31"/>
    <w:rsid w:val="007B147D"/>
    <w:rsid w:val="007B2343"/>
    <w:rsid w:val="007B2415"/>
    <w:rsid w:val="007B31D2"/>
    <w:rsid w:val="007B31D7"/>
    <w:rsid w:val="007B46A9"/>
    <w:rsid w:val="007B5B57"/>
    <w:rsid w:val="007B625E"/>
    <w:rsid w:val="007B6804"/>
    <w:rsid w:val="007B6C55"/>
    <w:rsid w:val="007C0ECF"/>
    <w:rsid w:val="007C1F5D"/>
    <w:rsid w:val="007C249C"/>
    <w:rsid w:val="007C26D6"/>
    <w:rsid w:val="007C415F"/>
    <w:rsid w:val="007C4AD9"/>
    <w:rsid w:val="007C6726"/>
    <w:rsid w:val="007C70C8"/>
    <w:rsid w:val="007C7EA8"/>
    <w:rsid w:val="007C7EE2"/>
    <w:rsid w:val="007D04B8"/>
    <w:rsid w:val="007D05FD"/>
    <w:rsid w:val="007D2DDA"/>
    <w:rsid w:val="007D2DED"/>
    <w:rsid w:val="007D369B"/>
    <w:rsid w:val="007D4625"/>
    <w:rsid w:val="007D4904"/>
    <w:rsid w:val="007D4D16"/>
    <w:rsid w:val="007D5A0B"/>
    <w:rsid w:val="007D626D"/>
    <w:rsid w:val="007D6498"/>
    <w:rsid w:val="007D66AB"/>
    <w:rsid w:val="007D7229"/>
    <w:rsid w:val="007D7F09"/>
    <w:rsid w:val="007E01DA"/>
    <w:rsid w:val="007E30E9"/>
    <w:rsid w:val="007E484F"/>
    <w:rsid w:val="007E4C20"/>
    <w:rsid w:val="007E559E"/>
    <w:rsid w:val="007E582B"/>
    <w:rsid w:val="007E6B34"/>
    <w:rsid w:val="007E7195"/>
    <w:rsid w:val="007E74C5"/>
    <w:rsid w:val="007E793D"/>
    <w:rsid w:val="007F171C"/>
    <w:rsid w:val="007F255C"/>
    <w:rsid w:val="007F2E51"/>
    <w:rsid w:val="007F2EE0"/>
    <w:rsid w:val="007F4A35"/>
    <w:rsid w:val="007F57F9"/>
    <w:rsid w:val="007F5FB7"/>
    <w:rsid w:val="007F6281"/>
    <w:rsid w:val="0080043C"/>
    <w:rsid w:val="0080046C"/>
    <w:rsid w:val="008012A6"/>
    <w:rsid w:val="00801E3C"/>
    <w:rsid w:val="00802119"/>
    <w:rsid w:val="008026F9"/>
    <w:rsid w:val="00802EC3"/>
    <w:rsid w:val="00803C34"/>
    <w:rsid w:val="008048A0"/>
    <w:rsid w:val="00804935"/>
    <w:rsid w:val="00805063"/>
    <w:rsid w:val="0080773E"/>
    <w:rsid w:val="008127E4"/>
    <w:rsid w:val="0081434C"/>
    <w:rsid w:val="00815A4D"/>
    <w:rsid w:val="00815AA5"/>
    <w:rsid w:val="00817028"/>
    <w:rsid w:val="00817EA0"/>
    <w:rsid w:val="00820AA2"/>
    <w:rsid w:val="00820FB8"/>
    <w:rsid w:val="00821699"/>
    <w:rsid w:val="0082211C"/>
    <w:rsid w:val="0082249E"/>
    <w:rsid w:val="008243A8"/>
    <w:rsid w:val="00824FC3"/>
    <w:rsid w:val="00825662"/>
    <w:rsid w:val="00826FFE"/>
    <w:rsid w:val="0082789F"/>
    <w:rsid w:val="0083094A"/>
    <w:rsid w:val="00830986"/>
    <w:rsid w:val="00830A7C"/>
    <w:rsid w:val="008320E7"/>
    <w:rsid w:val="00832228"/>
    <w:rsid w:val="0083566E"/>
    <w:rsid w:val="00835839"/>
    <w:rsid w:val="0083646E"/>
    <w:rsid w:val="0083701F"/>
    <w:rsid w:val="00837315"/>
    <w:rsid w:val="00837557"/>
    <w:rsid w:val="00837FB9"/>
    <w:rsid w:val="00840648"/>
    <w:rsid w:val="00840D7B"/>
    <w:rsid w:val="00845849"/>
    <w:rsid w:val="00845DA4"/>
    <w:rsid w:val="00851288"/>
    <w:rsid w:val="00852632"/>
    <w:rsid w:val="0085287D"/>
    <w:rsid w:val="00853FFF"/>
    <w:rsid w:val="00855792"/>
    <w:rsid w:val="00860C9D"/>
    <w:rsid w:val="00861112"/>
    <w:rsid w:val="0086269C"/>
    <w:rsid w:val="00863575"/>
    <w:rsid w:val="00863AA8"/>
    <w:rsid w:val="0086544E"/>
    <w:rsid w:val="00866413"/>
    <w:rsid w:val="00867D15"/>
    <w:rsid w:val="00871F48"/>
    <w:rsid w:val="00875DA9"/>
    <w:rsid w:val="00876A8C"/>
    <w:rsid w:val="00876C47"/>
    <w:rsid w:val="00881FF6"/>
    <w:rsid w:val="008846B6"/>
    <w:rsid w:val="008847C1"/>
    <w:rsid w:val="00885571"/>
    <w:rsid w:val="008866DE"/>
    <w:rsid w:val="0088697B"/>
    <w:rsid w:val="00886AC9"/>
    <w:rsid w:val="00886AEF"/>
    <w:rsid w:val="00886B9B"/>
    <w:rsid w:val="00887044"/>
    <w:rsid w:val="008900A4"/>
    <w:rsid w:val="008935ED"/>
    <w:rsid w:val="00894AF9"/>
    <w:rsid w:val="0089609C"/>
    <w:rsid w:val="0089619A"/>
    <w:rsid w:val="00896CE4"/>
    <w:rsid w:val="008A2CF9"/>
    <w:rsid w:val="008A55C0"/>
    <w:rsid w:val="008A61F1"/>
    <w:rsid w:val="008B0E22"/>
    <w:rsid w:val="008B2710"/>
    <w:rsid w:val="008B38F7"/>
    <w:rsid w:val="008B5093"/>
    <w:rsid w:val="008C019F"/>
    <w:rsid w:val="008C08E9"/>
    <w:rsid w:val="008C0A5F"/>
    <w:rsid w:val="008C1FD9"/>
    <w:rsid w:val="008C4404"/>
    <w:rsid w:val="008C4D19"/>
    <w:rsid w:val="008C4E1B"/>
    <w:rsid w:val="008C5146"/>
    <w:rsid w:val="008C6271"/>
    <w:rsid w:val="008C6285"/>
    <w:rsid w:val="008C734D"/>
    <w:rsid w:val="008D0F4E"/>
    <w:rsid w:val="008D1630"/>
    <w:rsid w:val="008D2648"/>
    <w:rsid w:val="008D2879"/>
    <w:rsid w:val="008D4FF6"/>
    <w:rsid w:val="008D525C"/>
    <w:rsid w:val="008D73E7"/>
    <w:rsid w:val="008E03EE"/>
    <w:rsid w:val="008E0A3D"/>
    <w:rsid w:val="008E6FB3"/>
    <w:rsid w:val="008F0024"/>
    <w:rsid w:val="008F0972"/>
    <w:rsid w:val="008F16F2"/>
    <w:rsid w:val="008F2A54"/>
    <w:rsid w:val="008F68FF"/>
    <w:rsid w:val="00900CCD"/>
    <w:rsid w:val="00903FDA"/>
    <w:rsid w:val="00905A5C"/>
    <w:rsid w:val="00911E4E"/>
    <w:rsid w:val="009127B0"/>
    <w:rsid w:val="009127EC"/>
    <w:rsid w:val="009135AD"/>
    <w:rsid w:val="0091418F"/>
    <w:rsid w:val="00914BB0"/>
    <w:rsid w:val="00915012"/>
    <w:rsid w:val="00915353"/>
    <w:rsid w:val="00915F37"/>
    <w:rsid w:val="00917414"/>
    <w:rsid w:val="00917428"/>
    <w:rsid w:val="00922042"/>
    <w:rsid w:val="00922ED6"/>
    <w:rsid w:val="00926436"/>
    <w:rsid w:val="00930171"/>
    <w:rsid w:val="00930D8C"/>
    <w:rsid w:val="0093255D"/>
    <w:rsid w:val="00933781"/>
    <w:rsid w:val="00933FD8"/>
    <w:rsid w:val="009341B1"/>
    <w:rsid w:val="00934FAE"/>
    <w:rsid w:val="0093508B"/>
    <w:rsid w:val="0093533D"/>
    <w:rsid w:val="00935ECE"/>
    <w:rsid w:val="00937F1A"/>
    <w:rsid w:val="009435DE"/>
    <w:rsid w:val="00944628"/>
    <w:rsid w:val="0094476A"/>
    <w:rsid w:val="00944942"/>
    <w:rsid w:val="00944B07"/>
    <w:rsid w:val="00944BD5"/>
    <w:rsid w:val="00944D42"/>
    <w:rsid w:val="009460D4"/>
    <w:rsid w:val="00950178"/>
    <w:rsid w:val="00952AB4"/>
    <w:rsid w:val="00952F1B"/>
    <w:rsid w:val="00953C6D"/>
    <w:rsid w:val="00954215"/>
    <w:rsid w:val="0095632D"/>
    <w:rsid w:val="0095633F"/>
    <w:rsid w:val="009600EC"/>
    <w:rsid w:val="00960704"/>
    <w:rsid w:val="00960D88"/>
    <w:rsid w:val="00961EEB"/>
    <w:rsid w:val="00962233"/>
    <w:rsid w:val="009625C2"/>
    <w:rsid w:val="00962EED"/>
    <w:rsid w:val="009645C7"/>
    <w:rsid w:val="0096523D"/>
    <w:rsid w:val="00965E80"/>
    <w:rsid w:val="0096645A"/>
    <w:rsid w:val="00970016"/>
    <w:rsid w:val="00971BC9"/>
    <w:rsid w:val="009721FA"/>
    <w:rsid w:val="00972377"/>
    <w:rsid w:val="00975448"/>
    <w:rsid w:val="0097603D"/>
    <w:rsid w:val="00976947"/>
    <w:rsid w:val="00976AA0"/>
    <w:rsid w:val="00980338"/>
    <w:rsid w:val="009818A2"/>
    <w:rsid w:val="0098276D"/>
    <w:rsid w:val="009836E6"/>
    <w:rsid w:val="00983F0F"/>
    <w:rsid w:val="009863EE"/>
    <w:rsid w:val="0098683C"/>
    <w:rsid w:val="00990038"/>
    <w:rsid w:val="009909F5"/>
    <w:rsid w:val="00992DC5"/>
    <w:rsid w:val="00993AE7"/>
    <w:rsid w:val="009943AA"/>
    <w:rsid w:val="00994A9B"/>
    <w:rsid w:val="00994F5B"/>
    <w:rsid w:val="00996147"/>
    <w:rsid w:val="009973ED"/>
    <w:rsid w:val="00997803"/>
    <w:rsid w:val="00997CA4"/>
    <w:rsid w:val="009A1087"/>
    <w:rsid w:val="009A1682"/>
    <w:rsid w:val="009A1957"/>
    <w:rsid w:val="009A1A29"/>
    <w:rsid w:val="009A209F"/>
    <w:rsid w:val="009A24F6"/>
    <w:rsid w:val="009A2AE1"/>
    <w:rsid w:val="009A448C"/>
    <w:rsid w:val="009A6561"/>
    <w:rsid w:val="009A6750"/>
    <w:rsid w:val="009A7CD9"/>
    <w:rsid w:val="009B0256"/>
    <w:rsid w:val="009B14A3"/>
    <w:rsid w:val="009B17CF"/>
    <w:rsid w:val="009B2765"/>
    <w:rsid w:val="009B2B36"/>
    <w:rsid w:val="009B2FCF"/>
    <w:rsid w:val="009B3AD6"/>
    <w:rsid w:val="009B3DAB"/>
    <w:rsid w:val="009B452D"/>
    <w:rsid w:val="009B5A6C"/>
    <w:rsid w:val="009B5F92"/>
    <w:rsid w:val="009B6615"/>
    <w:rsid w:val="009B68AD"/>
    <w:rsid w:val="009B6BBF"/>
    <w:rsid w:val="009B6E63"/>
    <w:rsid w:val="009B763E"/>
    <w:rsid w:val="009B7F2C"/>
    <w:rsid w:val="009C0705"/>
    <w:rsid w:val="009C143B"/>
    <w:rsid w:val="009C268D"/>
    <w:rsid w:val="009C37DB"/>
    <w:rsid w:val="009C398C"/>
    <w:rsid w:val="009C3C23"/>
    <w:rsid w:val="009C6A72"/>
    <w:rsid w:val="009D15D1"/>
    <w:rsid w:val="009D1C09"/>
    <w:rsid w:val="009D2456"/>
    <w:rsid w:val="009D5DF1"/>
    <w:rsid w:val="009D6E59"/>
    <w:rsid w:val="009E2243"/>
    <w:rsid w:val="009E291C"/>
    <w:rsid w:val="009E58AD"/>
    <w:rsid w:val="009F0EB6"/>
    <w:rsid w:val="009F137C"/>
    <w:rsid w:val="009F16FB"/>
    <w:rsid w:val="009F1CFC"/>
    <w:rsid w:val="009F1E0C"/>
    <w:rsid w:val="009F72A3"/>
    <w:rsid w:val="00A00C08"/>
    <w:rsid w:val="00A0277D"/>
    <w:rsid w:val="00A02B42"/>
    <w:rsid w:val="00A02F80"/>
    <w:rsid w:val="00A050E1"/>
    <w:rsid w:val="00A05170"/>
    <w:rsid w:val="00A05AC3"/>
    <w:rsid w:val="00A06812"/>
    <w:rsid w:val="00A06F23"/>
    <w:rsid w:val="00A06FE4"/>
    <w:rsid w:val="00A0753B"/>
    <w:rsid w:val="00A0763A"/>
    <w:rsid w:val="00A1155F"/>
    <w:rsid w:val="00A1194B"/>
    <w:rsid w:val="00A121D7"/>
    <w:rsid w:val="00A12B0F"/>
    <w:rsid w:val="00A142BF"/>
    <w:rsid w:val="00A14E21"/>
    <w:rsid w:val="00A155D7"/>
    <w:rsid w:val="00A16A73"/>
    <w:rsid w:val="00A20783"/>
    <w:rsid w:val="00A208A2"/>
    <w:rsid w:val="00A20979"/>
    <w:rsid w:val="00A21A21"/>
    <w:rsid w:val="00A21E3B"/>
    <w:rsid w:val="00A232F2"/>
    <w:rsid w:val="00A23F37"/>
    <w:rsid w:val="00A23F3C"/>
    <w:rsid w:val="00A24213"/>
    <w:rsid w:val="00A25056"/>
    <w:rsid w:val="00A306ED"/>
    <w:rsid w:val="00A3091D"/>
    <w:rsid w:val="00A31C04"/>
    <w:rsid w:val="00A32704"/>
    <w:rsid w:val="00A330F3"/>
    <w:rsid w:val="00A33E98"/>
    <w:rsid w:val="00A34FAD"/>
    <w:rsid w:val="00A40928"/>
    <w:rsid w:val="00A40F04"/>
    <w:rsid w:val="00A42D95"/>
    <w:rsid w:val="00A43275"/>
    <w:rsid w:val="00A43F08"/>
    <w:rsid w:val="00A4518B"/>
    <w:rsid w:val="00A46822"/>
    <w:rsid w:val="00A471D9"/>
    <w:rsid w:val="00A50A87"/>
    <w:rsid w:val="00A512DE"/>
    <w:rsid w:val="00A53925"/>
    <w:rsid w:val="00A54424"/>
    <w:rsid w:val="00A578FB"/>
    <w:rsid w:val="00A60A4E"/>
    <w:rsid w:val="00A62524"/>
    <w:rsid w:val="00A65E56"/>
    <w:rsid w:val="00A65E8D"/>
    <w:rsid w:val="00A661C4"/>
    <w:rsid w:val="00A66FDD"/>
    <w:rsid w:val="00A71385"/>
    <w:rsid w:val="00A71D82"/>
    <w:rsid w:val="00A737B8"/>
    <w:rsid w:val="00A73B45"/>
    <w:rsid w:val="00A73F09"/>
    <w:rsid w:val="00A74612"/>
    <w:rsid w:val="00A74847"/>
    <w:rsid w:val="00A74E1D"/>
    <w:rsid w:val="00A76618"/>
    <w:rsid w:val="00A76B25"/>
    <w:rsid w:val="00A77833"/>
    <w:rsid w:val="00A80C91"/>
    <w:rsid w:val="00A8172F"/>
    <w:rsid w:val="00A81ADE"/>
    <w:rsid w:val="00A82D1E"/>
    <w:rsid w:val="00A843DC"/>
    <w:rsid w:val="00A85C81"/>
    <w:rsid w:val="00A87619"/>
    <w:rsid w:val="00A8793E"/>
    <w:rsid w:val="00A907FD"/>
    <w:rsid w:val="00A921F8"/>
    <w:rsid w:val="00A92666"/>
    <w:rsid w:val="00A92947"/>
    <w:rsid w:val="00A9430B"/>
    <w:rsid w:val="00A97062"/>
    <w:rsid w:val="00A97E04"/>
    <w:rsid w:val="00AA21F3"/>
    <w:rsid w:val="00AA2394"/>
    <w:rsid w:val="00AA3B5B"/>
    <w:rsid w:val="00AA3C93"/>
    <w:rsid w:val="00AA44CC"/>
    <w:rsid w:val="00AA5C55"/>
    <w:rsid w:val="00AA60AA"/>
    <w:rsid w:val="00AB0992"/>
    <w:rsid w:val="00AB0E32"/>
    <w:rsid w:val="00AB460B"/>
    <w:rsid w:val="00AB4D3F"/>
    <w:rsid w:val="00AB58BB"/>
    <w:rsid w:val="00AB79C0"/>
    <w:rsid w:val="00AB7A07"/>
    <w:rsid w:val="00AC073E"/>
    <w:rsid w:val="00AC0C3F"/>
    <w:rsid w:val="00AC0C46"/>
    <w:rsid w:val="00AC23DA"/>
    <w:rsid w:val="00AC2C7E"/>
    <w:rsid w:val="00AC3154"/>
    <w:rsid w:val="00AC40C0"/>
    <w:rsid w:val="00AC4A8D"/>
    <w:rsid w:val="00AC4D92"/>
    <w:rsid w:val="00AC4DEE"/>
    <w:rsid w:val="00AC5D87"/>
    <w:rsid w:val="00AC7BC1"/>
    <w:rsid w:val="00AD02C3"/>
    <w:rsid w:val="00AD16D0"/>
    <w:rsid w:val="00AD2C26"/>
    <w:rsid w:val="00AD38CA"/>
    <w:rsid w:val="00AD5720"/>
    <w:rsid w:val="00AD783E"/>
    <w:rsid w:val="00AE2920"/>
    <w:rsid w:val="00AE3E8D"/>
    <w:rsid w:val="00AE469D"/>
    <w:rsid w:val="00AE472B"/>
    <w:rsid w:val="00AE55F2"/>
    <w:rsid w:val="00AE6189"/>
    <w:rsid w:val="00AE6424"/>
    <w:rsid w:val="00AE6728"/>
    <w:rsid w:val="00AF18C2"/>
    <w:rsid w:val="00AF1C42"/>
    <w:rsid w:val="00AF3753"/>
    <w:rsid w:val="00AF3A17"/>
    <w:rsid w:val="00AF3CD7"/>
    <w:rsid w:val="00AF5690"/>
    <w:rsid w:val="00B0034C"/>
    <w:rsid w:val="00B01AFE"/>
    <w:rsid w:val="00B02C18"/>
    <w:rsid w:val="00B03A4C"/>
    <w:rsid w:val="00B0463C"/>
    <w:rsid w:val="00B06178"/>
    <w:rsid w:val="00B06E40"/>
    <w:rsid w:val="00B07B10"/>
    <w:rsid w:val="00B07EB9"/>
    <w:rsid w:val="00B07EEF"/>
    <w:rsid w:val="00B113B5"/>
    <w:rsid w:val="00B11EAB"/>
    <w:rsid w:val="00B1250E"/>
    <w:rsid w:val="00B12BB6"/>
    <w:rsid w:val="00B13040"/>
    <w:rsid w:val="00B131C5"/>
    <w:rsid w:val="00B13B58"/>
    <w:rsid w:val="00B13FB4"/>
    <w:rsid w:val="00B15745"/>
    <w:rsid w:val="00B15901"/>
    <w:rsid w:val="00B15EC3"/>
    <w:rsid w:val="00B20093"/>
    <w:rsid w:val="00B22DA1"/>
    <w:rsid w:val="00B23752"/>
    <w:rsid w:val="00B2563F"/>
    <w:rsid w:val="00B25BC3"/>
    <w:rsid w:val="00B27348"/>
    <w:rsid w:val="00B27416"/>
    <w:rsid w:val="00B274C4"/>
    <w:rsid w:val="00B278FD"/>
    <w:rsid w:val="00B320C9"/>
    <w:rsid w:val="00B321BD"/>
    <w:rsid w:val="00B32D39"/>
    <w:rsid w:val="00B33AF4"/>
    <w:rsid w:val="00B33C7D"/>
    <w:rsid w:val="00B3543A"/>
    <w:rsid w:val="00B36055"/>
    <w:rsid w:val="00B36B7B"/>
    <w:rsid w:val="00B41081"/>
    <w:rsid w:val="00B414B3"/>
    <w:rsid w:val="00B44F4C"/>
    <w:rsid w:val="00B474D4"/>
    <w:rsid w:val="00B476C3"/>
    <w:rsid w:val="00B478DB"/>
    <w:rsid w:val="00B50963"/>
    <w:rsid w:val="00B51088"/>
    <w:rsid w:val="00B52B55"/>
    <w:rsid w:val="00B52C6A"/>
    <w:rsid w:val="00B53170"/>
    <w:rsid w:val="00B560CC"/>
    <w:rsid w:val="00B56EFF"/>
    <w:rsid w:val="00B57E74"/>
    <w:rsid w:val="00B60E42"/>
    <w:rsid w:val="00B6594E"/>
    <w:rsid w:val="00B66408"/>
    <w:rsid w:val="00B7050F"/>
    <w:rsid w:val="00B74093"/>
    <w:rsid w:val="00B74F94"/>
    <w:rsid w:val="00B74FB0"/>
    <w:rsid w:val="00B766D5"/>
    <w:rsid w:val="00B77357"/>
    <w:rsid w:val="00B80898"/>
    <w:rsid w:val="00B818DE"/>
    <w:rsid w:val="00B82192"/>
    <w:rsid w:val="00B825A1"/>
    <w:rsid w:val="00B825D4"/>
    <w:rsid w:val="00B826BE"/>
    <w:rsid w:val="00B8324D"/>
    <w:rsid w:val="00B83B8E"/>
    <w:rsid w:val="00B906EE"/>
    <w:rsid w:val="00B91512"/>
    <w:rsid w:val="00B92A11"/>
    <w:rsid w:val="00B92B24"/>
    <w:rsid w:val="00B93DD0"/>
    <w:rsid w:val="00B95A9E"/>
    <w:rsid w:val="00B97A01"/>
    <w:rsid w:val="00B97F04"/>
    <w:rsid w:val="00BA1C37"/>
    <w:rsid w:val="00BA213B"/>
    <w:rsid w:val="00BA2C08"/>
    <w:rsid w:val="00BA49AE"/>
    <w:rsid w:val="00BA5771"/>
    <w:rsid w:val="00BA5F28"/>
    <w:rsid w:val="00BB146C"/>
    <w:rsid w:val="00BB22F2"/>
    <w:rsid w:val="00BB3CA1"/>
    <w:rsid w:val="00BB468F"/>
    <w:rsid w:val="00BB487E"/>
    <w:rsid w:val="00BB5FB1"/>
    <w:rsid w:val="00BB5FFC"/>
    <w:rsid w:val="00BC28B0"/>
    <w:rsid w:val="00BC344F"/>
    <w:rsid w:val="00BC4F14"/>
    <w:rsid w:val="00BC5A80"/>
    <w:rsid w:val="00BD0220"/>
    <w:rsid w:val="00BD1D72"/>
    <w:rsid w:val="00BD2422"/>
    <w:rsid w:val="00BD4B07"/>
    <w:rsid w:val="00BD518D"/>
    <w:rsid w:val="00BD73AA"/>
    <w:rsid w:val="00BD73EE"/>
    <w:rsid w:val="00BE2369"/>
    <w:rsid w:val="00BE2A35"/>
    <w:rsid w:val="00BE47A8"/>
    <w:rsid w:val="00BE4917"/>
    <w:rsid w:val="00BE4A74"/>
    <w:rsid w:val="00BE5903"/>
    <w:rsid w:val="00BE7253"/>
    <w:rsid w:val="00BE7C6F"/>
    <w:rsid w:val="00BF041D"/>
    <w:rsid w:val="00BF057E"/>
    <w:rsid w:val="00BF090C"/>
    <w:rsid w:val="00BF14D2"/>
    <w:rsid w:val="00BF1C95"/>
    <w:rsid w:val="00BF2A3E"/>
    <w:rsid w:val="00BF2EB9"/>
    <w:rsid w:val="00BF4228"/>
    <w:rsid w:val="00BF4564"/>
    <w:rsid w:val="00BF4954"/>
    <w:rsid w:val="00BF6649"/>
    <w:rsid w:val="00BF744A"/>
    <w:rsid w:val="00C010B4"/>
    <w:rsid w:val="00C02A97"/>
    <w:rsid w:val="00C02ABB"/>
    <w:rsid w:val="00C02E98"/>
    <w:rsid w:val="00C03DE7"/>
    <w:rsid w:val="00C042D3"/>
    <w:rsid w:val="00C04800"/>
    <w:rsid w:val="00C05142"/>
    <w:rsid w:val="00C060F8"/>
    <w:rsid w:val="00C0616C"/>
    <w:rsid w:val="00C069A4"/>
    <w:rsid w:val="00C07766"/>
    <w:rsid w:val="00C10E65"/>
    <w:rsid w:val="00C1275D"/>
    <w:rsid w:val="00C12798"/>
    <w:rsid w:val="00C13294"/>
    <w:rsid w:val="00C148E8"/>
    <w:rsid w:val="00C15A08"/>
    <w:rsid w:val="00C15AE3"/>
    <w:rsid w:val="00C16599"/>
    <w:rsid w:val="00C1749F"/>
    <w:rsid w:val="00C17A7A"/>
    <w:rsid w:val="00C20D13"/>
    <w:rsid w:val="00C2199E"/>
    <w:rsid w:val="00C2348F"/>
    <w:rsid w:val="00C249A9"/>
    <w:rsid w:val="00C24B1C"/>
    <w:rsid w:val="00C251D9"/>
    <w:rsid w:val="00C26A7A"/>
    <w:rsid w:val="00C27014"/>
    <w:rsid w:val="00C30956"/>
    <w:rsid w:val="00C30E7C"/>
    <w:rsid w:val="00C32013"/>
    <w:rsid w:val="00C32373"/>
    <w:rsid w:val="00C32DEA"/>
    <w:rsid w:val="00C33D5F"/>
    <w:rsid w:val="00C345ED"/>
    <w:rsid w:val="00C34DBB"/>
    <w:rsid w:val="00C34E1A"/>
    <w:rsid w:val="00C35103"/>
    <w:rsid w:val="00C35305"/>
    <w:rsid w:val="00C366B0"/>
    <w:rsid w:val="00C376A6"/>
    <w:rsid w:val="00C40EEF"/>
    <w:rsid w:val="00C41662"/>
    <w:rsid w:val="00C41C7C"/>
    <w:rsid w:val="00C42B60"/>
    <w:rsid w:val="00C42EDD"/>
    <w:rsid w:val="00C43CE5"/>
    <w:rsid w:val="00C478DE"/>
    <w:rsid w:val="00C47F39"/>
    <w:rsid w:val="00C510CB"/>
    <w:rsid w:val="00C515BC"/>
    <w:rsid w:val="00C51C64"/>
    <w:rsid w:val="00C53510"/>
    <w:rsid w:val="00C538F0"/>
    <w:rsid w:val="00C53E2A"/>
    <w:rsid w:val="00C5424B"/>
    <w:rsid w:val="00C5432F"/>
    <w:rsid w:val="00C55829"/>
    <w:rsid w:val="00C5719F"/>
    <w:rsid w:val="00C63146"/>
    <w:rsid w:val="00C63940"/>
    <w:rsid w:val="00C66E06"/>
    <w:rsid w:val="00C70094"/>
    <w:rsid w:val="00C71D75"/>
    <w:rsid w:val="00C72BB9"/>
    <w:rsid w:val="00C73E57"/>
    <w:rsid w:val="00C749F9"/>
    <w:rsid w:val="00C751BA"/>
    <w:rsid w:val="00C81975"/>
    <w:rsid w:val="00C82EBC"/>
    <w:rsid w:val="00C85A4A"/>
    <w:rsid w:val="00C86588"/>
    <w:rsid w:val="00C87966"/>
    <w:rsid w:val="00C92788"/>
    <w:rsid w:val="00C93EED"/>
    <w:rsid w:val="00C93F28"/>
    <w:rsid w:val="00C94549"/>
    <w:rsid w:val="00C96C2C"/>
    <w:rsid w:val="00CA0694"/>
    <w:rsid w:val="00CA0B4D"/>
    <w:rsid w:val="00CA1D4C"/>
    <w:rsid w:val="00CA4148"/>
    <w:rsid w:val="00CA4593"/>
    <w:rsid w:val="00CA47D8"/>
    <w:rsid w:val="00CA5D4C"/>
    <w:rsid w:val="00CA643D"/>
    <w:rsid w:val="00CA675A"/>
    <w:rsid w:val="00CA7301"/>
    <w:rsid w:val="00CB186E"/>
    <w:rsid w:val="00CB1ED7"/>
    <w:rsid w:val="00CB3A38"/>
    <w:rsid w:val="00CB462A"/>
    <w:rsid w:val="00CB4E49"/>
    <w:rsid w:val="00CB621D"/>
    <w:rsid w:val="00CB7768"/>
    <w:rsid w:val="00CC00C5"/>
    <w:rsid w:val="00CC0B1B"/>
    <w:rsid w:val="00CC19C8"/>
    <w:rsid w:val="00CC1A25"/>
    <w:rsid w:val="00CC2879"/>
    <w:rsid w:val="00CC3046"/>
    <w:rsid w:val="00CC3F34"/>
    <w:rsid w:val="00CC3F6F"/>
    <w:rsid w:val="00CC40CB"/>
    <w:rsid w:val="00CC475C"/>
    <w:rsid w:val="00CC4A71"/>
    <w:rsid w:val="00CC4CF0"/>
    <w:rsid w:val="00CC6041"/>
    <w:rsid w:val="00CC6145"/>
    <w:rsid w:val="00CD0713"/>
    <w:rsid w:val="00CD15D9"/>
    <w:rsid w:val="00CD24F4"/>
    <w:rsid w:val="00CD27B1"/>
    <w:rsid w:val="00CD34CB"/>
    <w:rsid w:val="00CD351F"/>
    <w:rsid w:val="00CD60FB"/>
    <w:rsid w:val="00CD6E84"/>
    <w:rsid w:val="00CD7350"/>
    <w:rsid w:val="00CE0F61"/>
    <w:rsid w:val="00CE1683"/>
    <w:rsid w:val="00CE4451"/>
    <w:rsid w:val="00CE5E29"/>
    <w:rsid w:val="00CE6746"/>
    <w:rsid w:val="00CE68F0"/>
    <w:rsid w:val="00CF01E6"/>
    <w:rsid w:val="00CF0EAD"/>
    <w:rsid w:val="00CF1FA0"/>
    <w:rsid w:val="00CF2E05"/>
    <w:rsid w:val="00CF3E49"/>
    <w:rsid w:val="00CF66DB"/>
    <w:rsid w:val="00CF6C97"/>
    <w:rsid w:val="00D001B6"/>
    <w:rsid w:val="00D00201"/>
    <w:rsid w:val="00D00261"/>
    <w:rsid w:val="00D00592"/>
    <w:rsid w:val="00D00CF5"/>
    <w:rsid w:val="00D01117"/>
    <w:rsid w:val="00D018D3"/>
    <w:rsid w:val="00D021A0"/>
    <w:rsid w:val="00D039E0"/>
    <w:rsid w:val="00D04179"/>
    <w:rsid w:val="00D06258"/>
    <w:rsid w:val="00D06854"/>
    <w:rsid w:val="00D10FCD"/>
    <w:rsid w:val="00D11488"/>
    <w:rsid w:val="00D11867"/>
    <w:rsid w:val="00D12699"/>
    <w:rsid w:val="00D1567B"/>
    <w:rsid w:val="00D1590E"/>
    <w:rsid w:val="00D15E13"/>
    <w:rsid w:val="00D160BF"/>
    <w:rsid w:val="00D162F2"/>
    <w:rsid w:val="00D2257B"/>
    <w:rsid w:val="00D23534"/>
    <w:rsid w:val="00D24FC6"/>
    <w:rsid w:val="00D25021"/>
    <w:rsid w:val="00D26CEA"/>
    <w:rsid w:val="00D2758D"/>
    <w:rsid w:val="00D27EFC"/>
    <w:rsid w:val="00D27F10"/>
    <w:rsid w:val="00D318F0"/>
    <w:rsid w:val="00D32652"/>
    <w:rsid w:val="00D3322E"/>
    <w:rsid w:val="00D3355D"/>
    <w:rsid w:val="00D35E4C"/>
    <w:rsid w:val="00D37C1D"/>
    <w:rsid w:val="00D417AE"/>
    <w:rsid w:val="00D4412C"/>
    <w:rsid w:val="00D46D26"/>
    <w:rsid w:val="00D47024"/>
    <w:rsid w:val="00D47C7B"/>
    <w:rsid w:val="00D505A3"/>
    <w:rsid w:val="00D524E3"/>
    <w:rsid w:val="00D53B3D"/>
    <w:rsid w:val="00D54095"/>
    <w:rsid w:val="00D54127"/>
    <w:rsid w:val="00D55975"/>
    <w:rsid w:val="00D55C17"/>
    <w:rsid w:val="00D55EC3"/>
    <w:rsid w:val="00D57E9A"/>
    <w:rsid w:val="00D60B6B"/>
    <w:rsid w:val="00D60BB2"/>
    <w:rsid w:val="00D61600"/>
    <w:rsid w:val="00D6192F"/>
    <w:rsid w:val="00D62E75"/>
    <w:rsid w:val="00D6332D"/>
    <w:rsid w:val="00D63550"/>
    <w:rsid w:val="00D64477"/>
    <w:rsid w:val="00D64BB4"/>
    <w:rsid w:val="00D65FB6"/>
    <w:rsid w:val="00D663B3"/>
    <w:rsid w:val="00D66F91"/>
    <w:rsid w:val="00D67769"/>
    <w:rsid w:val="00D677F2"/>
    <w:rsid w:val="00D679C7"/>
    <w:rsid w:val="00D67A46"/>
    <w:rsid w:val="00D67AB8"/>
    <w:rsid w:val="00D70C64"/>
    <w:rsid w:val="00D72463"/>
    <w:rsid w:val="00D744E2"/>
    <w:rsid w:val="00D75805"/>
    <w:rsid w:val="00D815A0"/>
    <w:rsid w:val="00D81AA5"/>
    <w:rsid w:val="00D82617"/>
    <w:rsid w:val="00D834E5"/>
    <w:rsid w:val="00D83889"/>
    <w:rsid w:val="00D83CC4"/>
    <w:rsid w:val="00D84E45"/>
    <w:rsid w:val="00D87689"/>
    <w:rsid w:val="00D87988"/>
    <w:rsid w:val="00D90504"/>
    <w:rsid w:val="00D909F6"/>
    <w:rsid w:val="00D9262F"/>
    <w:rsid w:val="00D92E1C"/>
    <w:rsid w:val="00D9322D"/>
    <w:rsid w:val="00D937A1"/>
    <w:rsid w:val="00D937C7"/>
    <w:rsid w:val="00D953F0"/>
    <w:rsid w:val="00D95BAF"/>
    <w:rsid w:val="00D95C05"/>
    <w:rsid w:val="00D95D31"/>
    <w:rsid w:val="00D95E54"/>
    <w:rsid w:val="00D95F48"/>
    <w:rsid w:val="00D96C12"/>
    <w:rsid w:val="00D96D9B"/>
    <w:rsid w:val="00DA0125"/>
    <w:rsid w:val="00DA1B65"/>
    <w:rsid w:val="00DA1B8D"/>
    <w:rsid w:val="00DA1B94"/>
    <w:rsid w:val="00DA2E1E"/>
    <w:rsid w:val="00DA3CB2"/>
    <w:rsid w:val="00DA60B3"/>
    <w:rsid w:val="00DA6F57"/>
    <w:rsid w:val="00DA75E5"/>
    <w:rsid w:val="00DA77CA"/>
    <w:rsid w:val="00DA7B46"/>
    <w:rsid w:val="00DB03D3"/>
    <w:rsid w:val="00DB059C"/>
    <w:rsid w:val="00DB2004"/>
    <w:rsid w:val="00DB5257"/>
    <w:rsid w:val="00DB6D87"/>
    <w:rsid w:val="00DB7DA0"/>
    <w:rsid w:val="00DC059C"/>
    <w:rsid w:val="00DC48F5"/>
    <w:rsid w:val="00DC6278"/>
    <w:rsid w:val="00DD20FA"/>
    <w:rsid w:val="00DD238D"/>
    <w:rsid w:val="00DD3258"/>
    <w:rsid w:val="00DD48E7"/>
    <w:rsid w:val="00DD5AE6"/>
    <w:rsid w:val="00DD6BC3"/>
    <w:rsid w:val="00DD6FC0"/>
    <w:rsid w:val="00DE0E98"/>
    <w:rsid w:val="00DE1D4F"/>
    <w:rsid w:val="00DE3B69"/>
    <w:rsid w:val="00DE4D20"/>
    <w:rsid w:val="00DE6B68"/>
    <w:rsid w:val="00DE77C8"/>
    <w:rsid w:val="00DF00CD"/>
    <w:rsid w:val="00DF3460"/>
    <w:rsid w:val="00DF3E43"/>
    <w:rsid w:val="00DF5401"/>
    <w:rsid w:val="00DF5A04"/>
    <w:rsid w:val="00DF5F79"/>
    <w:rsid w:val="00DF6795"/>
    <w:rsid w:val="00DF6B8C"/>
    <w:rsid w:val="00DF6D2E"/>
    <w:rsid w:val="00DF75B2"/>
    <w:rsid w:val="00DF7B3B"/>
    <w:rsid w:val="00E00094"/>
    <w:rsid w:val="00E00681"/>
    <w:rsid w:val="00E01938"/>
    <w:rsid w:val="00E02EE6"/>
    <w:rsid w:val="00E065D9"/>
    <w:rsid w:val="00E066CF"/>
    <w:rsid w:val="00E073EB"/>
    <w:rsid w:val="00E07598"/>
    <w:rsid w:val="00E07631"/>
    <w:rsid w:val="00E103E5"/>
    <w:rsid w:val="00E11E25"/>
    <w:rsid w:val="00E120A7"/>
    <w:rsid w:val="00E13491"/>
    <w:rsid w:val="00E13B57"/>
    <w:rsid w:val="00E14326"/>
    <w:rsid w:val="00E144D1"/>
    <w:rsid w:val="00E14714"/>
    <w:rsid w:val="00E14AC7"/>
    <w:rsid w:val="00E1560C"/>
    <w:rsid w:val="00E1565A"/>
    <w:rsid w:val="00E173B6"/>
    <w:rsid w:val="00E1751B"/>
    <w:rsid w:val="00E2215B"/>
    <w:rsid w:val="00E22A85"/>
    <w:rsid w:val="00E22CBD"/>
    <w:rsid w:val="00E2437A"/>
    <w:rsid w:val="00E254AC"/>
    <w:rsid w:val="00E25B17"/>
    <w:rsid w:val="00E268B2"/>
    <w:rsid w:val="00E27821"/>
    <w:rsid w:val="00E31C77"/>
    <w:rsid w:val="00E335F3"/>
    <w:rsid w:val="00E33668"/>
    <w:rsid w:val="00E425A8"/>
    <w:rsid w:val="00E43B4C"/>
    <w:rsid w:val="00E44E1E"/>
    <w:rsid w:val="00E46127"/>
    <w:rsid w:val="00E465D5"/>
    <w:rsid w:val="00E468AE"/>
    <w:rsid w:val="00E50D8A"/>
    <w:rsid w:val="00E52E01"/>
    <w:rsid w:val="00E53578"/>
    <w:rsid w:val="00E53651"/>
    <w:rsid w:val="00E53B6C"/>
    <w:rsid w:val="00E54046"/>
    <w:rsid w:val="00E54893"/>
    <w:rsid w:val="00E56394"/>
    <w:rsid w:val="00E573F9"/>
    <w:rsid w:val="00E61715"/>
    <w:rsid w:val="00E61D8D"/>
    <w:rsid w:val="00E6318E"/>
    <w:rsid w:val="00E64F6D"/>
    <w:rsid w:val="00E65E00"/>
    <w:rsid w:val="00E66C2C"/>
    <w:rsid w:val="00E705EF"/>
    <w:rsid w:val="00E71807"/>
    <w:rsid w:val="00E7232E"/>
    <w:rsid w:val="00E74843"/>
    <w:rsid w:val="00E74E61"/>
    <w:rsid w:val="00E76CAE"/>
    <w:rsid w:val="00E805C9"/>
    <w:rsid w:val="00E8345F"/>
    <w:rsid w:val="00E85DE5"/>
    <w:rsid w:val="00E86682"/>
    <w:rsid w:val="00E869E2"/>
    <w:rsid w:val="00E8739A"/>
    <w:rsid w:val="00E873DE"/>
    <w:rsid w:val="00E87E1D"/>
    <w:rsid w:val="00E90238"/>
    <w:rsid w:val="00E90543"/>
    <w:rsid w:val="00E908CB"/>
    <w:rsid w:val="00E9090A"/>
    <w:rsid w:val="00E91023"/>
    <w:rsid w:val="00E911A6"/>
    <w:rsid w:val="00E9137E"/>
    <w:rsid w:val="00E91ACE"/>
    <w:rsid w:val="00E91CD3"/>
    <w:rsid w:val="00E92461"/>
    <w:rsid w:val="00E92A69"/>
    <w:rsid w:val="00E9446E"/>
    <w:rsid w:val="00E94619"/>
    <w:rsid w:val="00E94A37"/>
    <w:rsid w:val="00E956F8"/>
    <w:rsid w:val="00E96200"/>
    <w:rsid w:val="00E96FAC"/>
    <w:rsid w:val="00EA0381"/>
    <w:rsid w:val="00EA2710"/>
    <w:rsid w:val="00EA4472"/>
    <w:rsid w:val="00EA55DE"/>
    <w:rsid w:val="00EA7307"/>
    <w:rsid w:val="00EA74F6"/>
    <w:rsid w:val="00EB0F3D"/>
    <w:rsid w:val="00EB113A"/>
    <w:rsid w:val="00EB1196"/>
    <w:rsid w:val="00EB19CB"/>
    <w:rsid w:val="00EB1C50"/>
    <w:rsid w:val="00EB2607"/>
    <w:rsid w:val="00EB271A"/>
    <w:rsid w:val="00EB37A4"/>
    <w:rsid w:val="00EB4080"/>
    <w:rsid w:val="00EB4196"/>
    <w:rsid w:val="00EB4344"/>
    <w:rsid w:val="00EB463B"/>
    <w:rsid w:val="00EB6207"/>
    <w:rsid w:val="00EB639C"/>
    <w:rsid w:val="00EB6950"/>
    <w:rsid w:val="00EC135C"/>
    <w:rsid w:val="00EC1C5D"/>
    <w:rsid w:val="00EC2C33"/>
    <w:rsid w:val="00EC2D4D"/>
    <w:rsid w:val="00EC59CB"/>
    <w:rsid w:val="00EC62E2"/>
    <w:rsid w:val="00EC6BAF"/>
    <w:rsid w:val="00EC740F"/>
    <w:rsid w:val="00EC7827"/>
    <w:rsid w:val="00EC7F34"/>
    <w:rsid w:val="00ED004A"/>
    <w:rsid w:val="00ED2135"/>
    <w:rsid w:val="00ED2422"/>
    <w:rsid w:val="00ED24C1"/>
    <w:rsid w:val="00ED26E3"/>
    <w:rsid w:val="00ED2C4E"/>
    <w:rsid w:val="00ED2EA2"/>
    <w:rsid w:val="00ED396E"/>
    <w:rsid w:val="00ED424C"/>
    <w:rsid w:val="00ED730F"/>
    <w:rsid w:val="00EE0584"/>
    <w:rsid w:val="00EE269A"/>
    <w:rsid w:val="00EE3144"/>
    <w:rsid w:val="00EE7A55"/>
    <w:rsid w:val="00EE7CE6"/>
    <w:rsid w:val="00EF0FA0"/>
    <w:rsid w:val="00EF1444"/>
    <w:rsid w:val="00EF214C"/>
    <w:rsid w:val="00EF2BA7"/>
    <w:rsid w:val="00EF2EC2"/>
    <w:rsid w:val="00EF3577"/>
    <w:rsid w:val="00EF40D7"/>
    <w:rsid w:val="00EF4200"/>
    <w:rsid w:val="00EF4CE0"/>
    <w:rsid w:val="00EF54B1"/>
    <w:rsid w:val="00EF5534"/>
    <w:rsid w:val="00EF572B"/>
    <w:rsid w:val="00EF7406"/>
    <w:rsid w:val="00EF7A69"/>
    <w:rsid w:val="00F001B9"/>
    <w:rsid w:val="00F01F4D"/>
    <w:rsid w:val="00F05311"/>
    <w:rsid w:val="00F05663"/>
    <w:rsid w:val="00F05CFF"/>
    <w:rsid w:val="00F06A77"/>
    <w:rsid w:val="00F06BDB"/>
    <w:rsid w:val="00F07532"/>
    <w:rsid w:val="00F07BBC"/>
    <w:rsid w:val="00F10E7A"/>
    <w:rsid w:val="00F12678"/>
    <w:rsid w:val="00F12B44"/>
    <w:rsid w:val="00F13568"/>
    <w:rsid w:val="00F139FE"/>
    <w:rsid w:val="00F165B3"/>
    <w:rsid w:val="00F1697F"/>
    <w:rsid w:val="00F171EA"/>
    <w:rsid w:val="00F21B6E"/>
    <w:rsid w:val="00F21CF8"/>
    <w:rsid w:val="00F22F37"/>
    <w:rsid w:val="00F240FB"/>
    <w:rsid w:val="00F254A4"/>
    <w:rsid w:val="00F255F4"/>
    <w:rsid w:val="00F257BD"/>
    <w:rsid w:val="00F268E1"/>
    <w:rsid w:val="00F26B21"/>
    <w:rsid w:val="00F30B77"/>
    <w:rsid w:val="00F31637"/>
    <w:rsid w:val="00F32C87"/>
    <w:rsid w:val="00F332AB"/>
    <w:rsid w:val="00F33F48"/>
    <w:rsid w:val="00F348C3"/>
    <w:rsid w:val="00F34B68"/>
    <w:rsid w:val="00F36D46"/>
    <w:rsid w:val="00F401D8"/>
    <w:rsid w:val="00F40436"/>
    <w:rsid w:val="00F40EB9"/>
    <w:rsid w:val="00F415BE"/>
    <w:rsid w:val="00F416D1"/>
    <w:rsid w:val="00F417E5"/>
    <w:rsid w:val="00F42AAE"/>
    <w:rsid w:val="00F43384"/>
    <w:rsid w:val="00F443B5"/>
    <w:rsid w:val="00F445E3"/>
    <w:rsid w:val="00F44977"/>
    <w:rsid w:val="00F45646"/>
    <w:rsid w:val="00F461AE"/>
    <w:rsid w:val="00F478A8"/>
    <w:rsid w:val="00F505E8"/>
    <w:rsid w:val="00F52C89"/>
    <w:rsid w:val="00F538C9"/>
    <w:rsid w:val="00F55101"/>
    <w:rsid w:val="00F56426"/>
    <w:rsid w:val="00F57BA2"/>
    <w:rsid w:val="00F601EC"/>
    <w:rsid w:val="00F64B02"/>
    <w:rsid w:val="00F70857"/>
    <w:rsid w:val="00F70A7A"/>
    <w:rsid w:val="00F710ED"/>
    <w:rsid w:val="00F74B34"/>
    <w:rsid w:val="00F75044"/>
    <w:rsid w:val="00F757BD"/>
    <w:rsid w:val="00F7693F"/>
    <w:rsid w:val="00F76DED"/>
    <w:rsid w:val="00F77D43"/>
    <w:rsid w:val="00F81D5B"/>
    <w:rsid w:val="00F826B4"/>
    <w:rsid w:val="00F84279"/>
    <w:rsid w:val="00F860CA"/>
    <w:rsid w:val="00F91EFF"/>
    <w:rsid w:val="00F92FCA"/>
    <w:rsid w:val="00F930CA"/>
    <w:rsid w:val="00F9440C"/>
    <w:rsid w:val="00F969AC"/>
    <w:rsid w:val="00F974DD"/>
    <w:rsid w:val="00FA33B8"/>
    <w:rsid w:val="00FA3DCE"/>
    <w:rsid w:val="00FA4F26"/>
    <w:rsid w:val="00FA6A5B"/>
    <w:rsid w:val="00FB170F"/>
    <w:rsid w:val="00FB1CD4"/>
    <w:rsid w:val="00FB2A93"/>
    <w:rsid w:val="00FB66EE"/>
    <w:rsid w:val="00FB7EBE"/>
    <w:rsid w:val="00FC04A7"/>
    <w:rsid w:val="00FC3033"/>
    <w:rsid w:val="00FC51CB"/>
    <w:rsid w:val="00FC6962"/>
    <w:rsid w:val="00FCB9F9"/>
    <w:rsid w:val="00FD063C"/>
    <w:rsid w:val="00FD0C1F"/>
    <w:rsid w:val="00FD230B"/>
    <w:rsid w:val="00FD2FF8"/>
    <w:rsid w:val="00FD3D13"/>
    <w:rsid w:val="00FD4122"/>
    <w:rsid w:val="00FD5CC9"/>
    <w:rsid w:val="00FD6781"/>
    <w:rsid w:val="00FD7137"/>
    <w:rsid w:val="00FD79F5"/>
    <w:rsid w:val="00FE05E9"/>
    <w:rsid w:val="00FE0CB0"/>
    <w:rsid w:val="00FE0F69"/>
    <w:rsid w:val="00FE18F6"/>
    <w:rsid w:val="00FE1BE9"/>
    <w:rsid w:val="00FE22D8"/>
    <w:rsid w:val="00FE2739"/>
    <w:rsid w:val="00FE2EA3"/>
    <w:rsid w:val="00FE3C17"/>
    <w:rsid w:val="00FE49A0"/>
    <w:rsid w:val="00FE5BA1"/>
    <w:rsid w:val="00FE61EB"/>
    <w:rsid w:val="00FE6726"/>
    <w:rsid w:val="00FE6775"/>
    <w:rsid w:val="00FE6B06"/>
    <w:rsid w:val="00FE764A"/>
    <w:rsid w:val="00FE7DB1"/>
    <w:rsid w:val="00FF2852"/>
    <w:rsid w:val="00FF3B05"/>
    <w:rsid w:val="00FF405C"/>
    <w:rsid w:val="00FF5084"/>
    <w:rsid w:val="00FF771A"/>
    <w:rsid w:val="00FF7FBB"/>
    <w:rsid w:val="010047E9"/>
    <w:rsid w:val="0133C4DC"/>
    <w:rsid w:val="01397DD3"/>
    <w:rsid w:val="015ACC4A"/>
    <w:rsid w:val="0187AD94"/>
    <w:rsid w:val="01EC11B2"/>
    <w:rsid w:val="0218A112"/>
    <w:rsid w:val="029885C7"/>
    <w:rsid w:val="02B573C6"/>
    <w:rsid w:val="02CF59E7"/>
    <w:rsid w:val="02D54E34"/>
    <w:rsid w:val="0300E716"/>
    <w:rsid w:val="03045BDA"/>
    <w:rsid w:val="0437E8AB"/>
    <w:rsid w:val="04405187"/>
    <w:rsid w:val="04436217"/>
    <w:rsid w:val="046B2A48"/>
    <w:rsid w:val="04790C1B"/>
    <w:rsid w:val="048B2121"/>
    <w:rsid w:val="04A023F1"/>
    <w:rsid w:val="04BEEBF7"/>
    <w:rsid w:val="04D10B8D"/>
    <w:rsid w:val="04D8E5B4"/>
    <w:rsid w:val="04E5B7AE"/>
    <w:rsid w:val="050399AB"/>
    <w:rsid w:val="055041D4"/>
    <w:rsid w:val="055FCB62"/>
    <w:rsid w:val="058844C9"/>
    <w:rsid w:val="05A3D6D8"/>
    <w:rsid w:val="06758981"/>
    <w:rsid w:val="06B74886"/>
    <w:rsid w:val="070379EB"/>
    <w:rsid w:val="075996C9"/>
    <w:rsid w:val="077B02D9"/>
    <w:rsid w:val="0783289A"/>
    <w:rsid w:val="078A4F17"/>
    <w:rsid w:val="07A2CB0A"/>
    <w:rsid w:val="084300DF"/>
    <w:rsid w:val="086A2D99"/>
    <w:rsid w:val="08F73CFF"/>
    <w:rsid w:val="09073456"/>
    <w:rsid w:val="0921C552"/>
    <w:rsid w:val="0926C64E"/>
    <w:rsid w:val="09517192"/>
    <w:rsid w:val="09E3126C"/>
    <w:rsid w:val="09F1439D"/>
    <w:rsid w:val="0A0BEC5B"/>
    <w:rsid w:val="0A13AE14"/>
    <w:rsid w:val="0A2E7B8D"/>
    <w:rsid w:val="0A2F2045"/>
    <w:rsid w:val="0A66B8E0"/>
    <w:rsid w:val="0AC55A6E"/>
    <w:rsid w:val="0ADA6BCC"/>
    <w:rsid w:val="0AFD489C"/>
    <w:rsid w:val="0B1B92EF"/>
    <w:rsid w:val="0BE64DF4"/>
    <w:rsid w:val="0C383393"/>
    <w:rsid w:val="0C53EDBD"/>
    <w:rsid w:val="0C638542"/>
    <w:rsid w:val="0C7DD8BB"/>
    <w:rsid w:val="0C841E00"/>
    <w:rsid w:val="0CA5B48A"/>
    <w:rsid w:val="0CDC2900"/>
    <w:rsid w:val="0CF0C97A"/>
    <w:rsid w:val="0CF58333"/>
    <w:rsid w:val="0D04CA70"/>
    <w:rsid w:val="0D215AF7"/>
    <w:rsid w:val="0D4094B7"/>
    <w:rsid w:val="0D4D7D79"/>
    <w:rsid w:val="0D60B2DA"/>
    <w:rsid w:val="0D809378"/>
    <w:rsid w:val="0DA2254D"/>
    <w:rsid w:val="0E004F31"/>
    <w:rsid w:val="0E043971"/>
    <w:rsid w:val="0E1FEE61"/>
    <w:rsid w:val="0E2C2B75"/>
    <w:rsid w:val="0E4F0F52"/>
    <w:rsid w:val="0E8C99DB"/>
    <w:rsid w:val="0EAA0E46"/>
    <w:rsid w:val="0EBBB5D2"/>
    <w:rsid w:val="0EDC6518"/>
    <w:rsid w:val="0F0A2D94"/>
    <w:rsid w:val="0F32413D"/>
    <w:rsid w:val="0F5A76E5"/>
    <w:rsid w:val="0FBBBEC2"/>
    <w:rsid w:val="0FC66D8E"/>
    <w:rsid w:val="1098AF83"/>
    <w:rsid w:val="10A63BA3"/>
    <w:rsid w:val="10BAC83F"/>
    <w:rsid w:val="10D15C97"/>
    <w:rsid w:val="10DE7421"/>
    <w:rsid w:val="10F855D9"/>
    <w:rsid w:val="114CF408"/>
    <w:rsid w:val="11778988"/>
    <w:rsid w:val="1217A81D"/>
    <w:rsid w:val="1235F77C"/>
    <w:rsid w:val="1294263A"/>
    <w:rsid w:val="12CF0623"/>
    <w:rsid w:val="13797ABA"/>
    <w:rsid w:val="1382C7CF"/>
    <w:rsid w:val="13F4FEA5"/>
    <w:rsid w:val="13F60814"/>
    <w:rsid w:val="14400757"/>
    <w:rsid w:val="148F2FE5"/>
    <w:rsid w:val="14DE2667"/>
    <w:rsid w:val="15009518"/>
    <w:rsid w:val="1572B7E4"/>
    <w:rsid w:val="15EC9DB0"/>
    <w:rsid w:val="16056996"/>
    <w:rsid w:val="160E3D2D"/>
    <w:rsid w:val="1644FDF1"/>
    <w:rsid w:val="1647CC42"/>
    <w:rsid w:val="167AAD8B"/>
    <w:rsid w:val="169EC1DD"/>
    <w:rsid w:val="16AD4848"/>
    <w:rsid w:val="16EA8F33"/>
    <w:rsid w:val="172CEFD5"/>
    <w:rsid w:val="172FDF36"/>
    <w:rsid w:val="1742E5B7"/>
    <w:rsid w:val="1755F046"/>
    <w:rsid w:val="17759A1D"/>
    <w:rsid w:val="17D97AE5"/>
    <w:rsid w:val="17F21CB3"/>
    <w:rsid w:val="188E912A"/>
    <w:rsid w:val="18960633"/>
    <w:rsid w:val="18A5F3E6"/>
    <w:rsid w:val="194243BD"/>
    <w:rsid w:val="1945DDEF"/>
    <w:rsid w:val="198706A7"/>
    <w:rsid w:val="198DED14"/>
    <w:rsid w:val="1A40BEAF"/>
    <w:rsid w:val="1A5E647D"/>
    <w:rsid w:val="1A677FF8"/>
    <w:rsid w:val="1A74D4EB"/>
    <w:rsid w:val="1A91A67E"/>
    <w:rsid w:val="1AA1620D"/>
    <w:rsid w:val="1AC2B6E4"/>
    <w:rsid w:val="1B3092E0"/>
    <w:rsid w:val="1B91A944"/>
    <w:rsid w:val="1BFBDC42"/>
    <w:rsid w:val="1C02D467"/>
    <w:rsid w:val="1C0F9844"/>
    <w:rsid w:val="1C8A07EE"/>
    <w:rsid w:val="1CB04D4B"/>
    <w:rsid w:val="1CB7CA97"/>
    <w:rsid w:val="1D0CEC42"/>
    <w:rsid w:val="1D2B0B1A"/>
    <w:rsid w:val="1D9F20BA"/>
    <w:rsid w:val="1DA93233"/>
    <w:rsid w:val="1DB240CD"/>
    <w:rsid w:val="1DCDC140"/>
    <w:rsid w:val="1DF57320"/>
    <w:rsid w:val="1DF8D113"/>
    <w:rsid w:val="1E3C67CB"/>
    <w:rsid w:val="1E539AF8"/>
    <w:rsid w:val="1EAAC1B6"/>
    <w:rsid w:val="1EC94A06"/>
    <w:rsid w:val="1EF0A8EA"/>
    <w:rsid w:val="1F035B81"/>
    <w:rsid w:val="1F3AF11B"/>
    <w:rsid w:val="1F68AC33"/>
    <w:rsid w:val="1FEF6B59"/>
    <w:rsid w:val="1FF937F7"/>
    <w:rsid w:val="2015A3CA"/>
    <w:rsid w:val="20274D06"/>
    <w:rsid w:val="203C1C48"/>
    <w:rsid w:val="205748E7"/>
    <w:rsid w:val="20883CC1"/>
    <w:rsid w:val="208ED2D4"/>
    <w:rsid w:val="20D6458A"/>
    <w:rsid w:val="213D4C17"/>
    <w:rsid w:val="213EA90D"/>
    <w:rsid w:val="2147786B"/>
    <w:rsid w:val="216401B1"/>
    <w:rsid w:val="2174088D"/>
    <w:rsid w:val="217A18FA"/>
    <w:rsid w:val="217C17F6"/>
    <w:rsid w:val="219FD5B4"/>
    <w:rsid w:val="21C31D67"/>
    <w:rsid w:val="21D15845"/>
    <w:rsid w:val="2265F20E"/>
    <w:rsid w:val="22710E7C"/>
    <w:rsid w:val="22CDE4FD"/>
    <w:rsid w:val="22E9621E"/>
    <w:rsid w:val="2302F743"/>
    <w:rsid w:val="23147329"/>
    <w:rsid w:val="235EEDC8"/>
    <w:rsid w:val="2373BD0A"/>
    <w:rsid w:val="23DDC202"/>
    <w:rsid w:val="240DE64C"/>
    <w:rsid w:val="24363F1B"/>
    <w:rsid w:val="243EBCD7"/>
    <w:rsid w:val="24566E9B"/>
    <w:rsid w:val="249EC7A4"/>
    <w:rsid w:val="24DA06FD"/>
    <w:rsid w:val="251ED6C2"/>
    <w:rsid w:val="252AAE06"/>
    <w:rsid w:val="25D8D325"/>
    <w:rsid w:val="261002FB"/>
    <w:rsid w:val="263A9805"/>
    <w:rsid w:val="26BA76C9"/>
    <w:rsid w:val="2737E2A4"/>
    <w:rsid w:val="274E7508"/>
    <w:rsid w:val="27D66866"/>
    <w:rsid w:val="27F6098E"/>
    <w:rsid w:val="281A499F"/>
    <w:rsid w:val="281A7773"/>
    <w:rsid w:val="284CCC74"/>
    <w:rsid w:val="28E1576F"/>
    <w:rsid w:val="294ED15F"/>
    <w:rsid w:val="2970ECAC"/>
    <w:rsid w:val="2992B584"/>
    <w:rsid w:val="2A03516C"/>
    <w:rsid w:val="2A30E974"/>
    <w:rsid w:val="2A34356A"/>
    <w:rsid w:val="2A535F68"/>
    <w:rsid w:val="2A74E444"/>
    <w:rsid w:val="2A7D27D0"/>
    <w:rsid w:val="2AA5809F"/>
    <w:rsid w:val="2AD48D46"/>
    <w:rsid w:val="2ADFB93D"/>
    <w:rsid w:val="2AE0E468"/>
    <w:rsid w:val="2B1D1929"/>
    <w:rsid w:val="2B56EBB3"/>
    <w:rsid w:val="2BA1539C"/>
    <w:rsid w:val="2BA3DAFD"/>
    <w:rsid w:val="2C10B4A5"/>
    <w:rsid w:val="2C18F831"/>
    <w:rsid w:val="2C3EAB38"/>
    <w:rsid w:val="2C6726D2"/>
    <w:rsid w:val="2C72CC73"/>
    <w:rsid w:val="2CA9D989"/>
    <w:rsid w:val="2CBF3010"/>
    <w:rsid w:val="2D5D43AC"/>
    <w:rsid w:val="2D9274B1"/>
    <w:rsid w:val="2DB4C892"/>
    <w:rsid w:val="2DC8ECF0"/>
    <w:rsid w:val="2DDE5C22"/>
    <w:rsid w:val="2E18852A"/>
    <w:rsid w:val="2E6A2369"/>
    <w:rsid w:val="2E6ACDF9"/>
    <w:rsid w:val="2EC8F6CE"/>
    <w:rsid w:val="2EFC47BB"/>
    <w:rsid w:val="2F129C82"/>
    <w:rsid w:val="2F395CA6"/>
    <w:rsid w:val="30157D58"/>
    <w:rsid w:val="30B7EC2F"/>
    <w:rsid w:val="30F4D2CC"/>
    <w:rsid w:val="312D75F6"/>
    <w:rsid w:val="31717202"/>
    <w:rsid w:val="31A023B6"/>
    <w:rsid w:val="31B14DB9"/>
    <w:rsid w:val="31D37964"/>
    <w:rsid w:val="320ABC00"/>
    <w:rsid w:val="32A70D3F"/>
    <w:rsid w:val="32C97C79"/>
    <w:rsid w:val="32D232E4"/>
    <w:rsid w:val="3308B318"/>
    <w:rsid w:val="338F9BC0"/>
    <w:rsid w:val="340A2FB6"/>
    <w:rsid w:val="345650D7"/>
    <w:rsid w:val="34586319"/>
    <w:rsid w:val="345F982E"/>
    <w:rsid w:val="34648390"/>
    <w:rsid w:val="346E0345"/>
    <w:rsid w:val="348D733F"/>
    <w:rsid w:val="34D3329F"/>
    <w:rsid w:val="3508001E"/>
    <w:rsid w:val="350CBE05"/>
    <w:rsid w:val="3523DB60"/>
    <w:rsid w:val="354187D7"/>
    <w:rsid w:val="356B7172"/>
    <w:rsid w:val="35B062F6"/>
    <w:rsid w:val="35CEA46E"/>
    <w:rsid w:val="35DA95F5"/>
    <w:rsid w:val="35DC4594"/>
    <w:rsid w:val="35F6E475"/>
    <w:rsid w:val="35FA6B00"/>
    <w:rsid w:val="362C2E51"/>
    <w:rsid w:val="365A3FBE"/>
    <w:rsid w:val="366718E9"/>
    <w:rsid w:val="36762AE7"/>
    <w:rsid w:val="36945801"/>
    <w:rsid w:val="36CF9272"/>
    <w:rsid w:val="36D3F05E"/>
    <w:rsid w:val="36DF8429"/>
    <w:rsid w:val="36ED6850"/>
    <w:rsid w:val="370F50E0"/>
    <w:rsid w:val="37209153"/>
    <w:rsid w:val="3728AEBA"/>
    <w:rsid w:val="372BEE23"/>
    <w:rsid w:val="38096ACA"/>
    <w:rsid w:val="38177E73"/>
    <w:rsid w:val="383B6F72"/>
    <w:rsid w:val="387B548A"/>
    <w:rsid w:val="38A31234"/>
    <w:rsid w:val="38A57014"/>
    <w:rsid w:val="38DA18DE"/>
    <w:rsid w:val="3902BBF1"/>
    <w:rsid w:val="39424BD1"/>
    <w:rsid w:val="3984CF34"/>
    <w:rsid w:val="39A40E9A"/>
    <w:rsid w:val="39C01D38"/>
    <w:rsid w:val="39D73FD3"/>
    <w:rsid w:val="39F0583D"/>
    <w:rsid w:val="3A04CDB1"/>
    <w:rsid w:val="3A2DBDA3"/>
    <w:rsid w:val="3A7F6031"/>
    <w:rsid w:val="3AE5F6E4"/>
    <w:rsid w:val="3AFD438D"/>
    <w:rsid w:val="3B1EB3ED"/>
    <w:rsid w:val="3B59C2FF"/>
    <w:rsid w:val="3BC98E04"/>
    <w:rsid w:val="3BCDBAF6"/>
    <w:rsid w:val="3C061A4A"/>
    <w:rsid w:val="3C17D8FD"/>
    <w:rsid w:val="3CC5E279"/>
    <w:rsid w:val="3D1332A0"/>
    <w:rsid w:val="3D224121"/>
    <w:rsid w:val="3DB362C4"/>
    <w:rsid w:val="3DED5217"/>
    <w:rsid w:val="3E07EB14"/>
    <w:rsid w:val="3E1F4CC3"/>
    <w:rsid w:val="3E5533D5"/>
    <w:rsid w:val="3E6E6BFD"/>
    <w:rsid w:val="3E764F88"/>
    <w:rsid w:val="3ECDDFC1"/>
    <w:rsid w:val="3ED27AE7"/>
    <w:rsid w:val="3F20B9BC"/>
    <w:rsid w:val="3F3F58F3"/>
    <w:rsid w:val="3F6085AC"/>
    <w:rsid w:val="3F6AB15B"/>
    <w:rsid w:val="3FAC4E78"/>
    <w:rsid w:val="3FB18D55"/>
    <w:rsid w:val="3FBB1D24"/>
    <w:rsid w:val="3FE6C6E4"/>
    <w:rsid w:val="4013D0FA"/>
    <w:rsid w:val="403284F4"/>
    <w:rsid w:val="40415753"/>
    <w:rsid w:val="40DB2954"/>
    <w:rsid w:val="41158AC0"/>
    <w:rsid w:val="4134F20D"/>
    <w:rsid w:val="415E1F0D"/>
    <w:rsid w:val="417AD466"/>
    <w:rsid w:val="418529AE"/>
    <w:rsid w:val="41A2EE78"/>
    <w:rsid w:val="41BEAABB"/>
    <w:rsid w:val="41CE5555"/>
    <w:rsid w:val="4262B91E"/>
    <w:rsid w:val="42A10265"/>
    <w:rsid w:val="42B87841"/>
    <w:rsid w:val="42C2A190"/>
    <w:rsid w:val="42C84E1D"/>
    <w:rsid w:val="4307AC99"/>
    <w:rsid w:val="43247BE0"/>
    <w:rsid w:val="436B28C5"/>
    <w:rsid w:val="437BFDCD"/>
    <w:rsid w:val="43922D43"/>
    <w:rsid w:val="43CD517D"/>
    <w:rsid w:val="43F899D8"/>
    <w:rsid w:val="4465339D"/>
    <w:rsid w:val="4471E50C"/>
    <w:rsid w:val="4495BFCF"/>
    <w:rsid w:val="4499D0B7"/>
    <w:rsid w:val="44B1D3DA"/>
    <w:rsid w:val="44C1D54F"/>
    <w:rsid w:val="4578850E"/>
    <w:rsid w:val="457C98C5"/>
    <w:rsid w:val="457DEB02"/>
    <w:rsid w:val="45D61549"/>
    <w:rsid w:val="45E9D35B"/>
    <w:rsid w:val="462D4F04"/>
    <w:rsid w:val="468E4051"/>
    <w:rsid w:val="472BA1B1"/>
    <w:rsid w:val="4738D487"/>
    <w:rsid w:val="475FE1C8"/>
    <w:rsid w:val="478ED663"/>
    <w:rsid w:val="47ADAD6A"/>
    <w:rsid w:val="47AE0E69"/>
    <w:rsid w:val="484C6938"/>
    <w:rsid w:val="48853981"/>
    <w:rsid w:val="48998D29"/>
    <w:rsid w:val="48B025D0"/>
    <w:rsid w:val="48E83B5A"/>
    <w:rsid w:val="48F956FE"/>
    <w:rsid w:val="491F2509"/>
    <w:rsid w:val="495B3007"/>
    <w:rsid w:val="49659188"/>
    <w:rsid w:val="49853B47"/>
    <w:rsid w:val="4990B4B3"/>
    <w:rsid w:val="49AF56D1"/>
    <w:rsid w:val="49D48B53"/>
    <w:rsid w:val="4A28B313"/>
    <w:rsid w:val="4A791AF1"/>
    <w:rsid w:val="4A93FA8F"/>
    <w:rsid w:val="4A95F98B"/>
    <w:rsid w:val="4AB9C58C"/>
    <w:rsid w:val="4B33142D"/>
    <w:rsid w:val="4B448574"/>
    <w:rsid w:val="4B66A79F"/>
    <w:rsid w:val="4B69ED1E"/>
    <w:rsid w:val="4B705BB4"/>
    <w:rsid w:val="4B8409FA"/>
    <w:rsid w:val="4BE7C692"/>
    <w:rsid w:val="4C31C9EC"/>
    <w:rsid w:val="4C5E7F59"/>
    <w:rsid w:val="4C742DAE"/>
    <w:rsid w:val="4C7EC993"/>
    <w:rsid w:val="4C8C8488"/>
    <w:rsid w:val="4CBA1E1A"/>
    <w:rsid w:val="4CF01DA6"/>
    <w:rsid w:val="4CFC6793"/>
    <w:rsid w:val="4D0C2C15"/>
    <w:rsid w:val="4D1FDA5B"/>
    <w:rsid w:val="4D799F6D"/>
    <w:rsid w:val="4D836FB5"/>
    <w:rsid w:val="4D9B6EEB"/>
    <w:rsid w:val="4DA2703C"/>
    <w:rsid w:val="4DCD9A4D"/>
    <w:rsid w:val="4E1B2FCA"/>
    <w:rsid w:val="4E2854E9"/>
    <w:rsid w:val="4E3D192C"/>
    <w:rsid w:val="4E3F840D"/>
    <w:rsid w:val="4E9837F4"/>
    <w:rsid w:val="4EA646F7"/>
    <w:rsid w:val="4ED5D9D0"/>
    <w:rsid w:val="4F1F6754"/>
    <w:rsid w:val="4F74C52D"/>
    <w:rsid w:val="5003CF81"/>
    <w:rsid w:val="5022903E"/>
    <w:rsid w:val="50549466"/>
    <w:rsid w:val="507DAB11"/>
    <w:rsid w:val="508E851B"/>
    <w:rsid w:val="50C729DB"/>
    <w:rsid w:val="51033C13"/>
    <w:rsid w:val="515D9D26"/>
    <w:rsid w:val="51846C11"/>
    <w:rsid w:val="51B2F757"/>
    <w:rsid w:val="51CA9EBF"/>
    <w:rsid w:val="51D9711E"/>
    <w:rsid w:val="522A557C"/>
    <w:rsid w:val="52690159"/>
    <w:rsid w:val="527D389B"/>
    <w:rsid w:val="52C92B4F"/>
    <w:rsid w:val="52C9747C"/>
    <w:rsid w:val="52F76539"/>
    <w:rsid w:val="531F688F"/>
    <w:rsid w:val="5321DDD3"/>
    <w:rsid w:val="533414C9"/>
    <w:rsid w:val="533D2C3E"/>
    <w:rsid w:val="536DAFF6"/>
    <w:rsid w:val="53B54BD3"/>
    <w:rsid w:val="53C55C28"/>
    <w:rsid w:val="53F6DE2B"/>
    <w:rsid w:val="5416C423"/>
    <w:rsid w:val="5457BDDE"/>
    <w:rsid w:val="5464FBB0"/>
    <w:rsid w:val="548D4C0C"/>
    <w:rsid w:val="54B2F572"/>
    <w:rsid w:val="55006205"/>
    <w:rsid w:val="550D993C"/>
    <w:rsid w:val="551700D7"/>
    <w:rsid w:val="55511C34"/>
    <w:rsid w:val="555B3295"/>
    <w:rsid w:val="55707DFB"/>
    <w:rsid w:val="557A7691"/>
    <w:rsid w:val="55F38E3F"/>
    <w:rsid w:val="5600CC11"/>
    <w:rsid w:val="566BB58B"/>
    <w:rsid w:val="567A3EE8"/>
    <w:rsid w:val="56A95A46"/>
    <w:rsid w:val="56E3CE6B"/>
    <w:rsid w:val="56ECEC95"/>
    <w:rsid w:val="570C4E5C"/>
    <w:rsid w:val="5731E33A"/>
    <w:rsid w:val="5750A160"/>
    <w:rsid w:val="5812F5A2"/>
    <w:rsid w:val="582789C3"/>
    <w:rsid w:val="583CF20D"/>
    <w:rsid w:val="5851522B"/>
    <w:rsid w:val="58783AF6"/>
    <w:rsid w:val="58CFD37E"/>
    <w:rsid w:val="5902EE5C"/>
    <w:rsid w:val="592B2F01"/>
    <w:rsid w:val="59AEC603"/>
    <w:rsid w:val="59C35A24"/>
    <w:rsid w:val="59CD1D6F"/>
    <w:rsid w:val="59DC8281"/>
    <w:rsid w:val="59DD9DB4"/>
    <w:rsid w:val="5A492DFB"/>
    <w:rsid w:val="5A52BDCA"/>
    <w:rsid w:val="5AC3728C"/>
    <w:rsid w:val="5AFEB5E1"/>
    <w:rsid w:val="5B04A356"/>
    <w:rsid w:val="5B1FAB49"/>
    <w:rsid w:val="5B5F2A85"/>
    <w:rsid w:val="5B96FDCE"/>
    <w:rsid w:val="5BA8AA1D"/>
    <w:rsid w:val="5BBA24EF"/>
    <w:rsid w:val="5BCA7419"/>
    <w:rsid w:val="5BD5530B"/>
    <w:rsid w:val="5BF17E87"/>
    <w:rsid w:val="5C32FCA2"/>
    <w:rsid w:val="5C465070"/>
    <w:rsid w:val="5C47EF5F"/>
    <w:rsid w:val="5C63681D"/>
    <w:rsid w:val="5C738B9B"/>
    <w:rsid w:val="5CB65B80"/>
    <w:rsid w:val="5CCE6A31"/>
    <w:rsid w:val="5CFAFAE6"/>
    <w:rsid w:val="5D05A9B2"/>
    <w:rsid w:val="5D66447A"/>
    <w:rsid w:val="5D8D4EE8"/>
    <w:rsid w:val="5DCF4951"/>
    <w:rsid w:val="5DFF387E"/>
    <w:rsid w:val="5E4B2A33"/>
    <w:rsid w:val="5E733834"/>
    <w:rsid w:val="5ED19438"/>
    <w:rsid w:val="5EFFB4FC"/>
    <w:rsid w:val="5F0504D8"/>
    <w:rsid w:val="5F2B9ABC"/>
    <w:rsid w:val="5F798ADB"/>
    <w:rsid w:val="5F89F92C"/>
    <w:rsid w:val="5F9B08DF"/>
    <w:rsid w:val="5FA26339"/>
    <w:rsid w:val="5FC7D915"/>
    <w:rsid w:val="603BB1AA"/>
    <w:rsid w:val="60517E42"/>
    <w:rsid w:val="605C99EF"/>
    <w:rsid w:val="6094AE3C"/>
    <w:rsid w:val="60C1E3BD"/>
    <w:rsid w:val="60C23A81"/>
    <w:rsid w:val="60F9CC7E"/>
    <w:rsid w:val="6175739B"/>
    <w:rsid w:val="61A9C772"/>
    <w:rsid w:val="61C3D0EE"/>
    <w:rsid w:val="61F3FA73"/>
    <w:rsid w:val="621F3A11"/>
    <w:rsid w:val="622A48BD"/>
    <w:rsid w:val="6239B59D"/>
    <w:rsid w:val="6239B6D6"/>
    <w:rsid w:val="6240B363"/>
    <w:rsid w:val="6250DB83"/>
    <w:rsid w:val="639352CF"/>
    <w:rsid w:val="63CE7468"/>
    <w:rsid w:val="645C06D9"/>
    <w:rsid w:val="646D87E9"/>
    <w:rsid w:val="64925D3F"/>
    <w:rsid w:val="64A60A33"/>
    <w:rsid w:val="64A8330E"/>
    <w:rsid w:val="6515A0C4"/>
    <w:rsid w:val="6526DFB6"/>
    <w:rsid w:val="652B9B35"/>
    <w:rsid w:val="652F2330"/>
    <w:rsid w:val="6538ABA8"/>
    <w:rsid w:val="6589770A"/>
    <w:rsid w:val="65F2C54D"/>
    <w:rsid w:val="66119F8F"/>
    <w:rsid w:val="666ACCEF"/>
    <w:rsid w:val="67187479"/>
    <w:rsid w:val="6796242B"/>
    <w:rsid w:val="67B05A2D"/>
    <w:rsid w:val="67B77B01"/>
    <w:rsid w:val="67FE5085"/>
    <w:rsid w:val="68EA0DC5"/>
    <w:rsid w:val="68FBC67C"/>
    <w:rsid w:val="691764D0"/>
    <w:rsid w:val="6920D838"/>
    <w:rsid w:val="695C6897"/>
    <w:rsid w:val="697BA431"/>
    <w:rsid w:val="69C8F9F0"/>
    <w:rsid w:val="69FACC65"/>
    <w:rsid w:val="6A292B33"/>
    <w:rsid w:val="6A6E2B08"/>
    <w:rsid w:val="6A70CF1A"/>
    <w:rsid w:val="6A7F6873"/>
    <w:rsid w:val="6A990CDB"/>
    <w:rsid w:val="6A9FE0BB"/>
    <w:rsid w:val="6AAA9E46"/>
    <w:rsid w:val="6B0DA0D1"/>
    <w:rsid w:val="6B56DE0F"/>
    <w:rsid w:val="6B57A66E"/>
    <w:rsid w:val="6B754E4F"/>
    <w:rsid w:val="6BDF9031"/>
    <w:rsid w:val="6BEE6F32"/>
    <w:rsid w:val="6C030FAC"/>
    <w:rsid w:val="6C23FFCE"/>
    <w:rsid w:val="6C2A2C2D"/>
    <w:rsid w:val="6C5B2F6F"/>
    <w:rsid w:val="6C8100C7"/>
    <w:rsid w:val="6C924721"/>
    <w:rsid w:val="6CE36232"/>
    <w:rsid w:val="6D111EB0"/>
    <w:rsid w:val="6D2D5395"/>
    <w:rsid w:val="6D2E8BFD"/>
    <w:rsid w:val="6D3BC459"/>
    <w:rsid w:val="6D3C6ABC"/>
    <w:rsid w:val="6D766F1B"/>
    <w:rsid w:val="6D77DF48"/>
    <w:rsid w:val="6D98FA4B"/>
    <w:rsid w:val="6DCBB56F"/>
    <w:rsid w:val="6E305642"/>
    <w:rsid w:val="6E43ECE9"/>
    <w:rsid w:val="6E702C70"/>
    <w:rsid w:val="6ED3D0C2"/>
    <w:rsid w:val="6F4FF616"/>
    <w:rsid w:val="6F92D031"/>
    <w:rsid w:val="6F970272"/>
    <w:rsid w:val="6F9C8977"/>
    <w:rsid w:val="6FAD07F3"/>
    <w:rsid w:val="6FB1520F"/>
    <w:rsid w:val="7036BF87"/>
    <w:rsid w:val="705B5BC4"/>
    <w:rsid w:val="707AD21D"/>
    <w:rsid w:val="70E0109E"/>
    <w:rsid w:val="71004908"/>
    <w:rsid w:val="717ECB3D"/>
    <w:rsid w:val="7191308D"/>
    <w:rsid w:val="71EAE573"/>
    <w:rsid w:val="725DE28C"/>
    <w:rsid w:val="727BF99C"/>
    <w:rsid w:val="72B3AE2F"/>
    <w:rsid w:val="72C41EBD"/>
    <w:rsid w:val="72E8964A"/>
    <w:rsid w:val="73EA99F0"/>
    <w:rsid w:val="73F5EF6C"/>
    <w:rsid w:val="742F7FDC"/>
    <w:rsid w:val="7434D51C"/>
    <w:rsid w:val="744F7E90"/>
    <w:rsid w:val="746D44EC"/>
    <w:rsid w:val="7495A803"/>
    <w:rsid w:val="74982C6C"/>
    <w:rsid w:val="74A3753D"/>
    <w:rsid w:val="74AD1C01"/>
    <w:rsid w:val="74AF398B"/>
    <w:rsid w:val="74AF3D6E"/>
    <w:rsid w:val="74C53906"/>
    <w:rsid w:val="74EB0F80"/>
    <w:rsid w:val="74F5A0E0"/>
    <w:rsid w:val="751D7F8F"/>
    <w:rsid w:val="755BF4FB"/>
    <w:rsid w:val="75BA0751"/>
    <w:rsid w:val="75CB6EEC"/>
    <w:rsid w:val="760EBAB0"/>
    <w:rsid w:val="76161A60"/>
    <w:rsid w:val="766E23A2"/>
    <w:rsid w:val="76CACAEE"/>
    <w:rsid w:val="7706BECF"/>
    <w:rsid w:val="771A629C"/>
    <w:rsid w:val="7739CD0C"/>
    <w:rsid w:val="7749F082"/>
    <w:rsid w:val="7759589E"/>
    <w:rsid w:val="7778369E"/>
    <w:rsid w:val="77BC63F4"/>
    <w:rsid w:val="77C676ED"/>
    <w:rsid w:val="77ED131E"/>
    <w:rsid w:val="77FDE520"/>
    <w:rsid w:val="7837925F"/>
    <w:rsid w:val="78992165"/>
    <w:rsid w:val="78ADB378"/>
    <w:rsid w:val="78B3C9DD"/>
    <w:rsid w:val="78DD53CD"/>
    <w:rsid w:val="78F1B9A5"/>
    <w:rsid w:val="79251E56"/>
    <w:rsid w:val="796D5665"/>
    <w:rsid w:val="799C5EDD"/>
    <w:rsid w:val="79C2AAF4"/>
    <w:rsid w:val="79D8507B"/>
    <w:rsid w:val="79ECF423"/>
    <w:rsid w:val="7A2C1536"/>
    <w:rsid w:val="7A32A985"/>
    <w:rsid w:val="7A38E95F"/>
    <w:rsid w:val="7A4F9A3E"/>
    <w:rsid w:val="7A79242E"/>
    <w:rsid w:val="7ABC3746"/>
    <w:rsid w:val="7AEE33FB"/>
    <w:rsid w:val="7B1C5D85"/>
    <w:rsid w:val="7B342655"/>
    <w:rsid w:val="7BD21178"/>
    <w:rsid w:val="7BEB6A9F"/>
    <w:rsid w:val="7BF8D5A3"/>
    <w:rsid w:val="7C4C499A"/>
    <w:rsid w:val="7C92C639"/>
    <w:rsid w:val="7C954F2E"/>
    <w:rsid w:val="7CB166EC"/>
    <w:rsid w:val="7CCEDD22"/>
    <w:rsid w:val="7CE3147D"/>
    <w:rsid w:val="7CE48B8C"/>
    <w:rsid w:val="7D6A69A7"/>
    <w:rsid w:val="7D86D0F3"/>
    <w:rsid w:val="7DA452E3"/>
    <w:rsid w:val="7DA7FDC4"/>
    <w:rsid w:val="7DF6B48F"/>
    <w:rsid w:val="7E2BEF94"/>
    <w:rsid w:val="7E52A603"/>
    <w:rsid w:val="7E95B479"/>
    <w:rsid w:val="7ECD667B"/>
    <w:rsid w:val="7F1FA5BB"/>
    <w:rsid w:val="7F239011"/>
    <w:rsid w:val="7F312AC7"/>
    <w:rsid w:val="7F4F15C2"/>
    <w:rsid w:val="7FC0EE59"/>
    <w:rsid w:val="7FE8A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ECD667B"/>
  <w15:chartTrackingRefBased/>
  <w15:docId w15:val="{CF123935-7550-4880-A3AA-927F278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F1B"/>
  </w:style>
  <w:style w:type="paragraph" w:styleId="Heading2">
    <w:name w:val="heading 2"/>
    <w:basedOn w:val="Normal"/>
    <w:next w:val="Normal"/>
    <w:link w:val="Heading2Char"/>
    <w:uiPriority w:val="9"/>
    <w:unhideWhenUsed/>
    <w:qFormat/>
    <w:rsid w:val="002471FF"/>
    <w:pPr>
      <w:keepNext/>
      <w:keepLines/>
      <w:numPr>
        <w:numId w:val="5"/>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2471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imesNewRoman">
    <w:name w:val="Normal Times New Roman"/>
    <w:basedOn w:val="Normal"/>
    <w:link w:val="NormalTimesNewRomanChar"/>
    <w:qFormat/>
    <w:rsid w:val="74982C6C"/>
    <w:pPr>
      <w:jc w:val="both"/>
    </w:pPr>
    <w:rPr>
      <w:rFonts w:ascii="Times New Roman" w:eastAsia="Times New Roman" w:hAnsi="Times New Roman" w:cs="Times New Roman"/>
      <w:sz w:val="24"/>
      <w:szCs w:val="24"/>
    </w:rPr>
  </w:style>
  <w:style w:type="paragraph" w:customStyle="1" w:styleId="Style1">
    <w:name w:val="Style1"/>
    <w:basedOn w:val="Normal"/>
    <w:link w:val="Style1Char"/>
    <w:qFormat/>
    <w:rsid w:val="74982C6C"/>
    <w:pPr>
      <w:keepNext/>
      <w:numPr>
        <w:numId w:val="3"/>
      </w:numPr>
      <w:spacing w:before="240" w:after="0"/>
      <w:outlineLvl w:val="0"/>
    </w:pPr>
    <w:rPr>
      <w:rFonts w:ascii="Times New Roman" w:eastAsia="Times New Roman" w:hAnsi="Times New Roman" w:cs="Times New Roman"/>
      <w:b/>
      <w:bCs/>
      <w:sz w:val="24"/>
      <w:szCs w:val="24"/>
    </w:rPr>
  </w:style>
  <w:style w:type="character" w:customStyle="1" w:styleId="Style1Char">
    <w:name w:val="Style1 Char"/>
    <w:basedOn w:val="DefaultParagraphFont"/>
    <w:link w:val="Style1"/>
    <w:rsid w:val="74982C6C"/>
    <w:rPr>
      <w:rFonts w:ascii="Times New Roman" w:eastAsia="Times New Roman" w:hAnsi="Times New Roman" w:cs="Times New Roman"/>
      <w:b/>
      <w:bCs/>
      <w:sz w:val="24"/>
      <w:szCs w:val="24"/>
    </w:rPr>
  </w:style>
  <w:style w:type="character" w:customStyle="1" w:styleId="NormalTimesNewRomanChar">
    <w:name w:val="Normal Times New Roman Char"/>
    <w:basedOn w:val="DefaultParagraphFont"/>
    <w:link w:val="NormalTimesNewRoman"/>
    <w:rsid w:val="74982C6C"/>
    <w:rPr>
      <w:rFonts w:ascii="Times New Roman" w:eastAsia="Times New Roman" w:hAnsi="Times New Roman" w:cs="Times New Roman"/>
      <w:noProof w:val="0"/>
      <w:sz w:val="24"/>
      <w:szCs w:val="24"/>
      <w:lang w:val="ro-RO"/>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A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F7B3B"/>
    <w:rPr>
      <w:b/>
      <w:bCs/>
    </w:rPr>
  </w:style>
  <w:style w:type="character" w:customStyle="1" w:styleId="CommentSubjectChar">
    <w:name w:val="Comment Subject Char"/>
    <w:basedOn w:val="CommentTextChar"/>
    <w:link w:val="CommentSubject"/>
    <w:uiPriority w:val="99"/>
    <w:semiHidden/>
    <w:rsid w:val="00DF7B3B"/>
    <w:rPr>
      <w:b/>
      <w:bCs/>
      <w:sz w:val="20"/>
      <w:szCs w:val="20"/>
    </w:rPr>
  </w:style>
  <w:style w:type="character" w:customStyle="1" w:styleId="Heading2Char">
    <w:name w:val="Heading 2 Char"/>
    <w:basedOn w:val="DefaultParagraphFont"/>
    <w:link w:val="Heading2"/>
    <w:uiPriority w:val="9"/>
    <w:rsid w:val="002471FF"/>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2471FF"/>
    <w:pPr>
      <w:spacing w:after="100"/>
      <w:ind w:left="220"/>
    </w:pPr>
  </w:style>
  <w:style w:type="character" w:customStyle="1" w:styleId="Heading3Char">
    <w:name w:val="Heading 3 Char"/>
    <w:basedOn w:val="DefaultParagraphFont"/>
    <w:link w:val="Heading3"/>
    <w:uiPriority w:val="9"/>
    <w:rsid w:val="002471FF"/>
    <w:rPr>
      <w:rFonts w:asciiTheme="majorHAnsi" w:eastAsiaTheme="majorEastAsia" w:hAnsiTheme="majorHAnsi" w:cstheme="majorBidi"/>
      <w:color w:val="1F3763" w:themeColor="accent1" w:themeShade="7F"/>
      <w:sz w:val="24"/>
      <w:szCs w:val="24"/>
    </w:rPr>
  </w:style>
  <w:style w:type="table" w:customStyle="1" w:styleId="EnergyReportTable">
    <w:name w:val="Energy Report Table"/>
    <w:basedOn w:val="TableNormal"/>
    <w:uiPriority w:val="99"/>
    <w:qFormat/>
    <w:rsid w:val="00361E3C"/>
    <w:pPr>
      <w:spacing w:before="40" w:after="40" w:line="240" w:lineRule="auto"/>
    </w:pPr>
    <w:rPr>
      <w:rFonts w:ascii="Arial" w:eastAsia="Times New Roman" w:hAnsi="Arial" w:cs="Times New Roman"/>
      <w:sz w:val="20"/>
      <w:szCs w:val="20"/>
    </w:rPr>
    <w:tblPr>
      <w:tblStyleRowBandSize w:val="1"/>
      <w:jc w:val="center"/>
      <w:tblBorders>
        <w:bottom w:val="single" w:sz="8" w:space="0" w:color="555759"/>
        <w:insideH w:val="single" w:sz="4" w:space="0" w:color="DCDDDE"/>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hAnsi="Roboto"/>
        <w:b/>
      </w:rPr>
      <w:tblPr/>
      <w:tcPr>
        <w:tcBorders>
          <w:top w:val="double" w:sz="4" w:space="0" w:color="545759"/>
          <w:bottom w:val="single" w:sz="4" w:space="0" w:color="545759"/>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table" w:styleId="ListTable6Colorful-Accent3">
    <w:name w:val="List Table 6 Colorful Accent 3"/>
    <w:basedOn w:val="TableNormal"/>
    <w:uiPriority w:val="51"/>
    <w:rsid w:val="00361E3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361E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nhideWhenUsed/>
    <w:qFormat/>
    <w:rsid w:val="007E484F"/>
    <w:pPr>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7E484F"/>
    <w:rPr>
      <w:rFonts w:ascii="Arial" w:eastAsia="Times New Roman" w:hAnsi="Arial" w:cs="Times New Roman"/>
      <w:szCs w:val="20"/>
    </w:rPr>
  </w:style>
  <w:style w:type="table" w:styleId="GridTable4">
    <w:name w:val="Grid Table 4"/>
    <w:basedOn w:val="TableNormal"/>
    <w:uiPriority w:val="49"/>
    <w:rsid w:val="006261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261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5">
    <w:name w:val="Plain Table 5"/>
    <w:basedOn w:val="TableNormal"/>
    <w:uiPriority w:val="45"/>
    <w:rsid w:val="00245E3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B73F1"/>
    <w:pPr>
      <w:spacing w:after="0" w:line="240" w:lineRule="auto"/>
    </w:pPr>
  </w:style>
  <w:style w:type="character" w:customStyle="1" w:styleId="Marker">
    <w:name w:val="Marker"/>
    <w:basedOn w:val="DefaultParagraphFont"/>
    <w:rsid w:val="00CD6E84"/>
    <w:rPr>
      <w:color w:val="0000FF"/>
      <w:shd w:val="clear" w:color="auto" w:fill="auto"/>
    </w:rPr>
  </w:style>
  <w:style w:type="paragraph" w:customStyle="1" w:styleId="Pagedecouverture">
    <w:name w:val="Page de couverture"/>
    <w:basedOn w:val="Normal"/>
    <w:next w:val="Normal"/>
    <w:rsid w:val="00CD6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D6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6E84"/>
    <w:rPr>
      <w:rFonts w:ascii="Times New Roman" w:hAnsi="Times New Roman" w:cs="Times New Roman"/>
      <w:sz w:val="24"/>
    </w:rPr>
  </w:style>
  <w:style w:type="paragraph" w:customStyle="1" w:styleId="FooterSensitivity">
    <w:name w:val="Footer Sensitivity"/>
    <w:basedOn w:val="Normal"/>
    <w:link w:val="FooterSensitivityChar"/>
    <w:rsid w:val="00CD6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6E84"/>
    <w:rPr>
      <w:rFonts w:ascii="Times New Roman" w:hAnsi="Times New Roman" w:cs="Times New Roman"/>
      <w:b/>
      <w:sz w:val="32"/>
    </w:rPr>
  </w:style>
  <w:style w:type="paragraph" w:customStyle="1" w:styleId="HeaderCoverPage">
    <w:name w:val="Header Cover Page"/>
    <w:basedOn w:val="Normal"/>
    <w:link w:val="HeaderCoverPageChar"/>
    <w:rsid w:val="00CD6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6E84"/>
    <w:rPr>
      <w:rFonts w:ascii="Times New Roman" w:hAnsi="Times New Roman" w:cs="Times New Roman"/>
      <w:sz w:val="24"/>
    </w:rPr>
  </w:style>
  <w:style w:type="paragraph" w:customStyle="1" w:styleId="HeaderSensitivity">
    <w:name w:val="Header Sensitivity"/>
    <w:basedOn w:val="Normal"/>
    <w:link w:val="HeaderSensitivityChar"/>
    <w:rsid w:val="00CD6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6E84"/>
    <w:rPr>
      <w:rFonts w:ascii="Times New Roman" w:hAnsi="Times New Roman" w:cs="Times New Roman"/>
      <w:b/>
      <w:sz w:val="32"/>
    </w:rPr>
  </w:style>
  <w:style w:type="paragraph" w:customStyle="1" w:styleId="HeaderSensitivityRight">
    <w:name w:val="Header Sensitivity Right"/>
    <w:basedOn w:val="Normal"/>
    <w:link w:val="HeaderSensitivityRightChar"/>
    <w:rsid w:val="00CD6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6E84"/>
    <w:rPr>
      <w:rFonts w:ascii="Times New Roman" w:hAnsi="Times New Roman" w:cs="Times New Roman"/>
      <w:sz w:val="28"/>
    </w:rPr>
  </w:style>
  <w:style w:type="table" w:customStyle="1" w:styleId="ESIReport2">
    <w:name w:val="ESI Report 2"/>
    <w:basedOn w:val="TableNormal"/>
    <w:uiPriority w:val="99"/>
    <w:rsid w:val="00BB5FB1"/>
    <w:pPr>
      <w:spacing w:before="40" w:after="40" w:line="240" w:lineRule="auto"/>
    </w:pPr>
    <w:rPr>
      <w:rFonts w:ascii="Arial" w:eastAsia="Times New Roman" w:hAnsi="Arial" w:cs="Times New Roman"/>
      <w:sz w:val="20"/>
      <w:szCs w:val="20"/>
    </w:rPr>
    <w:tblPr>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rPr>
      <w:jc w:val="center"/>
    </w:trPr>
    <w:tcPr>
      <w:vAlign w:val="center"/>
    </w:tcPr>
    <w:tblStylePr w:type="firstRow">
      <w:rPr>
        <w:b/>
        <w:color w:val="auto"/>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93D500"/>
      </w:tcPr>
    </w:tblStylePr>
    <w:tblStylePr w:type="lastRow">
      <w:rPr>
        <w:b/>
      </w:rPr>
      <w:tblPr/>
      <w:tcPr>
        <w:tcBorders>
          <w:top w:val="double" w:sz="4" w:space="0" w:color="7F7F7F"/>
          <w:left w:val="single" w:sz="4" w:space="0" w:color="7F7F7F"/>
          <w:bottom w:val="single" w:sz="8" w:space="0" w:color="7F7F7F"/>
          <w:right w:val="single" w:sz="4" w:space="0" w:color="7F7F7F"/>
          <w:insideH w:val="nil"/>
          <w:insideV w:val="single" w:sz="4" w:space="0" w:color="7F7F7F"/>
          <w:tl2br w:val="nil"/>
          <w:tr2bl w:val="nil"/>
        </w:tcBorders>
      </w:tcPr>
    </w:tblStylePr>
  </w:style>
  <w:style w:type="paragraph" w:customStyle="1" w:styleId="paragraph">
    <w:name w:val="paragraph"/>
    <w:basedOn w:val="Normal"/>
    <w:rsid w:val="009909F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909F5"/>
  </w:style>
  <w:style w:type="character" w:customStyle="1" w:styleId="eop">
    <w:name w:val="eop"/>
    <w:basedOn w:val="DefaultParagraphFont"/>
    <w:rsid w:val="009909F5"/>
  </w:style>
  <w:style w:type="paragraph" w:customStyle="1" w:styleId="Languesfaisantfoi">
    <w:name w:val="Langues faisant foi"/>
    <w:basedOn w:val="Normal"/>
    <w:next w:val="Normal"/>
    <w:rsid w:val="007718C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718C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718CA"/>
    <w:pPr>
      <w:spacing w:after="0"/>
    </w:pPr>
  </w:style>
  <w:style w:type="paragraph" w:customStyle="1" w:styleId="IntrtEEEPagedecouverture">
    <w:name w:val="Intérêt EEE (Page de couverture)"/>
    <w:basedOn w:val="IntrtEEE"/>
    <w:next w:val="Normal"/>
    <w:rsid w:val="007718CA"/>
  </w:style>
  <w:style w:type="character" w:customStyle="1" w:styleId="UnresolvedMention">
    <w:name w:val="Unresolved Mention"/>
    <w:basedOn w:val="DefaultParagraphFont"/>
    <w:uiPriority w:val="99"/>
    <w:semiHidden/>
    <w:unhideWhenUsed/>
    <w:rsid w:val="007F57F9"/>
    <w:rPr>
      <w:color w:val="605E5C"/>
      <w:shd w:val="clear" w:color="auto" w:fill="E1DFDD"/>
    </w:rPr>
  </w:style>
  <w:style w:type="table" w:customStyle="1" w:styleId="EnergyReportTable1">
    <w:name w:val="Energy Report Table1"/>
    <w:basedOn w:val="TableNormal"/>
    <w:uiPriority w:val="99"/>
    <w:qFormat/>
    <w:rsid w:val="00F165B3"/>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2">
    <w:name w:val="Energy Report Table2"/>
    <w:basedOn w:val="TableNormal"/>
    <w:uiPriority w:val="99"/>
    <w:qFormat/>
    <w:rsid w:val="005D36CE"/>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3">
    <w:name w:val="Energy Report Table3"/>
    <w:basedOn w:val="TableNormal"/>
    <w:uiPriority w:val="99"/>
    <w:qFormat/>
    <w:rsid w:val="004B76D2"/>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character" w:customStyle="1" w:styleId="Mention">
    <w:name w:val="Mention"/>
    <w:basedOn w:val="DefaultParagraphFont"/>
    <w:uiPriority w:val="99"/>
    <w:unhideWhenUsed/>
    <w:rsid w:val="00A471D9"/>
    <w:rPr>
      <w:color w:val="2B579A"/>
      <w:shd w:val="clear" w:color="auto" w:fill="E1DFDD"/>
    </w:rPr>
  </w:style>
  <w:style w:type="paragraph" w:styleId="NormalWeb">
    <w:name w:val="Normal (Web)"/>
    <w:basedOn w:val="Normal"/>
    <w:uiPriority w:val="99"/>
    <w:semiHidden/>
    <w:unhideWhenUsed/>
    <w:rsid w:val="00481F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53122">
      <w:bodyDiv w:val="1"/>
      <w:marLeft w:val="0"/>
      <w:marRight w:val="0"/>
      <w:marTop w:val="0"/>
      <w:marBottom w:val="0"/>
      <w:divBdr>
        <w:top w:val="none" w:sz="0" w:space="0" w:color="auto"/>
        <w:left w:val="none" w:sz="0" w:space="0" w:color="auto"/>
        <w:bottom w:val="none" w:sz="0" w:space="0" w:color="auto"/>
        <w:right w:val="none" w:sz="0" w:space="0" w:color="auto"/>
      </w:divBdr>
      <w:divsChild>
        <w:div w:id="31199418">
          <w:marLeft w:val="0"/>
          <w:marRight w:val="0"/>
          <w:marTop w:val="0"/>
          <w:marBottom w:val="0"/>
          <w:divBdr>
            <w:top w:val="none" w:sz="0" w:space="0" w:color="auto"/>
            <w:left w:val="none" w:sz="0" w:space="0" w:color="auto"/>
            <w:bottom w:val="none" w:sz="0" w:space="0" w:color="auto"/>
            <w:right w:val="none" w:sz="0" w:space="0" w:color="auto"/>
          </w:divBdr>
          <w:divsChild>
            <w:div w:id="2084835849">
              <w:marLeft w:val="0"/>
              <w:marRight w:val="0"/>
              <w:marTop w:val="0"/>
              <w:marBottom w:val="0"/>
              <w:divBdr>
                <w:top w:val="none" w:sz="0" w:space="0" w:color="auto"/>
                <w:left w:val="none" w:sz="0" w:space="0" w:color="auto"/>
                <w:bottom w:val="none" w:sz="0" w:space="0" w:color="auto"/>
                <w:right w:val="none" w:sz="0" w:space="0" w:color="auto"/>
              </w:divBdr>
            </w:div>
          </w:divsChild>
        </w:div>
        <w:div w:id="45836125">
          <w:marLeft w:val="0"/>
          <w:marRight w:val="0"/>
          <w:marTop w:val="0"/>
          <w:marBottom w:val="0"/>
          <w:divBdr>
            <w:top w:val="none" w:sz="0" w:space="0" w:color="auto"/>
            <w:left w:val="none" w:sz="0" w:space="0" w:color="auto"/>
            <w:bottom w:val="none" w:sz="0" w:space="0" w:color="auto"/>
            <w:right w:val="none" w:sz="0" w:space="0" w:color="auto"/>
          </w:divBdr>
          <w:divsChild>
            <w:div w:id="1413041224">
              <w:marLeft w:val="0"/>
              <w:marRight w:val="0"/>
              <w:marTop w:val="0"/>
              <w:marBottom w:val="0"/>
              <w:divBdr>
                <w:top w:val="none" w:sz="0" w:space="0" w:color="auto"/>
                <w:left w:val="none" w:sz="0" w:space="0" w:color="auto"/>
                <w:bottom w:val="none" w:sz="0" w:space="0" w:color="auto"/>
                <w:right w:val="none" w:sz="0" w:space="0" w:color="auto"/>
              </w:divBdr>
            </w:div>
          </w:divsChild>
        </w:div>
        <w:div w:id="61801059">
          <w:marLeft w:val="0"/>
          <w:marRight w:val="0"/>
          <w:marTop w:val="0"/>
          <w:marBottom w:val="0"/>
          <w:divBdr>
            <w:top w:val="none" w:sz="0" w:space="0" w:color="auto"/>
            <w:left w:val="none" w:sz="0" w:space="0" w:color="auto"/>
            <w:bottom w:val="none" w:sz="0" w:space="0" w:color="auto"/>
            <w:right w:val="none" w:sz="0" w:space="0" w:color="auto"/>
          </w:divBdr>
          <w:divsChild>
            <w:div w:id="833033254">
              <w:marLeft w:val="0"/>
              <w:marRight w:val="0"/>
              <w:marTop w:val="0"/>
              <w:marBottom w:val="0"/>
              <w:divBdr>
                <w:top w:val="none" w:sz="0" w:space="0" w:color="auto"/>
                <w:left w:val="none" w:sz="0" w:space="0" w:color="auto"/>
                <w:bottom w:val="none" w:sz="0" w:space="0" w:color="auto"/>
                <w:right w:val="none" w:sz="0" w:space="0" w:color="auto"/>
              </w:divBdr>
            </w:div>
          </w:divsChild>
        </w:div>
        <w:div w:id="79181745">
          <w:marLeft w:val="0"/>
          <w:marRight w:val="0"/>
          <w:marTop w:val="0"/>
          <w:marBottom w:val="0"/>
          <w:divBdr>
            <w:top w:val="none" w:sz="0" w:space="0" w:color="auto"/>
            <w:left w:val="none" w:sz="0" w:space="0" w:color="auto"/>
            <w:bottom w:val="none" w:sz="0" w:space="0" w:color="auto"/>
            <w:right w:val="none" w:sz="0" w:space="0" w:color="auto"/>
          </w:divBdr>
          <w:divsChild>
            <w:div w:id="1891377928">
              <w:marLeft w:val="0"/>
              <w:marRight w:val="0"/>
              <w:marTop w:val="0"/>
              <w:marBottom w:val="0"/>
              <w:divBdr>
                <w:top w:val="none" w:sz="0" w:space="0" w:color="auto"/>
                <w:left w:val="none" w:sz="0" w:space="0" w:color="auto"/>
                <w:bottom w:val="none" w:sz="0" w:space="0" w:color="auto"/>
                <w:right w:val="none" w:sz="0" w:space="0" w:color="auto"/>
              </w:divBdr>
            </w:div>
          </w:divsChild>
        </w:div>
        <w:div w:id="80377046">
          <w:marLeft w:val="0"/>
          <w:marRight w:val="0"/>
          <w:marTop w:val="0"/>
          <w:marBottom w:val="0"/>
          <w:divBdr>
            <w:top w:val="none" w:sz="0" w:space="0" w:color="auto"/>
            <w:left w:val="none" w:sz="0" w:space="0" w:color="auto"/>
            <w:bottom w:val="none" w:sz="0" w:space="0" w:color="auto"/>
            <w:right w:val="none" w:sz="0" w:space="0" w:color="auto"/>
          </w:divBdr>
          <w:divsChild>
            <w:div w:id="348289590">
              <w:marLeft w:val="0"/>
              <w:marRight w:val="0"/>
              <w:marTop w:val="0"/>
              <w:marBottom w:val="0"/>
              <w:divBdr>
                <w:top w:val="none" w:sz="0" w:space="0" w:color="auto"/>
                <w:left w:val="none" w:sz="0" w:space="0" w:color="auto"/>
                <w:bottom w:val="none" w:sz="0" w:space="0" w:color="auto"/>
                <w:right w:val="none" w:sz="0" w:space="0" w:color="auto"/>
              </w:divBdr>
            </w:div>
          </w:divsChild>
        </w:div>
        <w:div w:id="91515408">
          <w:marLeft w:val="0"/>
          <w:marRight w:val="0"/>
          <w:marTop w:val="0"/>
          <w:marBottom w:val="0"/>
          <w:divBdr>
            <w:top w:val="none" w:sz="0" w:space="0" w:color="auto"/>
            <w:left w:val="none" w:sz="0" w:space="0" w:color="auto"/>
            <w:bottom w:val="none" w:sz="0" w:space="0" w:color="auto"/>
            <w:right w:val="none" w:sz="0" w:space="0" w:color="auto"/>
          </w:divBdr>
          <w:divsChild>
            <w:div w:id="593053818">
              <w:marLeft w:val="0"/>
              <w:marRight w:val="0"/>
              <w:marTop w:val="0"/>
              <w:marBottom w:val="0"/>
              <w:divBdr>
                <w:top w:val="none" w:sz="0" w:space="0" w:color="auto"/>
                <w:left w:val="none" w:sz="0" w:space="0" w:color="auto"/>
                <w:bottom w:val="none" w:sz="0" w:space="0" w:color="auto"/>
                <w:right w:val="none" w:sz="0" w:space="0" w:color="auto"/>
              </w:divBdr>
            </w:div>
          </w:divsChild>
        </w:div>
        <w:div w:id="92943687">
          <w:marLeft w:val="0"/>
          <w:marRight w:val="0"/>
          <w:marTop w:val="0"/>
          <w:marBottom w:val="0"/>
          <w:divBdr>
            <w:top w:val="none" w:sz="0" w:space="0" w:color="auto"/>
            <w:left w:val="none" w:sz="0" w:space="0" w:color="auto"/>
            <w:bottom w:val="none" w:sz="0" w:space="0" w:color="auto"/>
            <w:right w:val="none" w:sz="0" w:space="0" w:color="auto"/>
          </w:divBdr>
          <w:divsChild>
            <w:div w:id="1693022653">
              <w:marLeft w:val="0"/>
              <w:marRight w:val="0"/>
              <w:marTop w:val="0"/>
              <w:marBottom w:val="0"/>
              <w:divBdr>
                <w:top w:val="none" w:sz="0" w:space="0" w:color="auto"/>
                <w:left w:val="none" w:sz="0" w:space="0" w:color="auto"/>
                <w:bottom w:val="none" w:sz="0" w:space="0" w:color="auto"/>
                <w:right w:val="none" w:sz="0" w:space="0" w:color="auto"/>
              </w:divBdr>
            </w:div>
          </w:divsChild>
        </w:div>
        <w:div w:id="103618458">
          <w:marLeft w:val="0"/>
          <w:marRight w:val="0"/>
          <w:marTop w:val="0"/>
          <w:marBottom w:val="0"/>
          <w:divBdr>
            <w:top w:val="none" w:sz="0" w:space="0" w:color="auto"/>
            <w:left w:val="none" w:sz="0" w:space="0" w:color="auto"/>
            <w:bottom w:val="none" w:sz="0" w:space="0" w:color="auto"/>
            <w:right w:val="none" w:sz="0" w:space="0" w:color="auto"/>
          </w:divBdr>
          <w:divsChild>
            <w:div w:id="578446443">
              <w:marLeft w:val="0"/>
              <w:marRight w:val="0"/>
              <w:marTop w:val="0"/>
              <w:marBottom w:val="0"/>
              <w:divBdr>
                <w:top w:val="none" w:sz="0" w:space="0" w:color="auto"/>
                <w:left w:val="none" w:sz="0" w:space="0" w:color="auto"/>
                <w:bottom w:val="none" w:sz="0" w:space="0" w:color="auto"/>
                <w:right w:val="none" w:sz="0" w:space="0" w:color="auto"/>
              </w:divBdr>
            </w:div>
          </w:divsChild>
        </w:div>
        <w:div w:id="111485793">
          <w:marLeft w:val="0"/>
          <w:marRight w:val="0"/>
          <w:marTop w:val="0"/>
          <w:marBottom w:val="0"/>
          <w:divBdr>
            <w:top w:val="none" w:sz="0" w:space="0" w:color="auto"/>
            <w:left w:val="none" w:sz="0" w:space="0" w:color="auto"/>
            <w:bottom w:val="none" w:sz="0" w:space="0" w:color="auto"/>
            <w:right w:val="none" w:sz="0" w:space="0" w:color="auto"/>
          </w:divBdr>
          <w:divsChild>
            <w:div w:id="1870408887">
              <w:marLeft w:val="0"/>
              <w:marRight w:val="0"/>
              <w:marTop w:val="0"/>
              <w:marBottom w:val="0"/>
              <w:divBdr>
                <w:top w:val="none" w:sz="0" w:space="0" w:color="auto"/>
                <w:left w:val="none" w:sz="0" w:space="0" w:color="auto"/>
                <w:bottom w:val="none" w:sz="0" w:space="0" w:color="auto"/>
                <w:right w:val="none" w:sz="0" w:space="0" w:color="auto"/>
              </w:divBdr>
            </w:div>
          </w:divsChild>
        </w:div>
        <w:div w:id="139078630">
          <w:marLeft w:val="0"/>
          <w:marRight w:val="0"/>
          <w:marTop w:val="0"/>
          <w:marBottom w:val="0"/>
          <w:divBdr>
            <w:top w:val="none" w:sz="0" w:space="0" w:color="auto"/>
            <w:left w:val="none" w:sz="0" w:space="0" w:color="auto"/>
            <w:bottom w:val="none" w:sz="0" w:space="0" w:color="auto"/>
            <w:right w:val="none" w:sz="0" w:space="0" w:color="auto"/>
          </w:divBdr>
          <w:divsChild>
            <w:div w:id="1125467204">
              <w:marLeft w:val="0"/>
              <w:marRight w:val="0"/>
              <w:marTop w:val="0"/>
              <w:marBottom w:val="0"/>
              <w:divBdr>
                <w:top w:val="none" w:sz="0" w:space="0" w:color="auto"/>
                <w:left w:val="none" w:sz="0" w:space="0" w:color="auto"/>
                <w:bottom w:val="none" w:sz="0" w:space="0" w:color="auto"/>
                <w:right w:val="none" w:sz="0" w:space="0" w:color="auto"/>
              </w:divBdr>
            </w:div>
          </w:divsChild>
        </w:div>
        <w:div w:id="146869359">
          <w:marLeft w:val="0"/>
          <w:marRight w:val="0"/>
          <w:marTop w:val="0"/>
          <w:marBottom w:val="0"/>
          <w:divBdr>
            <w:top w:val="none" w:sz="0" w:space="0" w:color="auto"/>
            <w:left w:val="none" w:sz="0" w:space="0" w:color="auto"/>
            <w:bottom w:val="none" w:sz="0" w:space="0" w:color="auto"/>
            <w:right w:val="none" w:sz="0" w:space="0" w:color="auto"/>
          </w:divBdr>
          <w:divsChild>
            <w:div w:id="1091463132">
              <w:marLeft w:val="0"/>
              <w:marRight w:val="0"/>
              <w:marTop w:val="0"/>
              <w:marBottom w:val="0"/>
              <w:divBdr>
                <w:top w:val="none" w:sz="0" w:space="0" w:color="auto"/>
                <w:left w:val="none" w:sz="0" w:space="0" w:color="auto"/>
                <w:bottom w:val="none" w:sz="0" w:space="0" w:color="auto"/>
                <w:right w:val="none" w:sz="0" w:space="0" w:color="auto"/>
              </w:divBdr>
            </w:div>
          </w:divsChild>
        </w:div>
        <w:div w:id="211045574">
          <w:marLeft w:val="0"/>
          <w:marRight w:val="0"/>
          <w:marTop w:val="0"/>
          <w:marBottom w:val="0"/>
          <w:divBdr>
            <w:top w:val="none" w:sz="0" w:space="0" w:color="auto"/>
            <w:left w:val="none" w:sz="0" w:space="0" w:color="auto"/>
            <w:bottom w:val="none" w:sz="0" w:space="0" w:color="auto"/>
            <w:right w:val="none" w:sz="0" w:space="0" w:color="auto"/>
          </w:divBdr>
          <w:divsChild>
            <w:div w:id="696856166">
              <w:marLeft w:val="0"/>
              <w:marRight w:val="0"/>
              <w:marTop w:val="0"/>
              <w:marBottom w:val="0"/>
              <w:divBdr>
                <w:top w:val="none" w:sz="0" w:space="0" w:color="auto"/>
                <w:left w:val="none" w:sz="0" w:space="0" w:color="auto"/>
                <w:bottom w:val="none" w:sz="0" w:space="0" w:color="auto"/>
                <w:right w:val="none" w:sz="0" w:space="0" w:color="auto"/>
              </w:divBdr>
            </w:div>
          </w:divsChild>
        </w:div>
        <w:div w:id="238058730">
          <w:marLeft w:val="0"/>
          <w:marRight w:val="0"/>
          <w:marTop w:val="0"/>
          <w:marBottom w:val="0"/>
          <w:divBdr>
            <w:top w:val="none" w:sz="0" w:space="0" w:color="auto"/>
            <w:left w:val="none" w:sz="0" w:space="0" w:color="auto"/>
            <w:bottom w:val="none" w:sz="0" w:space="0" w:color="auto"/>
            <w:right w:val="none" w:sz="0" w:space="0" w:color="auto"/>
          </w:divBdr>
          <w:divsChild>
            <w:div w:id="992875905">
              <w:marLeft w:val="0"/>
              <w:marRight w:val="0"/>
              <w:marTop w:val="0"/>
              <w:marBottom w:val="0"/>
              <w:divBdr>
                <w:top w:val="none" w:sz="0" w:space="0" w:color="auto"/>
                <w:left w:val="none" w:sz="0" w:space="0" w:color="auto"/>
                <w:bottom w:val="none" w:sz="0" w:space="0" w:color="auto"/>
                <w:right w:val="none" w:sz="0" w:space="0" w:color="auto"/>
              </w:divBdr>
            </w:div>
          </w:divsChild>
        </w:div>
        <w:div w:id="443812835">
          <w:marLeft w:val="0"/>
          <w:marRight w:val="0"/>
          <w:marTop w:val="0"/>
          <w:marBottom w:val="0"/>
          <w:divBdr>
            <w:top w:val="none" w:sz="0" w:space="0" w:color="auto"/>
            <w:left w:val="none" w:sz="0" w:space="0" w:color="auto"/>
            <w:bottom w:val="none" w:sz="0" w:space="0" w:color="auto"/>
            <w:right w:val="none" w:sz="0" w:space="0" w:color="auto"/>
          </w:divBdr>
          <w:divsChild>
            <w:div w:id="1364670502">
              <w:marLeft w:val="0"/>
              <w:marRight w:val="0"/>
              <w:marTop w:val="0"/>
              <w:marBottom w:val="0"/>
              <w:divBdr>
                <w:top w:val="none" w:sz="0" w:space="0" w:color="auto"/>
                <w:left w:val="none" w:sz="0" w:space="0" w:color="auto"/>
                <w:bottom w:val="none" w:sz="0" w:space="0" w:color="auto"/>
                <w:right w:val="none" w:sz="0" w:space="0" w:color="auto"/>
              </w:divBdr>
            </w:div>
          </w:divsChild>
        </w:div>
        <w:div w:id="499542172">
          <w:marLeft w:val="0"/>
          <w:marRight w:val="0"/>
          <w:marTop w:val="0"/>
          <w:marBottom w:val="0"/>
          <w:divBdr>
            <w:top w:val="none" w:sz="0" w:space="0" w:color="auto"/>
            <w:left w:val="none" w:sz="0" w:space="0" w:color="auto"/>
            <w:bottom w:val="none" w:sz="0" w:space="0" w:color="auto"/>
            <w:right w:val="none" w:sz="0" w:space="0" w:color="auto"/>
          </w:divBdr>
          <w:divsChild>
            <w:div w:id="1167524154">
              <w:marLeft w:val="0"/>
              <w:marRight w:val="0"/>
              <w:marTop w:val="0"/>
              <w:marBottom w:val="0"/>
              <w:divBdr>
                <w:top w:val="none" w:sz="0" w:space="0" w:color="auto"/>
                <w:left w:val="none" w:sz="0" w:space="0" w:color="auto"/>
                <w:bottom w:val="none" w:sz="0" w:space="0" w:color="auto"/>
                <w:right w:val="none" w:sz="0" w:space="0" w:color="auto"/>
              </w:divBdr>
            </w:div>
          </w:divsChild>
        </w:div>
        <w:div w:id="639112366">
          <w:marLeft w:val="0"/>
          <w:marRight w:val="0"/>
          <w:marTop w:val="0"/>
          <w:marBottom w:val="0"/>
          <w:divBdr>
            <w:top w:val="none" w:sz="0" w:space="0" w:color="auto"/>
            <w:left w:val="none" w:sz="0" w:space="0" w:color="auto"/>
            <w:bottom w:val="none" w:sz="0" w:space="0" w:color="auto"/>
            <w:right w:val="none" w:sz="0" w:space="0" w:color="auto"/>
          </w:divBdr>
          <w:divsChild>
            <w:div w:id="486479621">
              <w:marLeft w:val="0"/>
              <w:marRight w:val="0"/>
              <w:marTop w:val="0"/>
              <w:marBottom w:val="0"/>
              <w:divBdr>
                <w:top w:val="none" w:sz="0" w:space="0" w:color="auto"/>
                <w:left w:val="none" w:sz="0" w:space="0" w:color="auto"/>
                <w:bottom w:val="none" w:sz="0" w:space="0" w:color="auto"/>
                <w:right w:val="none" w:sz="0" w:space="0" w:color="auto"/>
              </w:divBdr>
            </w:div>
          </w:divsChild>
        </w:div>
        <w:div w:id="700861209">
          <w:marLeft w:val="0"/>
          <w:marRight w:val="0"/>
          <w:marTop w:val="0"/>
          <w:marBottom w:val="0"/>
          <w:divBdr>
            <w:top w:val="none" w:sz="0" w:space="0" w:color="auto"/>
            <w:left w:val="none" w:sz="0" w:space="0" w:color="auto"/>
            <w:bottom w:val="none" w:sz="0" w:space="0" w:color="auto"/>
            <w:right w:val="none" w:sz="0" w:space="0" w:color="auto"/>
          </w:divBdr>
          <w:divsChild>
            <w:div w:id="30766159">
              <w:marLeft w:val="0"/>
              <w:marRight w:val="0"/>
              <w:marTop w:val="0"/>
              <w:marBottom w:val="0"/>
              <w:divBdr>
                <w:top w:val="none" w:sz="0" w:space="0" w:color="auto"/>
                <w:left w:val="none" w:sz="0" w:space="0" w:color="auto"/>
                <w:bottom w:val="none" w:sz="0" w:space="0" w:color="auto"/>
                <w:right w:val="none" w:sz="0" w:space="0" w:color="auto"/>
              </w:divBdr>
            </w:div>
          </w:divsChild>
        </w:div>
        <w:div w:id="705981568">
          <w:marLeft w:val="0"/>
          <w:marRight w:val="0"/>
          <w:marTop w:val="0"/>
          <w:marBottom w:val="0"/>
          <w:divBdr>
            <w:top w:val="none" w:sz="0" w:space="0" w:color="auto"/>
            <w:left w:val="none" w:sz="0" w:space="0" w:color="auto"/>
            <w:bottom w:val="none" w:sz="0" w:space="0" w:color="auto"/>
            <w:right w:val="none" w:sz="0" w:space="0" w:color="auto"/>
          </w:divBdr>
          <w:divsChild>
            <w:div w:id="468599213">
              <w:marLeft w:val="0"/>
              <w:marRight w:val="0"/>
              <w:marTop w:val="0"/>
              <w:marBottom w:val="0"/>
              <w:divBdr>
                <w:top w:val="none" w:sz="0" w:space="0" w:color="auto"/>
                <w:left w:val="none" w:sz="0" w:space="0" w:color="auto"/>
                <w:bottom w:val="none" w:sz="0" w:space="0" w:color="auto"/>
                <w:right w:val="none" w:sz="0" w:space="0" w:color="auto"/>
              </w:divBdr>
            </w:div>
          </w:divsChild>
        </w:div>
        <w:div w:id="706838441">
          <w:marLeft w:val="0"/>
          <w:marRight w:val="0"/>
          <w:marTop w:val="0"/>
          <w:marBottom w:val="0"/>
          <w:divBdr>
            <w:top w:val="none" w:sz="0" w:space="0" w:color="auto"/>
            <w:left w:val="none" w:sz="0" w:space="0" w:color="auto"/>
            <w:bottom w:val="none" w:sz="0" w:space="0" w:color="auto"/>
            <w:right w:val="none" w:sz="0" w:space="0" w:color="auto"/>
          </w:divBdr>
          <w:divsChild>
            <w:div w:id="1370763382">
              <w:marLeft w:val="0"/>
              <w:marRight w:val="0"/>
              <w:marTop w:val="0"/>
              <w:marBottom w:val="0"/>
              <w:divBdr>
                <w:top w:val="none" w:sz="0" w:space="0" w:color="auto"/>
                <w:left w:val="none" w:sz="0" w:space="0" w:color="auto"/>
                <w:bottom w:val="none" w:sz="0" w:space="0" w:color="auto"/>
                <w:right w:val="none" w:sz="0" w:space="0" w:color="auto"/>
              </w:divBdr>
            </w:div>
          </w:divsChild>
        </w:div>
        <w:div w:id="707876730">
          <w:marLeft w:val="0"/>
          <w:marRight w:val="0"/>
          <w:marTop w:val="0"/>
          <w:marBottom w:val="0"/>
          <w:divBdr>
            <w:top w:val="none" w:sz="0" w:space="0" w:color="auto"/>
            <w:left w:val="none" w:sz="0" w:space="0" w:color="auto"/>
            <w:bottom w:val="none" w:sz="0" w:space="0" w:color="auto"/>
            <w:right w:val="none" w:sz="0" w:space="0" w:color="auto"/>
          </w:divBdr>
          <w:divsChild>
            <w:div w:id="72436976">
              <w:marLeft w:val="0"/>
              <w:marRight w:val="0"/>
              <w:marTop w:val="0"/>
              <w:marBottom w:val="0"/>
              <w:divBdr>
                <w:top w:val="none" w:sz="0" w:space="0" w:color="auto"/>
                <w:left w:val="none" w:sz="0" w:space="0" w:color="auto"/>
                <w:bottom w:val="none" w:sz="0" w:space="0" w:color="auto"/>
                <w:right w:val="none" w:sz="0" w:space="0" w:color="auto"/>
              </w:divBdr>
            </w:div>
          </w:divsChild>
        </w:div>
        <w:div w:id="738870957">
          <w:marLeft w:val="0"/>
          <w:marRight w:val="0"/>
          <w:marTop w:val="0"/>
          <w:marBottom w:val="0"/>
          <w:divBdr>
            <w:top w:val="none" w:sz="0" w:space="0" w:color="auto"/>
            <w:left w:val="none" w:sz="0" w:space="0" w:color="auto"/>
            <w:bottom w:val="none" w:sz="0" w:space="0" w:color="auto"/>
            <w:right w:val="none" w:sz="0" w:space="0" w:color="auto"/>
          </w:divBdr>
          <w:divsChild>
            <w:div w:id="1551962451">
              <w:marLeft w:val="0"/>
              <w:marRight w:val="0"/>
              <w:marTop w:val="0"/>
              <w:marBottom w:val="0"/>
              <w:divBdr>
                <w:top w:val="none" w:sz="0" w:space="0" w:color="auto"/>
                <w:left w:val="none" w:sz="0" w:space="0" w:color="auto"/>
                <w:bottom w:val="none" w:sz="0" w:space="0" w:color="auto"/>
                <w:right w:val="none" w:sz="0" w:space="0" w:color="auto"/>
              </w:divBdr>
            </w:div>
          </w:divsChild>
        </w:div>
        <w:div w:id="755975174">
          <w:marLeft w:val="0"/>
          <w:marRight w:val="0"/>
          <w:marTop w:val="0"/>
          <w:marBottom w:val="0"/>
          <w:divBdr>
            <w:top w:val="none" w:sz="0" w:space="0" w:color="auto"/>
            <w:left w:val="none" w:sz="0" w:space="0" w:color="auto"/>
            <w:bottom w:val="none" w:sz="0" w:space="0" w:color="auto"/>
            <w:right w:val="none" w:sz="0" w:space="0" w:color="auto"/>
          </w:divBdr>
          <w:divsChild>
            <w:div w:id="1947734258">
              <w:marLeft w:val="0"/>
              <w:marRight w:val="0"/>
              <w:marTop w:val="0"/>
              <w:marBottom w:val="0"/>
              <w:divBdr>
                <w:top w:val="none" w:sz="0" w:space="0" w:color="auto"/>
                <w:left w:val="none" w:sz="0" w:space="0" w:color="auto"/>
                <w:bottom w:val="none" w:sz="0" w:space="0" w:color="auto"/>
                <w:right w:val="none" w:sz="0" w:space="0" w:color="auto"/>
              </w:divBdr>
            </w:div>
          </w:divsChild>
        </w:div>
        <w:div w:id="765076208">
          <w:marLeft w:val="0"/>
          <w:marRight w:val="0"/>
          <w:marTop w:val="0"/>
          <w:marBottom w:val="0"/>
          <w:divBdr>
            <w:top w:val="none" w:sz="0" w:space="0" w:color="auto"/>
            <w:left w:val="none" w:sz="0" w:space="0" w:color="auto"/>
            <w:bottom w:val="none" w:sz="0" w:space="0" w:color="auto"/>
            <w:right w:val="none" w:sz="0" w:space="0" w:color="auto"/>
          </w:divBdr>
          <w:divsChild>
            <w:div w:id="80413070">
              <w:marLeft w:val="0"/>
              <w:marRight w:val="0"/>
              <w:marTop w:val="0"/>
              <w:marBottom w:val="0"/>
              <w:divBdr>
                <w:top w:val="none" w:sz="0" w:space="0" w:color="auto"/>
                <w:left w:val="none" w:sz="0" w:space="0" w:color="auto"/>
                <w:bottom w:val="none" w:sz="0" w:space="0" w:color="auto"/>
                <w:right w:val="none" w:sz="0" w:space="0" w:color="auto"/>
              </w:divBdr>
            </w:div>
          </w:divsChild>
        </w:div>
        <w:div w:id="813912181">
          <w:marLeft w:val="0"/>
          <w:marRight w:val="0"/>
          <w:marTop w:val="0"/>
          <w:marBottom w:val="0"/>
          <w:divBdr>
            <w:top w:val="none" w:sz="0" w:space="0" w:color="auto"/>
            <w:left w:val="none" w:sz="0" w:space="0" w:color="auto"/>
            <w:bottom w:val="none" w:sz="0" w:space="0" w:color="auto"/>
            <w:right w:val="none" w:sz="0" w:space="0" w:color="auto"/>
          </w:divBdr>
          <w:divsChild>
            <w:div w:id="2128349139">
              <w:marLeft w:val="0"/>
              <w:marRight w:val="0"/>
              <w:marTop w:val="0"/>
              <w:marBottom w:val="0"/>
              <w:divBdr>
                <w:top w:val="none" w:sz="0" w:space="0" w:color="auto"/>
                <w:left w:val="none" w:sz="0" w:space="0" w:color="auto"/>
                <w:bottom w:val="none" w:sz="0" w:space="0" w:color="auto"/>
                <w:right w:val="none" w:sz="0" w:space="0" w:color="auto"/>
              </w:divBdr>
            </w:div>
          </w:divsChild>
        </w:div>
        <w:div w:id="958027284">
          <w:marLeft w:val="0"/>
          <w:marRight w:val="0"/>
          <w:marTop w:val="0"/>
          <w:marBottom w:val="0"/>
          <w:divBdr>
            <w:top w:val="none" w:sz="0" w:space="0" w:color="auto"/>
            <w:left w:val="none" w:sz="0" w:space="0" w:color="auto"/>
            <w:bottom w:val="none" w:sz="0" w:space="0" w:color="auto"/>
            <w:right w:val="none" w:sz="0" w:space="0" w:color="auto"/>
          </w:divBdr>
          <w:divsChild>
            <w:div w:id="1934244189">
              <w:marLeft w:val="0"/>
              <w:marRight w:val="0"/>
              <w:marTop w:val="0"/>
              <w:marBottom w:val="0"/>
              <w:divBdr>
                <w:top w:val="none" w:sz="0" w:space="0" w:color="auto"/>
                <w:left w:val="none" w:sz="0" w:space="0" w:color="auto"/>
                <w:bottom w:val="none" w:sz="0" w:space="0" w:color="auto"/>
                <w:right w:val="none" w:sz="0" w:space="0" w:color="auto"/>
              </w:divBdr>
            </w:div>
          </w:divsChild>
        </w:div>
        <w:div w:id="1033337036">
          <w:marLeft w:val="0"/>
          <w:marRight w:val="0"/>
          <w:marTop w:val="0"/>
          <w:marBottom w:val="0"/>
          <w:divBdr>
            <w:top w:val="none" w:sz="0" w:space="0" w:color="auto"/>
            <w:left w:val="none" w:sz="0" w:space="0" w:color="auto"/>
            <w:bottom w:val="none" w:sz="0" w:space="0" w:color="auto"/>
            <w:right w:val="none" w:sz="0" w:space="0" w:color="auto"/>
          </w:divBdr>
          <w:divsChild>
            <w:div w:id="26491443">
              <w:marLeft w:val="0"/>
              <w:marRight w:val="0"/>
              <w:marTop w:val="0"/>
              <w:marBottom w:val="0"/>
              <w:divBdr>
                <w:top w:val="none" w:sz="0" w:space="0" w:color="auto"/>
                <w:left w:val="none" w:sz="0" w:space="0" w:color="auto"/>
                <w:bottom w:val="none" w:sz="0" w:space="0" w:color="auto"/>
                <w:right w:val="none" w:sz="0" w:space="0" w:color="auto"/>
              </w:divBdr>
            </w:div>
          </w:divsChild>
        </w:div>
        <w:div w:id="1035235848">
          <w:marLeft w:val="0"/>
          <w:marRight w:val="0"/>
          <w:marTop w:val="0"/>
          <w:marBottom w:val="0"/>
          <w:divBdr>
            <w:top w:val="none" w:sz="0" w:space="0" w:color="auto"/>
            <w:left w:val="none" w:sz="0" w:space="0" w:color="auto"/>
            <w:bottom w:val="none" w:sz="0" w:space="0" w:color="auto"/>
            <w:right w:val="none" w:sz="0" w:space="0" w:color="auto"/>
          </w:divBdr>
          <w:divsChild>
            <w:div w:id="1988513799">
              <w:marLeft w:val="0"/>
              <w:marRight w:val="0"/>
              <w:marTop w:val="0"/>
              <w:marBottom w:val="0"/>
              <w:divBdr>
                <w:top w:val="none" w:sz="0" w:space="0" w:color="auto"/>
                <w:left w:val="none" w:sz="0" w:space="0" w:color="auto"/>
                <w:bottom w:val="none" w:sz="0" w:space="0" w:color="auto"/>
                <w:right w:val="none" w:sz="0" w:space="0" w:color="auto"/>
              </w:divBdr>
            </w:div>
          </w:divsChild>
        </w:div>
        <w:div w:id="1193687525">
          <w:marLeft w:val="0"/>
          <w:marRight w:val="0"/>
          <w:marTop w:val="0"/>
          <w:marBottom w:val="0"/>
          <w:divBdr>
            <w:top w:val="none" w:sz="0" w:space="0" w:color="auto"/>
            <w:left w:val="none" w:sz="0" w:space="0" w:color="auto"/>
            <w:bottom w:val="none" w:sz="0" w:space="0" w:color="auto"/>
            <w:right w:val="none" w:sz="0" w:space="0" w:color="auto"/>
          </w:divBdr>
          <w:divsChild>
            <w:div w:id="583689812">
              <w:marLeft w:val="0"/>
              <w:marRight w:val="0"/>
              <w:marTop w:val="0"/>
              <w:marBottom w:val="0"/>
              <w:divBdr>
                <w:top w:val="none" w:sz="0" w:space="0" w:color="auto"/>
                <w:left w:val="none" w:sz="0" w:space="0" w:color="auto"/>
                <w:bottom w:val="none" w:sz="0" w:space="0" w:color="auto"/>
                <w:right w:val="none" w:sz="0" w:space="0" w:color="auto"/>
              </w:divBdr>
            </w:div>
          </w:divsChild>
        </w:div>
        <w:div w:id="1221672396">
          <w:marLeft w:val="0"/>
          <w:marRight w:val="0"/>
          <w:marTop w:val="0"/>
          <w:marBottom w:val="0"/>
          <w:divBdr>
            <w:top w:val="none" w:sz="0" w:space="0" w:color="auto"/>
            <w:left w:val="none" w:sz="0" w:space="0" w:color="auto"/>
            <w:bottom w:val="none" w:sz="0" w:space="0" w:color="auto"/>
            <w:right w:val="none" w:sz="0" w:space="0" w:color="auto"/>
          </w:divBdr>
          <w:divsChild>
            <w:div w:id="1915623104">
              <w:marLeft w:val="0"/>
              <w:marRight w:val="0"/>
              <w:marTop w:val="0"/>
              <w:marBottom w:val="0"/>
              <w:divBdr>
                <w:top w:val="none" w:sz="0" w:space="0" w:color="auto"/>
                <w:left w:val="none" w:sz="0" w:space="0" w:color="auto"/>
                <w:bottom w:val="none" w:sz="0" w:space="0" w:color="auto"/>
                <w:right w:val="none" w:sz="0" w:space="0" w:color="auto"/>
              </w:divBdr>
            </w:div>
          </w:divsChild>
        </w:div>
        <w:div w:id="1254120100">
          <w:marLeft w:val="0"/>
          <w:marRight w:val="0"/>
          <w:marTop w:val="0"/>
          <w:marBottom w:val="0"/>
          <w:divBdr>
            <w:top w:val="none" w:sz="0" w:space="0" w:color="auto"/>
            <w:left w:val="none" w:sz="0" w:space="0" w:color="auto"/>
            <w:bottom w:val="none" w:sz="0" w:space="0" w:color="auto"/>
            <w:right w:val="none" w:sz="0" w:space="0" w:color="auto"/>
          </w:divBdr>
          <w:divsChild>
            <w:div w:id="575940679">
              <w:marLeft w:val="0"/>
              <w:marRight w:val="0"/>
              <w:marTop w:val="0"/>
              <w:marBottom w:val="0"/>
              <w:divBdr>
                <w:top w:val="none" w:sz="0" w:space="0" w:color="auto"/>
                <w:left w:val="none" w:sz="0" w:space="0" w:color="auto"/>
                <w:bottom w:val="none" w:sz="0" w:space="0" w:color="auto"/>
                <w:right w:val="none" w:sz="0" w:space="0" w:color="auto"/>
              </w:divBdr>
            </w:div>
          </w:divsChild>
        </w:div>
        <w:div w:id="1285842381">
          <w:marLeft w:val="0"/>
          <w:marRight w:val="0"/>
          <w:marTop w:val="0"/>
          <w:marBottom w:val="0"/>
          <w:divBdr>
            <w:top w:val="none" w:sz="0" w:space="0" w:color="auto"/>
            <w:left w:val="none" w:sz="0" w:space="0" w:color="auto"/>
            <w:bottom w:val="none" w:sz="0" w:space="0" w:color="auto"/>
            <w:right w:val="none" w:sz="0" w:space="0" w:color="auto"/>
          </w:divBdr>
          <w:divsChild>
            <w:div w:id="42825535">
              <w:marLeft w:val="0"/>
              <w:marRight w:val="0"/>
              <w:marTop w:val="0"/>
              <w:marBottom w:val="0"/>
              <w:divBdr>
                <w:top w:val="none" w:sz="0" w:space="0" w:color="auto"/>
                <w:left w:val="none" w:sz="0" w:space="0" w:color="auto"/>
                <w:bottom w:val="none" w:sz="0" w:space="0" w:color="auto"/>
                <w:right w:val="none" w:sz="0" w:space="0" w:color="auto"/>
              </w:divBdr>
            </w:div>
          </w:divsChild>
        </w:div>
        <w:div w:id="1287467920">
          <w:marLeft w:val="0"/>
          <w:marRight w:val="0"/>
          <w:marTop w:val="0"/>
          <w:marBottom w:val="0"/>
          <w:divBdr>
            <w:top w:val="none" w:sz="0" w:space="0" w:color="auto"/>
            <w:left w:val="none" w:sz="0" w:space="0" w:color="auto"/>
            <w:bottom w:val="none" w:sz="0" w:space="0" w:color="auto"/>
            <w:right w:val="none" w:sz="0" w:space="0" w:color="auto"/>
          </w:divBdr>
          <w:divsChild>
            <w:div w:id="798186314">
              <w:marLeft w:val="0"/>
              <w:marRight w:val="0"/>
              <w:marTop w:val="0"/>
              <w:marBottom w:val="0"/>
              <w:divBdr>
                <w:top w:val="none" w:sz="0" w:space="0" w:color="auto"/>
                <w:left w:val="none" w:sz="0" w:space="0" w:color="auto"/>
                <w:bottom w:val="none" w:sz="0" w:space="0" w:color="auto"/>
                <w:right w:val="none" w:sz="0" w:space="0" w:color="auto"/>
              </w:divBdr>
            </w:div>
          </w:divsChild>
        </w:div>
        <w:div w:id="1340622483">
          <w:marLeft w:val="0"/>
          <w:marRight w:val="0"/>
          <w:marTop w:val="0"/>
          <w:marBottom w:val="0"/>
          <w:divBdr>
            <w:top w:val="none" w:sz="0" w:space="0" w:color="auto"/>
            <w:left w:val="none" w:sz="0" w:space="0" w:color="auto"/>
            <w:bottom w:val="none" w:sz="0" w:space="0" w:color="auto"/>
            <w:right w:val="none" w:sz="0" w:space="0" w:color="auto"/>
          </w:divBdr>
          <w:divsChild>
            <w:div w:id="33389872">
              <w:marLeft w:val="0"/>
              <w:marRight w:val="0"/>
              <w:marTop w:val="0"/>
              <w:marBottom w:val="0"/>
              <w:divBdr>
                <w:top w:val="none" w:sz="0" w:space="0" w:color="auto"/>
                <w:left w:val="none" w:sz="0" w:space="0" w:color="auto"/>
                <w:bottom w:val="none" w:sz="0" w:space="0" w:color="auto"/>
                <w:right w:val="none" w:sz="0" w:space="0" w:color="auto"/>
              </w:divBdr>
            </w:div>
          </w:divsChild>
        </w:div>
        <w:div w:id="1349602248">
          <w:marLeft w:val="0"/>
          <w:marRight w:val="0"/>
          <w:marTop w:val="0"/>
          <w:marBottom w:val="0"/>
          <w:divBdr>
            <w:top w:val="none" w:sz="0" w:space="0" w:color="auto"/>
            <w:left w:val="none" w:sz="0" w:space="0" w:color="auto"/>
            <w:bottom w:val="none" w:sz="0" w:space="0" w:color="auto"/>
            <w:right w:val="none" w:sz="0" w:space="0" w:color="auto"/>
          </w:divBdr>
          <w:divsChild>
            <w:div w:id="633607685">
              <w:marLeft w:val="0"/>
              <w:marRight w:val="0"/>
              <w:marTop w:val="0"/>
              <w:marBottom w:val="0"/>
              <w:divBdr>
                <w:top w:val="none" w:sz="0" w:space="0" w:color="auto"/>
                <w:left w:val="none" w:sz="0" w:space="0" w:color="auto"/>
                <w:bottom w:val="none" w:sz="0" w:space="0" w:color="auto"/>
                <w:right w:val="none" w:sz="0" w:space="0" w:color="auto"/>
              </w:divBdr>
            </w:div>
          </w:divsChild>
        </w:div>
        <w:div w:id="1350840374">
          <w:marLeft w:val="0"/>
          <w:marRight w:val="0"/>
          <w:marTop w:val="0"/>
          <w:marBottom w:val="0"/>
          <w:divBdr>
            <w:top w:val="none" w:sz="0" w:space="0" w:color="auto"/>
            <w:left w:val="none" w:sz="0" w:space="0" w:color="auto"/>
            <w:bottom w:val="none" w:sz="0" w:space="0" w:color="auto"/>
            <w:right w:val="none" w:sz="0" w:space="0" w:color="auto"/>
          </w:divBdr>
          <w:divsChild>
            <w:div w:id="124129366">
              <w:marLeft w:val="0"/>
              <w:marRight w:val="0"/>
              <w:marTop w:val="0"/>
              <w:marBottom w:val="0"/>
              <w:divBdr>
                <w:top w:val="none" w:sz="0" w:space="0" w:color="auto"/>
                <w:left w:val="none" w:sz="0" w:space="0" w:color="auto"/>
                <w:bottom w:val="none" w:sz="0" w:space="0" w:color="auto"/>
                <w:right w:val="none" w:sz="0" w:space="0" w:color="auto"/>
              </w:divBdr>
            </w:div>
          </w:divsChild>
        </w:div>
        <w:div w:id="1419908064">
          <w:marLeft w:val="0"/>
          <w:marRight w:val="0"/>
          <w:marTop w:val="0"/>
          <w:marBottom w:val="0"/>
          <w:divBdr>
            <w:top w:val="none" w:sz="0" w:space="0" w:color="auto"/>
            <w:left w:val="none" w:sz="0" w:space="0" w:color="auto"/>
            <w:bottom w:val="none" w:sz="0" w:space="0" w:color="auto"/>
            <w:right w:val="none" w:sz="0" w:space="0" w:color="auto"/>
          </w:divBdr>
          <w:divsChild>
            <w:div w:id="1998608876">
              <w:marLeft w:val="0"/>
              <w:marRight w:val="0"/>
              <w:marTop w:val="0"/>
              <w:marBottom w:val="0"/>
              <w:divBdr>
                <w:top w:val="none" w:sz="0" w:space="0" w:color="auto"/>
                <w:left w:val="none" w:sz="0" w:space="0" w:color="auto"/>
                <w:bottom w:val="none" w:sz="0" w:space="0" w:color="auto"/>
                <w:right w:val="none" w:sz="0" w:space="0" w:color="auto"/>
              </w:divBdr>
            </w:div>
          </w:divsChild>
        </w:div>
        <w:div w:id="1422331078">
          <w:marLeft w:val="0"/>
          <w:marRight w:val="0"/>
          <w:marTop w:val="0"/>
          <w:marBottom w:val="0"/>
          <w:divBdr>
            <w:top w:val="none" w:sz="0" w:space="0" w:color="auto"/>
            <w:left w:val="none" w:sz="0" w:space="0" w:color="auto"/>
            <w:bottom w:val="none" w:sz="0" w:space="0" w:color="auto"/>
            <w:right w:val="none" w:sz="0" w:space="0" w:color="auto"/>
          </w:divBdr>
          <w:divsChild>
            <w:div w:id="1517957773">
              <w:marLeft w:val="0"/>
              <w:marRight w:val="0"/>
              <w:marTop w:val="0"/>
              <w:marBottom w:val="0"/>
              <w:divBdr>
                <w:top w:val="none" w:sz="0" w:space="0" w:color="auto"/>
                <w:left w:val="none" w:sz="0" w:space="0" w:color="auto"/>
                <w:bottom w:val="none" w:sz="0" w:space="0" w:color="auto"/>
                <w:right w:val="none" w:sz="0" w:space="0" w:color="auto"/>
              </w:divBdr>
            </w:div>
          </w:divsChild>
        </w:div>
        <w:div w:id="1438600744">
          <w:marLeft w:val="0"/>
          <w:marRight w:val="0"/>
          <w:marTop w:val="0"/>
          <w:marBottom w:val="0"/>
          <w:divBdr>
            <w:top w:val="none" w:sz="0" w:space="0" w:color="auto"/>
            <w:left w:val="none" w:sz="0" w:space="0" w:color="auto"/>
            <w:bottom w:val="none" w:sz="0" w:space="0" w:color="auto"/>
            <w:right w:val="none" w:sz="0" w:space="0" w:color="auto"/>
          </w:divBdr>
          <w:divsChild>
            <w:div w:id="754933665">
              <w:marLeft w:val="0"/>
              <w:marRight w:val="0"/>
              <w:marTop w:val="0"/>
              <w:marBottom w:val="0"/>
              <w:divBdr>
                <w:top w:val="none" w:sz="0" w:space="0" w:color="auto"/>
                <w:left w:val="none" w:sz="0" w:space="0" w:color="auto"/>
                <w:bottom w:val="none" w:sz="0" w:space="0" w:color="auto"/>
                <w:right w:val="none" w:sz="0" w:space="0" w:color="auto"/>
              </w:divBdr>
            </w:div>
          </w:divsChild>
        </w:div>
        <w:div w:id="1439716619">
          <w:marLeft w:val="0"/>
          <w:marRight w:val="0"/>
          <w:marTop w:val="0"/>
          <w:marBottom w:val="0"/>
          <w:divBdr>
            <w:top w:val="none" w:sz="0" w:space="0" w:color="auto"/>
            <w:left w:val="none" w:sz="0" w:space="0" w:color="auto"/>
            <w:bottom w:val="none" w:sz="0" w:space="0" w:color="auto"/>
            <w:right w:val="none" w:sz="0" w:space="0" w:color="auto"/>
          </w:divBdr>
          <w:divsChild>
            <w:div w:id="95753483">
              <w:marLeft w:val="0"/>
              <w:marRight w:val="0"/>
              <w:marTop w:val="0"/>
              <w:marBottom w:val="0"/>
              <w:divBdr>
                <w:top w:val="none" w:sz="0" w:space="0" w:color="auto"/>
                <w:left w:val="none" w:sz="0" w:space="0" w:color="auto"/>
                <w:bottom w:val="none" w:sz="0" w:space="0" w:color="auto"/>
                <w:right w:val="none" w:sz="0" w:space="0" w:color="auto"/>
              </w:divBdr>
            </w:div>
          </w:divsChild>
        </w:div>
        <w:div w:id="1446268561">
          <w:marLeft w:val="0"/>
          <w:marRight w:val="0"/>
          <w:marTop w:val="0"/>
          <w:marBottom w:val="0"/>
          <w:divBdr>
            <w:top w:val="none" w:sz="0" w:space="0" w:color="auto"/>
            <w:left w:val="none" w:sz="0" w:space="0" w:color="auto"/>
            <w:bottom w:val="none" w:sz="0" w:space="0" w:color="auto"/>
            <w:right w:val="none" w:sz="0" w:space="0" w:color="auto"/>
          </w:divBdr>
          <w:divsChild>
            <w:div w:id="1174764441">
              <w:marLeft w:val="0"/>
              <w:marRight w:val="0"/>
              <w:marTop w:val="0"/>
              <w:marBottom w:val="0"/>
              <w:divBdr>
                <w:top w:val="none" w:sz="0" w:space="0" w:color="auto"/>
                <w:left w:val="none" w:sz="0" w:space="0" w:color="auto"/>
                <w:bottom w:val="none" w:sz="0" w:space="0" w:color="auto"/>
                <w:right w:val="none" w:sz="0" w:space="0" w:color="auto"/>
              </w:divBdr>
            </w:div>
          </w:divsChild>
        </w:div>
        <w:div w:id="1476727357">
          <w:marLeft w:val="0"/>
          <w:marRight w:val="0"/>
          <w:marTop w:val="0"/>
          <w:marBottom w:val="0"/>
          <w:divBdr>
            <w:top w:val="none" w:sz="0" w:space="0" w:color="auto"/>
            <w:left w:val="none" w:sz="0" w:space="0" w:color="auto"/>
            <w:bottom w:val="none" w:sz="0" w:space="0" w:color="auto"/>
            <w:right w:val="none" w:sz="0" w:space="0" w:color="auto"/>
          </w:divBdr>
          <w:divsChild>
            <w:div w:id="1233926640">
              <w:marLeft w:val="0"/>
              <w:marRight w:val="0"/>
              <w:marTop w:val="0"/>
              <w:marBottom w:val="0"/>
              <w:divBdr>
                <w:top w:val="none" w:sz="0" w:space="0" w:color="auto"/>
                <w:left w:val="none" w:sz="0" w:space="0" w:color="auto"/>
                <w:bottom w:val="none" w:sz="0" w:space="0" w:color="auto"/>
                <w:right w:val="none" w:sz="0" w:space="0" w:color="auto"/>
              </w:divBdr>
            </w:div>
          </w:divsChild>
        </w:div>
        <w:div w:id="1581988474">
          <w:marLeft w:val="0"/>
          <w:marRight w:val="0"/>
          <w:marTop w:val="0"/>
          <w:marBottom w:val="0"/>
          <w:divBdr>
            <w:top w:val="none" w:sz="0" w:space="0" w:color="auto"/>
            <w:left w:val="none" w:sz="0" w:space="0" w:color="auto"/>
            <w:bottom w:val="none" w:sz="0" w:space="0" w:color="auto"/>
            <w:right w:val="none" w:sz="0" w:space="0" w:color="auto"/>
          </w:divBdr>
          <w:divsChild>
            <w:div w:id="1329093981">
              <w:marLeft w:val="0"/>
              <w:marRight w:val="0"/>
              <w:marTop w:val="0"/>
              <w:marBottom w:val="0"/>
              <w:divBdr>
                <w:top w:val="none" w:sz="0" w:space="0" w:color="auto"/>
                <w:left w:val="none" w:sz="0" w:space="0" w:color="auto"/>
                <w:bottom w:val="none" w:sz="0" w:space="0" w:color="auto"/>
                <w:right w:val="none" w:sz="0" w:space="0" w:color="auto"/>
              </w:divBdr>
            </w:div>
          </w:divsChild>
        </w:div>
        <w:div w:id="1592349384">
          <w:marLeft w:val="0"/>
          <w:marRight w:val="0"/>
          <w:marTop w:val="0"/>
          <w:marBottom w:val="0"/>
          <w:divBdr>
            <w:top w:val="none" w:sz="0" w:space="0" w:color="auto"/>
            <w:left w:val="none" w:sz="0" w:space="0" w:color="auto"/>
            <w:bottom w:val="none" w:sz="0" w:space="0" w:color="auto"/>
            <w:right w:val="none" w:sz="0" w:space="0" w:color="auto"/>
          </w:divBdr>
          <w:divsChild>
            <w:div w:id="245304593">
              <w:marLeft w:val="0"/>
              <w:marRight w:val="0"/>
              <w:marTop w:val="0"/>
              <w:marBottom w:val="0"/>
              <w:divBdr>
                <w:top w:val="none" w:sz="0" w:space="0" w:color="auto"/>
                <w:left w:val="none" w:sz="0" w:space="0" w:color="auto"/>
                <w:bottom w:val="none" w:sz="0" w:space="0" w:color="auto"/>
                <w:right w:val="none" w:sz="0" w:space="0" w:color="auto"/>
              </w:divBdr>
            </w:div>
          </w:divsChild>
        </w:div>
        <w:div w:id="1604611441">
          <w:marLeft w:val="0"/>
          <w:marRight w:val="0"/>
          <w:marTop w:val="0"/>
          <w:marBottom w:val="0"/>
          <w:divBdr>
            <w:top w:val="none" w:sz="0" w:space="0" w:color="auto"/>
            <w:left w:val="none" w:sz="0" w:space="0" w:color="auto"/>
            <w:bottom w:val="none" w:sz="0" w:space="0" w:color="auto"/>
            <w:right w:val="none" w:sz="0" w:space="0" w:color="auto"/>
          </w:divBdr>
          <w:divsChild>
            <w:div w:id="1861313305">
              <w:marLeft w:val="0"/>
              <w:marRight w:val="0"/>
              <w:marTop w:val="0"/>
              <w:marBottom w:val="0"/>
              <w:divBdr>
                <w:top w:val="none" w:sz="0" w:space="0" w:color="auto"/>
                <w:left w:val="none" w:sz="0" w:space="0" w:color="auto"/>
                <w:bottom w:val="none" w:sz="0" w:space="0" w:color="auto"/>
                <w:right w:val="none" w:sz="0" w:space="0" w:color="auto"/>
              </w:divBdr>
            </w:div>
          </w:divsChild>
        </w:div>
        <w:div w:id="1702826772">
          <w:marLeft w:val="0"/>
          <w:marRight w:val="0"/>
          <w:marTop w:val="0"/>
          <w:marBottom w:val="0"/>
          <w:divBdr>
            <w:top w:val="none" w:sz="0" w:space="0" w:color="auto"/>
            <w:left w:val="none" w:sz="0" w:space="0" w:color="auto"/>
            <w:bottom w:val="none" w:sz="0" w:space="0" w:color="auto"/>
            <w:right w:val="none" w:sz="0" w:space="0" w:color="auto"/>
          </w:divBdr>
          <w:divsChild>
            <w:div w:id="1399130525">
              <w:marLeft w:val="0"/>
              <w:marRight w:val="0"/>
              <w:marTop w:val="0"/>
              <w:marBottom w:val="0"/>
              <w:divBdr>
                <w:top w:val="none" w:sz="0" w:space="0" w:color="auto"/>
                <w:left w:val="none" w:sz="0" w:space="0" w:color="auto"/>
                <w:bottom w:val="none" w:sz="0" w:space="0" w:color="auto"/>
                <w:right w:val="none" w:sz="0" w:space="0" w:color="auto"/>
              </w:divBdr>
            </w:div>
          </w:divsChild>
        </w:div>
        <w:div w:id="1756512318">
          <w:marLeft w:val="0"/>
          <w:marRight w:val="0"/>
          <w:marTop w:val="0"/>
          <w:marBottom w:val="0"/>
          <w:divBdr>
            <w:top w:val="none" w:sz="0" w:space="0" w:color="auto"/>
            <w:left w:val="none" w:sz="0" w:space="0" w:color="auto"/>
            <w:bottom w:val="none" w:sz="0" w:space="0" w:color="auto"/>
            <w:right w:val="none" w:sz="0" w:space="0" w:color="auto"/>
          </w:divBdr>
          <w:divsChild>
            <w:div w:id="1797674877">
              <w:marLeft w:val="0"/>
              <w:marRight w:val="0"/>
              <w:marTop w:val="0"/>
              <w:marBottom w:val="0"/>
              <w:divBdr>
                <w:top w:val="none" w:sz="0" w:space="0" w:color="auto"/>
                <w:left w:val="none" w:sz="0" w:space="0" w:color="auto"/>
                <w:bottom w:val="none" w:sz="0" w:space="0" w:color="auto"/>
                <w:right w:val="none" w:sz="0" w:space="0" w:color="auto"/>
              </w:divBdr>
            </w:div>
          </w:divsChild>
        </w:div>
        <w:div w:id="1821919292">
          <w:marLeft w:val="0"/>
          <w:marRight w:val="0"/>
          <w:marTop w:val="0"/>
          <w:marBottom w:val="0"/>
          <w:divBdr>
            <w:top w:val="none" w:sz="0" w:space="0" w:color="auto"/>
            <w:left w:val="none" w:sz="0" w:space="0" w:color="auto"/>
            <w:bottom w:val="none" w:sz="0" w:space="0" w:color="auto"/>
            <w:right w:val="none" w:sz="0" w:space="0" w:color="auto"/>
          </w:divBdr>
          <w:divsChild>
            <w:div w:id="670985453">
              <w:marLeft w:val="0"/>
              <w:marRight w:val="0"/>
              <w:marTop w:val="0"/>
              <w:marBottom w:val="0"/>
              <w:divBdr>
                <w:top w:val="none" w:sz="0" w:space="0" w:color="auto"/>
                <w:left w:val="none" w:sz="0" w:space="0" w:color="auto"/>
                <w:bottom w:val="none" w:sz="0" w:space="0" w:color="auto"/>
                <w:right w:val="none" w:sz="0" w:space="0" w:color="auto"/>
              </w:divBdr>
            </w:div>
          </w:divsChild>
        </w:div>
        <w:div w:id="1861702258">
          <w:marLeft w:val="0"/>
          <w:marRight w:val="0"/>
          <w:marTop w:val="0"/>
          <w:marBottom w:val="0"/>
          <w:divBdr>
            <w:top w:val="none" w:sz="0" w:space="0" w:color="auto"/>
            <w:left w:val="none" w:sz="0" w:space="0" w:color="auto"/>
            <w:bottom w:val="none" w:sz="0" w:space="0" w:color="auto"/>
            <w:right w:val="none" w:sz="0" w:space="0" w:color="auto"/>
          </w:divBdr>
          <w:divsChild>
            <w:div w:id="975138987">
              <w:marLeft w:val="0"/>
              <w:marRight w:val="0"/>
              <w:marTop w:val="0"/>
              <w:marBottom w:val="0"/>
              <w:divBdr>
                <w:top w:val="none" w:sz="0" w:space="0" w:color="auto"/>
                <w:left w:val="none" w:sz="0" w:space="0" w:color="auto"/>
                <w:bottom w:val="none" w:sz="0" w:space="0" w:color="auto"/>
                <w:right w:val="none" w:sz="0" w:space="0" w:color="auto"/>
              </w:divBdr>
            </w:div>
          </w:divsChild>
        </w:div>
        <w:div w:id="1861777580">
          <w:marLeft w:val="0"/>
          <w:marRight w:val="0"/>
          <w:marTop w:val="0"/>
          <w:marBottom w:val="0"/>
          <w:divBdr>
            <w:top w:val="none" w:sz="0" w:space="0" w:color="auto"/>
            <w:left w:val="none" w:sz="0" w:space="0" w:color="auto"/>
            <w:bottom w:val="none" w:sz="0" w:space="0" w:color="auto"/>
            <w:right w:val="none" w:sz="0" w:space="0" w:color="auto"/>
          </w:divBdr>
          <w:divsChild>
            <w:div w:id="493256539">
              <w:marLeft w:val="0"/>
              <w:marRight w:val="0"/>
              <w:marTop w:val="0"/>
              <w:marBottom w:val="0"/>
              <w:divBdr>
                <w:top w:val="none" w:sz="0" w:space="0" w:color="auto"/>
                <w:left w:val="none" w:sz="0" w:space="0" w:color="auto"/>
                <w:bottom w:val="none" w:sz="0" w:space="0" w:color="auto"/>
                <w:right w:val="none" w:sz="0" w:space="0" w:color="auto"/>
              </w:divBdr>
            </w:div>
          </w:divsChild>
        </w:div>
        <w:div w:id="1924946936">
          <w:marLeft w:val="0"/>
          <w:marRight w:val="0"/>
          <w:marTop w:val="0"/>
          <w:marBottom w:val="0"/>
          <w:divBdr>
            <w:top w:val="none" w:sz="0" w:space="0" w:color="auto"/>
            <w:left w:val="none" w:sz="0" w:space="0" w:color="auto"/>
            <w:bottom w:val="none" w:sz="0" w:space="0" w:color="auto"/>
            <w:right w:val="none" w:sz="0" w:space="0" w:color="auto"/>
          </w:divBdr>
          <w:divsChild>
            <w:div w:id="1914968099">
              <w:marLeft w:val="0"/>
              <w:marRight w:val="0"/>
              <w:marTop w:val="0"/>
              <w:marBottom w:val="0"/>
              <w:divBdr>
                <w:top w:val="none" w:sz="0" w:space="0" w:color="auto"/>
                <w:left w:val="none" w:sz="0" w:space="0" w:color="auto"/>
                <w:bottom w:val="none" w:sz="0" w:space="0" w:color="auto"/>
                <w:right w:val="none" w:sz="0" w:space="0" w:color="auto"/>
              </w:divBdr>
            </w:div>
          </w:divsChild>
        </w:div>
        <w:div w:id="1948734963">
          <w:marLeft w:val="0"/>
          <w:marRight w:val="0"/>
          <w:marTop w:val="0"/>
          <w:marBottom w:val="0"/>
          <w:divBdr>
            <w:top w:val="none" w:sz="0" w:space="0" w:color="auto"/>
            <w:left w:val="none" w:sz="0" w:space="0" w:color="auto"/>
            <w:bottom w:val="none" w:sz="0" w:space="0" w:color="auto"/>
            <w:right w:val="none" w:sz="0" w:space="0" w:color="auto"/>
          </w:divBdr>
          <w:divsChild>
            <w:div w:id="1406107256">
              <w:marLeft w:val="0"/>
              <w:marRight w:val="0"/>
              <w:marTop w:val="0"/>
              <w:marBottom w:val="0"/>
              <w:divBdr>
                <w:top w:val="none" w:sz="0" w:space="0" w:color="auto"/>
                <w:left w:val="none" w:sz="0" w:space="0" w:color="auto"/>
                <w:bottom w:val="none" w:sz="0" w:space="0" w:color="auto"/>
                <w:right w:val="none" w:sz="0" w:space="0" w:color="auto"/>
              </w:divBdr>
            </w:div>
          </w:divsChild>
        </w:div>
        <w:div w:id="2053460441">
          <w:marLeft w:val="0"/>
          <w:marRight w:val="0"/>
          <w:marTop w:val="0"/>
          <w:marBottom w:val="0"/>
          <w:divBdr>
            <w:top w:val="none" w:sz="0" w:space="0" w:color="auto"/>
            <w:left w:val="none" w:sz="0" w:space="0" w:color="auto"/>
            <w:bottom w:val="none" w:sz="0" w:space="0" w:color="auto"/>
            <w:right w:val="none" w:sz="0" w:space="0" w:color="auto"/>
          </w:divBdr>
          <w:divsChild>
            <w:div w:id="1581600243">
              <w:marLeft w:val="0"/>
              <w:marRight w:val="0"/>
              <w:marTop w:val="0"/>
              <w:marBottom w:val="0"/>
              <w:divBdr>
                <w:top w:val="none" w:sz="0" w:space="0" w:color="auto"/>
                <w:left w:val="none" w:sz="0" w:space="0" w:color="auto"/>
                <w:bottom w:val="none" w:sz="0" w:space="0" w:color="auto"/>
                <w:right w:val="none" w:sz="0" w:space="0" w:color="auto"/>
              </w:divBdr>
            </w:div>
          </w:divsChild>
        </w:div>
        <w:div w:id="2060274759">
          <w:marLeft w:val="0"/>
          <w:marRight w:val="0"/>
          <w:marTop w:val="0"/>
          <w:marBottom w:val="0"/>
          <w:divBdr>
            <w:top w:val="none" w:sz="0" w:space="0" w:color="auto"/>
            <w:left w:val="none" w:sz="0" w:space="0" w:color="auto"/>
            <w:bottom w:val="none" w:sz="0" w:space="0" w:color="auto"/>
            <w:right w:val="none" w:sz="0" w:space="0" w:color="auto"/>
          </w:divBdr>
          <w:divsChild>
            <w:div w:id="376778602">
              <w:marLeft w:val="0"/>
              <w:marRight w:val="0"/>
              <w:marTop w:val="0"/>
              <w:marBottom w:val="0"/>
              <w:divBdr>
                <w:top w:val="none" w:sz="0" w:space="0" w:color="auto"/>
                <w:left w:val="none" w:sz="0" w:space="0" w:color="auto"/>
                <w:bottom w:val="none" w:sz="0" w:space="0" w:color="auto"/>
                <w:right w:val="none" w:sz="0" w:space="0" w:color="auto"/>
              </w:divBdr>
            </w:div>
          </w:divsChild>
        </w:div>
        <w:div w:id="2124374065">
          <w:marLeft w:val="0"/>
          <w:marRight w:val="0"/>
          <w:marTop w:val="0"/>
          <w:marBottom w:val="0"/>
          <w:divBdr>
            <w:top w:val="none" w:sz="0" w:space="0" w:color="auto"/>
            <w:left w:val="none" w:sz="0" w:space="0" w:color="auto"/>
            <w:bottom w:val="none" w:sz="0" w:space="0" w:color="auto"/>
            <w:right w:val="none" w:sz="0" w:space="0" w:color="auto"/>
          </w:divBdr>
          <w:divsChild>
            <w:div w:id="19421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8473">
      <w:bodyDiv w:val="1"/>
      <w:marLeft w:val="0"/>
      <w:marRight w:val="0"/>
      <w:marTop w:val="0"/>
      <w:marBottom w:val="0"/>
      <w:divBdr>
        <w:top w:val="none" w:sz="0" w:space="0" w:color="auto"/>
        <w:left w:val="none" w:sz="0" w:space="0" w:color="auto"/>
        <w:bottom w:val="none" w:sz="0" w:space="0" w:color="auto"/>
        <w:right w:val="none" w:sz="0" w:space="0" w:color="auto"/>
      </w:divBdr>
    </w:div>
    <w:div w:id="132331904">
      <w:bodyDiv w:val="1"/>
      <w:marLeft w:val="0"/>
      <w:marRight w:val="0"/>
      <w:marTop w:val="0"/>
      <w:marBottom w:val="0"/>
      <w:divBdr>
        <w:top w:val="none" w:sz="0" w:space="0" w:color="auto"/>
        <w:left w:val="none" w:sz="0" w:space="0" w:color="auto"/>
        <w:bottom w:val="none" w:sz="0" w:space="0" w:color="auto"/>
        <w:right w:val="none" w:sz="0" w:space="0" w:color="auto"/>
      </w:divBdr>
    </w:div>
    <w:div w:id="174536125">
      <w:bodyDiv w:val="1"/>
      <w:marLeft w:val="0"/>
      <w:marRight w:val="0"/>
      <w:marTop w:val="0"/>
      <w:marBottom w:val="0"/>
      <w:divBdr>
        <w:top w:val="none" w:sz="0" w:space="0" w:color="auto"/>
        <w:left w:val="none" w:sz="0" w:space="0" w:color="auto"/>
        <w:bottom w:val="none" w:sz="0" w:space="0" w:color="auto"/>
        <w:right w:val="none" w:sz="0" w:space="0" w:color="auto"/>
      </w:divBdr>
    </w:div>
    <w:div w:id="214318195">
      <w:bodyDiv w:val="1"/>
      <w:marLeft w:val="0"/>
      <w:marRight w:val="0"/>
      <w:marTop w:val="0"/>
      <w:marBottom w:val="0"/>
      <w:divBdr>
        <w:top w:val="none" w:sz="0" w:space="0" w:color="auto"/>
        <w:left w:val="none" w:sz="0" w:space="0" w:color="auto"/>
        <w:bottom w:val="none" w:sz="0" w:space="0" w:color="auto"/>
        <w:right w:val="none" w:sz="0" w:space="0" w:color="auto"/>
      </w:divBdr>
    </w:div>
    <w:div w:id="365714362">
      <w:bodyDiv w:val="1"/>
      <w:marLeft w:val="0"/>
      <w:marRight w:val="0"/>
      <w:marTop w:val="0"/>
      <w:marBottom w:val="0"/>
      <w:divBdr>
        <w:top w:val="none" w:sz="0" w:space="0" w:color="auto"/>
        <w:left w:val="none" w:sz="0" w:space="0" w:color="auto"/>
        <w:bottom w:val="none" w:sz="0" w:space="0" w:color="auto"/>
        <w:right w:val="none" w:sz="0" w:space="0" w:color="auto"/>
      </w:divBdr>
    </w:div>
    <w:div w:id="365764703">
      <w:bodyDiv w:val="1"/>
      <w:marLeft w:val="0"/>
      <w:marRight w:val="0"/>
      <w:marTop w:val="0"/>
      <w:marBottom w:val="0"/>
      <w:divBdr>
        <w:top w:val="none" w:sz="0" w:space="0" w:color="auto"/>
        <w:left w:val="none" w:sz="0" w:space="0" w:color="auto"/>
        <w:bottom w:val="none" w:sz="0" w:space="0" w:color="auto"/>
        <w:right w:val="none" w:sz="0" w:space="0" w:color="auto"/>
      </w:divBdr>
    </w:div>
    <w:div w:id="402796607">
      <w:bodyDiv w:val="1"/>
      <w:marLeft w:val="0"/>
      <w:marRight w:val="0"/>
      <w:marTop w:val="0"/>
      <w:marBottom w:val="0"/>
      <w:divBdr>
        <w:top w:val="none" w:sz="0" w:space="0" w:color="auto"/>
        <w:left w:val="none" w:sz="0" w:space="0" w:color="auto"/>
        <w:bottom w:val="none" w:sz="0" w:space="0" w:color="auto"/>
        <w:right w:val="none" w:sz="0" w:space="0" w:color="auto"/>
      </w:divBdr>
    </w:div>
    <w:div w:id="411244397">
      <w:bodyDiv w:val="1"/>
      <w:marLeft w:val="0"/>
      <w:marRight w:val="0"/>
      <w:marTop w:val="0"/>
      <w:marBottom w:val="0"/>
      <w:divBdr>
        <w:top w:val="none" w:sz="0" w:space="0" w:color="auto"/>
        <w:left w:val="none" w:sz="0" w:space="0" w:color="auto"/>
        <w:bottom w:val="none" w:sz="0" w:space="0" w:color="auto"/>
        <w:right w:val="none" w:sz="0" w:space="0" w:color="auto"/>
      </w:divBdr>
    </w:div>
    <w:div w:id="854002003">
      <w:bodyDiv w:val="1"/>
      <w:marLeft w:val="0"/>
      <w:marRight w:val="0"/>
      <w:marTop w:val="0"/>
      <w:marBottom w:val="0"/>
      <w:divBdr>
        <w:top w:val="none" w:sz="0" w:space="0" w:color="auto"/>
        <w:left w:val="none" w:sz="0" w:space="0" w:color="auto"/>
        <w:bottom w:val="none" w:sz="0" w:space="0" w:color="auto"/>
        <w:right w:val="none" w:sz="0" w:space="0" w:color="auto"/>
      </w:divBdr>
    </w:div>
    <w:div w:id="924614201">
      <w:bodyDiv w:val="1"/>
      <w:marLeft w:val="0"/>
      <w:marRight w:val="0"/>
      <w:marTop w:val="0"/>
      <w:marBottom w:val="0"/>
      <w:divBdr>
        <w:top w:val="none" w:sz="0" w:space="0" w:color="auto"/>
        <w:left w:val="none" w:sz="0" w:space="0" w:color="auto"/>
        <w:bottom w:val="none" w:sz="0" w:space="0" w:color="auto"/>
        <w:right w:val="none" w:sz="0" w:space="0" w:color="auto"/>
      </w:divBdr>
    </w:div>
    <w:div w:id="1012295271">
      <w:bodyDiv w:val="1"/>
      <w:marLeft w:val="0"/>
      <w:marRight w:val="0"/>
      <w:marTop w:val="0"/>
      <w:marBottom w:val="0"/>
      <w:divBdr>
        <w:top w:val="none" w:sz="0" w:space="0" w:color="auto"/>
        <w:left w:val="none" w:sz="0" w:space="0" w:color="auto"/>
        <w:bottom w:val="none" w:sz="0" w:space="0" w:color="auto"/>
        <w:right w:val="none" w:sz="0" w:space="0" w:color="auto"/>
      </w:divBdr>
    </w:div>
    <w:div w:id="11222635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76847594">
      <w:bodyDiv w:val="1"/>
      <w:marLeft w:val="0"/>
      <w:marRight w:val="0"/>
      <w:marTop w:val="0"/>
      <w:marBottom w:val="0"/>
      <w:divBdr>
        <w:top w:val="none" w:sz="0" w:space="0" w:color="auto"/>
        <w:left w:val="none" w:sz="0" w:space="0" w:color="auto"/>
        <w:bottom w:val="none" w:sz="0" w:space="0" w:color="auto"/>
        <w:right w:val="none" w:sz="0" w:space="0" w:color="auto"/>
      </w:divBdr>
    </w:div>
    <w:div w:id="1234507636">
      <w:bodyDiv w:val="1"/>
      <w:marLeft w:val="0"/>
      <w:marRight w:val="0"/>
      <w:marTop w:val="0"/>
      <w:marBottom w:val="0"/>
      <w:divBdr>
        <w:top w:val="none" w:sz="0" w:space="0" w:color="auto"/>
        <w:left w:val="none" w:sz="0" w:space="0" w:color="auto"/>
        <w:bottom w:val="none" w:sz="0" w:space="0" w:color="auto"/>
        <w:right w:val="none" w:sz="0" w:space="0" w:color="auto"/>
      </w:divBdr>
    </w:div>
    <w:div w:id="1605188288">
      <w:bodyDiv w:val="1"/>
      <w:marLeft w:val="0"/>
      <w:marRight w:val="0"/>
      <w:marTop w:val="0"/>
      <w:marBottom w:val="0"/>
      <w:divBdr>
        <w:top w:val="none" w:sz="0" w:space="0" w:color="auto"/>
        <w:left w:val="none" w:sz="0" w:space="0" w:color="auto"/>
        <w:bottom w:val="none" w:sz="0" w:space="0" w:color="auto"/>
        <w:right w:val="none" w:sz="0" w:space="0" w:color="auto"/>
      </w:divBdr>
    </w:div>
    <w:div w:id="1688631080">
      <w:bodyDiv w:val="1"/>
      <w:marLeft w:val="0"/>
      <w:marRight w:val="0"/>
      <w:marTop w:val="0"/>
      <w:marBottom w:val="0"/>
      <w:divBdr>
        <w:top w:val="none" w:sz="0" w:space="0" w:color="auto"/>
        <w:left w:val="none" w:sz="0" w:space="0" w:color="auto"/>
        <w:bottom w:val="none" w:sz="0" w:space="0" w:color="auto"/>
        <w:right w:val="none" w:sz="0" w:space="0" w:color="auto"/>
      </w:divBdr>
    </w:div>
    <w:div w:id="1780176198">
      <w:bodyDiv w:val="1"/>
      <w:marLeft w:val="0"/>
      <w:marRight w:val="0"/>
      <w:marTop w:val="0"/>
      <w:marBottom w:val="0"/>
      <w:divBdr>
        <w:top w:val="none" w:sz="0" w:space="0" w:color="auto"/>
        <w:left w:val="none" w:sz="0" w:space="0" w:color="auto"/>
        <w:bottom w:val="none" w:sz="0" w:space="0" w:color="auto"/>
        <w:right w:val="none" w:sz="0" w:space="0" w:color="auto"/>
      </w:divBdr>
    </w:div>
    <w:div w:id="1903100586">
      <w:bodyDiv w:val="1"/>
      <w:marLeft w:val="0"/>
      <w:marRight w:val="0"/>
      <w:marTop w:val="0"/>
      <w:marBottom w:val="0"/>
      <w:divBdr>
        <w:top w:val="none" w:sz="0" w:space="0" w:color="auto"/>
        <w:left w:val="none" w:sz="0" w:space="0" w:color="auto"/>
        <w:bottom w:val="none" w:sz="0" w:space="0" w:color="auto"/>
        <w:right w:val="none" w:sz="0" w:space="0" w:color="auto"/>
      </w:divBdr>
    </w:div>
    <w:div w:id="1984314312">
      <w:bodyDiv w:val="1"/>
      <w:marLeft w:val="0"/>
      <w:marRight w:val="0"/>
      <w:marTop w:val="0"/>
      <w:marBottom w:val="0"/>
      <w:divBdr>
        <w:top w:val="none" w:sz="0" w:space="0" w:color="auto"/>
        <w:left w:val="none" w:sz="0" w:space="0" w:color="auto"/>
        <w:bottom w:val="none" w:sz="0" w:space="0" w:color="auto"/>
        <w:right w:val="none" w:sz="0" w:space="0" w:color="auto"/>
      </w:divBdr>
      <w:divsChild>
        <w:div w:id="20713301">
          <w:marLeft w:val="0"/>
          <w:marRight w:val="0"/>
          <w:marTop w:val="0"/>
          <w:marBottom w:val="0"/>
          <w:divBdr>
            <w:top w:val="none" w:sz="0" w:space="0" w:color="auto"/>
            <w:left w:val="none" w:sz="0" w:space="0" w:color="auto"/>
            <w:bottom w:val="none" w:sz="0" w:space="0" w:color="auto"/>
            <w:right w:val="none" w:sz="0" w:space="0" w:color="auto"/>
          </w:divBdr>
          <w:divsChild>
            <w:div w:id="724910188">
              <w:marLeft w:val="0"/>
              <w:marRight w:val="0"/>
              <w:marTop w:val="0"/>
              <w:marBottom w:val="0"/>
              <w:divBdr>
                <w:top w:val="none" w:sz="0" w:space="0" w:color="auto"/>
                <w:left w:val="none" w:sz="0" w:space="0" w:color="auto"/>
                <w:bottom w:val="none" w:sz="0" w:space="0" w:color="auto"/>
                <w:right w:val="none" w:sz="0" w:space="0" w:color="auto"/>
              </w:divBdr>
            </w:div>
          </w:divsChild>
        </w:div>
        <w:div w:id="76826114">
          <w:marLeft w:val="0"/>
          <w:marRight w:val="0"/>
          <w:marTop w:val="0"/>
          <w:marBottom w:val="0"/>
          <w:divBdr>
            <w:top w:val="none" w:sz="0" w:space="0" w:color="auto"/>
            <w:left w:val="none" w:sz="0" w:space="0" w:color="auto"/>
            <w:bottom w:val="none" w:sz="0" w:space="0" w:color="auto"/>
            <w:right w:val="none" w:sz="0" w:space="0" w:color="auto"/>
          </w:divBdr>
          <w:divsChild>
            <w:div w:id="980962883">
              <w:marLeft w:val="0"/>
              <w:marRight w:val="0"/>
              <w:marTop w:val="0"/>
              <w:marBottom w:val="0"/>
              <w:divBdr>
                <w:top w:val="none" w:sz="0" w:space="0" w:color="auto"/>
                <w:left w:val="none" w:sz="0" w:space="0" w:color="auto"/>
                <w:bottom w:val="none" w:sz="0" w:space="0" w:color="auto"/>
                <w:right w:val="none" w:sz="0" w:space="0" w:color="auto"/>
              </w:divBdr>
            </w:div>
          </w:divsChild>
        </w:div>
        <w:div w:id="80103190">
          <w:marLeft w:val="0"/>
          <w:marRight w:val="0"/>
          <w:marTop w:val="0"/>
          <w:marBottom w:val="0"/>
          <w:divBdr>
            <w:top w:val="none" w:sz="0" w:space="0" w:color="auto"/>
            <w:left w:val="none" w:sz="0" w:space="0" w:color="auto"/>
            <w:bottom w:val="none" w:sz="0" w:space="0" w:color="auto"/>
            <w:right w:val="none" w:sz="0" w:space="0" w:color="auto"/>
          </w:divBdr>
          <w:divsChild>
            <w:div w:id="330645118">
              <w:marLeft w:val="0"/>
              <w:marRight w:val="0"/>
              <w:marTop w:val="0"/>
              <w:marBottom w:val="0"/>
              <w:divBdr>
                <w:top w:val="none" w:sz="0" w:space="0" w:color="auto"/>
                <w:left w:val="none" w:sz="0" w:space="0" w:color="auto"/>
                <w:bottom w:val="none" w:sz="0" w:space="0" w:color="auto"/>
                <w:right w:val="none" w:sz="0" w:space="0" w:color="auto"/>
              </w:divBdr>
            </w:div>
          </w:divsChild>
        </w:div>
        <w:div w:id="89662993">
          <w:marLeft w:val="0"/>
          <w:marRight w:val="0"/>
          <w:marTop w:val="0"/>
          <w:marBottom w:val="0"/>
          <w:divBdr>
            <w:top w:val="none" w:sz="0" w:space="0" w:color="auto"/>
            <w:left w:val="none" w:sz="0" w:space="0" w:color="auto"/>
            <w:bottom w:val="none" w:sz="0" w:space="0" w:color="auto"/>
            <w:right w:val="none" w:sz="0" w:space="0" w:color="auto"/>
          </w:divBdr>
          <w:divsChild>
            <w:div w:id="1807046342">
              <w:marLeft w:val="0"/>
              <w:marRight w:val="0"/>
              <w:marTop w:val="0"/>
              <w:marBottom w:val="0"/>
              <w:divBdr>
                <w:top w:val="none" w:sz="0" w:space="0" w:color="auto"/>
                <w:left w:val="none" w:sz="0" w:space="0" w:color="auto"/>
                <w:bottom w:val="none" w:sz="0" w:space="0" w:color="auto"/>
                <w:right w:val="none" w:sz="0" w:space="0" w:color="auto"/>
              </w:divBdr>
            </w:div>
          </w:divsChild>
        </w:div>
        <w:div w:id="249896248">
          <w:marLeft w:val="0"/>
          <w:marRight w:val="0"/>
          <w:marTop w:val="0"/>
          <w:marBottom w:val="0"/>
          <w:divBdr>
            <w:top w:val="none" w:sz="0" w:space="0" w:color="auto"/>
            <w:left w:val="none" w:sz="0" w:space="0" w:color="auto"/>
            <w:bottom w:val="none" w:sz="0" w:space="0" w:color="auto"/>
            <w:right w:val="none" w:sz="0" w:space="0" w:color="auto"/>
          </w:divBdr>
          <w:divsChild>
            <w:div w:id="1869220862">
              <w:marLeft w:val="0"/>
              <w:marRight w:val="0"/>
              <w:marTop w:val="0"/>
              <w:marBottom w:val="0"/>
              <w:divBdr>
                <w:top w:val="none" w:sz="0" w:space="0" w:color="auto"/>
                <w:left w:val="none" w:sz="0" w:space="0" w:color="auto"/>
                <w:bottom w:val="none" w:sz="0" w:space="0" w:color="auto"/>
                <w:right w:val="none" w:sz="0" w:space="0" w:color="auto"/>
              </w:divBdr>
            </w:div>
          </w:divsChild>
        </w:div>
        <w:div w:id="328676045">
          <w:marLeft w:val="0"/>
          <w:marRight w:val="0"/>
          <w:marTop w:val="0"/>
          <w:marBottom w:val="0"/>
          <w:divBdr>
            <w:top w:val="none" w:sz="0" w:space="0" w:color="auto"/>
            <w:left w:val="none" w:sz="0" w:space="0" w:color="auto"/>
            <w:bottom w:val="none" w:sz="0" w:space="0" w:color="auto"/>
            <w:right w:val="none" w:sz="0" w:space="0" w:color="auto"/>
          </w:divBdr>
          <w:divsChild>
            <w:div w:id="183639946">
              <w:marLeft w:val="0"/>
              <w:marRight w:val="0"/>
              <w:marTop w:val="0"/>
              <w:marBottom w:val="0"/>
              <w:divBdr>
                <w:top w:val="none" w:sz="0" w:space="0" w:color="auto"/>
                <w:left w:val="none" w:sz="0" w:space="0" w:color="auto"/>
                <w:bottom w:val="none" w:sz="0" w:space="0" w:color="auto"/>
                <w:right w:val="none" w:sz="0" w:space="0" w:color="auto"/>
              </w:divBdr>
            </w:div>
          </w:divsChild>
        </w:div>
        <w:div w:id="345596134">
          <w:marLeft w:val="0"/>
          <w:marRight w:val="0"/>
          <w:marTop w:val="0"/>
          <w:marBottom w:val="0"/>
          <w:divBdr>
            <w:top w:val="none" w:sz="0" w:space="0" w:color="auto"/>
            <w:left w:val="none" w:sz="0" w:space="0" w:color="auto"/>
            <w:bottom w:val="none" w:sz="0" w:space="0" w:color="auto"/>
            <w:right w:val="none" w:sz="0" w:space="0" w:color="auto"/>
          </w:divBdr>
          <w:divsChild>
            <w:div w:id="896014408">
              <w:marLeft w:val="0"/>
              <w:marRight w:val="0"/>
              <w:marTop w:val="0"/>
              <w:marBottom w:val="0"/>
              <w:divBdr>
                <w:top w:val="none" w:sz="0" w:space="0" w:color="auto"/>
                <w:left w:val="none" w:sz="0" w:space="0" w:color="auto"/>
                <w:bottom w:val="none" w:sz="0" w:space="0" w:color="auto"/>
                <w:right w:val="none" w:sz="0" w:space="0" w:color="auto"/>
              </w:divBdr>
            </w:div>
          </w:divsChild>
        </w:div>
        <w:div w:id="348795357">
          <w:marLeft w:val="0"/>
          <w:marRight w:val="0"/>
          <w:marTop w:val="0"/>
          <w:marBottom w:val="0"/>
          <w:divBdr>
            <w:top w:val="none" w:sz="0" w:space="0" w:color="auto"/>
            <w:left w:val="none" w:sz="0" w:space="0" w:color="auto"/>
            <w:bottom w:val="none" w:sz="0" w:space="0" w:color="auto"/>
            <w:right w:val="none" w:sz="0" w:space="0" w:color="auto"/>
          </w:divBdr>
          <w:divsChild>
            <w:div w:id="789056677">
              <w:marLeft w:val="0"/>
              <w:marRight w:val="0"/>
              <w:marTop w:val="0"/>
              <w:marBottom w:val="0"/>
              <w:divBdr>
                <w:top w:val="none" w:sz="0" w:space="0" w:color="auto"/>
                <w:left w:val="none" w:sz="0" w:space="0" w:color="auto"/>
                <w:bottom w:val="none" w:sz="0" w:space="0" w:color="auto"/>
                <w:right w:val="none" w:sz="0" w:space="0" w:color="auto"/>
              </w:divBdr>
            </w:div>
          </w:divsChild>
        </w:div>
        <w:div w:id="454251189">
          <w:marLeft w:val="0"/>
          <w:marRight w:val="0"/>
          <w:marTop w:val="0"/>
          <w:marBottom w:val="0"/>
          <w:divBdr>
            <w:top w:val="none" w:sz="0" w:space="0" w:color="auto"/>
            <w:left w:val="none" w:sz="0" w:space="0" w:color="auto"/>
            <w:bottom w:val="none" w:sz="0" w:space="0" w:color="auto"/>
            <w:right w:val="none" w:sz="0" w:space="0" w:color="auto"/>
          </w:divBdr>
          <w:divsChild>
            <w:div w:id="1307853516">
              <w:marLeft w:val="0"/>
              <w:marRight w:val="0"/>
              <w:marTop w:val="0"/>
              <w:marBottom w:val="0"/>
              <w:divBdr>
                <w:top w:val="none" w:sz="0" w:space="0" w:color="auto"/>
                <w:left w:val="none" w:sz="0" w:space="0" w:color="auto"/>
                <w:bottom w:val="none" w:sz="0" w:space="0" w:color="auto"/>
                <w:right w:val="none" w:sz="0" w:space="0" w:color="auto"/>
              </w:divBdr>
            </w:div>
          </w:divsChild>
        </w:div>
        <w:div w:id="525824763">
          <w:marLeft w:val="0"/>
          <w:marRight w:val="0"/>
          <w:marTop w:val="0"/>
          <w:marBottom w:val="0"/>
          <w:divBdr>
            <w:top w:val="none" w:sz="0" w:space="0" w:color="auto"/>
            <w:left w:val="none" w:sz="0" w:space="0" w:color="auto"/>
            <w:bottom w:val="none" w:sz="0" w:space="0" w:color="auto"/>
            <w:right w:val="none" w:sz="0" w:space="0" w:color="auto"/>
          </w:divBdr>
          <w:divsChild>
            <w:div w:id="1336567262">
              <w:marLeft w:val="0"/>
              <w:marRight w:val="0"/>
              <w:marTop w:val="0"/>
              <w:marBottom w:val="0"/>
              <w:divBdr>
                <w:top w:val="none" w:sz="0" w:space="0" w:color="auto"/>
                <w:left w:val="none" w:sz="0" w:space="0" w:color="auto"/>
                <w:bottom w:val="none" w:sz="0" w:space="0" w:color="auto"/>
                <w:right w:val="none" w:sz="0" w:space="0" w:color="auto"/>
              </w:divBdr>
            </w:div>
          </w:divsChild>
        </w:div>
        <w:div w:id="540048063">
          <w:marLeft w:val="0"/>
          <w:marRight w:val="0"/>
          <w:marTop w:val="0"/>
          <w:marBottom w:val="0"/>
          <w:divBdr>
            <w:top w:val="none" w:sz="0" w:space="0" w:color="auto"/>
            <w:left w:val="none" w:sz="0" w:space="0" w:color="auto"/>
            <w:bottom w:val="none" w:sz="0" w:space="0" w:color="auto"/>
            <w:right w:val="none" w:sz="0" w:space="0" w:color="auto"/>
          </w:divBdr>
          <w:divsChild>
            <w:div w:id="26493841">
              <w:marLeft w:val="0"/>
              <w:marRight w:val="0"/>
              <w:marTop w:val="0"/>
              <w:marBottom w:val="0"/>
              <w:divBdr>
                <w:top w:val="none" w:sz="0" w:space="0" w:color="auto"/>
                <w:left w:val="none" w:sz="0" w:space="0" w:color="auto"/>
                <w:bottom w:val="none" w:sz="0" w:space="0" w:color="auto"/>
                <w:right w:val="none" w:sz="0" w:space="0" w:color="auto"/>
              </w:divBdr>
            </w:div>
          </w:divsChild>
        </w:div>
        <w:div w:id="613100182">
          <w:marLeft w:val="0"/>
          <w:marRight w:val="0"/>
          <w:marTop w:val="0"/>
          <w:marBottom w:val="0"/>
          <w:divBdr>
            <w:top w:val="none" w:sz="0" w:space="0" w:color="auto"/>
            <w:left w:val="none" w:sz="0" w:space="0" w:color="auto"/>
            <w:bottom w:val="none" w:sz="0" w:space="0" w:color="auto"/>
            <w:right w:val="none" w:sz="0" w:space="0" w:color="auto"/>
          </w:divBdr>
          <w:divsChild>
            <w:div w:id="1146357124">
              <w:marLeft w:val="0"/>
              <w:marRight w:val="0"/>
              <w:marTop w:val="0"/>
              <w:marBottom w:val="0"/>
              <w:divBdr>
                <w:top w:val="none" w:sz="0" w:space="0" w:color="auto"/>
                <w:left w:val="none" w:sz="0" w:space="0" w:color="auto"/>
                <w:bottom w:val="none" w:sz="0" w:space="0" w:color="auto"/>
                <w:right w:val="none" w:sz="0" w:space="0" w:color="auto"/>
              </w:divBdr>
            </w:div>
          </w:divsChild>
        </w:div>
        <w:div w:id="662586475">
          <w:marLeft w:val="0"/>
          <w:marRight w:val="0"/>
          <w:marTop w:val="0"/>
          <w:marBottom w:val="0"/>
          <w:divBdr>
            <w:top w:val="none" w:sz="0" w:space="0" w:color="auto"/>
            <w:left w:val="none" w:sz="0" w:space="0" w:color="auto"/>
            <w:bottom w:val="none" w:sz="0" w:space="0" w:color="auto"/>
            <w:right w:val="none" w:sz="0" w:space="0" w:color="auto"/>
          </w:divBdr>
          <w:divsChild>
            <w:div w:id="2072339868">
              <w:marLeft w:val="0"/>
              <w:marRight w:val="0"/>
              <w:marTop w:val="0"/>
              <w:marBottom w:val="0"/>
              <w:divBdr>
                <w:top w:val="none" w:sz="0" w:space="0" w:color="auto"/>
                <w:left w:val="none" w:sz="0" w:space="0" w:color="auto"/>
                <w:bottom w:val="none" w:sz="0" w:space="0" w:color="auto"/>
                <w:right w:val="none" w:sz="0" w:space="0" w:color="auto"/>
              </w:divBdr>
            </w:div>
          </w:divsChild>
        </w:div>
        <w:div w:id="665212412">
          <w:marLeft w:val="0"/>
          <w:marRight w:val="0"/>
          <w:marTop w:val="0"/>
          <w:marBottom w:val="0"/>
          <w:divBdr>
            <w:top w:val="none" w:sz="0" w:space="0" w:color="auto"/>
            <w:left w:val="none" w:sz="0" w:space="0" w:color="auto"/>
            <w:bottom w:val="none" w:sz="0" w:space="0" w:color="auto"/>
            <w:right w:val="none" w:sz="0" w:space="0" w:color="auto"/>
          </w:divBdr>
          <w:divsChild>
            <w:div w:id="423498367">
              <w:marLeft w:val="0"/>
              <w:marRight w:val="0"/>
              <w:marTop w:val="0"/>
              <w:marBottom w:val="0"/>
              <w:divBdr>
                <w:top w:val="none" w:sz="0" w:space="0" w:color="auto"/>
                <w:left w:val="none" w:sz="0" w:space="0" w:color="auto"/>
                <w:bottom w:val="none" w:sz="0" w:space="0" w:color="auto"/>
                <w:right w:val="none" w:sz="0" w:space="0" w:color="auto"/>
              </w:divBdr>
            </w:div>
          </w:divsChild>
        </w:div>
        <w:div w:id="686293388">
          <w:marLeft w:val="0"/>
          <w:marRight w:val="0"/>
          <w:marTop w:val="0"/>
          <w:marBottom w:val="0"/>
          <w:divBdr>
            <w:top w:val="none" w:sz="0" w:space="0" w:color="auto"/>
            <w:left w:val="none" w:sz="0" w:space="0" w:color="auto"/>
            <w:bottom w:val="none" w:sz="0" w:space="0" w:color="auto"/>
            <w:right w:val="none" w:sz="0" w:space="0" w:color="auto"/>
          </w:divBdr>
          <w:divsChild>
            <w:div w:id="598492866">
              <w:marLeft w:val="0"/>
              <w:marRight w:val="0"/>
              <w:marTop w:val="0"/>
              <w:marBottom w:val="0"/>
              <w:divBdr>
                <w:top w:val="none" w:sz="0" w:space="0" w:color="auto"/>
                <w:left w:val="none" w:sz="0" w:space="0" w:color="auto"/>
                <w:bottom w:val="none" w:sz="0" w:space="0" w:color="auto"/>
                <w:right w:val="none" w:sz="0" w:space="0" w:color="auto"/>
              </w:divBdr>
            </w:div>
          </w:divsChild>
        </w:div>
        <w:div w:id="732893906">
          <w:marLeft w:val="0"/>
          <w:marRight w:val="0"/>
          <w:marTop w:val="0"/>
          <w:marBottom w:val="0"/>
          <w:divBdr>
            <w:top w:val="none" w:sz="0" w:space="0" w:color="auto"/>
            <w:left w:val="none" w:sz="0" w:space="0" w:color="auto"/>
            <w:bottom w:val="none" w:sz="0" w:space="0" w:color="auto"/>
            <w:right w:val="none" w:sz="0" w:space="0" w:color="auto"/>
          </w:divBdr>
          <w:divsChild>
            <w:div w:id="1432630387">
              <w:marLeft w:val="0"/>
              <w:marRight w:val="0"/>
              <w:marTop w:val="0"/>
              <w:marBottom w:val="0"/>
              <w:divBdr>
                <w:top w:val="none" w:sz="0" w:space="0" w:color="auto"/>
                <w:left w:val="none" w:sz="0" w:space="0" w:color="auto"/>
                <w:bottom w:val="none" w:sz="0" w:space="0" w:color="auto"/>
                <w:right w:val="none" w:sz="0" w:space="0" w:color="auto"/>
              </w:divBdr>
            </w:div>
          </w:divsChild>
        </w:div>
        <w:div w:id="868570496">
          <w:marLeft w:val="0"/>
          <w:marRight w:val="0"/>
          <w:marTop w:val="0"/>
          <w:marBottom w:val="0"/>
          <w:divBdr>
            <w:top w:val="none" w:sz="0" w:space="0" w:color="auto"/>
            <w:left w:val="none" w:sz="0" w:space="0" w:color="auto"/>
            <w:bottom w:val="none" w:sz="0" w:space="0" w:color="auto"/>
            <w:right w:val="none" w:sz="0" w:space="0" w:color="auto"/>
          </w:divBdr>
          <w:divsChild>
            <w:div w:id="2124300687">
              <w:marLeft w:val="0"/>
              <w:marRight w:val="0"/>
              <w:marTop w:val="0"/>
              <w:marBottom w:val="0"/>
              <w:divBdr>
                <w:top w:val="none" w:sz="0" w:space="0" w:color="auto"/>
                <w:left w:val="none" w:sz="0" w:space="0" w:color="auto"/>
                <w:bottom w:val="none" w:sz="0" w:space="0" w:color="auto"/>
                <w:right w:val="none" w:sz="0" w:space="0" w:color="auto"/>
              </w:divBdr>
            </w:div>
          </w:divsChild>
        </w:div>
        <w:div w:id="916355443">
          <w:marLeft w:val="0"/>
          <w:marRight w:val="0"/>
          <w:marTop w:val="0"/>
          <w:marBottom w:val="0"/>
          <w:divBdr>
            <w:top w:val="none" w:sz="0" w:space="0" w:color="auto"/>
            <w:left w:val="none" w:sz="0" w:space="0" w:color="auto"/>
            <w:bottom w:val="none" w:sz="0" w:space="0" w:color="auto"/>
            <w:right w:val="none" w:sz="0" w:space="0" w:color="auto"/>
          </w:divBdr>
          <w:divsChild>
            <w:div w:id="910651204">
              <w:marLeft w:val="0"/>
              <w:marRight w:val="0"/>
              <w:marTop w:val="0"/>
              <w:marBottom w:val="0"/>
              <w:divBdr>
                <w:top w:val="none" w:sz="0" w:space="0" w:color="auto"/>
                <w:left w:val="none" w:sz="0" w:space="0" w:color="auto"/>
                <w:bottom w:val="none" w:sz="0" w:space="0" w:color="auto"/>
                <w:right w:val="none" w:sz="0" w:space="0" w:color="auto"/>
              </w:divBdr>
            </w:div>
          </w:divsChild>
        </w:div>
        <w:div w:id="936862607">
          <w:marLeft w:val="0"/>
          <w:marRight w:val="0"/>
          <w:marTop w:val="0"/>
          <w:marBottom w:val="0"/>
          <w:divBdr>
            <w:top w:val="none" w:sz="0" w:space="0" w:color="auto"/>
            <w:left w:val="none" w:sz="0" w:space="0" w:color="auto"/>
            <w:bottom w:val="none" w:sz="0" w:space="0" w:color="auto"/>
            <w:right w:val="none" w:sz="0" w:space="0" w:color="auto"/>
          </w:divBdr>
          <w:divsChild>
            <w:div w:id="1150900348">
              <w:marLeft w:val="0"/>
              <w:marRight w:val="0"/>
              <w:marTop w:val="0"/>
              <w:marBottom w:val="0"/>
              <w:divBdr>
                <w:top w:val="none" w:sz="0" w:space="0" w:color="auto"/>
                <w:left w:val="none" w:sz="0" w:space="0" w:color="auto"/>
                <w:bottom w:val="none" w:sz="0" w:space="0" w:color="auto"/>
                <w:right w:val="none" w:sz="0" w:space="0" w:color="auto"/>
              </w:divBdr>
            </w:div>
          </w:divsChild>
        </w:div>
        <w:div w:id="963852046">
          <w:marLeft w:val="0"/>
          <w:marRight w:val="0"/>
          <w:marTop w:val="0"/>
          <w:marBottom w:val="0"/>
          <w:divBdr>
            <w:top w:val="none" w:sz="0" w:space="0" w:color="auto"/>
            <w:left w:val="none" w:sz="0" w:space="0" w:color="auto"/>
            <w:bottom w:val="none" w:sz="0" w:space="0" w:color="auto"/>
            <w:right w:val="none" w:sz="0" w:space="0" w:color="auto"/>
          </w:divBdr>
          <w:divsChild>
            <w:div w:id="2058891035">
              <w:marLeft w:val="0"/>
              <w:marRight w:val="0"/>
              <w:marTop w:val="0"/>
              <w:marBottom w:val="0"/>
              <w:divBdr>
                <w:top w:val="none" w:sz="0" w:space="0" w:color="auto"/>
                <w:left w:val="none" w:sz="0" w:space="0" w:color="auto"/>
                <w:bottom w:val="none" w:sz="0" w:space="0" w:color="auto"/>
                <w:right w:val="none" w:sz="0" w:space="0" w:color="auto"/>
              </w:divBdr>
            </w:div>
          </w:divsChild>
        </w:div>
        <w:div w:id="1012102595">
          <w:marLeft w:val="0"/>
          <w:marRight w:val="0"/>
          <w:marTop w:val="0"/>
          <w:marBottom w:val="0"/>
          <w:divBdr>
            <w:top w:val="none" w:sz="0" w:space="0" w:color="auto"/>
            <w:left w:val="none" w:sz="0" w:space="0" w:color="auto"/>
            <w:bottom w:val="none" w:sz="0" w:space="0" w:color="auto"/>
            <w:right w:val="none" w:sz="0" w:space="0" w:color="auto"/>
          </w:divBdr>
          <w:divsChild>
            <w:div w:id="247037075">
              <w:marLeft w:val="0"/>
              <w:marRight w:val="0"/>
              <w:marTop w:val="0"/>
              <w:marBottom w:val="0"/>
              <w:divBdr>
                <w:top w:val="none" w:sz="0" w:space="0" w:color="auto"/>
                <w:left w:val="none" w:sz="0" w:space="0" w:color="auto"/>
                <w:bottom w:val="none" w:sz="0" w:space="0" w:color="auto"/>
                <w:right w:val="none" w:sz="0" w:space="0" w:color="auto"/>
              </w:divBdr>
            </w:div>
          </w:divsChild>
        </w:div>
        <w:div w:id="1018120158">
          <w:marLeft w:val="0"/>
          <w:marRight w:val="0"/>
          <w:marTop w:val="0"/>
          <w:marBottom w:val="0"/>
          <w:divBdr>
            <w:top w:val="none" w:sz="0" w:space="0" w:color="auto"/>
            <w:left w:val="none" w:sz="0" w:space="0" w:color="auto"/>
            <w:bottom w:val="none" w:sz="0" w:space="0" w:color="auto"/>
            <w:right w:val="none" w:sz="0" w:space="0" w:color="auto"/>
          </w:divBdr>
          <w:divsChild>
            <w:div w:id="1540971731">
              <w:marLeft w:val="0"/>
              <w:marRight w:val="0"/>
              <w:marTop w:val="0"/>
              <w:marBottom w:val="0"/>
              <w:divBdr>
                <w:top w:val="none" w:sz="0" w:space="0" w:color="auto"/>
                <w:left w:val="none" w:sz="0" w:space="0" w:color="auto"/>
                <w:bottom w:val="none" w:sz="0" w:space="0" w:color="auto"/>
                <w:right w:val="none" w:sz="0" w:space="0" w:color="auto"/>
              </w:divBdr>
            </w:div>
          </w:divsChild>
        </w:div>
        <w:div w:id="1028532033">
          <w:marLeft w:val="0"/>
          <w:marRight w:val="0"/>
          <w:marTop w:val="0"/>
          <w:marBottom w:val="0"/>
          <w:divBdr>
            <w:top w:val="none" w:sz="0" w:space="0" w:color="auto"/>
            <w:left w:val="none" w:sz="0" w:space="0" w:color="auto"/>
            <w:bottom w:val="none" w:sz="0" w:space="0" w:color="auto"/>
            <w:right w:val="none" w:sz="0" w:space="0" w:color="auto"/>
          </w:divBdr>
          <w:divsChild>
            <w:div w:id="1404372430">
              <w:marLeft w:val="0"/>
              <w:marRight w:val="0"/>
              <w:marTop w:val="0"/>
              <w:marBottom w:val="0"/>
              <w:divBdr>
                <w:top w:val="none" w:sz="0" w:space="0" w:color="auto"/>
                <w:left w:val="none" w:sz="0" w:space="0" w:color="auto"/>
                <w:bottom w:val="none" w:sz="0" w:space="0" w:color="auto"/>
                <w:right w:val="none" w:sz="0" w:space="0" w:color="auto"/>
              </w:divBdr>
            </w:div>
          </w:divsChild>
        </w:div>
        <w:div w:id="1069498085">
          <w:marLeft w:val="0"/>
          <w:marRight w:val="0"/>
          <w:marTop w:val="0"/>
          <w:marBottom w:val="0"/>
          <w:divBdr>
            <w:top w:val="none" w:sz="0" w:space="0" w:color="auto"/>
            <w:left w:val="none" w:sz="0" w:space="0" w:color="auto"/>
            <w:bottom w:val="none" w:sz="0" w:space="0" w:color="auto"/>
            <w:right w:val="none" w:sz="0" w:space="0" w:color="auto"/>
          </w:divBdr>
          <w:divsChild>
            <w:div w:id="1541362482">
              <w:marLeft w:val="0"/>
              <w:marRight w:val="0"/>
              <w:marTop w:val="0"/>
              <w:marBottom w:val="0"/>
              <w:divBdr>
                <w:top w:val="none" w:sz="0" w:space="0" w:color="auto"/>
                <w:left w:val="none" w:sz="0" w:space="0" w:color="auto"/>
                <w:bottom w:val="none" w:sz="0" w:space="0" w:color="auto"/>
                <w:right w:val="none" w:sz="0" w:space="0" w:color="auto"/>
              </w:divBdr>
            </w:div>
          </w:divsChild>
        </w:div>
        <w:div w:id="1077097826">
          <w:marLeft w:val="0"/>
          <w:marRight w:val="0"/>
          <w:marTop w:val="0"/>
          <w:marBottom w:val="0"/>
          <w:divBdr>
            <w:top w:val="none" w:sz="0" w:space="0" w:color="auto"/>
            <w:left w:val="none" w:sz="0" w:space="0" w:color="auto"/>
            <w:bottom w:val="none" w:sz="0" w:space="0" w:color="auto"/>
            <w:right w:val="none" w:sz="0" w:space="0" w:color="auto"/>
          </w:divBdr>
          <w:divsChild>
            <w:div w:id="1319770095">
              <w:marLeft w:val="0"/>
              <w:marRight w:val="0"/>
              <w:marTop w:val="0"/>
              <w:marBottom w:val="0"/>
              <w:divBdr>
                <w:top w:val="none" w:sz="0" w:space="0" w:color="auto"/>
                <w:left w:val="none" w:sz="0" w:space="0" w:color="auto"/>
                <w:bottom w:val="none" w:sz="0" w:space="0" w:color="auto"/>
                <w:right w:val="none" w:sz="0" w:space="0" w:color="auto"/>
              </w:divBdr>
            </w:div>
          </w:divsChild>
        </w:div>
        <w:div w:id="1089275136">
          <w:marLeft w:val="0"/>
          <w:marRight w:val="0"/>
          <w:marTop w:val="0"/>
          <w:marBottom w:val="0"/>
          <w:divBdr>
            <w:top w:val="none" w:sz="0" w:space="0" w:color="auto"/>
            <w:left w:val="none" w:sz="0" w:space="0" w:color="auto"/>
            <w:bottom w:val="none" w:sz="0" w:space="0" w:color="auto"/>
            <w:right w:val="none" w:sz="0" w:space="0" w:color="auto"/>
          </w:divBdr>
          <w:divsChild>
            <w:div w:id="1781291596">
              <w:marLeft w:val="0"/>
              <w:marRight w:val="0"/>
              <w:marTop w:val="0"/>
              <w:marBottom w:val="0"/>
              <w:divBdr>
                <w:top w:val="none" w:sz="0" w:space="0" w:color="auto"/>
                <w:left w:val="none" w:sz="0" w:space="0" w:color="auto"/>
                <w:bottom w:val="none" w:sz="0" w:space="0" w:color="auto"/>
                <w:right w:val="none" w:sz="0" w:space="0" w:color="auto"/>
              </w:divBdr>
            </w:div>
          </w:divsChild>
        </w:div>
        <w:div w:id="1103650886">
          <w:marLeft w:val="0"/>
          <w:marRight w:val="0"/>
          <w:marTop w:val="0"/>
          <w:marBottom w:val="0"/>
          <w:divBdr>
            <w:top w:val="none" w:sz="0" w:space="0" w:color="auto"/>
            <w:left w:val="none" w:sz="0" w:space="0" w:color="auto"/>
            <w:bottom w:val="none" w:sz="0" w:space="0" w:color="auto"/>
            <w:right w:val="none" w:sz="0" w:space="0" w:color="auto"/>
          </w:divBdr>
          <w:divsChild>
            <w:div w:id="1043793095">
              <w:marLeft w:val="0"/>
              <w:marRight w:val="0"/>
              <w:marTop w:val="0"/>
              <w:marBottom w:val="0"/>
              <w:divBdr>
                <w:top w:val="none" w:sz="0" w:space="0" w:color="auto"/>
                <w:left w:val="none" w:sz="0" w:space="0" w:color="auto"/>
                <w:bottom w:val="none" w:sz="0" w:space="0" w:color="auto"/>
                <w:right w:val="none" w:sz="0" w:space="0" w:color="auto"/>
              </w:divBdr>
            </w:div>
          </w:divsChild>
        </w:div>
        <w:div w:id="1136794820">
          <w:marLeft w:val="0"/>
          <w:marRight w:val="0"/>
          <w:marTop w:val="0"/>
          <w:marBottom w:val="0"/>
          <w:divBdr>
            <w:top w:val="none" w:sz="0" w:space="0" w:color="auto"/>
            <w:left w:val="none" w:sz="0" w:space="0" w:color="auto"/>
            <w:bottom w:val="none" w:sz="0" w:space="0" w:color="auto"/>
            <w:right w:val="none" w:sz="0" w:space="0" w:color="auto"/>
          </w:divBdr>
          <w:divsChild>
            <w:div w:id="850337579">
              <w:marLeft w:val="0"/>
              <w:marRight w:val="0"/>
              <w:marTop w:val="0"/>
              <w:marBottom w:val="0"/>
              <w:divBdr>
                <w:top w:val="none" w:sz="0" w:space="0" w:color="auto"/>
                <w:left w:val="none" w:sz="0" w:space="0" w:color="auto"/>
                <w:bottom w:val="none" w:sz="0" w:space="0" w:color="auto"/>
                <w:right w:val="none" w:sz="0" w:space="0" w:color="auto"/>
              </w:divBdr>
            </w:div>
          </w:divsChild>
        </w:div>
        <w:div w:id="1188518246">
          <w:marLeft w:val="0"/>
          <w:marRight w:val="0"/>
          <w:marTop w:val="0"/>
          <w:marBottom w:val="0"/>
          <w:divBdr>
            <w:top w:val="none" w:sz="0" w:space="0" w:color="auto"/>
            <w:left w:val="none" w:sz="0" w:space="0" w:color="auto"/>
            <w:bottom w:val="none" w:sz="0" w:space="0" w:color="auto"/>
            <w:right w:val="none" w:sz="0" w:space="0" w:color="auto"/>
          </w:divBdr>
          <w:divsChild>
            <w:div w:id="285696159">
              <w:marLeft w:val="0"/>
              <w:marRight w:val="0"/>
              <w:marTop w:val="0"/>
              <w:marBottom w:val="0"/>
              <w:divBdr>
                <w:top w:val="none" w:sz="0" w:space="0" w:color="auto"/>
                <w:left w:val="none" w:sz="0" w:space="0" w:color="auto"/>
                <w:bottom w:val="none" w:sz="0" w:space="0" w:color="auto"/>
                <w:right w:val="none" w:sz="0" w:space="0" w:color="auto"/>
              </w:divBdr>
            </w:div>
          </w:divsChild>
        </w:div>
        <w:div w:id="1228879416">
          <w:marLeft w:val="0"/>
          <w:marRight w:val="0"/>
          <w:marTop w:val="0"/>
          <w:marBottom w:val="0"/>
          <w:divBdr>
            <w:top w:val="none" w:sz="0" w:space="0" w:color="auto"/>
            <w:left w:val="none" w:sz="0" w:space="0" w:color="auto"/>
            <w:bottom w:val="none" w:sz="0" w:space="0" w:color="auto"/>
            <w:right w:val="none" w:sz="0" w:space="0" w:color="auto"/>
          </w:divBdr>
          <w:divsChild>
            <w:div w:id="1871068600">
              <w:marLeft w:val="0"/>
              <w:marRight w:val="0"/>
              <w:marTop w:val="0"/>
              <w:marBottom w:val="0"/>
              <w:divBdr>
                <w:top w:val="none" w:sz="0" w:space="0" w:color="auto"/>
                <w:left w:val="none" w:sz="0" w:space="0" w:color="auto"/>
                <w:bottom w:val="none" w:sz="0" w:space="0" w:color="auto"/>
                <w:right w:val="none" w:sz="0" w:space="0" w:color="auto"/>
              </w:divBdr>
            </w:div>
          </w:divsChild>
        </w:div>
        <w:div w:id="1242980539">
          <w:marLeft w:val="0"/>
          <w:marRight w:val="0"/>
          <w:marTop w:val="0"/>
          <w:marBottom w:val="0"/>
          <w:divBdr>
            <w:top w:val="none" w:sz="0" w:space="0" w:color="auto"/>
            <w:left w:val="none" w:sz="0" w:space="0" w:color="auto"/>
            <w:bottom w:val="none" w:sz="0" w:space="0" w:color="auto"/>
            <w:right w:val="none" w:sz="0" w:space="0" w:color="auto"/>
          </w:divBdr>
          <w:divsChild>
            <w:div w:id="533810166">
              <w:marLeft w:val="0"/>
              <w:marRight w:val="0"/>
              <w:marTop w:val="0"/>
              <w:marBottom w:val="0"/>
              <w:divBdr>
                <w:top w:val="none" w:sz="0" w:space="0" w:color="auto"/>
                <w:left w:val="none" w:sz="0" w:space="0" w:color="auto"/>
                <w:bottom w:val="none" w:sz="0" w:space="0" w:color="auto"/>
                <w:right w:val="none" w:sz="0" w:space="0" w:color="auto"/>
              </w:divBdr>
            </w:div>
          </w:divsChild>
        </w:div>
        <w:div w:id="1245071013">
          <w:marLeft w:val="0"/>
          <w:marRight w:val="0"/>
          <w:marTop w:val="0"/>
          <w:marBottom w:val="0"/>
          <w:divBdr>
            <w:top w:val="none" w:sz="0" w:space="0" w:color="auto"/>
            <w:left w:val="none" w:sz="0" w:space="0" w:color="auto"/>
            <w:bottom w:val="none" w:sz="0" w:space="0" w:color="auto"/>
            <w:right w:val="none" w:sz="0" w:space="0" w:color="auto"/>
          </w:divBdr>
          <w:divsChild>
            <w:div w:id="1973899235">
              <w:marLeft w:val="0"/>
              <w:marRight w:val="0"/>
              <w:marTop w:val="0"/>
              <w:marBottom w:val="0"/>
              <w:divBdr>
                <w:top w:val="none" w:sz="0" w:space="0" w:color="auto"/>
                <w:left w:val="none" w:sz="0" w:space="0" w:color="auto"/>
                <w:bottom w:val="none" w:sz="0" w:space="0" w:color="auto"/>
                <w:right w:val="none" w:sz="0" w:space="0" w:color="auto"/>
              </w:divBdr>
            </w:div>
          </w:divsChild>
        </w:div>
        <w:div w:id="1314675813">
          <w:marLeft w:val="0"/>
          <w:marRight w:val="0"/>
          <w:marTop w:val="0"/>
          <w:marBottom w:val="0"/>
          <w:divBdr>
            <w:top w:val="none" w:sz="0" w:space="0" w:color="auto"/>
            <w:left w:val="none" w:sz="0" w:space="0" w:color="auto"/>
            <w:bottom w:val="none" w:sz="0" w:space="0" w:color="auto"/>
            <w:right w:val="none" w:sz="0" w:space="0" w:color="auto"/>
          </w:divBdr>
          <w:divsChild>
            <w:div w:id="615451674">
              <w:marLeft w:val="0"/>
              <w:marRight w:val="0"/>
              <w:marTop w:val="0"/>
              <w:marBottom w:val="0"/>
              <w:divBdr>
                <w:top w:val="none" w:sz="0" w:space="0" w:color="auto"/>
                <w:left w:val="none" w:sz="0" w:space="0" w:color="auto"/>
                <w:bottom w:val="none" w:sz="0" w:space="0" w:color="auto"/>
                <w:right w:val="none" w:sz="0" w:space="0" w:color="auto"/>
              </w:divBdr>
            </w:div>
          </w:divsChild>
        </w:div>
        <w:div w:id="1390421621">
          <w:marLeft w:val="0"/>
          <w:marRight w:val="0"/>
          <w:marTop w:val="0"/>
          <w:marBottom w:val="0"/>
          <w:divBdr>
            <w:top w:val="none" w:sz="0" w:space="0" w:color="auto"/>
            <w:left w:val="none" w:sz="0" w:space="0" w:color="auto"/>
            <w:bottom w:val="none" w:sz="0" w:space="0" w:color="auto"/>
            <w:right w:val="none" w:sz="0" w:space="0" w:color="auto"/>
          </w:divBdr>
          <w:divsChild>
            <w:div w:id="1803495312">
              <w:marLeft w:val="0"/>
              <w:marRight w:val="0"/>
              <w:marTop w:val="0"/>
              <w:marBottom w:val="0"/>
              <w:divBdr>
                <w:top w:val="none" w:sz="0" w:space="0" w:color="auto"/>
                <w:left w:val="none" w:sz="0" w:space="0" w:color="auto"/>
                <w:bottom w:val="none" w:sz="0" w:space="0" w:color="auto"/>
                <w:right w:val="none" w:sz="0" w:space="0" w:color="auto"/>
              </w:divBdr>
            </w:div>
          </w:divsChild>
        </w:div>
        <w:div w:id="1488786538">
          <w:marLeft w:val="0"/>
          <w:marRight w:val="0"/>
          <w:marTop w:val="0"/>
          <w:marBottom w:val="0"/>
          <w:divBdr>
            <w:top w:val="none" w:sz="0" w:space="0" w:color="auto"/>
            <w:left w:val="none" w:sz="0" w:space="0" w:color="auto"/>
            <w:bottom w:val="none" w:sz="0" w:space="0" w:color="auto"/>
            <w:right w:val="none" w:sz="0" w:space="0" w:color="auto"/>
          </w:divBdr>
          <w:divsChild>
            <w:div w:id="1242637207">
              <w:marLeft w:val="0"/>
              <w:marRight w:val="0"/>
              <w:marTop w:val="0"/>
              <w:marBottom w:val="0"/>
              <w:divBdr>
                <w:top w:val="none" w:sz="0" w:space="0" w:color="auto"/>
                <w:left w:val="none" w:sz="0" w:space="0" w:color="auto"/>
                <w:bottom w:val="none" w:sz="0" w:space="0" w:color="auto"/>
                <w:right w:val="none" w:sz="0" w:space="0" w:color="auto"/>
              </w:divBdr>
            </w:div>
          </w:divsChild>
        </w:div>
        <w:div w:id="1499930586">
          <w:marLeft w:val="0"/>
          <w:marRight w:val="0"/>
          <w:marTop w:val="0"/>
          <w:marBottom w:val="0"/>
          <w:divBdr>
            <w:top w:val="none" w:sz="0" w:space="0" w:color="auto"/>
            <w:left w:val="none" w:sz="0" w:space="0" w:color="auto"/>
            <w:bottom w:val="none" w:sz="0" w:space="0" w:color="auto"/>
            <w:right w:val="none" w:sz="0" w:space="0" w:color="auto"/>
          </w:divBdr>
          <w:divsChild>
            <w:div w:id="1344549864">
              <w:marLeft w:val="0"/>
              <w:marRight w:val="0"/>
              <w:marTop w:val="0"/>
              <w:marBottom w:val="0"/>
              <w:divBdr>
                <w:top w:val="none" w:sz="0" w:space="0" w:color="auto"/>
                <w:left w:val="none" w:sz="0" w:space="0" w:color="auto"/>
                <w:bottom w:val="none" w:sz="0" w:space="0" w:color="auto"/>
                <w:right w:val="none" w:sz="0" w:space="0" w:color="auto"/>
              </w:divBdr>
            </w:div>
          </w:divsChild>
        </w:div>
        <w:div w:id="1502430883">
          <w:marLeft w:val="0"/>
          <w:marRight w:val="0"/>
          <w:marTop w:val="0"/>
          <w:marBottom w:val="0"/>
          <w:divBdr>
            <w:top w:val="none" w:sz="0" w:space="0" w:color="auto"/>
            <w:left w:val="none" w:sz="0" w:space="0" w:color="auto"/>
            <w:bottom w:val="none" w:sz="0" w:space="0" w:color="auto"/>
            <w:right w:val="none" w:sz="0" w:space="0" w:color="auto"/>
          </w:divBdr>
          <w:divsChild>
            <w:div w:id="1702320293">
              <w:marLeft w:val="0"/>
              <w:marRight w:val="0"/>
              <w:marTop w:val="0"/>
              <w:marBottom w:val="0"/>
              <w:divBdr>
                <w:top w:val="none" w:sz="0" w:space="0" w:color="auto"/>
                <w:left w:val="none" w:sz="0" w:space="0" w:color="auto"/>
                <w:bottom w:val="none" w:sz="0" w:space="0" w:color="auto"/>
                <w:right w:val="none" w:sz="0" w:space="0" w:color="auto"/>
              </w:divBdr>
            </w:div>
          </w:divsChild>
        </w:div>
        <w:div w:id="1523396497">
          <w:marLeft w:val="0"/>
          <w:marRight w:val="0"/>
          <w:marTop w:val="0"/>
          <w:marBottom w:val="0"/>
          <w:divBdr>
            <w:top w:val="none" w:sz="0" w:space="0" w:color="auto"/>
            <w:left w:val="none" w:sz="0" w:space="0" w:color="auto"/>
            <w:bottom w:val="none" w:sz="0" w:space="0" w:color="auto"/>
            <w:right w:val="none" w:sz="0" w:space="0" w:color="auto"/>
          </w:divBdr>
          <w:divsChild>
            <w:div w:id="1957977804">
              <w:marLeft w:val="0"/>
              <w:marRight w:val="0"/>
              <w:marTop w:val="0"/>
              <w:marBottom w:val="0"/>
              <w:divBdr>
                <w:top w:val="none" w:sz="0" w:space="0" w:color="auto"/>
                <w:left w:val="none" w:sz="0" w:space="0" w:color="auto"/>
                <w:bottom w:val="none" w:sz="0" w:space="0" w:color="auto"/>
                <w:right w:val="none" w:sz="0" w:space="0" w:color="auto"/>
              </w:divBdr>
            </w:div>
          </w:divsChild>
        </w:div>
        <w:div w:id="1524660791">
          <w:marLeft w:val="0"/>
          <w:marRight w:val="0"/>
          <w:marTop w:val="0"/>
          <w:marBottom w:val="0"/>
          <w:divBdr>
            <w:top w:val="none" w:sz="0" w:space="0" w:color="auto"/>
            <w:left w:val="none" w:sz="0" w:space="0" w:color="auto"/>
            <w:bottom w:val="none" w:sz="0" w:space="0" w:color="auto"/>
            <w:right w:val="none" w:sz="0" w:space="0" w:color="auto"/>
          </w:divBdr>
          <w:divsChild>
            <w:div w:id="1982268055">
              <w:marLeft w:val="0"/>
              <w:marRight w:val="0"/>
              <w:marTop w:val="0"/>
              <w:marBottom w:val="0"/>
              <w:divBdr>
                <w:top w:val="none" w:sz="0" w:space="0" w:color="auto"/>
                <w:left w:val="none" w:sz="0" w:space="0" w:color="auto"/>
                <w:bottom w:val="none" w:sz="0" w:space="0" w:color="auto"/>
                <w:right w:val="none" w:sz="0" w:space="0" w:color="auto"/>
              </w:divBdr>
            </w:div>
          </w:divsChild>
        </w:div>
        <w:div w:id="1570265641">
          <w:marLeft w:val="0"/>
          <w:marRight w:val="0"/>
          <w:marTop w:val="0"/>
          <w:marBottom w:val="0"/>
          <w:divBdr>
            <w:top w:val="none" w:sz="0" w:space="0" w:color="auto"/>
            <w:left w:val="none" w:sz="0" w:space="0" w:color="auto"/>
            <w:bottom w:val="none" w:sz="0" w:space="0" w:color="auto"/>
            <w:right w:val="none" w:sz="0" w:space="0" w:color="auto"/>
          </w:divBdr>
          <w:divsChild>
            <w:div w:id="1159611980">
              <w:marLeft w:val="0"/>
              <w:marRight w:val="0"/>
              <w:marTop w:val="0"/>
              <w:marBottom w:val="0"/>
              <w:divBdr>
                <w:top w:val="none" w:sz="0" w:space="0" w:color="auto"/>
                <w:left w:val="none" w:sz="0" w:space="0" w:color="auto"/>
                <w:bottom w:val="none" w:sz="0" w:space="0" w:color="auto"/>
                <w:right w:val="none" w:sz="0" w:space="0" w:color="auto"/>
              </w:divBdr>
            </w:div>
          </w:divsChild>
        </w:div>
        <w:div w:id="1587035221">
          <w:marLeft w:val="0"/>
          <w:marRight w:val="0"/>
          <w:marTop w:val="0"/>
          <w:marBottom w:val="0"/>
          <w:divBdr>
            <w:top w:val="none" w:sz="0" w:space="0" w:color="auto"/>
            <w:left w:val="none" w:sz="0" w:space="0" w:color="auto"/>
            <w:bottom w:val="none" w:sz="0" w:space="0" w:color="auto"/>
            <w:right w:val="none" w:sz="0" w:space="0" w:color="auto"/>
          </w:divBdr>
          <w:divsChild>
            <w:div w:id="1075053270">
              <w:marLeft w:val="0"/>
              <w:marRight w:val="0"/>
              <w:marTop w:val="0"/>
              <w:marBottom w:val="0"/>
              <w:divBdr>
                <w:top w:val="none" w:sz="0" w:space="0" w:color="auto"/>
                <w:left w:val="none" w:sz="0" w:space="0" w:color="auto"/>
                <w:bottom w:val="none" w:sz="0" w:space="0" w:color="auto"/>
                <w:right w:val="none" w:sz="0" w:space="0" w:color="auto"/>
              </w:divBdr>
            </w:div>
          </w:divsChild>
        </w:div>
        <w:div w:id="1618023590">
          <w:marLeft w:val="0"/>
          <w:marRight w:val="0"/>
          <w:marTop w:val="0"/>
          <w:marBottom w:val="0"/>
          <w:divBdr>
            <w:top w:val="none" w:sz="0" w:space="0" w:color="auto"/>
            <w:left w:val="none" w:sz="0" w:space="0" w:color="auto"/>
            <w:bottom w:val="none" w:sz="0" w:space="0" w:color="auto"/>
            <w:right w:val="none" w:sz="0" w:space="0" w:color="auto"/>
          </w:divBdr>
          <w:divsChild>
            <w:div w:id="1862433359">
              <w:marLeft w:val="0"/>
              <w:marRight w:val="0"/>
              <w:marTop w:val="0"/>
              <w:marBottom w:val="0"/>
              <w:divBdr>
                <w:top w:val="none" w:sz="0" w:space="0" w:color="auto"/>
                <w:left w:val="none" w:sz="0" w:space="0" w:color="auto"/>
                <w:bottom w:val="none" w:sz="0" w:space="0" w:color="auto"/>
                <w:right w:val="none" w:sz="0" w:space="0" w:color="auto"/>
              </w:divBdr>
            </w:div>
          </w:divsChild>
        </w:div>
        <w:div w:id="1618633664">
          <w:marLeft w:val="0"/>
          <w:marRight w:val="0"/>
          <w:marTop w:val="0"/>
          <w:marBottom w:val="0"/>
          <w:divBdr>
            <w:top w:val="none" w:sz="0" w:space="0" w:color="auto"/>
            <w:left w:val="none" w:sz="0" w:space="0" w:color="auto"/>
            <w:bottom w:val="none" w:sz="0" w:space="0" w:color="auto"/>
            <w:right w:val="none" w:sz="0" w:space="0" w:color="auto"/>
          </w:divBdr>
          <w:divsChild>
            <w:div w:id="1530412389">
              <w:marLeft w:val="0"/>
              <w:marRight w:val="0"/>
              <w:marTop w:val="0"/>
              <w:marBottom w:val="0"/>
              <w:divBdr>
                <w:top w:val="none" w:sz="0" w:space="0" w:color="auto"/>
                <w:left w:val="none" w:sz="0" w:space="0" w:color="auto"/>
                <w:bottom w:val="none" w:sz="0" w:space="0" w:color="auto"/>
                <w:right w:val="none" w:sz="0" w:space="0" w:color="auto"/>
              </w:divBdr>
            </w:div>
          </w:divsChild>
        </w:div>
        <w:div w:id="1698508165">
          <w:marLeft w:val="0"/>
          <w:marRight w:val="0"/>
          <w:marTop w:val="0"/>
          <w:marBottom w:val="0"/>
          <w:divBdr>
            <w:top w:val="none" w:sz="0" w:space="0" w:color="auto"/>
            <w:left w:val="none" w:sz="0" w:space="0" w:color="auto"/>
            <w:bottom w:val="none" w:sz="0" w:space="0" w:color="auto"/>
            <w:right w:val="none" w:sz="0" w:space="0" w:color="auto"/>
          </w:divBdr>
          <w:divsChild>
            <w:div w:id="1289968415">
              <w:marLeft w:val="0"/>
              <w:marRight w:val="0"/>
              <w:marTop w:val="0"/>
              <w:marBottom w:val="0"/>
              <w:divBdr>
                <w:top w:val="none" w:sz="0" w:space="0" w:color="auto"/>
                <w:left w:val="none" w:sz="0" w:space="0" w:color="auto"/>
                <w:bottom w:val="none" w:sz="0" w:space="0" w:color="auto"/>
                <w:right w:val="none" w:sz="0" w:space="0" w:color="auto"/>
              </w:divBdr>
            </w:div>
          </w:divsChild>
        </w:div>
        <w:div w:id="1703435165">
          <w:marLeft w:val="0"/>
          <w:marRight w:val="0"/>
          <w:marTop w:val="0"/>
          <w:marBottom w:val="0"/>
          <w:divBdr>
            <w:top w:val="none" w:sz="0" w:space="0" w:color="auto"/>
            <w:left w:val="none" w:sz="0" w:space="0" w:color="auto"/>
            <w:bottom w:val="none" w:sz="0" w:space="0" w:color="auto"/>
            <w:right w:val="none" w:sz="0" w:space="0" w:color="auto"/>
          </w:divBdr>
          <w:divsChild>
            <w:div w:id="759568305">
              <w:marLeft w:val="0"/>
              <w:marRight w:val="0"/>
              <w:marTop w:val="0"/>
              <w:marBottom w:val="0"/>
              <w:divBdr>
                <w:top w:val="none" w:sz="0" w:space="0" w:color="auto"/>
                <w:left w:val="none" w:sz="0" w:space="0" w:color="auto"/>
                <w:bottom w:val="none" w:sz="0" w:space="0" w:color="auto"/>
                <w:right w:val="none" w:sz="0" w:space="0" w:color="auto"/>
              </w:divBdr>
            </w:div>
          </w:divsChild>
        </w:div>
        <w:div w:id="1742799063">
          <w:marLeft w:val="0"/>
          <w:marRight w:val="0"/>
          <w:marTop w:val="0"/>
          <w:marBottom w:val="0"/>
          <w:divBdr>
            <w:top w:val="none" w:sz="0" w:space="0" w:color="auto"/>
            <w:left w:val="none" w:sz="0" w:space="0" w:color="auto"/>
            <w:bottom w:val="none" w:sz="0" w:space="0" w:color="auto"/>
            <w:right w:val="none" w:sz="0" w:space="0" w:color="auto"/>
          </w:divBdr>
          <w:divsChild>
            <w:div w:id="1131971">
              <w:marLeft w:val="0"/>
              <w:marRight w:val="0"/>
              <w:marTop w:val="0"/>
              <w:marBottom w:val="0"/>
              <w:divBdr>
                <w:top w:val="none" w:sz="0" w:space="0" w:color="auto"/>
                <w:left w:val="none" w:sz="0" w:space="0" w:color="auto"/>
                <w:bottom w:val="none" w:sz="0" w:space="0" w:color="auto"/>
                <w:right w:val="none" w:sz="0" w:space="0" w:color="auto"/>
              </w:divBdr>
            </w:div>
          </w:divsChild>
        </w:div>
        <w:div w:id="1790707410">
          <w:marLeft w:val="0"/>
          <w:marRight w:val="0"/>
          <w:marTop w:val="0"/>
          <w:marBottom w:val="0"/>
          <w:divBdr>
            <w:top w:val="none" w:sz="0" w:space="0" w:color="auto"/>
            <w:left w:val="none" w:sz="0" w:space="0" w:color="auto"/>
            <w:bottom w:val="none" w:sz="0" w:space="0" w:color="auto"/>
            <w:right w:val="none" w:sz="0" w:space="0" w:color="auto"/>
          </w:divBdr>
          <w:divsChild>
            <w:div w:id="1410344615">
              <w:marLeft w:val="0"/>
              <w:marRight w:val="0"/>
              <w:marTop w:val="0"/>
              <w:marBottom w:val="0"/>
              <w:divBdr>
                <w:top w:val="none" w:sz="0" w:space="0" w:color="auto"/>
                <w:left w:val="none" w:sz="0" w:space="0" w:color="auto"/>
                <w:bottom w:val="none" w:sz="0" w:space="0" w:color="auto"/>
                <w:right w:val="none" w:sz="0" w:space="0" w:color="auto"/>
              </w:divBdr>
            </w:div>
          </w:divsChild>
        </w:div>
        <w:div w:id="1819033249">
          <w:marLeft w:val="0"/>
          <w:marRight w:val="0"/>
          <w:marTop w:val="0"/>
          <w:marBottom w:val="0"/>
          <w:divBdr>
            <w:top w:val="none" w:sz="0" w:space="0" w:color="auto"/>
            <w:left w:val="none" w:sz="0" w:space="0" w:color="auto"/>
            <w:bottom w:val="none" w:sz="0" w:space="0" w:color="auto"/>
            <w:right w:val="none" w:sz="0" w:space="0" w:color="auto"/>
          </w:divBdr>
          <w:divsChild>
            <w:div w:id="621301832">
              <w:marLeft w:val="0"/>
              <w:marRight w:val="0"/>
              <w:marTop w:val="0"/>
              <w:marBottom w:val="0"/>
              <w:divBdr>
                <w:top w:val="none" w:sz="0" w:space="0" w:color="auto"/>
                <w:left w:val="none" w:sz="0" w:space="0" w:color="auto"/>
                <w:bottom w:val="none" w:sz="0" w:space="0" w:color="auto"/>
                <w:right w:val="none" w:sz="0" w:space="0" w:color="auto"/>
              </w:divBdr>
            </w:div>
          </w:divsChild>
        </w:div>
        <w:div w:id="1920410222">
          <w:marLeft w:val="0"/>
          <w:marRight w:val="0"/>
          <w:marTop w:val="0"/>
          <w:marBottom w:val="0"/>
          <w:divBdr>
            <w:top w:val="none" w:sz="0" w:space="0" w:color="auto"/>
            <w:left w:val="none" w:sz="0" w:space="0" w:color="auto"/>
            <w:bottom w:val="none" w:sz="0" w:space="0" w:color="auto"/>
            <w:right w:val="none" w:sz="0" w:space="0" w:color="auto"/>
          </w:divBdr>
          <w:divsChild>
            <w:div w:id="1405831546">
              <w:marLeft w:val="0"/>
              <w:marRight w:val="0"/>
              <w:marTop w:val="0"/>
              <w:marBottom w:val="0"/>
              <w:divBdr>
                <w:top w:val="none" w:sz="0" w:space="0" w:color="auto"/>
                <w:left w:val="none" w:sz="0" w:space="0" w:color="auto"/>
                <w:bottom w:val="none" w:sz="0" w:space="0" w:color="auto"/>
                <w:right w:val="none" w:sz="0" w:space="0" w:color="auto"/>
              </w:divBdr>
            </w:div>
          </w:divsChild>
        </w:div>
        <w:div w:id="2010592970">
          <w:marLeft w:val="0"/>
          <w:marRight w:val="0"/>
          <w:marTop w:val="0"/>
          <w:marBottom w:val="0"/>
          <w:divBdr>
            <w:top w:val="none" w:sz="0" w:space="0" w:color="auto"/>
            <w:left w:val="none" w:sz="0" w:space="0" w:color="auto"/>
            <w:bottom w:val="none" w:sz="0" w:space="0" w:color="auto"/>
            <w:right w:val="none" w:sz="0" w:space="0" w:color="auto"/>
          </w:divBdr>
          <w:divsChild>
            <w:div w:id="312105263">
              <w:marLeft w:val="0"/>
              <w:marRight w:val="0"/>
              <w:marTop w:val="0"/>
              <w:marBottom w:val="0"/>
              <w:divBdr>
                <w:top w:val="none" w:sz="0" w:space="0" w:color="auto"/>
                <w:left w:val="none" w:sz="0" w:space="0" w:color="auto"/>
                <w:bottom w:val="none" w:sz="0" w:space="0" w:color="auto"/>
                <w:right w:val="none" w:sz="0" w:space="0" w:color="auto"/>
              </w:divBdr>
            </w:div>
          </w:divsChild>
        </w:div>
        <w:div w:id="2012365418">
          <w:marLeft w:val="0"/>
          <w:marRight w:val="0"/>
          <w:marTop w:val="0"/>
          <w:marBottom w:val="0"/>
          <w:divBdr>
            <w:top w:val="none" w:sz="0" w:space="0" w:color="auto"/>
            <w:left w:val="none" w:sz="0" w:space="0" w:color="auto"/>
            <w:bottom w:val="none" w:sz="0" w:space="0" w:color="auto"/>
            <w:right w:val="none" w:sz="0" w:space="0" w:color="auto"/>
          </w:divBdr>
          <w:divsChild>
            <w:div w:id="32656406">
              <w:marLeft w:val="0"/>
              <w:marRight w:val="0"/>
              <w:marTop w:val="0"/>
              <w:marBottom w:val="0"/>
              <w:divBdr>
                <w:top w:val="none" w:sz="0" w:space="0" w:color="auto"/>
                <w:left w:val="none" w:sz="0" w:space="0" w:color="auto"/>
                <w:bottom w:val="none" w:sz="0" w:space="0" w:color="auto"/>
                <w:right w:val="none" w:sz="0" w:space="0" w:color="auto"/>
              </w:divBdr>
            </w:div>
          </w:divsChild>
        </w:div>
        <w:div w:id="2031295855">
          <w:marLeft w:val="0"/>
          <w:marRight w:val="0"/>
          <w:marTop w:val="0"/>
          <w:marBottom w:val="0"/>
          <w:divBdr>
            <w:top w:val="none" w:sz="0" w:space="0" w:color="auto"/>
            <w:left w:val="none" w:sz="0" w:space="0" w:color="auto"/>
            <w:bottom w:val="none" w:sz="0" w:space="0" w:color="auto"/>
            <w:right w:val="none" w:sz="0" w:space="0" w:color="auto"/>
          </w:divBdr>
          <w:divsChild>
            <w:div w:id="916986298">
              <w:marLeft w:val="0"/>
              <w:marRight w:val="0"/>
              <w:marTop w:val="0"/>
              <w:marBottom w:val="0"/>
              <w:divBdr>
                <w:top w:val="none" w:sz="0" w:space="0" w:color="auto"/>
                <w:left w:val="none" w:sz="0" w:space="0" w:color="auto"/>
                <w:bottom w:val="none" w:sz="0" w:space="0" w:color="auto"/>
                <w:right w:val="none" w:sz="0" w:space="0" w:color="auto"/>
              </w:divBdr>
            </w:div>
          </w:divsChild>
        </w:div>
        <w:div w:id="2099521308">
          <w:marLeft w:val="0"/>
          <w:marRight w:val="0"/>
          <w:marTop w:val="0"/>
          <w:marBottom w:val="0"/>
          <w:divBdr>
            <w:top w:val="none" w:sz="0" w:space="0" w:color="auto"/>
            <w:left w:val="none" w:sz="0" w:space="0" w:color="auto"/>
            <w:bottom w:val="none" w:sz="0" w:space="0" w:color="auto"/>
            <w:right w:val="none" w:sz="0" w:space="0" w:color="auto"/>
          </w:divBdr>
          <w:divsChild>
            <w:div w:id="1667511163">
              <w:marLeft w:val="0"/>
              <w:marRight w:val="0"/>
              <w:marTop w:val="0"/>
              <w:marBottom w:val="0"/>
              <w:divBdr>
                <w:top w:val="none" w:sz="0" w:space="0" w:color="auto"/>
                <w:left w:val="none" w:sz="0" w:space="0" w:color="auto"/>
                <w:bottom w:val="none" w:sz="0" w:space="0" w:color="auto"/>
                <w:right w:val="none" w:sz="0" w:space="0" w:color="auto"/>
              </w:divBdr>
            </w:div>
          </w:divsChild>
        </w:div>
        <w:div w:id="2146851217">
          <w:marLeft w:val="0"/>
          <w:marRight w:val="0"/>
          <w:marTop w:val="0"/>
          <w:marBottom w:val="0"/>
          <w:divBdr>
            <w:top w:val="none" w:sz="0" w:space="0" w:color="auto"/>
            <w:left w:val="none" w:sz="0" w:space="0" w:color="auto"/>
            <w:bottom w:val="none" w:sz="0" w:space="0" w:color="auto"/>
            <w:right w:val="none" w:sz="0" w:space="0" w:color="auto"/>
          </w:divBdr>
          <w:divsChild>
            <w:div w:id="20489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6054">
      <w:bodyDiv w:val="1"/>
      <w:marLeft w:val="0"/>
      <w:marRight w:val="0"/>
      <w:marTop w:val="0"/>
      <w:marBottom w:val="0"/>
      <w:divBdr>
        <w:top w:val="none" w:sz="0" w:space="0" w:color="auto"/>
        <w:left w:val="none" w:sz="0" w:space="0" w:color="auto"/>
        <w:bottom w:val="none" w:sz="0" w:space="0" w:color="auto"/>
        <w:right w:val="none" w:sz="0" w:space="0" w:color="auto"/>
      </w:divBdr>
    </w:div>
    <w:div w:id="207037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8/1748-9326/ac4dc6" TargetMode="External"/><Relationship Id="rId2" Type="http://schemas.openxmlformats.org/officeDocument/2006/relationships/hyperlink" Target="http://data.europa.eu/eli/dir/2023/2413/oj" TargetMode="External"/><Relationship Id="rId1" Type="http://schemas.openxmlformats.org/officeDocument/2006/relationships/hyperlink" Target="http://data.europa.eu/eli/dir/2018/2001/oj" TargetMode="External"/><Relationship Id="rId5" Type="http://schemas.openxmlformats.org/officeDocument/2006/relationships/hyperlink" Target="https://doi.org/10.3390/land9100397" TargetMode="External"/><Relationship Id="rId4" Type="http://schemas.openxmlformats.org/officeDocument/2006/relationships/hyperlink" Target="https://doi.org/10.3390/land12030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4" ma:contentTypeDescription="Create a new document." ma:contentTypeScope="" ma:versionID="65e9f4479c57b41e3d892e5dd9a8df17">
  <xsd:schema xmlns:xsd="http://www.w3.org/2001/XMLSchema" xmlns:xs="http://www.w3.org/2001/XMLSchema" xmlns:p="http://schemas.microsoft.com/office/2006/metadata/properties" xmlns:ns2="43eb9028-f615-416e-ab95-1f973838ac88" targetNamespace="http://schemas.microsoft.com/office/2006/metadata/properties" ma:root="true" ma:fieldsID="e1ffaba0c8aad635a05b0e0ffd522ae6" ns2:_="">
    <xsd:import namespace="43eb9028-f615-416e-ab95-1f973838ac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CON20</b:Tag>
    <b:SourceType>InternetSite</b:SourceType>
    <b:Guid>{273E1EE0-5756-429B-9454-452A81CDAADC}</b:Guid>
    <b:Author>
      <b:Author>
        <b:NameList>
          <b:Person>
            <b:Last>CONAB</b:Last>
          </b:Person>
        </b:NameList>
      </b:Author>
    </b:Author>
    <b:Title>Historical yield data series</b:Title>
    <b:Year>2022</b:Year>
    <b:YearAccessed>2020</b:YearAccessed>
    <b:MonthAccessed>June</b:MonthAccessed>
    <b:URL>https://www.conab.gov.br/info-agro/safras/serie-historica-das-safras?start=20</b:URL>
    <b:RefOrder>3</b:RefOrder>
  </b:Source>
  <b:Source>
    <b:Tag>Sta20</b:Tag>
    <b:SourceType>DocumentFromInternetSite</b:SourceType>
    <b:Guid>{316B6474-F200-47E8-B95C-83D4168A9704}</b:Guid>
    <b:Title>Statistics Indonesia</b:Title>
    <b:Author>
      <b:Author>
        <b:Corporate>Statistics Indonesia</b:Corporate>
      </b:Author>
    </b:Author>
    <b:YearAccessed>2020</b:YearAccessed>
    <b:MonthAccessed>June</b:MonthAccessed>
    <b:DayAccessed>06</b:DayAccessed>
    <b:URL>https://www.bps.go.id/subject/54/perkebunan.html#subjekViewTab4</b:URL>
    <b:Year>2022</b:Year>
    <b:RefOrder>6</b:RefOrder>
  </b:Source>
  <b:Source>
    <b:Tag>Mal20</b:Tag>
    <b:SourceType>DocumentFromInternetSite</b:SourceType>
    <b:Guid>{D94A437D-954A-4C6D-A4FC-47FE68079383}</b:Guid>
    <b:Author>
      <b:Author>
        <b:Corporate>Malaysian Palm Oil Board</b:Corporate>
      </b:Author>
    </b:Author>
    <b:Title>Malaysian Palm Oil Board (MPOB)</b:Title>
    <b:YearAccessed>2020</b:YearAccessed>
    <b:MonthAccessed>June</b:MonthAccessed>
    <b:DayAccessed>06</b:DayAccessed>
    <b:URL>http://bepi.mpob.gov.my/index.php/en/?option=com_content&amp;view=category&amp;id=115</b:URL>
    <b:Year>2022</b:Year>
    <b:RefOrder>7</b:RefOrder>
  </b:Source>
  <b:Source>
    <b:Tag>Gun13</b:Tag>
    <b:SourceType>JournalArticle</b:SourceType>
    <b:Guid>{B1DC75AB-4542-4C39-B152-C8DB082EC98D}</b:Guid>
    <b:Author>
      <b:Author>
        <b:NameList>
          <b:Person>
            <b:Last>Gunarso</b:Last>
            <b:First>P.</b:First>
          </b:Person>
          <b:Person>
            <b:Last>Hartoyo</b:Last>
            <b:First>M.</b:First>
          </b:Person>
          <b:Person>
            <b:Last>Agus</b:Last>
            <b:First>F.</b:First>
          </b:Person>
          <b:Person>
            <b:Last>Killeen</b:Last>
            <b:First>T.</b:First>
          </b:Person>
        </b:NameList>
      </b:Author>
    </b:Author>
    <b:Title>Oil palm and land use change in Indonesia, Malaysia and Papua New Guinea Reports from the Technical Panels of the 2nd greenhouse gas working Group of the Roundtable on Sustainable Palm Oil (RSPO), Roundtable on Sustainable Palm Oil Kuala Lumpur</b:Title>
    <b:Year>2013</b:Year>
    <b:Pages>29-64</b:Pages>
    <b:RefOrder>8</b:RefOrder>
  </b:Source>
</b:Sources>
</file>

<file path=customXml/itemProps1.xml><?xml version="1.0" encoding="utf-8"?>
<ds:datastoreItem xmlns:ds="http://schemas.openxmlformats.org/officeDocument/2006/customXml" ds:itemID="{ABA53716-AC6F-4D0E-9932-37AA919F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279351-40EC-4B9A-9F4C-B722DF7947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61CB9B-3A56-4FDC-911F-D50CE9A51577}">
  <ds:schemaRefs>
    <ds:schemaRef ds:uri="http://schemas.microsoft.com/sharepoint/v3/contenttype/forms"/>
  </ds:schemaRefs>
</ds:datastoreItem>
</file>

<file path=customXml/itemProps4.xml><?xml version="1.0" encoding="utf-8"?>
<ds:datastoreItem xmlns:ds="http://schemas.openxmlformats.org/officeDocument/2006/customXml" ds:itemID="{FA773A29-1063-497A-8EDB-5DA22AF0C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4680</Words>
  <Characters>26676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2026-01-12T16:40:00Z</dcterms:created>
  <dcterms:modified xsi:type="dcterms:W3CDTF">2026-02-06T14:18:00Z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2022-09-19T14:11:07Z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d7543c63-420e-4d3b-ad80-aaeb9e02c837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CP-008</vt:lpwstr>
  </property>
  <property fmtid="{D5CDD505-2E9C-101B-9397-08002B2CF9AE}" pid="14" name="Last edited using">
    <vt:lpwstr>LW 9.2, Build 20250828</vt:lpwstr>
  </property>
  <property fmtid="{D5CDD505-2E9C-101B-9397-08002B2CF9AE}" pid="15" name="Created using">
    <vt:lpwstr>LW 8.1, Build 20220902</vt:lpwstr>
  </property>
  <property fmtid="{D5CDD505-2E9C-101B-9397-08002B2CF9AE}" pid="16" name="ContentTypeId">
    <vt:lpwstr>0x0101001C23373B94E5924D9AB8E247F07DDCE5</vt:lpwstr>
  </property>
</Properties>
</file>