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377EC44" w:rsidR="00CD6E84" w:rsidRPr="00526778" w:rsidRDefault="00652629" w:rsidP="00652629">
      <w:pPr>
        <w:pStyle w:val="Pagedecouverture"/>
        <w:rPr>
          <w:noProof/>
        </w:rPr>
      </w:pPr>
      <w:bookmarkStart w:id="0" w:name="LW_BM_COVERPAGE"/>
      <w:r>
        <w:rPr>
          <w:noProof/>
        </w:rPr>
        <w:pict w14:anchorId="09D158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5132A05-04FE-431E-B3B3-963E1F12B48E" style="width:455.25pt;height:394.2pt">
            <v:imagedata r:id="rId11" o:title=""/>
          </v:shape>
        </w:pict>
      </w:r>
    </w:p>
    <w:bookmarkEnd w:id="0"/>
    <w:p w14:paraId="0A37501D" w14:textId="77777777" w:rsidR="00CD6E84" w:rsidRPr="00D937A1" w:rsidRDefault="00CD6E84" w:rsidP="00CD6E84">
      <w:pPr>
        <w:rPr>
          <w:rFonts w:ascii="Times New Roman" w:hAnsi="Times New Roman" w:cs="Times New Roman"/>
          <w:noProof/>
        </w:rPr>
        <w:sectPr w:rsidR="00CD6E84" w:rsidRPr="00D937A1" w:rsidSect="0065262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8B4F07" w14:textId="6B8BA3A7" w:rsidR="74982C6C" w:rsidRPr="00526778" w:rsidRDefault="74982C6C" w:rsidP="00C27014">
      <w:pPr>
        <w:pStyle w:val="Style1"/>
        <w:rPr>
          <w:noProof/>
        </w:rPr>
      </w:pPr>
      <w:bookmarkStart w:id="1" w:name="_Toc109647466"/>
      <w:r w:rsidRPr="00526778">
        <w:rPr>
          <w:noProof/>
        </w:rPr>
        <w:lastRenderedPageBreak/>
        <w:t>INTRODUCTION</w:t>
      </w:r>
      <w:bookmarkEnd w:id="1"/>
    </w:p>
    <w:p w14:paraId="0FB78278" w14:textId="77777777" w:rsidR="74982C6C" w:rsidRPr="00526778" w:rsidRDefault="74982C6C" w:rsidP="74982C6C">
      <w:pPr>
        <w:pStyle w:val="NormalTimesNewRoman"/>
        <w:rPr>
          <w:noProof/>
        </w:rPr>
      </w:pPr>
    </w:p>
    <w:p w14:paraId="75BD0B43" w14:textId="2C4964AB" w:rsidR="74982C6C" w:rsidRPr="00526778" w:rsidRDefault="00876C47" w:rsidP="00DB5257">
      <w:pPr>
        <w:pStyle w:val="NormalTimesNewRoman"/>
        <w:spacing w:line="276" w:lineRule="auto"/>
        <w:rPr>
          <w:noProof/>
          <w:lang w:val="en-GB"/>
        </w:rPr>
      </w:pPr>
      <w:r w:rsidRPr="00526778">
        <w:rPr>
          <w:noProof/>
          <w:lang w:val="en-GB"/>
        </w:rPr>
        <w:t>Directive (EU) 2018/2001</w:t>
      </w:r>
      <w:r w:rsidR="004B465E" w:rsidRPr="00526778">
        <w:rPr>
          <w:rStyle w:val="FootnoteReference"/>
          <w:noProof/>
          <w:lang w:val="en-GB"/>
        </w:rPr>
        <w:footnoteReference w:id="2"/>
      </w:r>
      <w:r w:rsidR="004B465E" w:rsidRPr="00526778">
        <w:rPr>
          <w:noProof/>
          <w:lang w:val="en-GB"/>
        </w:rPr>
        <w:t xml:space="preserve"> </w:t>
      </w:r>
      <w:r w:rsidRPr="00526778">
        <w:rPr>
          <w:noProof/>
          <w:lang w:val="en-GB"/>
        </w:rPr>
        <w:t>(the Renewable Energy Directive) introduces</w:t>
      </w:r>
      <w:r w:rsidR="74982C6C" w:rsidRPr="00526778">
        <w:rPr>
          <w:noProof/>
          <w:lang w:val="en-GB"/>
        </w:rPr>
        <w:t xml:space="preserve"> a targeted approach to address emissions from indirect land-use change </w:t>
      </w:r>
      <w:r w:rsidR="009D2456" w:rsidRPr="00526778">
        <w:rPr>
          <w:noProof/>
          <w:lang w:val="en-GB"/>
        </w:rPr>
        <w:t xml:space="preserve">(ILUC) </w:t>
      </w:r>
      <w:r w:rsidR="74982C6C" w:rsidRPr="00526778">
        <w:rPr>
          <w:noProof/>
          <w:lang w:val="en-GB"/>
        </w:rPr>
        <w:t>associated with conventional biofuels, bioliquids and biomass fuels. It sets</w:t>
      </w:r>
      <w:r w:rsidR="00154565">
        <w:rPr>
          <w:noProof/>
          <w:lang w:val="en-GB"/>
        </w:rPr>
        <w:t xml:space="preserve"> a</w:t>
      </w:r>
      <w:r w:rsidR="74982C6C" w:rsidRPr="00526778">
        <w:rPr>
          <w:noProof/>
          <w:lang w:val="en-GB"/>
        </w:rPr>
        <w:t xml:space="preserve"> </w:t>
      </w:r>
      <w:r w:rsidR="009127EC" w:rsidRPr="00526778">
        <w:rPr>
          <w:noProof/>
          <w:lang w:val="en-GB"/>
        </w:rPr>
        <w:t>limit on</w:t>
      </w:r>
      <w:r w:rsidR="74982C6C" w:rsidRPr="00526778">
        <w:rPr>
          <w:noProof/>
          <w:lang w:val="en-GB"/>
        </w:rPr>
        <w:t xml:space="preserve"> biofuels, bioliquids, and biomass fuels</w:t>
      </w:r>
      <w:r w:rsidR="4A791AF1" w:rsidRPr="00526778">
        <w:rPr>
          <w:noProof/>
          <w:lang w:val="en-GB"/>
        </w:rPr>
        <w:t xml:space="preserve"> </w:t>
      </w:r>
      <w:r w:rsidR="74982C6C" w:rsidRPr="00526778">
        <w:rPr>
          <w:noProof/>
          <w:lang w:val="en-GB"/>
        </w:rPr>
        <w:t xml:space="preserve">produced from food or feed crops </w:t>
      </w:r>
      <w:r w:rsidR="4A791AF1" w:rsidRPr="00526778">
        <w:rPr>
          <w:noProof/>
          <w:lang w:val="en-GB"/>
        </w:rPr>
        <w:t xml:space="preserve">for which a significant expansion </w:t>
      </w:r>
      <w:r w:rsidR="1DF8D113">
        <w:rPr>
          <w:noProof/>
          <w:lang w:val="en-GB"/>
        </w:rPr>
        <w:t>o</w:t>
      </w:r>
      <w:r w:rsidR="366718E9" w:rsidRPr="00526778">
        <w:rPr>
          <w:noProof/>
          <w:lang w:val="en-GB"/>
        </w:rPr>
        <w:t>n</w:t>
      </w:r>
      <w:r w:rsidR="4A791AF1" w:rsidRPr="00526778">
        <w:rPr>
          <w:noProof/>
          <w:lang w:val="en-GB"/>
        </w:rPr>
        <w:t xml:space="preserve"> land with high carbon stock has been observed</w:t>
      </w:r>
      <w:r w:rsidR="006112E3">
        <w:rPr>
          <w:noProof/>
          <w:lang w:val="en-GB"/>
        </w:rPr>
        <w:t xml:space="preserve"> </w:t>
      </w:r>
      <w:r w:rsidR="006112E3" w:rsidRPr="00154565">
        <w:rPr>
          <w:noProof/>
          <w:lang w:val="en-IE"/>
        </w:rPr>
        <w:t>(hi</w:t>
      </w:r>
      <w:r w:rsidR="006112E3">
        <w:rPr>
          <w:noProof/>
          <w:lang w:val="en-IE"/>
        </w:rPr>
        <w:t>gh ILUC-risk fuels)</w:t>
      </w:r>
      <w:r w:rsidR="009B7F2C">
        <w:rPr>
          <w:noProof/>
          <w:lang w:val="en-GB"/>
        </w:rPr>
        <w:t>. Th</w:t>
      </w:r>
      <w:r w:rsidR="00154565">
        <w:rPr>
          <w:noProof/>
          <w:lang w:val="en-GB"/>
        </w:rPr>
        <w:t>is</w:t>
      </w:r>
      <w:r w:rsidR="009B7F2C">
        <w:rPr>
          <w:noProof/>
          <w:lang w:val="en-GB"/>
        </w:rPr>
        <w:t xml:space="preserve"> limit appl</w:t>
      </w:r>
      <w:r w:rsidR="00154565">
        <w:rPr>
          <w:noProof/>
          <w:lang w:val="en-GB"/>
        </w:rPr>
        <w:t>ies</w:t>
      </w:r>
      <w:r w:rsidR="009B7F2C">
        <w:rPr>
          <w:noProof/>
          <w:lang w:val="en-GB"/>
        </w:rPr>
        <w:t xml:space="preserve"> to the amount of these fuels</w:t>
      </w:r>
      <w:r w:rsidR="6C924721" w:rsidRPr="00526778">
        <w:rPr>
          <w:noProof/>
          <w:lang w:val="en-GB"/>
        </w:rPr>
        <w:t xml:space="preserve"> </w:t>
      </w:r>
      <w:r w:rsidR="00140B5B">
        <w:rPr>
          <w:noProof/>
          <w:lang w:val="en-GB"/>
        </w:rPr>
        <w:t>th</w:t>
      </w:r>
      <w:r w:rsidR="00FE7DB1">
        <w:rPr>
          <w:noProof/>
          <w:lang w:val="en-GB"/>
        </w:rPr>
        <w:t>a</w:t>
      </w:r>
      <w:r w:rsidR="00140B5B">
        <w:rPr>
          <w:noProof/>
          <w:lang w:val="en-GB"/>
        </w:rPr>
        <w:t xml:space="preserve">t </w:t>
      </w:r>
      <w:r w:rsidR="6C924721" w:rsidRPr="00526778">
        <w:rPr>
          <w:noProof/>
          <w:lang w:val="en-GB"/>
        </w:rPr>
        <w:t>can be counted towards the targets</w:t>
      </w:r>
      <w:r w:rsidR="0046241A">
        <w:rPr>
          <w:noProof/>
          <w:lang w:val="en-GB"/>
        </w:rPr>
        <w:t xml:space="preserve"> fo</w:t>
      </w:r>
      <w:r w:rsidR="00E31C77">
        <w:rPr>
          <w:noProof/>
          <w:lang w:val="en-GB"/>
        </w:rPr>
        <w:t xml:space="preserve">r renewable energy set out in the </w:t>
      </w:r>
      <w:r w:rsidR="74AF398B" w:rsidRPr="4465339D">
        <w:rPr>
          <w:noProof/>
          <w:lang w:val="en-GB"/>
        </w:rPr>
        <w:t xml:space="preserve">Renewable Energy </w:t>
      </w:r>
      <w:r w:rsidR="00E31C77">
        <w:rPr>
          <w:noProof/>
          <w:lang w:val="en-GB"/>
        </w:rPr>
        <w:t>Directive</w:t>
      </w:r>
      <w:r w:rsidR="7759589E" w:rsidRPr="00526778">
        <w:rPr>
          <w:noProof/>
          <w:lang w:val="en-GB"/>
        </w:rPr>
        <w:t>.</w:t>
      </w:r>
      <w:r w:rsidR="74982C6C" w:rsidRPr="00526778">
        <w:rPr>
          <w:noProof/>
          <w:lang w:val="en-GB"/>
        </w:rPr>
        <w:t xml:space="preserve"> </w:t>
      </w:r>
      <w:r w:rsidR="6D3BC459" w:rsidRPr="00526778">
        <w:rPr>
          <w:noProof/>
          <w:lang w:val="en-GB"/>
        </w:rPr>
        <w:t xml:space="preserve">The limit </w:t>
      </w:r>
      <w:r w:rsidR="009B7F2C">
        <w:rPr>
          <w:noProof/>
          <w:lang w:val="en-GB"/>
        </w:rPr>
        <w:t>ha</w:t>
      </w:r>
      <w:r w:rsidR="00154565">
        <w:rPr>
          <w:noProof/>
          <w:lang w:val="en-GB"/>
        </w:rPr>
        <w:t>s to</w:t>
      </w:r>
      <w:r w:rsidR="009B7F2C" w:rsidRPr="00526778" w:rsidDel="0046241A">
        <w:rPr>
          <w:noProof/>
          <w:lang w:val="en-GB"/>
        </w:rPr>
        <w:t xml:space="preserve"> </w:t>
      </w:r>
      <w:r w:rsidR="6D3BC459" w:rsidRPr="00526778" w:rsidDel="0046241A">
        <w:rPr>
          <w:noProof/>
          <w:lang w:val="en-GB"/>
        </w:rPr>
        <w:t>gradually decrease to zero by 2030</w:t>
      </w:r>
      <w:r w:rsidR="6D3BC459" w:rsidRPr="00526778">
        <w:rPr>
          <w:noProof/>
          <w:lang w:val="en-GB"/>
        </w:rPr>
        <w:t xml:space="preserve">. </w:t>
      </w:r>
      <w:r w:rsidR="69C8F9F0">
        <w:rPr>
          <w:noProof/>
          <w:lang w:val="en-GB"/>
        </w:rPr>
        <w:t>B</w:t>
      </w:r>
      <w:r w:rsidR="6D3BC459" w:rsidRPr="00526778">
        <w:rPr>
          <w:noProof/>
          <w:lang w:val="en-GB"/>
        </w:rPr>
        <w:t>iofuels</w:t>
      </w:r>
      <w:r w:rsidR="74982C6C" w:rsidRPr="00526778">
        <w:rPr>
          <w:noProof/>
          <w:lang w:val="en-GB"/>
        </w:rPr>
        <w:t xml:space="preserve">, bioliquids and biomass fuels that are certified as </w:t>
      </w:r>
      <w:r w:rsidR="000A1BD4">
        <w:rPr>
          <w:noProof/>
          <w:lang w:val="en-GB"/>
        </w:rPr>
        <w:t xml:space="preserve">having </w:t>
      </w:r>
      <w:r w:rsidR="74982C6C" w:rsidRPr="00526778">
        <w:rPr>
          <w:noProof/>
          <w:lang w:val="en-GB"/>
        </w:rPr>
        <w:t>low ILUC-risk</w:t>
      </w:r>
      <w:r w:rsidR="00C47F39">
        <w:rPr>
          <w:noProof/>
          <w:lang w:val="en-GB"/>
        </w:rPr>
        <w:t xml:space="preserve"> (low ILUC-risk fuels)</w:t>
      </w:r>
      <w:r w:rsidR="000A1BD4">
        <w:rPr>
          <w:noProof/>
          <w:lang w:val="en-GB"/>
        </w:rPr>
        <w:t xml:space="preserve"> are </w:t>
      </w:r>
      <w:r w:rsidR="000A1BD4" w:rsidRPr="00526778">
        <w:rPr>
          <w:noProof/>
          <w:lang w:val="en-GB"/>
        </w:rPr>
        <w:t>exempt</w:t>
      </w:r>
      <w:r w:rsidR="000A1BD4">
        <w:rPr>
          <w:noProof/>
          <w:lang w:val="en-GB"/>
        </w:rPr>
        <w:t>ed</w:t>
      </w:r>
      <w:r w:rsidR="000A1BD4" w:rsidRPr="00526778">
        <w:rPr>
          <w:noProof/>
          <w:lang w:val="en-GB"/>
        </w:rPr>
        <w:t xml:space="preserve"> from </w:t>
      </w:r>
      <w:r w:rsidR="0032113E" w:rsidRPr="00526778">
        <w:rPr>
          <w:noProof/>
          <w:lang w:val="en-GB"/>
        </w:rPr>
        <w:t xml:space="preserve">the </w:t>
      </w:r>
      <w:r w:rsidR="0032113E">
        <w:rPr>
          <w:noProof/>
          <w:lang w:val="en-GB"/>
        </w:rPr>
        <w:t>limit</w:t>
      </w:r>
      <w:r w:rsidR="00154565">
        <w:rPr>
          <w:noProof/>
          <w:lang w:val="en-GB"/>
        </w:rPr>
        <w:t>.</w:t>
      </w:r>
    </w:p>
    <w:p w14:paraId="08574ED5" w14:textId="31A12BA5" w:rsidR="74982C6C" w:rsidRDefault="74982C6C" w:rsidP="67FE5085">
      <w:pPr>
        <w:pStyle w:val="NormalTimesNewRoman"/>
        <w:spacing w:line="276" w:lineRule="auto"/>
        <w:rPr>
          <w:noProof/>
          <w:lang w:val="en-GB"/>
        </w:rPr>
      </w:pPr>
      <w:r w:rsidRPr="00526778">
        <w:rPr>
          <w:noProof/>
          <w:lang w:val="en-GB"/>
        </w:rPr>
        <w:t>Delegated Regulation (EU) 2019/807</w:t>
      </w:r>
      <w:r w:rsidRPr="00526778">
        <w:rPr>
          <w:rStyle w:val="FootnoteReference"/>
          <w:noProof/>
          <w:lang w:val="en-GB"/>
        </w:rPr>
        <w:footnoteReference w:id="3"/>
      </w:r>
      <w:r w:rsidR="0035066C" w:rsidRPr="00526778">
        <w:rPr>
          <w:noProof/>
          <w:lang w:val="en-GB"/>
        </w:rPr>
        <w:t xml:space="preserve"> (the ‘ILUC Delegated Regulation’</w:t>
      </w:r>
      <w:r w:rsidR="7BF8D5A3" w:rsidRPr="00526778">
        <w:rPr>
          <w:noProof/>
          <w:lang w:val="en-GB"/>
        </w:rPr>
        <w:t>)</w:t>
      </w:r>
      <w:r w:rsidR="67FE5085" w:rsidRPr="00526778">
        <w:rPr>
          <w:noProof/>
          <w:lang w:val="en-GB"/>
        </w:rPr>
        <w:t xml:space="preserve"> supplemen</w:t>
      </w:r>
      <w:r w:rsidR="00716524" w:rsidRPr="00526778">
        <w:rPr>
          <w:noProof/>
          <w:lang w:val="en-GB"/>
        </w:rPr>
        <w:t>ts</w:t>
      </w:r>
      <w:r w:rsidR="67FE5085" w:rsidRPr="00526778">
        <w:rPr>
          <w:noProof/>
          <w:lang w:val="en-GB"/>
        </w:rPr>
        <w:t xml:space="preserve"> the </w:t>
      </w:r>
      <w:r w:rsidR="00716524" w:rsidRPr="00526778">
        <w:rPr>
          <w:noProof/>
          <w:lang w:val="en-GB"/>
        </w:rPr>
        <w:t>R</w:t>
      </w:r>
      <w:r w:rsidR="457C98C5" w:rsidRPr="00526778">
        <w:rPr>
          <w:noProof/>
          <w:lang w:val="en-GB"/>
        </w:rPr>
        <w:t>enewable Energy Directive</w:t>
      </w:r>
      <w:r w:rsidR="00716524" w:rsidRPr="00526778">
        <w:rPr>
          <w:noProof/>
          <w:lang w:val="en-GB"/>
        </w:rPr>
        <w:t xml:space="preserve"> </w:t>
      </w:r>
      <w:r w:rsidR="009B7F2C">
        <w:rPr>
          <w:noProof/>
          <w:lang w:val="en-GB"/>
        </w:rPr>
        <w:t>by</w:t>
      </w:r>
      <w:r w:rsidR="009B7F2C" w:rsidRPr="00526778">
        <w:rPr>
          <w:noProof/>
          <w:lang w:val="en-GB"/>
        </w:rPr>
        <w:t xml:space="preserve"> </w:t>
      </w:r>
      <w:r w:rsidR="004B465E" w:rsidRPr="00526778">
        <w:rPr>
          <w:noProof/>
          <w:lang w:val="en-GB"/>
        </w:rPr>
        <w:t>lay</w:t>
      </w:r>
      <w:r w:rsidR="009B7F2C">
        <w:rPr>
          <w:noProof/>
          <w:lang w:val="en-GB"/>
        </w:rPr>
        <w:t>ing</w:t>
      </w:r>
      <w:r w:rsidR="004B465E" w:rsidRPr="00526778">
        <w:rPr>
          <w:noProof/>
          <w:lang w:val="en-GB"/>
        </w:rPr>
        <w:t xml:space="preserve"> down</w:t>
      </w:r>
      <w:r w:rsidR="67FE5085" w:rsidRPr="00526778">
        <w:rPr>
          <w:noProof/>
          <w:lang w:val="en-GB"/>
        </w:rPr>
        <w:t xml:space="preserve"> </w:t>
      </w:r>
      <w:r w:rsidR="00656CE7">
        <w:rPr>
          <w:noProof/>
          <w:lang w:val="en-GB"/>
        </w:rPr>
        <w:t xml:space="preserve">both </w:t>
      </w:r>
      <w:r w:rsidR="67FE5085" w:rsidRPr="00526778">
        <w:rPr>
          <w:noProof/>
          <w:lang w:val="en-GB"/>
        </w:rPr>
        <w:t xml:space="preserve">criteria to determine </w:t>
      </w:r>
      <w:r w:rsidR="009B7F2C">
        <w:rPr>
          <w:noProof/>
          <w:lang w:val="en-GB"/>
        </w:rPr>
        <w:t xml:space="preserve">when </w:t>
      </w:r>
      <w:r w:rsidR="67FE5085" w:rsidRPr="00526778">
        <w:rPr>
          <w:noProof/>
          <w:lang w:val="en-GB"/>
        </w:rPr>
        <w:t>feedstocks for the production of biofuels, bioliquids and biomass fuels</w:t>
      </w:r>
      <w:r w:rsidR="009B7F2C">
        <w:rPr>
          <w:noProof/>
          <w:lang w:val="en-GB"/>
        </w:rPr>
        <w:t xml:space="preserve"> are high ILUC-risk</w:t>
      </w:r>
      <w:r w:rsidR="00DE0E98">
        <w:rPr>
          <w:noProof/>
          <w:lang w:val="en-GB"/>
        </w:rPr>
        <w:t>,</w:t>
      </w:r>
      <w:r w:rsidR="009B7F2C">
        <w:rPr>
          <w:noProof/>
          <w:lang w:val="en-GB"/>
        </w:rPr>
        <w:t xml:space="preserve"> as well as</w:t>
      </w:r>
      <w:r w:rsidR="67FE5085" w:rsidRPr="00526778">
        <w:rPr>
          <w:noProof/>
          <w:lang w:val="en-GB"/>
        </w:rPr>
        <w:t xml:space="preserve"> rules for the certification of low ILUC-risk fuels</w:t>
      </w:r>
      <w:r w:rsidR="0032113E">
        <w:rPr>
          <w:noProof/>
          <w:lang w:val="en-GB"/>
        </w:rPr>
        <w:t xml:space="preserve"> (</w:t>
      </w:r>
      <w:r w:rsidR="0032113E" w:rsidRPr="646D87E9">
        <w:rPr>
          <w:i/>
          <w:noProof/>
          <w:lang w:val="en-GB"/>
        </w:rPr>
        <w:t xml:space="preserve">see </w:t>
      </w:r>
      <w:r w:rsidR="0032113E" w:rsidRPr="00526778">
        <w:rPr>
          <w:noProof/>
          <w:lang w:val="en-GB"/>
        </w:rPr>
        <w:t>Chapter III</w:t>
      </w:r>
      <w:r w:rsidR="0032113E">
        <w:rPr>
          <w:noProof/>
          <w:lang w:val="en-GB"/>
        </w:rPr>
        <w:t>)</w:t>
      </w:r>
      <w:r w:rsidR="67FE5085" w:rsidRPr="00526778">
        <w:rPr>
          <w:noProof/>
          <w:lang w:val="en-GB"/>
        </w:rPr>
        <w:t xml:space="preserve">. </w:t>
      </w:r>
    </w:p>
    <w:p w14:paraId="7051CF2D" w14:textId="1A29398B" w:rsidR="00354168" w:rsidRPr="00526778" w:rsidRDefault="00354168" w:rsidP="67FE5085">
      <w:pPr>
        <w:pStyle w:val="NormalTimesNewRoman"/>
        <w:spacing w:line="276" w:lineRule="auto"/>
        <w:rPr>
          <w:noProof/>
          <w:lang w:val="en-GB"/>
        </w:rPr>
      </w:pPr>
      <w:r w:rsidRPr="72E8964A">
        <w:rPr>
          <w:noProof/>
          <w:lang w:val="en-GB"/>
        </w:rPr>
        <w:t xml:space="preserve">Article 3 of </w:t>
      </w:r>
      <w:r w:rsidRPr="72E8964A">
        <w:rPr>
          <w:noProof/>
          <w:lang w:val="en-IE"/>
        </w:rPr>
        <w:t xml:space="preserve">the ILUC </w:t>
      </w:r>
      <w:r w:rsidRPr="72E8964A">
        <w:rPr>
          <w:noProof/>
          <w:lang w:val="en-GB"/>
        </w:rPr>
        <w:t xml:space="preserve">Delegated Regulation provides that, in order to determine the high </w:t>
      </w:r>
      <w:r w:rsidRPr="6B0DA0D1">
        <w:rPr>
          <w:noProof/>
          <w:lang w:val="en-GB"/>
        </w:rPr>
        <w:t>ILUC-risk</w:t>
      </w:r>
      <w:r w:rsidRPr="72E8964A">
        <w:rPr>
          <w:noProof/>
          <w:lang w:val="en-GB"/>
        </w:rPr>
        <w:t xml:space="preserve"> feedstock, two criteria </w:t>
      </w:r>
      <w:r w:rsidRPr="6B0DA0D1">
        <w:rPr>
          <w:noProof/>
          <w:lang w:val="en-GB"/>
        </w:rPr>
        <w:t>must</w:t>
      </w:r>
      <w:r w:rsidRPr="72E8964A">
        <w:rPr>
          <w:noProof/>
          <w:lang w:val="en-GB"/>
        </w:rPr>
        <w:t xml:space="preserve"> apply </w:t>
      </w:r>
      <w:r>
        <w:rPr>
          <w:noProof/>
          <w:lang w:val="en-GB"/>
        </w:rPr>
        <w:t xml:space="preserve">cumulatively </w:t>
      </w:r>
      <w:r w:rsidRPr="72E8964A">
        <w:rPr>
          <w:noProof/>
          <w:lang w:val="en-GB"/>
        </w:rPr>
        <w:t>(</w:t>
      </w:r>
      <w:r w:rsidRPr="00E07598">
        <w:rPr>
          <w:i/>
          <w:noProof/>
          <w:lang w:val="en-GB"/>
        </w:rPr>
        <w:t>see</w:t>
      </w:r>
      <w:r w:rsidRPr="00E07598">
        <w:rPr>
          <w:iCs/>
          <w:noProof/>
          <w:lang w:val="en-GB"/>
        </w:rPr>
        <w:t xml:space="preserve"> </w:t>
      </w:r>
      <w:r w:rsidR="00E07598" w:rsidRPr="00E07598">
        <w:rPr>
          <w:iCs/>
          <w:noProof/>
          <w:lang w:val="en-GB"/>
        </w:rPr>
        <w:t>the box</w:t>
      </w:r>
      <w:r w:rsidR="00E07598">
        <w:rPr>
          <w:iCs/>
          <w:noProof/>
          <w:lang w:val="en-GB"/>
        </w:rPr>
        <w:t xml:space="preserve"> </w:t>
      </w:r>
      <w:r w:rsidR="00E07598">
        <w:rPr>
          <w:noProof/>
          <w:lang w:val="en-GB"/>
        </w:rPr>
        <w:t>below</w:t>
      </w:r>
      <w:r w:rsidRPr="72E8964A">
        <w:rPr>
          <w:noProof/>
          <w:lang w:val="en-GB"/>
        </w:rPr>
        <w:t xml:space="preserve">). The first criterion is related to the average annual expansion of the global production area of the feedstock since 2008. For a feedstock to be characterised as high ILUC-risk, the average annual expansion must be higher than 1 % and affect more than 100 000 hectares. </w:t>
      </w:r>
      <w:r>
        <w:rPr>
          <w:noProof/>
          <w:lang w:val="en-GB"/>
        </w:rPr>
        <w:t>The second criterion concerns the s</w:t>
      </w:r>
      <w:r w:rsidRPr="00155C60">
        <w:rPr>
          <w:noProof/>
          <w:lang w:val="en-GB"/>
        </w:rPr>
        <w:t>hare of such expansion into land with high-carbon stock</w:t>
      </w:r>
      <w:r>
        <w:rPr>
          <w:noProof/>
          <w:lang w:val="en-GB"/>
        </w:rPr>
        <w:t xml:space="preserve">. </w:t>
      </w:r>
      <w:r w:rsidRPr="72E8964A">
        <w:rPr>
          <w:noProof/>
          <w:lang w:val="en-GB"/>
        </w:rPr>
        <w:t>For a feedstock to be characterised as high ILUC-risk</w:t>
      </w:r>
      <w:r w:rsidRPr="00155C60">
        <w:rPr>
          <w:noProof/>
          <w:lang w:val="en-GB"/>
        </w:rPr>
        <w:t xml:space="preserve"> </w:t>
      </w:r>
      <w:r>
        <w:rPr>
          <w:noProof/>
          <w:lang w:val="en-GB"/>
        </w:rPr>
        <w:t>this share must be</w:t>
      </w:r>
      <w:r w:rsidRPr="00155C60">
        <w:rPr>
          <w:noProof/>
          <w:lang w:val="en-GB"/>
        </w:rPr>
        <w:t xml:space="preserve"> higher than 10 %</w:t>
      </w:r>
      <w:r>
        <w:rPr>
          <w:noProof/>
          <w:lang w:val="en-GB"/>
        </w:rPr>
        <w:t xml:space="preserve"> as calculated according to the formula </w:t>
      </w:r>
      <w:r w:rsidR="00E07598">
        <w:rPr>
          <w:noProof/>
          <w:lang w:val="en-GB"/>
        </w:rPr>
        <w:t>below</w:t>
      </w:r>
      <w:r>
        <w:rPr>
          <w:noProof/>
          <w:lang w:val="en-GB"/>
        </w:rPr>
        <w:t>.</w:t>
      </w:r>
    </w:p>
    <w:tbl>
      <w:tblPr>
        <w:tblStyle w:val="TableGrid"/>
        <w:tblW w:w="0" w:type="auto"/>
        <w:tblLook w:val="04A0" w:firstRow="1" w:lastRow="0" w:firstColumn="1" w:lastColumn="0" w:noHBand="0" w:noVBand="1"/>
      </w:tblPr>
      <w:tblGrid>
        <w:gridCol w:w="9016"/>
      </w:tblGrid>
      <w:tr w:rsidR="00C02ABB" w:rsidRPr="00526778" w14:paraId="0B99B491" w14:textId="77777777" w:rsidTr="00C02ABB">
        <w:tc>
          <w:tcPr>
            <w:tcW w:w="9350" w:type="dxa"/>
          </w:tcPr>
          <w:p w14:paraId="01066E90" w14:textId="77777777" w:rsidR="00C02ABB" w:rsidRPr="00526778" w:rsidRDefault="00C02ABB" w:rsidP="00C02ABB">
            <w:pPr>
              <w:jc w:val="both"/>
              <w:rPr>
                <w:rFonts w:ascii="Times New Roman" w:hAnsi="Times New Roman" w:cs="Times New Roman"/>
                <w:noProof/>
              </w:rPr>
            </w:pPr>
            <w:r w:rsidRPr="00526778">
              <w:rPr>
                <w:rFonts w:ascii="Times New Roman" w:hAnsi="Times New Roman" w:cs="Times New Roman"/>
                <w:noProof/>
              </w:rPr>
              <w:t>For the purpose of determining the high indirect land-use change-risk feedstock for which a significant expansion of the production area into land with high-carbon stock is observed, the following cumulative criteria shall apply:</w:t>
            </w:r>
          </w:p>
          <w:p w14:paraId="3EE8D249" w14:textId="77777777" w:rsidR="00C02ABB" w:rsidRPr="00526778" w:rsidRDefault="00C02ABB" w:rsidP="00C02ABB">
            <w:pPr>
              <w:jc w:val="both"/>
              <w:rPr>
                <w:rFonts w:ascii="Times New Roman" w:hAnsi="Times New Roman" w:cs="Times New Roman"/>
                <w:noProof/>
              </w:rPr>
            </w:pPr>
            <w:r w:rsidRPr="00526778">
              <w:rPr>
                <w:rFonts w:ascii="Times New Roman" w:hAnsi="Times New Roman" w:cs="Times New Roman"/>
                <w:noProof/>
              </w:rPr>
              <w:t xml:space="preserve">(a) the average annual expansion of the global production area of the feedstock since 2008 is higher than 1 % and affects more than 100 000 hectares; </w:t>
            </w:r>
          </w:p>
          <w:p w14:paraId="47C1C27C" w14:textId="77777777" w:rsidR="00C02ABB" w:rsidRPr="00526778" w:rsidRDefault="00C02ABB" w:rsidP="00C02ABB">
            <w:pPr>
              <w:jc w:val="both"/>
              <w:rPr>
                <w:rFonts w:ascii="Times New Roman" w:hAnsi="Times New Roman" w:cs="Times New Roman"/>
                <w:noProof/>
              </w:rPr>
            </w:pPr>
            <w:r w:rsidRPr="00526778">
              <w:rPr>
                <w:rFonts w:ascii="Times New Roman" w:hAnsi="Times New Roman" w:cs="Times New Roman"/>
                <w:noProof/>
              </w:rPr>
              <w:t>(b) the share of such expansion into land with high-carbon stock is higher than 10 %, in accordance with the following formula:</w:t>
            </w:r>
          </w:p>
          <w:p w14:paraId="1FC39945" w14:textId="77777777" w:rsidR="00C02ABB" w:rsidRPr="00526778" w:rsidRDefault="00C02ABB" w:rsidP="00C02ABB">
            <w:pPr>
              <w:rPr>
                <w:rFonts w:ascii="Times New Roman" w:hAnsi="Times New Roman" w:cs="Times New Roman"/>
                <w:noProof/>
              </w:rPr>
            </w:pPr>
          </w:p>
          <w:p w14:paraId="1E17DDFF" w14:textId="77777777" w:rsidR="00C02ABB" w:rsidRPr="00526778" w:rsidRDefault="00652629" w:rsidP="00C02ABB">
            <w:pPr>
              <w:rPr>
                <w:rFonts w:ascii="Times New Roman" w:hAnsi="Times New Roman" w:cs="Times New Roman"/>
                <w:noProof/>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hcs</m:t>
                    </m:r>
                  </m:sub>
                </m:sSub>
                <m:r>
                  <w:rPr>
                    <w:rFonts w:ascii="Cambria Math" w:hAnsi="Cambria Math" w:cs="Times New Roman"/>
                    <w:noProof/>
                  </w:rPr>
                  <m:t xml:space="preserve">= </m:t>
                </m:r>
                <m:f>
                  <m:fPr>
                    <m:ctrlPr>
                      <w:rPr>
                        <w:rFonts w:ascii="Cambria Math" w:hAnsi="Cambria Math" w:cs="Times New Roman"/>
                        <w:i/>
                        <w:noProof/>
                      </w:rPr>
                    </m:ctrlPr>
                  </m:fPr>
                  <m:num>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f</m:t>
                        </m:r>
                      </m:sub>
                    </m:sSub>
                    <m:r>
                      <w:rPr>
                        <w:rFonts w:ascii="Cambria Math" w:hAnsi="Cambria Math" w:cs="Times New Roman"/>
                        <w:noProof/>
                      </w:rPr>
                      <m:t xml:space="preserve">+2,6 </m:t>
                    </m:r>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p</m:t>
                        </m:r>
                      </m:sub>
                    </m:sSub>
                  </m:num>
                  <m:den>
                    <m:r>
                      <w:rPr>
                        <w:rFonts w:ascii="Cambria Math" w:hAnsi="Cambria Math" w:cs="Times New Roman"/>
                        <w:noProof/>
                      </w:rPr>
                      <m:t>PF</m:t>
                    </m:r>
                  </m:den>
                </m:f>
              </m:oMath>
            </m:oMathPara>
          </w:p>
          <w:p w14:paraId="4F954D74" w14:textId="77777777" w:rsidR="00C02ABB" w:rsidRPr="00526778" w:rsidRDefault="00C02ABB" w:rsidP="00C02ABB">
            <w:pPr>
              <w:rPr>
                <w:rFonts w:ascii="Times New Roman" w:hAnsi="Times New Roman" w:cs="Times New Roman"/>
                <w:noProof/>
              </w:rPr>
            </w:pPr>
            <w:r w:rsidRPr="00526778">
              <w:rPr>
                <w:rFonts w:ascii="Times New Roman" w:hAnsi="Times New Roman" w:cs="Times New Roman"/>
                <w:noProof/>
              </w:rPr>
              <w:t>where</w:t>
            </w:r>
          </w:p>
          <w:p w14:paraId="6177643B" w14:textId="77777777" w:rsidR="00C02ABB" w:rsidRPr="00526778" w:rsidRDefault="00C02ABB" w:rsidP="00C02ABB">
            <w:pPr>
              <w:rPr>
                <w:rFonts w:ascii="Times New Roman" w:hAnsi="Times New Roman" w:cs="Times New Roman"/>
                <w:noProof/>
              </w:rPr>
            </w:pPr>
            <w:r w:rsidRPr="00526778">
              <w:rPr>
                <w:rFonts w:ascii="Times New Roman" w:hAnsi="Times New Roman" w:cs="Times New Roman"/>
                <w:i/>
                <w:iCs/>
                <w:noProof/>
              </w:rPr>
              <w:lastRenderedPageBreak/>
              <w:t>x</w:t>
            </w:r>
            <w:r w:rsidRPr="00526778">
              <w:rPr>
                <w:rFonts w:ascii="Times New Roman" w:hAnsi="Times New Roman" w:cs="Times New Roman"/>
                <w:i/>
                <w:noProof/>
                <w:vertAlign w:val="subscript"/>
              </w:rPr>
              <w:t>hcs</w:t>
            </w:r>
            <w:r w:rsidRPr="00526778">
              <w:rPr>
                <w:rFonts w:ascii="Times New Roman" w:hAnsi="Times New Roman" w:cs="Times New Roman"/>
                <w:i/>
                <w:iCs/>
                <w:noProof/>
                <w:vertAlign w:val="subscript"/>
              </w:rPr>
              <w:t xml:space="preserve"> </w:t>
            </w:r>
            <w:r w:rsidRPr="00526778">
              <w:rPr>
                <w:rFonts w:ascii="Times New Roman" w:hAnsi="Times New Roman" w:cs="Times New Roman"/>
                <w:noProof/>
              </w:rPr>
              <w:t>= share of expansion into land with high-carbon stock;</w:t>
            </w:r>
          </w:p>
          <w:p w14:paraId="24CA688D" w14:textId="77777777" w:rsidR="00C02ABB" w:rsidRPr="00526778" w:rsidRDefault="00C02ABB" w:rsidP="00C02ABB">
            <w:pPr>
              <w:rPr>
                <w:rFonts w:ascii="Times New Roman" w:hAnsi="Times New Roman" w:cs="Times New Roman"/>
                <w:noProof/>
              </w:rPr>
            </w:pPr>
            <w:r w:rsidRPr="00526778">
              <w:rPr>
                <w:rFonts w:ascii="Times New Roman" w:hAnsi="Times New Roman" w:cs="Times New Roman"/>
                <w:i/>
                <w:iCs/>
                <w:noProof/>
              </w:rPr>
              <w:t>x</w:t>
            </w:r>
            <w:r w:rsidRPr="00526778">
              <w:rPr>
                <w:rFonts w:ascii="Times New Roman" w:hAnsi="Times New Roman" w:cs="Times New Roman"/>
                <w:i/>
                <w:noProof/>
                <w:vertAlign w:val="subscript"/>
              </w:rPr>
              <w:t>f</w:t>
            </w:r>
            <w:r w:rsidRPr="00526778">
              <w:rPr>
                <w:rFonts w:ascii="Times New Roman" w:hAnsi="Times New Roman" w:cs="Times New Roman"/>
                <w:i/>
                <w:iCs/>
                <w:noProof/>
                <w:vertAlign w:val="subscript"/>
              </w:rPr>
              <w:t xml:space="preserve"> </w:t>
            </w:r>
            <w:r w:rsidRPr="00526778">
              <w:rPr>
                <w:rFonts w:ascii="Times New Roman" w:hAnsi="Times New Roman" w:cs="Times New Roman"/>
                <w:noProof/>
              </w:rPr>
              <w:t>= share of expansion into land referred to in Article 29(4)(b) and (c) of Directive (EU) 2018/2001;</w:t>
            </w:r>
          </w:p>
          <w:p w14:paraId="4A8A87F4" w14:textId="7B4E14F1" w:rsidR="00C02ABB" w:rsidRPr="00526778" w:rsidRDefault="00C02ABB" w:rsidP="00C02ABB">
            <w:pPr>
              <w:rPr>
                <w:rFonts w:ascii="Times New Roman" w:hAnsi="Times New Roman" w:cs="Times New Roman"/>
                <w:noProof/>
              </w:rPr>
            </w:pPr>
            <w:r w:rsidRPr="00526778">
              <w:rPr>
                <w:rFonts w:ascii="Times New Roman" w:hAnsi="Times New Roman" w:cs="Times New Roman"/>
                <w:i/>
                <w:iCs/>
                <w:noProof/>
              </w:rPr>
              <w:t>x</w:t>
            </w:r>
            <w:r w:rsidRPr="00526778">
              <w:rPr>
                <w:rFonts w:ascii="Times New Roman" w:hAnsi="Times New Roman" w:cs="Times New Roman"/>
                <w:i/>
                <w:iCs/>
                <w:noProof/>
                <w:vertAlign w:val="subscript"/>
              </w:rPr>
              <w:t>p</w:t>
            </w:r>
            <w:r w:rsidRPr="00526778">
              <w:rPr>
                <w:rFonts w:ascii="Times New Roman" w:hAnsi="Times New Roman" w:cs="Times New Roman"/>
                <w:i/>
                <w:iCs/>
                <w:noProof/>
              </w:rPr>
              <w:t xml:space="preserve"> </w:t>
            </w:r>
            <w:r w:rsidRPr="00526778">
              <w:rPr>
                <w:rFonts w:ascii="Times New Roman" w:hAnsi="Times New Roman" w:cs="Times New Roman"/>
                <w:noProof/>
              </w:rPr>
              <w:t>= share of expansion into land referred to in Article 29(4)(a) of Directive (EU) 2018/2001 including peatland;</w:t>
            </w:r>
          </w:p>
          <w:p w14:paraId="6F6DB723" w14:textId="77777777" w:rsidR="0061203C" w:rsidRDefault="00C02ABB" w:rsidP="00C02ABB">
            <w:pPr>
              <w:rPr>
                <w:rFonts w:ascii="Times New Roman" w:hAnsi="Times New Roman" w:cs="Times New Roman"/>
                <w:noProof/>
              </w:rPr>
            </w:pPr>
            <w:r w:rsidRPr="646D87E9">
              <w:rPr>
                <w:rFonts w:ascii="Times New Roman" w:hAnsi="Times New Roman" w:cs="Times New Roman"/>
                <w:b/>
                <w:i/>
                <w:noProof/>
              </w:rPr>
              <w:t xml:space="preserve">PF </w:t>
            </w:r>
            <w:r w:rsidRPr="00526778">
              <w:rPr>
                <w:rFonts w:ascii="Times New Roman" w:hAnsi="Times New Roman" w:cs="Times New Roman"/>
                <w:noProof/>
              </w:rPr>
              <w:t xml:space="preserve">= productivity factor. </w:t>
            </w:r>
          </w:p>
          <w:p w14:paraId="0E160B6A" w14:textId="16506F41" w:rsidR="00C02ABB" w:rsidRPr="00526778" w:rsidRDefault="00C02ABB" w:rsidP="00C02ABB">
            <w:pPr>
              <w:rPr>
                <w:rFonts w:ascii="Times New Roman" w:hAnsi="Times New Roman" w:cs="Times New Roman"/>
                <w:noProof/>
              </w:rPr>
            </w:pPr>
            <w:r w:rsidRPr="00526778">
              <w:rPr>
                <w:rFonts w:ascii="Times New Roman" w:hAnsi="Times New Roman" w:cs="Times New Roman"/>
                <w:noProof/>
              </w:rPr>
              <w:t>PF shall be 1</w:t>
            </w:r>
            <w:r w:rsidR="243EBCD7" w:rsidRPr="7778369E">
              <w:rPr>
                <w:rFonts w:ascii="Times New Roman" w:hAnsi="Times New Roman" w:cs="Times New Roman"/>
                <w:noProof/>
              </w:rPr>
              <w:t>,</w:t>
            </w:r>
            <w:r w:rsidRPr="00526778">
              <w:rPr>
                <w:rFonts w:ascii="Times New Roman" w:hAnsi="Times New Roman" w:cs="Times New Roman"/>
                <w:noProof/>
              </w:rPr>
              <w:t>7 for maize, 2</w:t>
            </w:r>
            <w:r w:rsidR="243EBCD7" w:rsidRPr="7778369E">
              <w:rPr>
                <w:rFonts w:ascii="Times New Roman" w:hAnsi="Times New Roman" w:cs="Times New Roman"/>
                <w:noProof/>
              </w:rPr>
              <w:t>,</w:t>
            </w:r>
            <w:r w:rsidRPr="00526778">
              <w:rPr>
                <w:rFonts w:ascii="Times New Roman" w:hAnsi="Times New Roman" w:cs="Times New Roman"/>
                <w:noProof/>
              </w:rPr>
              <w:t>5 for palm oil, 3</w:t>
            </w:r>
            <w:r w:rsidR="243EBCD7" w:rsidRPr="7778369E">
              <w:rPr>
                <w:rFonts w:ascii="Times New Roman" w:hAnsi="Times New Roman" w:cs="Times New Roman"/>
                <w:noProof/>
              </w:rPr>
              <w:t>,</w:t>
            </w:r>
            <w:r w:rsidRPr="00526778">
              <w:rPr>
                <w:rFonts w:ascii="Times New Roman" w:hAnsi="Times New Roman" w:cs="Times New Roman"/>
                <w:noProof/>
              </w:rPr>
              <w:t>2 for sugar beet, 2</w:t>
            </w:r>
            <w:r w:rsidR="243EBCD7" w:rsidRPr="7778369E">
              <w:rPr>
                <w:rFonts w:ascii="Times New Roman" w:hAnsi="Times New Roman" w:cs="Times New Roman"/>
                <w:noProof/>
              </w:rPr>
              <w:t>,</w:t>
            </w:r>
            <w:r w:rsidRPr="00526778">
              <w:rPr>
                <w:rFonts w:ascii="Times New Roman" w:hAnsi="Times New Roman" w:cs="Times New Roman"/>
                <w:noProof/>
              </w:rPr>
              <w:t>2 for sugar cane and 1 for all other crops.</w:t>
            </w:r>
          </w:p>
          <w:p w14:paraId="0562CB0E" w14:textId="1FD15E07" w:rsidR="00C02ABB" w:rsidRPr="00526778" w:rsidRDefault="00FD7137" w:rsidP="00ED004A">
            <w:pPr>
              <w:jc w:val="both"/>
              <w:rPr>
                <w:noProof/>
              </w:rPr>
            </w:pPr>
            <w:r w:rsidRPr="00237AD1">
              <w:rPr>
                <w:rFonts w:ascii="Times New Roman" w:hAnsi="Times New Roman" w:cs="Times New Roman"/>
                <w:noProof/>
              </w:rPr>
              <w:t>The application of the criteria in points (a) and (b) above shall be based on the information included in the Annex, as revised in accordance with Article 7.</w:t>
            </w:r>
          </w:p>
        </w:tc>
      </w:tr>
    </w:tbl>
    <w:p w14:paraId="37413708" w14:textId="5FF4A5C7" w:rsidR="74982C6C" w:rsidRPr="00526778" w:rsidRDefault="67FE5085" w:rsidP="72E8964A">
      <w:pPr>
        <w:pStyle w:val="NormalTimesNewRoman"/>
        <w:spacing w:line="276" w:lineRule="auto"/>
        <w:rPr>
          <w:i/>
          <w:iCs/>
          <w:noProof/>
          <w:sz w:val="20"/>
          <w:szCs w:val="20"/>
        </w:rPr>
      </w:pPr>
      <w:r w:rsidRPr="72E8964A">
        <w:rPr>
          <w:i/>
          <w:iCs/>
          <w:noProof/>
          <w:sz w:val="20"/>
          <w:szCs w:val="20"/>
        </w:rPr>
        <w:lastRenderedPageBreak/>
        <w:t>Article 3 of the</w:t>
      </w:r>
      <w:r w:rsidR="76CACAEE" w:rsidRPr="72E8964A">
        <w:rPr>
          <w:noProof/>
          <w:sz w:val="20"/>
          <w:szCs w:val="20"/>
        </w:rPr>
        <w:t xml:space="preserve"> </w:t>
      </w:r>
      <w:r w:rsidR="76CACAEE" w:rsidRPr="72E8964A">
        <w:rPr>
          <w:i/>
          <w:iCs/>
          <w:noProof/>
          <w:sz w:val="20"/>
          <w:szCs w:val="20"/>
        </w:rPr>
        <w:t>ILUC</w:t>
      </w:r>
      <w:r w:rsidRPr="72E8964A">
        <w:rPr>
          <w:i/>
          <w:iCs/>
          <w:noProof/>
          <w:sz w:val="20"/>
          <w:szCs w:val="20"/>
        </w:rPr>
        <w:t xml:space="preserve"> Delegated Regulation, establishing criteria for determining high ILUC-risk feedstock.</w:t>
      </w:r>
    </w:p>
    <w:p w14:paraId="1FEDD15F" w14:textId="6D0F985C" w:rsidR="005D5178" w:rsidRPr="00526778" w:rsidRDefault="00E44E1E" w:rsidP="005D5178">
      <w:pPr>
        <w:pStyle w:val="NormalTimesNewRoman"/>
        <w:rPr>
          <w:noProof/>
        </w:rPr>
      </w:pPr>
      <w:r w:rsidRPr="00526778">
        <w:rPr>
          <w:noProof/>
          <w:lang w:val="en-GB"/>
        </w:rPr>
        <w:t xml:space="preserve">The </w:t>
      </w:r>
      <w:r w:rsidR="0035066C" w:rsidRPr="43922D43">
        <w:rPr>
          <w:noProof/>
          <w:lang w:val="en-GB"/>
        </w:rPr>
        <w:t xml:space="preserve">ILUC </w:t>
      </w:r>
      <w:r w:rsidRPr="00526778">
        <w:rPr>
          <w:noProof/>
          <w:lang w:val="en-GB"/>
        </w:rPr>
        <w:t>D</w:t>
      </w:r>
      <w:r w:rsidR="74982C6C" w:rsidRPr="00526778">
        <w:rPr>
          <w:noProof/>
          <w:lang w:val="en-GB"/>
        </w:rPr>
        <w:t xml:space="preserve">elegated Regulation was accompanied by a </w:t>
      </w:r>
      <w:r w:rsidR="00DB5257" w:rsidRPr="00526778">
        <w:rPr>
          <w:noProof/>
          <w:lang w:val="en-GB"/>
        </w:rPr>
        <w:t xml:space="preserve">Commission </w:t>
      </w:r>
      <w:r w:rsidR="74982C6C" w:rsidRPr="00526778">
        <w:rPr>
          <w:noProof/>
          <w:lang w:val="en-GB"/>
        </w:rPr>
        <w:t>report</w:t>
      </w:r>
      <w:r w:rsidR="4A791AF1" w:rsidRPr="00526778">
        <w:rPr>
          <w:noProof/>
          <w:lang w:val="en-GB"/>
        </w:rPr>
        <w:t xml:space="preserve"> on the status of production expansion of relevant foo</w:t>
      </w:r>
      <w:r w:rsidR="00DF7B3B" w:rsidRPr="00526778">
        <w:rPr>
          <w:noProof/>
          <w:lang w:val="en-GB"/>
        </w:rPr>
        <w:t>d and feed crops worldwide</w:t>
      </w:r>
      <w:r w:rsidR="00656CE7">
        <w:rPr>
          <w:noProof/>
          <w:lang w:val="en-GB"/>
        </w:rPr>
        <w:t xml:space="preserve"> </w:t>
      </w:r>
      <w:r w:rsidR="00656CE7" w:rsidRPr="00526778">
        <w:rPr>
          <w:noProof/>
          <w:lang w:val="en-GB"/>
        </w:rPr>
        <w:t xml:space="preserve">(‘the </w:t>
      </w:r>
      <w:r w:rsidR="00656CE7">
        <w:rPr>
          <w:noProof/>
        </w:rPr>
        <w:t>Commission 2019 ILUC report’)</w:t>
      </w:r>
      <w:r w:rsidR="00656CE7" w:rsidRPr="00526778">
        <w:rPr>
          <w:rStyle w:val="FootnoteReference"/>
          <w:noProof/>
          <w:lang w:val="en-GB"/>
        </w:rPr>
        <w:footnoteReference w:id="4"/>
      </w:r>
      <w:r w:rsidR="00DF7B3B" w:rsidRPr="00526778">
        <w:rPr>
          <w:noProof/>
          <w:lang w:val="en-GB"/>
        </w:rPr>
        <w:t xml:space="preserve">. </w:t>
      </w:r>
      <w:r w:rsidR="006942F0" w:rsidRPr="00526778">
        <w:rPr>
          <w:noProof/>
          <w:lang w:val="en-GB"/>
        </w:rPr>
        <w:t xml:space="preserve">According to Article 7 of the </w:t>
      </w:r>
      <w:r w:rsidR="0035066C" w:rsidRPr="00526778">
        <w:rPr>
          <w:noProof/>
          <w:lang w:val="en-GB"/>
        </w:rPr>
        <w:t xml:space="preserve">ILUC </w:t>
      </w:r>
      <w:r w:rsidR="006942F0" w:rsidRPr="00526778">
        <w:rPr>
          <w:noProof/>
          <w:lang w:val="en-GB"/>
        </w:rPr>
        <w:t xml:space="preserve">Delegated Regulation, the </w:t>
      </w:r>
      <w:r w:rsidR="74982C6C" w:rsidRPr="00526778">
        <w:rPr>
          <w:noProof/>
          <w:lang w:val="en-GB"/>
        </w:rPr>
        <w:t xml:space="preserve">Commission </w:t>
      </w:r>
      <w:r w:rsidR="006942F0" w:rsidRPr="00526778">
        <w:rPr>
          <w:noProof/>
          <w:lang w:val="en-GB"/>
        </w:rPr>
        <w:t xml:space="preserve">is required </w:t>
      </w:r>
      <w:r w:rsidR="00765D53" w:rsidRPr="00526778">
        <w:rPr>
          <w:noProof/>
          <w:lang w:val="en-GB"/>
        </w:rPr>
        <w:t>to review</w:t>
      </w:r>
      <w:r w:rsidR="006942F0" w:rsidRPr="00526778">
        <w:rPr>
          <w:noProof/>
          <w:lang w:val="en-GB"/>
        </w:rPr>
        <w:t xml:space="preserve"> th</w:t>
      </w:r>
      <w:r w:rsidR="0056633F">
        <w:rPr>
          <w:noProof/>
          <w:lang w:val="en-GB"/>
        </w:rPr>
        <w:t>at</w:t>
      </w:r>
      <w:r w:rsidR="001D3D34">
        <w:rPr>
          <w:noProof/>
          <w:lang w:val="en-GB"/>
        </w:rPr>
        <w:t xml:space="preserve"> </w:t>
      </w:r>
      <w:r w:rsidR="006942F0" w:rsidRPr="00526778">
        <w:rPr>
          <w:noProof/>
          <w:lang w:val="en-GB"/>
        </w:rPr>
        <w:t>report</w:t>
      </w:r>
      <w:r w:rsidR="004C17A6" w:rsidRPr="00526778" w:rsidDel="00832228">
        <w:rPr>
          <w:noProof/>
          <w:lang w:val="en-GB"/>
        </w:rPr>
        <w:t xml:space="preserve">, which is the </w:t>
      </w:r>
      <w:r w:rsidR="00832228" w:rsidRPr="00526778">
        <w:rPr>
          <w:noProof/>
          <w:lang w:val="en-GB"/>
        </w:rPr>
        <w:t>objective of th</w:t>
      </w:r>
      <w:r w:rsidR="00F21CF8">
        <w:rPr>
          <w:noProof/>
          <w:lang w:val="en-GB"/>
        </w:rPr>
        <w:t>e present</w:t>
      </w:r>
      <w:r w:rsidR="004C17A6" w:rsidRPr="00526778">
        <w:rPr>
          <w:noProof/>
          <w:lang w:val="en-GB"/>
        </w:rPr>
        <w:t xml:space="preserve"> report</w:t>
      </w:r>
      <w:r w:rsidR="00765D53" w:rsidRPr="00526778">
        <w:rPr>
          <w:noProof/>
          <w:lang w:val="en-GB"/>
        </w:rPr>
        <w:t>.</w:t>
      </w:r>
      <w:r w:rsidR="00DF7B3B" w:rsidRPr="43922D43">
        <w:rPr>
          <w:noProof/>
          <w:lang w:val="en-GB"/>
        </w:rPr>
        <w:t xml:space="preserve"> </w:t>
      </w:r>
      <w:r w:rsidR="0056633F">
        <w:rPr>
          <w:noProof/>
          <w:lang w:val="en-GB"/>
        </w:rPr>
        <w:t>Article 26</w:t>
      </w:r>
      <w:r w:rsidR="0056633F" w:rsidRPr="00154565">
        <w:rPr>
          <w:noProof/>
          <w:lang w:val="en-IE"/>
        </w:rPr>
        <w:t>(2</w:t>
      </w:r>
      <w:r w:rsidR="0056633F">
        <w:rPr>
          <w:noProof/>
          <w:lang w:val="en-IE"/>
        </w:rPr>
        <w:t xml:space="preserve">), fifth subparagraph, of </w:t>
      </w:r>
      <w:r w:rsidR="0056633F">
        <w:rPr>
          <w:noProof/>
        </w:rPr>
        <w:t>t</w:t>
      </w:r>
      <w:r w:rsidR="005D5178" w:rsidRPr="00526778" w:rsidDel="00832228">
        <w:rPr>
          <w:noProof/>
        </w:rPr>
        <w:t xml:space="preserve">he </w:t>
      </w:r>
      <w:r w:rsidR="63CE7468" w:rsidRPr="00526778" w:rsidDel="00832228">
        <w:rPr>
          <w:noProof/>
        </w:rPr>
        <w:t>Renewable Energy Directive</w:t>
      </w:r>
      <w:r w:rsidR="005D5178" w:rsidRPr="00526778">
        <w:rPr>
          <w:noProof/>
        </w:rPr>
        <w:t xml:space="preserve"> </w:t>
      </w:r>
      <w:r w:rsidR="00DB5257" w:rsidRPr="00526778">
        <w:rPr>
          <w:noProof/>
        </w:rPr>
        <w:t>further requires</w:t>
      </w:r>
      <w:r w:rsidR="005D5178" w:rsidRPr="00526778">
        <w:rPr>
          <w:noProof/>
        </w:rPr>
        <w:t xml:space="preserve"> the Commission to review the criteria laid down in the </w:t>
      </w:r>
      <w:r w:rsidR="008D73E7" w:rsidRPr="00526778">
        <w:rPr>
          <w:noProof/>
        </w:rPr>
        <w:t xml:space="preserve">ILUC </w:t>
      </w:r>
      <w:r w:rsidR="005D5178" w:rsidRPr="00526778">
        <w:rPr>
          <w:noProof/>
        </w:rPr>
        <w:t>Delegated Regulation</w:t>
      </w:r>
      <w:r w:rsidR="004C17A6" w:rsidRPr="00526778">
        <w:rPr>
          <w:noProof/>
        </w:rPr>
        <w:t xml:space="preserve"> and</w:t>
      </w:r>
      <w:r w:rsidR="005D5178" w:rsidRPr="00526778">
        <w:rPr>
          <w:noProof/>
        </w:rPr>
        <w:t xml:space="preserve"> to include a trajectory to gradually decrease the contribution </w:t>
      </w:r>
      <w:r w:rsidR="008D73E7">
        <w:rPr>
          <w:noProof/>
        </w:rPr>
        <w:t xml:space="preserve">of high ILUC-risk fuels </w:t>
      </w:r>
      <w:r w:rsidR="005D5178" w:rsidRPr="00526778">
        <w:rPr>
          <w:noProof/>
        </w:rPr>
        <w:t xml:space="preserve">to the overall Union target and to the </w:t>
      </w:r>
      <w:r w:rsidR="007373FA">
        <w:rPr>
          <w:noProof/>
        </w:rPr>
        <w:t xml:space="preserve">minimum share of </w:t>
      </w:r>
      <w:r w:rsidR="00BE47A8">
        <w:rPr>
          <w:noProof/>
        </w:rPr>
        <w:t xml:space="preserve">29 % </w:t>
      </w:r>
      <w:r w:rsidR="007373FA">
        <w:rPr>
          <w:noProof/>
        </w:rPr>
        <w:t xml:space="preserve">renewable energy </w:t>
      </w:r>
      <w:r w:rsidR="00227A85">
        <w:rPr>
          <w:noProof/>
        </w:rPr>
        <w:t xml:space="preserve">or </w:t>
      </w:r>
      <w:r w:rsidR="00C73E57">
        <w:rPr>
          <w:noProof/>
        </w:rPr>
        <w:t xml:space="preserve">the </w:t>
      </w:r>
      <w:r w:rsidR="00BE47A8">
        <w:rPr>
          <w:noProof/>
        </w:rPr>
        <w:t xml:space="preserve">14.5% </w:t>
      </w:r>
      <w:r w:rsidR="007373FA">
        <w:rPr>
          <w:noProof/>
        </w:rPr>
        <w:t>greenhouse gas intensity reduction target</w:t>
      </w:r>
      <w:r w:rsidR="00227A85">
        <w:rPr>
          <w:noProof/>
        </w:rPr>
        <w:t xml:space="preserve"> in the transport sector</w:t>
      </w:r>
      <w:r w:rsidR="00BE47A8">
        <w:rPr>
          <w:noProof/>
        </w:rPr>
        <w:t>, as</w:t>
      </w:r>
      <w:r w:rsidR="007373FA">
        <w:rPr>
          <w:noProof/>
        </w:rPr>
        <w:t xml:space="preserve"> referred to in Article 25(1), first subparagraph, point (a)</w:t>
      </w:r>
      <w:r w:rsidR="00BE47A8">
        <w:rPr>
          <w:noProof/>
        </w:rPr>
        <w:t xml:space="preserve"> of the R</w:t>
      </w:r>
      <w:r w:rsidR="45E9D35B">
        <w:rPr>
          <w:noProof/>
        </w:rPr>
        <w:t>enewable Energy Directive</w:t>
      </w:r>
      <w:r w:rsidR="00D25021">
        <w:rPr>
          <w:noProof/>
        </w:rPr>
        <w:t>.</w:t>
      </w:r>
    </w:p>
    <w:p w14:paraId="34CE0A41" w14:textId="77777777" w:rsidR="005C0ABA" w:rsidRPr="00D937A1" w:rsidRDefault="005C0ABA" w:rsidP="005D5178">
      <w:pPr>
        <w:pStyle w:val="NormalTimesNewRoman"/>
        <w:spacing w:line="276" w:lineRule="auto"/>
        <w:rPr>
          <w:noProof/>
        </w:rPr>
      </w:pPr>
    </w:p>
    <w:p w14:paraId="4B07DC3F" w14:textId="77777777" w:rsidR="74982C6C" w:rsidRPr="00D937A1" w:rsidRDefault="67FE5085" w:rsidP="00C27014">
      <w:pPr>
        <w:pStyle w:val="Style1"/>
        <w:rPr>
          <w:rFonts w:eastAsiaTheme="minorEastAsia"/>
          <w:noProof/>
        </w:rPr>
      </w:pPr>
      <w:bookmarkStart w:id="2" w:name="_Toc109647467"/>
      <w:r w:rsidRPr="00526778">
        <w:rPr>
          <w:noProof/>
        </w:rPr>
        <w:t>UPDATE AND ASSESSMENT OF THE AVAILABLE SCIENTIFIC DATA</w:t>
      </w:r>
      <w:bookmarkEnd w:id="2"/>
      <w:r w:rsidRPr="00526778">
        <w:rPr>
          <w:noProof/>
        </w:rPr>
        <w:t xml:space="preserve"> </w:t>
      </w:r>
    </w:p>
    <w:p w14:paraId="62EBF3C5" w14:textId="77777777" w:rsidR="74982C6C" w:rsidRPr="00D937A1" w:rsidRDefault="74982C6C" w:rsidP="005D5178">
      <w:pPr>
        <w:rPr>
          <w:rFonts w:ascii="Times New Roman" w:hAnsi="Times New Roman" w:cs="Times New Roman"/>
          <w:noProof/>
          <w:lang w:val="en-GB"/>
        </w:rPr>
      </w:pPr>
    </w:p>
    <w:p w14:paraId="7306AC22" w14:textId="385CAE1F" w:rsidR="007F2E51" w:rsidRPr="00526778" w:rsidRDefault="7C92C639" w:rsidP="00195800">
      <w:pPr>
        <w:pStyle w:val="NormalTimesNewRoman"/>
        <w:rPr>
          <w:noProof/>
          <w:lang w:val="en-GB"/>
        </w:rPr>
      </w:pPr>
      <w:r>
        <w:rPr>
          <w:noProof/>
        </w:rPr>
        <w:t xml:space="preserve">To support the review of the </w:t>
      </w:r>
      <w:r w:rsidR="7036BF87">
        <w:rPr>
          <w:noProof/>
        </w:rPr>
        <w:t>Commission 2019</w:t>
      </w:r>
      <w:r w:rsidR="0BE64DF4">
        <w:rPr>
          <w:noProof/>
        </w:rPr>
        <w:t xml:space="preserve"> ILUC</w:t>
      </w:r>
      <w:r w:rsidR="7036BF87">
        <w:rPr>
          <w:noProof/>
        </w:rPr>
        <w:t xml:space="preserve"> report,</w:t>
      </w:r>
      <w:r w:rsidR="0AFD489C">
        <w:rPr>
          <w:noProof/>
        </w:rPr>
        <w:t xml:space="preserve"> which was based on an assessment undertaken by the Commission’s Joint Research Centre (JRC), </w:t>
      </w:r>
      <w:r w:rsidR="7036BF87">
        <w:rPr>
          <w:noProof/>
        </w:rPr>
        <w:t>a study</w:t>
      </w:r>
      <w:r w:rsidR="004A62ED">
        <w:rPr>
          <w:noProof/>
        </w:rPr>
        <w:t xml:space="preserve"> </w:t>
      </w:r>
      <w:r w:rsidR="7036BF87">
        <w:rPr>
          <w:noProof/>
        </w:rPr>
        <w:t xml:space="preserve">has been </w:t>
      </w:r>
      <w:r w:rsidR="00126FDC">
        <w:rPr>
          <w:noProof/>
        </w:rPr>
        <w:t>co</w:t>
      </w:r>
      <w:r w:rsidR="00761AF2">
        <w:rPr>
          <w:noProof/>
        </w:rPr>
        <w:t>nducted</w:t>
      </w:r>
      <w:r w:rsidR="00126FDC">
        <w:rPr>
          <w:noProof/>
        </w:rPr>
        <w:t xml:space="preserve"> </w:t>
      </w:r>
      <w:r w:rsidR="4F74C52D">
        <w:rPr>
          <w:noProof/>
        </w:rPr>
        <w:t xml:space="preserve">with the aim to update the data on feedstock expansion, in </w:t>
      </w:r>
      <w:r w:rsidR="06B74886">
        <w:rPr>
          <w:noProof/>
        </w:rPr>
        <w:t>view of new scientific evidence</w:t>
      </w:r>
      <w:r w:rsidR="4F74C52D">
        <w:rPr>
          <w:noProof/>
        </w:rPr>
        <w:t>.</w:t>
      </w:r>
      <w:r w:rsidR="004001F6">
        <w:rPr>
          <w:noProof/>
        </w:rPr>
        <w:t xml:space="preserve"> </w:t>
      </w:r>
      <w:r w:rsidR="004C6424">
        <w:rPr>
          <w:noProof/>
        </w:rPr>
        <w:t>The study was developed in two phases</w:t>
      </w:r>
      <w:r w:rsidR="00A0763A">
        <w:rPr>
          <w:noProof/>
        </w:rPr>
        <w:t xml:space="preserve"> and was carried out by a consortium led by </w:t>
      </w:r>
      <w:r w:rsidR="001E52A6">
        <w:rPr>
          <w:noProof/>
        </w:rPr>
        <w:t>Guidehouse</w:t>
      </w:r>
      <w:r w:rsidR="0080773E">
        <w:rPr>
          <w:noProof/>
        </w:rPr>
        <w:t>.</w:t>
      </w:r>
      <w:r w:rsidR="4F74C52D">
        <w:rPr>
          <w:noProof/>
        </w:rPr>
        <w:t xml:space="preserve"> A </w:t>
      </w:r>
      <w:r w:rsidR="20883CC1">
        <w:rPr>
          <w:noProof/>
        </w:rPr>
        <w:t xml:space="preserve">literature review has been </w:t>
      </w:r>
      <w:r w:rsidR="742F7FDC">
        <w:rPr>
          <w:noProof/>
        </w:rPr>
        <w:t>carried</w:t>
      </w:r>
      <w:r w:rsidR="20883CC1">
        <w:rPr>
          <w:noProof/>
        </w:rPr>
        <w:t xml:space="preserve"> out</w:t>
      </w:r>
      <w:r w:rsidR="4B69ED1E">
        <w:rPr>
          <w:noProof/>
        </w:rPr>
        <w:t>,</w:t>
      </w:r>
      <w:r w:rsidR="20883CC1">
        <w:rPr>
          <w:noProof/>
        </w:rPr>
        <w:t xml:space="preserve"> and the </w:t>
      </w:r>
      <w:r w:rsidR="06B74886">
        <w:rPr>
          <w:noProof/>
        </w:rPr>
        <w:t>statistics on global feedstock expansion</w:t>
      </w:r>
      <w:r w:rsidR="4F74C52D">
        <w:rPr>
          <w:noProof/>
        </w:rPr>
        <w:t xml:space="preserve"> have been updated</w:t>
      </w:r>
      <w:r w:rsidR="00830A7C">
        <w:rPr>
          <w:rStyle w:val="FootnoteReference"/>
          <w:noProof/>
        </w:rPr>
        <w:footnoteReference w:id="5"/>
      </w:r>
      <w:r w:rsidR="20883CC1">
        <w:rPr>
          <w:noProof/>
        </w:rPr>
        <w:t>.</w:t>
      </w:r>
      <w:r w:rsidR="00E066CF">
        <w:rPr>
          <w:noProof/>
        </w:rPr>
        <w:t xml:space="preserve"> </w:t>
      </w:r>
      <w:r w:rsidR="006D58B0" w:rsidRPr="3F6AB15B">
        <w:rPr>
          <w:noProof/>
          <w:lang w:val="en-GB"/>
        </w:rPr>
        <w:t xml:space="preserve">The literature review confirmed the Commission’s 2019 assessment that most studies focus on specific regions and specific crops rather than providing more </w:t>
      </w:r>
      <w:r w:rsidR="00154565">
        <w:rPr>
          <w:noProof/>
          <w:lang w:val="en-GB"/>
        </w:rPr>
        <w:t>global</w:t>
      </w:r>
      <w:r w:rsidR="006D58B0" w:rsidRPr="3F6AB15B">
        <w:rPr>
          <w:noProof/>
          <w:lang w:val="en-GB"/>
        </w:rPr>
        <w:t xml:space="preserve"> results. </w:t>
      </w:r>
      <w:r w:rsidR="00B6594E" w:rsidRPr="3F6AB15B">
        <w:rPr>
          <w:noProof/>
          <w:lang w:val="en-GB"/>
        </w:rPr>
        <w:t>The</w:t>
      </w:r>
      <w:r w:rsidR="00195800" w:rsidRPr="3F6AB15B">
        <w:rPr>
          <w:noProof/>
          <w:lang w:val="en-GB"/>
        </w:rPr>
        <w:t xml:space="preserve"> literature identified </w:t>
      </w:r>
      <w:r w:rsidR="006D58B0" w:rsidRPr="3F6AB15B">
        <w:rPr>
          <w:noProof/>
          <w:lang w:val="en-GB"/>
        </w:rPr>
        <w:t>cov</w:t>
      </w:r>
      <w:r w:rsidR="00F601EC" w:rsidRPr="3F6AB15B">
        <w:rPr>
          <w:noProof/>
          <w:lang w:val="en-GB"/>
        </w:rPr>
        <w:t>er</w:t>
      </w:r>
      <w:r w:rsidR="006D58B0" w:rsidRPr="3F6AB15B">
        <w:rPr>
          <w:noProof/>
          <w:lang w:val="en-GB"/>
        </w:rPr>
        <w:t>s</w:t>
      </w:r>
      <w:r w:rsidR="00195800" w:rsidRPr="3F6AB15B">
        <w:rPr>
          <w:noProof/>
          <w:lang w:val="en-GB"/>
        </w:rPr>
        <w:t xml:space="preserve"> the regions of Latin America, South</w:t>
      </w:r>
      <w:r w:rsidR="7E52A603" w:rsidRPr="3F6AB15B">
        <w:rPr>
          <w:noProof/>
          <w:lang w:val="en-GB"/>
        </w:rPr>
        <w:t>-</w:t>
      </w:r>
      <w:r w:rsidR="00195800" w:rsidRPr="3F6AB15B">
        <w:rPr>
          <w:noProof/>
          <w:lang w:val="en-GB"/>
        </w:rPr>
        <w:t>East Asia (mainly Indonesia and Malaysia) and West Africa</w:t>
      </w:r>
      <w:r w:rsidR="004D6C37">
        <w:rPr>
          <w:noProof/>
          <w:lang w:val="en-GB"/>
        </w:rPr>
        <w:t xml:space="preserve"> </w:t>
      </w:r>
      <w:r w:rsidR="005E2D74">
        <w:rPr>
          <w:noProof/>
          <w:lang w:val="en-GB"/>
        </w:rPr>
        <w:t xml:space="preserve">that are known to have </w:t>
      </w:r>
      <w:r w:rsidR="006E425C">
        <w:rPr>
          <w:noProof/>
          <w:lang w:val="en-GB"/>
        </w:rPr>
        <w:t>a</w:t>
      </w:r>
      <w:r w:rsidR="00AC5D87">
        <w:rPr>
          <w:noProof/>
          <w:lang w:val="en-GB"/>
        </w:rPr>
        <w:t>n elevated</w:t>
      </w:r>
      <w:r w:rsidR="006E425C">
        <w:rPr>
          <w:noProof/>
          <w:lang w:val="en-GB"/>
        </w:rPr>
        <w:t xml:space="preserve"> </w:t>
      </w:r>
      <w:r w:rsidR="00AC5D87">
        <w:rPr>
          <w:noProof/>
          <w:lang w:val="en-GB"/>
        </w:rPr>
        <w:t xml:space="preserve">risk of </w:t>
      </w:r>
      <w:r w:rsidR="005E2D74">
        <w:rPr>
          <w:noProof/>
          <w:lang w:val="en-GB"/>
        </w:rPr>
        <w:t>deforestation</w:t>
      </w:r>
      <w:r w:rsidR="00B6594E" w:rsidRPr="3F6AB15B">
        <w:rPr>
          <w:noProof/>
          <w:lang w:val="en-GB"/>
        </w:rPr>
        <w:t>.</w:t>
      </w:r>
      <w:r w:rsidR="00667920" w:rsidRPr="3F6AB15B">
        <w:rPr>
          <w:noProof/>
          <w:lang w:val="en-GB"/>
        </w:rPr>
        <w:t xml:space="preserve"> The main results of this exercise are summarised </w:t>
      </w:r>
      <w:r w:rsidR="003B125F" w:rsidRPr="3F6AB15B">
        <w:rPr>
          <w:noProof/>
          <w:lang w:val="en-GB"/>
        </w:rPr>
        <w:t xml:space="preserve">below by feedstock. </w:t>
      </w:r>
    </w:p>
    <w:p w14:paraId="4AB34B10" w14:textId="0417A8BC" w:rsidR="007B31D2" w:rsidRPr="00526778" w:rsidRDefault="00B6594E" w:rsidP="00195800">
      <w:pPr>
        <w:pStyle w:val="NormalTimesNewRoman"/>
        <w:rPr>
          <w:noProof/>
          <w:lang w:val="en-GB"/>
        </w:rPr>
      </w:pPr>
      <w:r w:rsidRPr="00526778">
        <w:rPr>
          <w:noProof/>
          <w:lang w:val="en-GB"/>
        </w:rPr>
        <w:t xml:space="preserve">For </w:t>
      </w:r>
      <w:r w:rsidRPr="00526778">
        <w:rPr>
          <w:b/>
          <w:bCs/>
          <w:noProof/>
          <w:lang w:val="en-GB"/>
        </w:rPr>
        <w:t>soybean</w:t>
      </w:r>
      <w:r w:rsidR="005F053B" w:rsidRPr="00526778">
        <w:rPr>
          <w:noProof/>
          <w:lang w:val="en-GB"/>
        </w:rPr>
        <w:t>,</w:t>
      </w:r>
      <w:r w:rsidR="00667920" w:rsidRPr="00526778">
        <w:rPr>
          <w:noProof/>
          <w:lang w:val="en-GB"/>
        </w:rPr>
        <w:t xml:space="preserve"> </w:t>
      </w:r>
      <w:r w:rsidR="004E3E18" w:rsidRPr="00526778">
        <w:rPr>
          <w:noProof/>
          <w:lang w:val="en-GB"/>
        </w:rPr>
        <w:t>s</w:t>
      </w:r>
      <w:r w:rsidR="00667920" w:rsidRPr="00526778">
        <w:rPr>
          <w:noProof/>
          <w:lang w:val="en-GB"/>
        </w:rPr>
        <w:t>cientific literatur</w:t>
      </w:r>
      <w:r w:rsidR="00D37C1D">
        <w:rPr>
          <w:noProof/>
          <w:lang w:val="en-GB"/>
        </w:rPr>
        <w:t>e</w:t>
      </w:r>
      <w:r w:rsidR="00BB5FFC">
        <w:rPr>
          <w:noProof/>
          <w:lang w:val="en-GB"/>
        </w:rPr>
        <w:t xml:space="preserve"> primarily</w:t>
      </w:r>
      <w:r w:rsidR="00667920" w:rsidRPr="00526778">
        <w:rPr>
          <w:noProof/>
          <w:lang w:val="en-GB"/>
        </w:rPr>
        <w:t xml:space="preserve"> focuses on </w:t>
      </w:r>
      <w:r w:rsidR="00D744E2">
        <w:rPr>
          <w:noProof/>
          <w:lang w:val="en-GB"/>
        </w:rPr>
        <w:t>South</w:t>
      </w:r>
      <w:r w:rsidR="00D744E2" w:rsidRPr="00526778">
        <w:rPr>
          <w:noProof/>
          <w:lang w:val="en-GB"/>
        </w:rPr>
        <w:t xml:space="preserve"> </w:t>
      </w:r>
      <w:r w:rsidR="00667920" w:rsidRPr="00526778">
        <w:rPr>
          <w:noProof/>
          <w:lang w:val="en-GB"/>
        </w:rPr>
        <w:t>America</w:t>
      </w:r>
      <w:r w:rsidR="008127E4" w:rsidRPr="00526778">
        <w:rPr>
          <w:noProof/>
          <w:lang w:val="en-GB"/>
        </w:rPr>
        <w:t>n countries</w:t>
      </w:r>
      <w:r w:rsidR="00F254A4">
        <w:rPr>
          <w:noProof/>
          <w:lang w:val="en-GB"/>
        </w:rPr>
        <w:t xml:space="preserve">. </w:t>
      </w:r>
      <w:r w:rsidR="000E3063">
        <w:rPr>
          <w:noProof/>
          <w:lang w:val="en-GB"/>
        </w:rPr>
        <w:t>New</w:t>
      </w:r>
      <w:r w:rsidR="006E51E4">
        <w:rPr>
          <w:noProof/>
          <w:lang w:val="en-GB"/>
        </w:rPr>
        <w:t xml:space="preserve"> </w:t>
      </w:r>
      <w:r w:rsidR="000E3063">
        <w:rPr>
          <w:noProof/>
        </w:rPr>
        <w:t>studies assess the</w:t>
      </w:r>
      <w:r w:rsidR="00201A9F">
        <w:rPr>
          <w:noProof/>
        </w:rPr>
        <w:t xml:space="preserve"> </w:t>
      </w:r>
      <w:r w:rsidR="000E3063" w:rsidRPr="00452215">
        <w:rPr>
          <w:noProof/>
        </w:rPr>
        <w:t xml:space="preserve">link </w:t>
      </w:r>
      <w:r w:rsidR="00201A9F">
        <w:rPr>
          <w:noProof/>
        </w:rPr>
        <w:t xml:space="preserve">of </w:t>
      </w:r>
      <w:r w:rsidR="000E3063" w:rsidRPr="00452215">
        <w:rPr>
          <w:noProof/>
        </w:rPr>
        <w:t xml:space="preserve">soy expansion </w:t>
      </w:r>
      <w:r w:rsidR="00AB7A07">
        <w:rPr>
          <w:noProof/>
        </w:rPr>
        <w:t>into pastur</w:t>
      </w:r>
      <w:r w:rsidR="00AA60AA">
        <w:rPr>
          <w:noProof/>
        </w:rPr>
        <w:t>eland</w:t>
      </w:r>
      <w:r w:rsidR="00AB7A07">
        <w:rPr>
          <w:noProof/>
        </w:rPr>
        <w:t xml:space="preserve"> and the cons</w:t>
      </w:r>
      <w:r w:rsidR="00553199">
        <w:rPr>
          <w:noProof/>
        </w:rPr>
        <w:t xml:space="preserve">equent </w:t>
      </w:r>
      <w:r w:rsidR="000E3063" w:rsidRPr="00452215">
        <w:rPr>
          <w:noProof/>
        </w:rPr>
        <w:t xml:space="preserve">pastureland </w:t>
      </w:r>
      <w:r w:rsidR="00AA60AA">
        <w:rPr>
          <w:noProof/>
        </w:rPr>
        <w:t>expansion into land with high-carbon stock</w:t>
      </w:r>
      <w:r w:rsidR="000E3063" w:rsidRPr="00452215">
        <w:rPr>
          <w:noProof/>
        </w:rPr>
        <w:t xml:space="preserve">, </w:t>
      </w:r>
      <w:r w:rsidR="00AA60AA">
        <w:rPr>
          <w:noProof/>
          <w:lang w:val="en-GB"/>
        </w:rPr>
        <w:t xml:space="preserve">as well as </w:t>
      </w:r>
      <w:r w:rsidR="00201A9F">
        <w:rPr>
          <w:noProof/>
          <w:lang w:val="en-GB"/>
        </w:rPr>
        <w:t xml:space="preserve">the </w:t>
      </w:r>
      <w:r w:rsidR="005B1935">
        <w:rPr>
          <w:noProof/>
          <w:lang w:val="en-GB"/>
        </w:rPr>
        <w:t>impact</w:t>
      </w:r>
      <w:r w:rsidR="006E51E4">
        <w:rPr>
          <w:noProof/>
          <w:lang w:val="en-GB"/>
        </w:rPr>
        <w:t xml:space="preserve"> of</w:t>
      </w:r>
      <w:r w:rsidR="00201A9F">
        <w:rPr>
          <w:noProof/>
          <w:lang w:val="en-GB"/>
        </w:rPr>
        <w:t xml:space="preserve"> new </w:t>
      </w:r>
      <w:r w:rsidR="00F254A4">
        <w:rPr>
          <w:noProof/>
          <w:lang w:val="en-GB"/>
        </w:rPr>
        <w:t>policies</w:t>
      </w:r>
      <w:r w:rsidR="00FB2A93" w:rsidRPr="00526778">
        <w:rPr>
          <w:noProof/>
          <w:lang w:val="en-GB"/>
        </w:rPr>
        <w:t>, such as the Soy Moratorium</w:t>
      </w:r>
      <w:r w:rsidR="00447F8E">
        <w:rPr>
          <w:noProof/>
          <w:lang w:val="en-GB"/>
        </w:rPr>
        <w:t xml:space="preserve"> and the new Brazilian forest code</w:t>
      </w:r>
      <w:r w:rsidR="00684DE8">
        <w:rPr>
          <w:noProof/>
          <w:lang w:val="en-GB"/>
        </w:rPr>
        <w:t xml:space="preserve"> in Brazil</w:t>
      </w:r>
      <w:r w:rsidR="00201A9F">
        <w:rPr>
          <w:noProof/>
          <w:lang w:val="en-GB"/>
        </w:rPr>
        <w:t>.</w:t>
      </w:r>
      <w:r w:rsidR="00FB2A93" w:rsidRPr="00526778">
        <w:rPr>
          <w:noProof/>
          <w:lang w:val="en-GB"/>
        </w:rPr>
        <w:t xml:space="preserve"> </w:t>
      </w:r>
      <w:r w:rsidR="00EA7307">
        <w:rPr>
          <w:noProof/>
        </w:rPr>
        <w:t>One study</w:t>
      </w:r>
      <w:r w:rsidR="00F45646">
        <w:rPr>
          <w:rStyle w:val="FootnoteReference"/>
          <w:noProof/>
        </w:rPr>
        <w:footnoteReference w:id="6"/>
      </w:r>
      <w:r w:rsidR="00AA60AA">
        <w:rPr>
          <w:noProof/>
        </w:rPr>
        <w:t xml:space="preserve"> </w:t>
      </w:r>
      <w:r w:rsidR="00EA7307">
        <w:rPr>
          <w:noProof/>
        </w:rPr>
        <w:t xml:space="preserve">found that </w:t>
      </w:r>
      <w:r w:rsidR="002E2181" w:rsidRPr="00452215">
        <w:rPr>
          <w:noProof/>
        </w:rPr>
        <w:t>policy initiatives</w:t>
      </w:r>
      <w:r w:rsidR="00F45646">
        <w:rPr>
          <w:noProof/>
        </w:rPr>
        <w:t xml:space="preserve"> led to a </w:t>
      </w:r>
      <w:r w:rsidR="00F45646" w:rsidRPr="00F45646">
        <w:rPr>
          <w:noProof/>
          <w:lang w:val="en-GB"/>
        </w:rPr>
        <w:t xml:space="preserve">reduction in deforestation rates </w:t>
      </w:r>
      <w:r w:rsidR="00A66FDD">
        <w:rPr>
          <w:noProof/>
          <w:lang w:val="en-GB"/>
        </w:rPr>
        <w:t>but</w:t>
      </w:r>
      <w:r w:rsidR="00F45646" w:rsidRPr="00F45646">
        <w:rPr>
          <w:noProof/>
          <w:lang w:val="en-GB"/>
        </w:rPr>
        <w:t xml:space="preserve"> steered new soybean production into older converted areas, such as pastureland.</w:t>
      </w:r>
      <w:r w:rsidR="00F45646" w:rsidRPr="00F45646">
        <w:rPr>
          <w:noProof/>
        </w:rPr>
        <w:t> </w:t>
      </w:r>
      <w:r w:rsidR="00F45646">
        <w:rPr>
          <w:noProof/>
        </w:rPr>
        <w:t>Another study</w:t>
      </w:r>
      <w:r w:rsidR="003F1429">
        <w:rPr>
          <w:rStyle w:val="FootnoteReference"/>
          <w:noProof/>
        </w:rPr>
        <w:footnoteReference w:id="7"/>
      </w:r>
      <w:r w:rsidR="00F45646">
        <w:rPr>
          <w:noProof/>
        </w:rPr>
        <w:t xml:space="preserve"> </w:t>
      </w:r>
      <w:r w:rsidR="00713315">
        <w:rPr>
          <w:noProof/>
        </w:rPr>
        <w:t>similarly analysed the</w:t>
      </w:r>
      <w:r w:rsidR="00713315" w:rsidRPr="00713315">
        <w:rPr>
          <w:noProof/>
        </w:rPr>
        <w:t xml:space="preserve"> linkage between soy and pasture expansion</w:t>
      </w:r>
      <w:r w:rsidR="00713315">
        <w:rPr>
          <w:noProof/>
        </w:rPr>
        <w:t xml:space="preserve">, </w:t>
      </w:r>
      <w:r w:rsidR="00E6318E">
        <w:rPr>
          <w:noProof/>
        </w:rPr>
        <w:t>finding</w:t>
      </w:r>
      <w:r w:rsidR="00713315">
        <w:rPr>
          <w:noProof/>
        </w:rPr>
        <w:t xml:space="preserve"> that s</w:t>
      </w:r>
      <w:r w:rsidR="00713315" w:rsidRPr="00713315">
        <w:rPr>
          <w:noProof/>
        </w:rPr>
        <w:t>oy expansion commonly occurred on pastureland, which in turn drives pasture expansion and hence land-use conversion of high carbon stock land. Between 2006 and 2017, the soybean producing areas in Mato Grosso grew from 5.8 to 9.3Mha, an increase of 59.5%</w:t>
      </w:r>
      <w:r w:rsidR="002E2181" w:rsidRPr="00452215">
        <w:rPr>
          <w:noProof/>
        </w:rPr>
        <w:t>.</w:t>
      </w:r>
      <w:r w:rsidR="002E2181" w:rsidRPr="00526778">
        <w:rPr>
          <w:noProof/>
          <w:lang w:val="en-GB"/>
        </w:rPr>
        <w:t xml:space="preserve"> </w:t>
      </w:r>
      <w:r w:rsidR="00664211">
        <w:rPr>
          <w:noProof/>
          <w:lang w:val="en-GB"/>
        </w:rPr>
        <w:t>Additionally</w:t>
      </w:r>
      <w:r w:rsidR="00D54095">
        <w:rPr>
          <w:noProof/>
          <w:lang w:val="en-GB"/>
        </w:rPr>
        <w:t xml:space="preserve">, </w:t>
      </w:r>
      <w:r w:rsidR="004D7E2C">
        <w:rPr>
          <w:noProof/>
          <w:lang w:val="en-GB"/>
        </w:rPr>
        <w:t>a different study</w:t>
      </w:r>
      <w:r w:rsidR="004D7E2C">
        <w:rPr>
          <w:rStyle w:val="FootnoteReference"/>
          <w:noProof/>
          <w:lang w:val="en-GB"/>
        </w:rPr>
        <w:footnoteReference w:id="8"/>
      </w:r>
      <w:r w:rsidR="004D7E2C">
        <w:rPr>
          <w:noProof/>
          <w:lang w:val="en-GB"/>
        </w:rPr>
        <w:t xml:space="preserve"> found that </w:t>
      </w:r>
      <w:r w:rsidR="00D72463">
        <w:rPr>
          <w:noProof/>
          <w:lang w:val="en-GB"/>
        </w:rPr>
        <w:t>b</w:t>
      </w:r>
      <w:r w:rsidR="00D54095" w:rsidRPr="00D54095">
        <w:rPr>
          <w:noProof/>
          <w:lang w:val="en-GB"/>
        </w:rPr>
        <w:t xml:space="preserve">etween 2000 and 2019, annual soybean expansion in South America grew from 26.4 to 55.1Mha, with significant growth along </w:t>
      </w:r>
      <w:r w:rsidR="005B53CF">
        <w:rPr>
          <w:noProof/>
          <w:lang w:val="en-GB"/>
        </w:rPr>
        <w:t>‘</w:t>
      </w:r>
      <w:r w:rsidR="00D54095" w:rsidRPr="00D54095">
        <w:rPr>
          <w:noProof/>
          <w:lang w:val="en-GB"/>
        </w:rPr>
        <w:t>deforestation fronts</w:t>
      </w:r>
      <w:r w:rsidR="005B53CF">
        <w:rPr>
          <w:noProof/>
          <w:lang w:val="en-GB"/>
        </w:rPr>
        <w:t>’</w:t>
      </w:r>
      <w:r w:rsidR="00D54095" w:rsidRPr="00D54095">
        <w:rPr>
          <w:noProof/>
          <w:lang w:val="en-GB"/>
        </w:rPr>
        <w:t xml:space="preserve">, indirectly causing deforestation by displacing pastureland. The </w:t>
      </w:r>
      <w:r w:rsidR="00106901">
        <w:rPr>
          <w:noProof/>
          <w:lang w:val="en-GB"/>
        </w:rPr>
        <w:t xml:space="preserve">soybean production in the </w:t>
      </w:r>
      <w:r w:rsidR="00D54095" w:rsidRPr="00D54095">
        <w:rPr>
          <w:noProof/>
          <w:lang w:val="en-GB"/>
        </w:rPr>
        <w:t xml:space="preserve">Brazilian Amazon experienced the fastest expansion, increasing from 0.4Mha to 4.6Mha over the period. </w:t>
      </w:r>
      <w:r w:rsidR="00452E0E" w:rsidRPr="00526778">
        <w:rPr>
          <w:noProof/>
          <w:lang w:val="en-GB"/>
        </w:rPr>
        <w:t>Another study</w:t>
      </w:r>
      <w:r w:rsidR="006F57E9" w:rsidRPr="00526778">
        <w:rPr>
          <w:rStyle w:val="FootnoteReference"/>
          <w:noProof/>
          <w:lang w:val="en-GB"/>
        </w:rPr>
        <w:footnoteReference w:id="9"/>
      </w:r>
      <w:r w:rsidR="006652E0" w:rsidRPr="00526778">
        <w:rPr>
          <w:noProof/>
          <w:lang w:val="en-GB"/>
        </w:rPr>
        <w:t xml:space="preserve"> estimated that</w:t>
      </w:r>
      <w:r w:rsidR="006F57E9" w:rsidRPr="00526778">
        <w:rPr>
          <w:noProof/>
          <w:lang w:val="en-GB"/>
        </w:rPr>
        <w:t>, on average,</w:t>
      </w:r>
      <w:r w:rsidR="00177747" w:rsidRPr="00526778">
        <w:rPr>
          <w:noProof/>
          <w:lang w:val="en-GB"/>
        </w:rPr>
        <w:t xml:space="preserve"> 19% of </w:t>
      </w:r>
      <w:r w:rsidR="006652E0" w:rsidRPr="00526778">
        <w:rPr>
          <w:noProof/>
          <w:lang w:val="en-GB"/>
        </w:rPr>
        <w:t xml:space="preserve">soy production </w:t>
      </w:r>
      <w:r w:rsidR="00177747" w:rsidRPr="00526778">
        <w:rPr>
          <w:noProof/>
          <w:lang w:val="en-GB"/>
        </w:rPr>
        <w:t>expansion</w:t>
      </w:r>
      <w:r w:rsidR="006F57E9" w:rsidRPr="00526778">
        <w:rPr>
          <w:noProof/>
          <w:lang w:val="en-GB"/>
        </w:rPr>
        <w:t xml:space="preserve"> involves high ILUC</w:t>
      </w:r>
      <w:r w:rsidR="006112E3">
        <w:rPr>
          <w:noProof/>
          <w:lang w:val="en-GB"/>
        </w:rPr>
        <w:t>-</w:t>
      </w:r>
      <w:r w:rsidR="006F57E9" w:rsidRPr="00526778">
        <w:rPr>
          <w:noProof/>
          <w:lang w:val="en-GB"/>
        </w:rPr>
        <w:t>risk.</w:t>
      </w:r>
      <w:r w:rsidR="00177747" w:rsidRPr="00526778">
        <w:rPr>
          <w:noProof/>
          <w:lang w:val="en-GB"/>
        </w:rPr>
        <w:t xml:space="preserve"> </w:t>
      </w:r>
      <w:bookmarkStart w:id="3" w:name="_Hlk115690094"/>
    </w:p>
    <w:bookmarkEnd w:id="3"/>
    <w:p w14:paraId="419B1F60" w14:textId="06CD361D" w:rsidR="00C27014" w:rsidRPr="00526778" w:rsidRDefault="003467CE" w:rsidP="00195800">
      <w:pPr>
        <w:pStyle w:val="NormalTimesNewRoman"/>
        <w:rPr>
          <w:noProof/>
          <w:lang w:val="en-GB"/>
        </w:rPr>
      </w:pPr>
      <w:r>
        <w:rPr>
          <w:noProof/>
          <w:lang w:val="en-GB"/>
        </w:rPr>
        <w:t>Regarding</w:t>
      </w:r>
      <w:r w:rsidR="00C27014" w:rsidRPr="00526778">
        <w:rPr>
          <w:noProof/>
          <w:lang w:val="en-GB"/>
        </w:rPr>
        <w:t xml:space="preserve"> </w:t>
      </w:r>
      <w:r w:rsidR="00C27014" w:rsidRPr="00526778">
        <w:rPr>
          <w:b/>
          <w:bCs/>
          <w:noProof/>
          <w:lang w:val="en-GB"/>
        </w:rPr>
        <w:t xml:space="preserve">palm oil, </w:t>
      </w:r>
      <w:r w:rsidR="0045558B" w:rsidRPr="00526778">
        <w:rPr>
          <w:noProof/>
          <w:lang w:val="en-GB"/>
        </w:rPr>
        <w:t>scientific evidence concluded that it</w:t>
      </w:r>
      <w:r w:rsidR="000A31CA">
        <w:rPr>
          <w:noProof/>
          <w:lang w:val="en-GB"/>
        </w:rPr>
        <w:t xml:space="preserve"> continued to</w:t>
      </w:r>
      <w:r w:rsidR="0045558B" w:rsidRPr="00526778">
        <w:rPr>
          <w:noProof/>
          <w:lang w:val="en-GB"/>
        </w:rPr>
        <w:t xml:space="preserve"> expand</w:t>
      </w:r>
      <w:r w:rsidR="006E4A13">
        <w:rPr>
          <w:noProof/>
          <w:lang w:val="en-GB"/>
        </w:rPr>
        <w:t xml:space="preserve">, </w:t>
      </w:r>
      <w:r w:rsidR="006E4A13" w:rsidRPr="006E4A13">
        <w:rPr>
          <w:noProof/>
          <w:lang w:val="en-GB"/>
        </w:rPr>
        <w:t>in forests and in peatland</w:t>
      </w:r>
      <w:r w:rsidR="006E4A13">
        <w:rPr>
          <w:noProof/>
          <w:lang w:val="en-GB"/>
        </w:rPr>
        <w:t>,</w:t>
      </w:r>
      <w:r w:rsidR="0045558B" w:rsidRPr="00526778">
        <w:rPr>
          <w:noProof/>
          <w:lang w:val="en-GB"/>
        </w:rPr>
        <w:t xml:space="preserve"> in </w:t>
      </w:r>
      <w:r w:rsidR="0080046C" w:rsidRPr="00526778">
        <w:rPr>
          <w:noProof/>
          <w:lang w:val="en-GB"/>
        </w:rPr>
        <w:t>Malaysia</w:t>
      </w:r>
      <w:r w:rsidR="00A23F37">
        <w:rPr>
          <w:noProof/>
          <w:lang w:val="en-GB"/>
        </w:rPr>
        <w:t>,</w:t>
      </w:r>
      <w:r w:rsidR="0045558B" w:rsidRPr="00526778">
        <w:rPr>
          <w:noProof/>
          <w:lang w:val="en-GB"/>
        </w:rPr>
        <w:t xml:space="preserve"> Indonesia</w:t>
      </w:r>
      <w:r w:rsidR="000A31CA">
        <w:rPr>
          <w:noProof/>
          <w:lang w:val="en-GB"/>
        </w:rPr>
        <w:t xml:space="preserve"> </w:t>
      </w:r>
      <w:r w:rsidR="000A31CA" w:rsidRPr="000A31CA">
        <w:rPr>
          <w:noProof/>
          <w:lang w:val="en-GB"/>
        </w:rPr>
        <w:t xml:space="preserve">and Thailand, and </w:t>
      </w:r>
      <w:r w:rsidR="006112E3">
        <w:rPr>
          <w:noProof/>
          <w:lang w:val="en-GB"/>
        </w:rPr>
        <w:t xml:space="preserve">is </w:t>
      </w:r>
      <w:r w:rsidR="000A31CA" w:rsidRPr="000A31CA">
        <w:rPr>
          <w:noProof/>
          <w:lang w:val="en-GB"/>
        </w:rPr>
        <w:t>emerging in growing regions in Brazil, Peru and Africa</w:t>
      </w:r>
      <w:r w:rsidR="006E4A13">
        <w:rPr>
          <w:noProof/>
          <w:lang w:val="en-GB"/>
        </w:rPr>
        <w:t>.</w:t>
      </w:r>
      <w:r w:rsidR="0045558B" w:rsidRPr="00526778">
        <w:rPr>
          <w:noProof/>
          <w:lang w:val="en-GB"/>
        </w:rPr>
        <w:t xml:space="preserve"> </w:t>
      </w:r>
      <w:r w:rsidR="00B92B24" w:rsidRPr="00D937A1">
        <w:rPr>
          <w:noProof/>
          <w:lang w:val="en-GB"/>
        </w:rPr>
        <w:t>Studies show the complex dynamics of palm oil cultivation, revealing that while policy measures like Indonesia's forest moratorium and sustainable production programs have attempted to curb deforestation, significant environmental changes persist. These include high rates of land use conversion from forests and peatlands to plantations, with varying impacts</w:t>
      </w:r>
      <w:r w:rsidR="004A7597">
        <w:rPr>
          <w:rStyle w:val="FootnoteReference"/>
          <w:noProof/>
          <w:lang w:val="en-GB"/>
        </w:rPr>
        <w:footnoteReference w:id="10"/>
      </w:r>
      <w:r w:rsidR="00B92B24" w:rsidRPr="00D937A1">
        <w:rPr>
          <w:noProof/>
          <w:lang w:val="en-GB"/>
        </w:rPr>
        <w:t xml:space="preserve"> from industrial and smallholder practices.</w:t>
      </w:r>
      <w:r w:rsidR="00B92B24">
        <w:rPr>
          <w:noProof/>
          <w:lang w:val="en-GB"/>
        </w:rPr>
        <w:t xml:space="preserve"> </w:t>
      </w:r>
      <w:r w:rsidR="004B4A45">
        <w:rPr>
          <w:noProof/>
          <w:lang w:val="en-GB"/>
        </w:rPr>
        <w:t xml:space="preserve">In </w:t>
      </w:r>
      <w:r w:rsidR="004B4A45" w:rsidRPr="004B4A45">
        <w:rPr>
          <w:noProof/>
          <w:lang w:val="en-GB"/>
        </w:rPr>
        <w:t>South</w:t>
      </w:r>
      <w:r w:rsidR="00140571">
        <w:rPr>
          <w:noProof/>
          <w:lang w:val="en-GB"/>
        </w:rPr>
        <w:t>-E</w:t>
      </w:r>
      <w:r w:rsidR="004B4A45" w:rsidRPr="004B4A45">
        <w:rPr>
          <w:noProof/>
          <w:lang w:val="en-GB"/>
        </w:rPr>
        <w:t>ast Asia (Indonesia, Malaysia, Thailand)</w:t>
      </w:r>
      <w:r w:rsidR="004B4A45">
        <w:rPr>
          <w:noProof/>
          <w:lang w:val="en-GB"/>
        </w:rPr>
        <w:t xml:space="preserve">, </w:t>
      </w:r>
      <w:r w:rsidR="00CC00C5">
        <w:rPr>
          <w:noProof/>
          <w:lang w:val="en-GB"/>
        </w:rPr>
        <w:t>studies</w:t>
      </w:r>
      <w:r w:rsidR="00E53B6C">
        <w:rPr>
          <w:rStyle w:val="FootnoteReference"/>
          <w:noProof/>
          <w:lang w:val="en-GB"/>
        </w:rPr>
        <w:footnoteReference w:id="11"/>
      </w:r>
      <w:r w:rsidR="00CC00C5">
        <w:rPr>
          <w:noProof/>
          <w:lang w:val="en-GB"/>
        </w:rPr>
        <w:t xml:space="preserve"> found that </w:t>
      </w:r>
      <w:r w:rsidR="004B4A45">
        <w:rPr>
          <w:noProof/>
          <w:lang w:val="en-GB"/>
        </w:rPr>
        <w:t>p</w:t>
      </w:r>
      <w:r w:rsidR="004B4A45" w:rsidRPr="004B4A45">
        <w:rPr>
          <w:noProof/>
          <w:lang w:val="en-GB"/>
        </w:rPr>
        <w:t xml:space="preserve">alm oil expansion has been significant, with plantations </w:t>
      </w:r>
      <w:r w:rsidR="00D318F0">
        <w:rPr>
          <w:noProof/>
          <w:lang w:val="en-GB"/>
        </w:rPr>
        <w:t>extending</w:t>
      </w:r>
      <w:r w:rsidR="004B4A45" w:rsidRPr="004B4A45">
        <w:rPr>
          <w:noProof/>
          <w:lang w:val="en-GB"/>
        </w:rPr>
        <w:t xml:space="preserve"> on peatlands and natural forests</w:t>
      </w:r>
      <w:r w:rsidR="005312E1">
        <w:rPr>
          <w:noProof/>
          <w:lang w:val="en-GB"/>
        </w:rPr>
        <w:t xml:space="preserve">. </w:t>
      </w:r>
      <w:r w:rsidR="00243D66">
        <w:rPr>
          <w:noProof/>
          <w:lang w:val="en-GB"/>
        </w:rPr>
        <w:t xml:space="preserve">In </w:t>
      </w:r>
      <w:r w:rsidR="00243D66" w:rsidRPr="00243D66">
        <w:rPr>
          <w:noProof/>
          <w:lang w:val="en-GB"/>
        </w:rPr>
        <w:t>South America</w:t>
      </w:r>
      <w:r w:rsidR="00243D66">
        <w:rPr>
          <w:noProof/>
          <w:lang w:val="en-GB"/>
        </w:rPr>
        <w:t>, p</w:t>
      </w:r>
      <w:r w:rsidR="00243D66" w:rsidRPr="00243D66">
        <w:rPr>
          <w:noProof/>
          <w:lang w:val="en-GB"/>
        </w:rPr>
        <w:t xml:space="preserve">alm oil cultivation in Brazil mainly </w:t>
      </w:r>
      <w:r w:rsidR="008866DE">
        <w:rPr>
          <w:noProof/>
          <w:lang w:val="en-GB"/>
        </w:rPr>
        <w:t>took place on</w:t>
      </w:r>
      <w:r w:rsidR="008866DE" w:rsidRPr="00243D66">
        <w:rPr>
          <w:noProof/>
          <w:lang w:val="en-GB"/>
        </w:rPr>
        <w:t xml:space="preserve"> </w:t>
      </w:r>
      <w:r w:rsidR="00243D66" w:rsidRPr="00243D66">
        <w:rPr>
          <w:noProof/>
          <w:lang w:val="en-GB"/>
        </w:rPr>
        <w:t>pastureland</w:t>
      </w:r>
      <w:r w:rsidR="00E2437A">
        <w:rPr>
          <w:rStyle w:val="FootnoteReference"/>
          <w:noProof/>
          <w:lang w:val="en-GB"/>
        </w:rPr>
        <w:footnoteReference w:id="12"/>
      </w:r>
      <w:r w:rsidR="00243D66" w:rsidRPr="00243D66">
        <w:rPr>
          <w:noProof/>
          <w:lang w:val="en-GB"/>
        </w:rPr>
        <w:t>, while in Peru industrial plantations largely expanded into old-growth forests</w:t>
      </w:r>
      <w:r w:rsidR="00F974DD">
        <w:rPr>
          <w:noProof/>
          <w:lang w:val="en-GB"/>
        </w:rPr>
        <w:t xml:space="preserve">. </w:t>
      </w:r>
      <w:r w:rsidR="0079770F">
        <w:rPr>
          <w:noProof/>
          <w:lang w:val="en-GB"/>
        </w:rPr>
        <w:t>A</w:t>
      </w:r>
      <w:r w:rsidR="004C11CE" w:rsidRPr="00526778">
        <w:rPr>
          <w:noProof/>
          <w:lang w:val="en-GB"/>
        </w:rPr>
        <w:t xml:space="preserve"> study conducted in Peru</w:t>
      </w:r>
      <w:r w:rsidR="000B4015" w:rsidRPr="00526778">
        <w:rPr>
          <w:rStyle w:val="FootnoteReference"/>
          <w:noProof/>
          <w:lang w:val="en-GB"/>
        </w:rPr>
        <w:footnoteReference w:id="13"/>
      </w:r>
      <w:r w:rsidR="004C11CE" w:rsidRPr="00526778">
        <w:rPr>
          <w:noProof/>
          <w:lang w:val="en-GB"/>
        </w:rPr>
        <w:t xml:space="preserve"> found that 26% of the expansion of smallholder palm oil plantations took place in </w:t>
      </w:r>
      <w:r w:rsidR="00D744E2">
        <w:rPr>
          <w:noProof/>
          <w:lang w:val="en-GB"/>
        </w:rPr>
        <w:t>old</w:t>
      </w:r>
      <w:r w:rsidR="00A0277D">
        <w:rPr>
          <w:noProof/>
          <w:lang w:val="en-GB"/>
        </w:rPr>
        <w:t>-</w:t>
      </w:r>
      <w:r w:rsidR="00D744E2">
        <w:rPr>
          <w:noProof/>
          <w:lang w:val="en-GB"/>
        </w:rPr>
        <w:t>growth forests</w:t>
      </w:r>
      <w:r w:rsidR="00AE469D" w:rsidRPr="00526778">
        <w:rPr>
          <w:noProof/>
          <w:lang w:val="en-GB"/>
        </w:rPr>
        <w:t>, while</w:t>
      </w:r>
      <w:r w:rsidR="00D744E2">
        <w:rPr>
          <w:noProof/>
          <w:lang w:val="en-GB"/>
        </w:rPr>
        <w:t xml:space="preserve"> 70% of the </w:t>
      </w:r>
      <w:r w:rsidR="00AE469D" w:rsidRPr="00526778">
        <w:rPr>
          <w:noProof/>
          <w:lang w:val="en-GB"/>
        </w:rPr>
        <w:t>expansion driven by industrial plantation</w:t>
      </w:r>
      <w:r w:rsidR="00D744E2">
        <w:rPr>
          <w:noProof/>
          <w:lang w:val="en-GB"/>
        </w:rPr>
        <w:t xml:space="preserve"> was happening in old</w:t>
      </w:r>
      <w:r w:rsidR="00A0277D">
        <w:rPr>
          <w:noProof/>
          <w:lang w:val="en-GB"/>
        </w:rPr>
        <w:t>-</w:t>
      </w:r>
      <w:r w:rsidR="00D744E2">
        <w:rPr>
          <w:noProof/>
          <w:lang w:val="en-GB"/>
        </w:rPr>
        <w:t>growth forests</w:t>
      </w:r>
      <w:r w:rsidR="00EF4200" w:rsidRPr="00526778">
        <w:rPr>
          <w:noProof/>
          <w:lang w:val="en-GB"/>
        </w:rPr>
        <w:t xml:space="preserve">. </w:t>
      </w:r>
      <w:r w:rsidR="00494115">
        <w:rPr>
          <w:noProof/>
          <w:lang w:val="en-GB"/>
        </w:rPr>
        <w:t xml:space="preserve">In </w:t>
      </w:r>
      <w:r w:rsidR="00494115" w:rsidRPr="00494115">
        <w:rPr>
          <w:noProof/>
          <w:lang w:val="en-GB"/>
        </w:rPr>
        <w:t>Africa</w:t>
      </w:r>
      <w:r w:rsidR="00494115">
        <w:rPr>
          <w:noProof/>
          <w:lang w:val="en-GB"/>
        </w:rPr>
        <w:t>, p</w:t>
      </w:r>
      <w:r w:rsidR="00494115" w:rsidRPr="00494115">
        <w:rPr>
          <w:noProof/>
          <w:lang w:val="en-GB"/>
        </w:rPr>
        <w:t>alm oil production has significantly grown from 2Mha in the 1980s to 5Mha by 2018, largely driven by expansion within Nigeria and Côte d'Ivoire</w:t>
      </w:r>
      <w:r w:rsidR="00494115">
        <w:rPr>
          <w:rStyle w:val="FootnoteReference"/>
          <w:noProof/>
          <w:lang w:val="en-GB"/>
        </w:rPr>
        <w:footnoteReference w:id="14"/>
      </w:r>
      <w:r w:rsidR="00494115">
        <w:rPr>
          <w:noProof/>
          <w:lang w:val="en-GB"/>
        </w:rPr>
        <w:t xml:space="preserve">. </w:t>
      </w:r>
    </w:p>
    <w:p w14:paraId="720C9E21" w14:textId="1AB0E8D3" w:rsidR="00367727" w:rsidRPr="00526778" w:rsidRDefault="0080046C" w:rsidP="00195800">
      <w:pPr>
        <w:pStyle w:val="NormalTimesNewRoman"/>
        <w:rPr>
          <w:noProof/>
          <w:lang w:val="en-GB"/>
        </w:rPr>
      </w:pPr>
      <w:r w:rsidRPr="00526778">
        <w:rPr>
          <w:noProof/>
          <w:lang w:val="en-GB"/>
        </w:rPr>
        <w:t xml:space="preserve">For </w:t>
      </w:r>
      <w:r w:rsidRPr="00526778">
        <w:rPr>
          <w:b/>
          <w:bCs/>
          <w:noProof/>
          <w:lang w:val="en-GB"/>
        </w:rPr>
        <w:t>sugar cane</w:t>
      </w:r>
      <w:r w:rsidR="00607829" w:rsidRPr="00526778">
        <w:rPr>
          <w:b/>
          <w:bCs/>
          <w:noProof/>
          <w:lang w:val="en-GB"/>
        </w:rPr>
        <w:t xml:space="preserve"> and</w:t>
      </w:r>
      <w:r w:rsidRPr="00526778">
        <w:rPr>
          <w:b/>
          <w:bCs/>
          <w:noProof/>
          <w:lang w:val="en-GB"/>
        </w:rPr>
        <w:t xml:space="preserve"> maize</w:t>
      </w:r>
      <w:r w:rsidR="2C72CC73" w:rsidRPr="00526778">
        <w:rPr>
          <w:b/>
          <w:bCs/>
          <w:noProof/>
          <w:lang w:val="en-GB"/>
        </w:rPr>
        <w:t>,</w:t>
      </w:r>
      <w:r w:rsidR="000E0B99" w:rsidRPr="00526778">
        <w:rPr>
          <w:b/>
          <w:bCs/>
          <w:noProof/>
          <w:lang w:val="en-GB"/>
        </w:rPr>
        <w:t xml:space="preserve"> </w:t>
      </w:r>
      <w:r w:rsidR="00607829" w:rsidRPr="00526778">
        <w:rPr>
          <w:noProof/>
          <w:lang w:val="en-GB"/>
        </w:rPr>
        <w:t>a few</w:t>
      </w:r>
      <w:r w:rsidRPr="00526778">
        <w:rPr>
          <w:noProof/>
          <w:lang w:val="en-GB"/>
        </w:rPr>
        <w:t xml:space="preserve"> additional studies have been identified</w:t>
      </w:r>
      <w:r w:rsidR="00607829" w:rsidRPr="00526778">
        <w:rPr>
          <w:noProof/>
          <w:lang w:val="en-GB"/>
        </w:rPr>
        <w:t xml:space="preserve">, compared to the </w:t>
      </w:r>
      <w:r w:rsidR="00E65E00">
        <w:rPr>
          <w:noProof/>
          <w:lang w:val="en-GB"/>
        </w:rPr>
        <w:t xml:space="preserve">Commission </w:t>
      </w:r>
      <w:r w:rsidR="00607829" w:rsidRPr="00526778">
        <w:rPr>
          <w:noProof/>
          <w:lang w:val="en-GB"/>
        </w:rPr>
        <w:t xml:space="preserve">2019 </w:t>
      </w:r>
      <w:r w:rsidR="00E65E00">
        <w:rPr>
          <w:noProof/>
          <w:lang w:val="en-GB"/>
        </w:rPr>
        <w:t xml:space="preserve">ILUC </w:t>
      </w:r>
      <w:r w:rsidR="00607829" w:rsidRPr="00526778">
        <w:rPr>
          <w:noProof/>
          <w:lang w:val="en-GB"/>
        </w:rPr>
        <w:t>report</w:t>
      </w:r>
      <w:r w:rsidRPr="00526778">
        <w:rPr>
          <w:noProof/>
          <w:lang w:val="en-GB"/>
        </w:rPr>
        <w:t xml:space="preserve">. </w:t>
      </w:r>
      <w:r w:rsidR="00607829" w:rsidRPr="00526778">
        <w:rPr>
          <w:noProof/>
          <w:lang w:val="en-GB"/>
        </w:rPr>
        <w:t xml:space="preserve">For both feedstocks, </w:t>
      </w:r>
      <w:r w:rsidR="00367727" w:rsidRPr="00526778">
        <w:rPr>
          <w:noProof/>
          <w:lang w:val="en-GB"/>
        </w:rPr>
        <w:t>the conclusions are confirmed</w:t>
      </w:r>
      <w:r w:rsidR="00E65E00">
        <w:rPr>
          <w:noProof/>
          <w:lang w:val="en-GB"/>
        </w:rPr>
        <w:t>:</w:t>
      </w:r>
      <w:r w:rsidR="00367727" w:rsidRPr="00526778">
        <w:rPr>
          <w:noProof/>
          <w:lang w:val="en-GB"/>
        </w:rPr>
        <w:t xml:space="preserve"> </w:t>
      </w:r>
      <w:r w:rsidR="00607829" w:rsidRPr="00526778">
        <w:rPr>
          <w:noProof/>
          <w:lang w:val="en-GB"/>
        </w:rPr>
        <w:t xml:space="preserve">expansion has been identified on pasture or agricultural land. </w:t>
      </w:r>
      <w:r w:rsidR="00374BEC">
        <w:rPr>
          <w:noProof/>
          <w:lang w:val="en-GB"/>
        </w:rPr>
        <w:t>W</w:t>
      </w:r>
      <w:r w:rsidR="00BE4917">
        <w:rPr>
          <w:noProof/>
          <w:lang w:val="en-GB"/>
        </w:rPr>
        <w:t xml:space="preserve">hen it comes to sugar cane, </w:t>
      </w:r>
      <w:r w:rsidR="00EC135C">
        <w:rPr>
          <w:noProof/>
          <w:lang w:val="en-GB"/>
        </w:rPr>
        <w:t>studies</w:t>
      </w:r>
      <w:r w:rsidR="007B6804">
        <w:rPr>
          <w:rStyle w:val="FootnoteReference"/>
          <w:noProof/>
          <w:lang w:val="en-GB"/>
        </w:rPr>
        <w:footnoteReference w:id="15"/>
      </w:r>
      <w:r w:rsidR="00821699">
        <w:rPr>
          <w:noProof/>
          <w:lang w:val="en-GB"/>
        </w:rPr>
        <w:t xml:space="preserve"> </w:t>
      </w:r>
      <w:r w:rsidR="00EB2607" w:rsidRPr="00EB2607">
        <w:rPr>
          <w:noProof/>
          <w:lang w:val="en-GB"/>
        </w:rPr>
        <w:t xml:space="preserve">found </w:t>
      </w:r>
      <w:r w:rsidR="006B59DC">
        <w:rPr>
          <w:noProof/>
          <w:lang w:val="en-GB"/>
        </w:rPr>
        <w:t>that</w:t>
      </w:r>
      <w:r w:rsidR="00E52E01">
        <w:rPr>
          <w:noProof/>
          <w:lang w:val="en-GB"/>
        </w:rPr>
        <w:t xml:space="preserve"> while</w:t>
      </w:r>
      <w:r w:rsidR="006B59DC">
        <w:rPr>
          <w:noProof/>
          <w:lang w:val="en-GB"/>
        </w:rPr>
        <w:t xml:space="preserve"> </w:t>
      </w:r>
      <w:r w:rsidR="006B59DC">
        <w:rPr>
          <w:noProof/>
        </w:rPr>
        <w:t>sugar cane</w:t>
      </w:r>
      <w:r w:rsidR="00ED2422">
        <w:rPr>
          <w:noProof/>
        </w:rPr>
        <w:t xml:space="preserve"> expansion</w:t>
      </w:r>
      <w:r w:rsidR="0049628A">
        <w:rPr>
          <w:noProof/>
        </w:rPr>
        <w:t xml:space="preserve"> into forests</w:t>
      </w:r>
      <w:r w:rsidR="00ED2422">
        <w:rPr>
          <w:noProof/>
        </w:rPr>
        <w:t xml:space="preserve"> </w:t>
      </w:r>
      <w:r w:rsidR="00EC135C">
        <w:rPr>
          <w:noProof/>
        </w:rPr>
        <w:t>was not prominent</w:t>
      </w:r>
      <w:r w:rsidR="00DA3CB2">
        <w:rPr>
          <w:noProof/>
          <w:lang w:val="en-GB"/>
        </w:rPr>
        <w:t xml:space="preserve">, </w:t>
      </w:r>
      <w:r w:rsidR="00E52E01" w:rsidRPr="00E52E01">
        <w:rPr>
          <w:noProof/>
          <w:lang w:val="en-GB"/>
        </w:rPr>
        <w:t xml:space="preserve">expansion </w:t>
      </w:r>
      <w:r w:rsidR="00AF3CD7">
        <w:rPr>
          <w:noProof/>
          <w:lang w:val="en-GB"/>
        </w:rPr>
        <w:t xml:space="preserve">is </w:t>
      </w:r>
      <w:r w:rsidR="00E52E01" w:rsidRPr="00E52E01">
        <w:rPr>
          <w:noProof/>
          <w:lang w:val="en-GB"/>
        </w:rPr>
        <w:t>increas</w:t>
      </w:r>
      <w:r w:rsidR="00AF3CD7">
        <w:rPr>
          <w:noProof/>
          <w:lang w:val="en-GB"/>
        </w:rPr>
        <w:t>ing</w:t>
      </w:r>
      <w:r w:rsidR="00493FCE">
        <w:rPr>
          <w:noProof/>
          <w:lang w:val="en-GB"/>
        </w:rPr>
        <w:t>,</w:t>
      </w:r>
      <w:r w:rsidR="00E52E01" w:rsidRPr="00E52E01">
        <w:rPr>
          <w:noProof/>
          <w:lang w:val="en-GB"/>
        </w:rPr>
        <w:t xml:space="preserve"> mainly in Brazil </w:t>
      </w:r>
      <w:r w:rsidR="00493FCE">
        <w:rPr>
          <w:noProof/>
          <w:lang w:val="en-GB"/>
        </w:rPr>
        <w:t xml:space="preserve">and </w:t>
      </w:r>
      <w:r w:rsidR="00E52E01" w:rsidRPr="00E52E01">
        <w:rPr>
          <w:noProof/>
          <w:lang w:val="en-GB"/>
        </w:rPr>
        <w:t>mostly onto pastures</w:t>
      </w:r>
      <w:r w:rsidR="00493FCE">
        <w:rPr>
          <w:noProof/>
          <w:lang w:val="en-GB"/>
        </w:rPr>
        <w:t xml:space="preserve">. </w:t>
      </w:r>
    </w:p>
    <w:p w14:paraId="6D98A12B" w14:textId="07F443BD" w:rsidR="007F2E51" w:rsidRDefault="00367727" w:rsidP="007F2E51">
      <w:pPr>
        <w:pStyle w:val="NormalTimesNewRoman"/>
        <w:rPr>
          <w:b/>
          <w:bCs/>
          <w:noProof/>
          <w:lang w:val="en-GB"/>
        </w:rPr>
      </w:pPr>
      <w:r w:rsidRPr="00526778">
        <w:rPr>
          <w:b/>
          <w:bCs/>
          <w:noProof/>
          <w:lang w:val="en-GB"/>
        </w:rPr>
        <w:t xml:space="preserve">For </w:t>
      </w:r>
      <w:r w:rsidR="00607829" w:rsidRPr="00526778">
        <w:rPr>
          <w:b/>
          <w:bCs/>
          <w:noProof/>
          <w:lang w:val="en-GB"/>
        </w:rPr>
        <w:t>other crops</w:t>
      </w:r>
      <w:r w:rsidRPr="00526778">
        <w:rPr>
          <w:noProof/>
          <w:lang w:val="en-GB"/>
        </w:rPr>
        <w:t>, no additional studies have been identified.</w:t>
      </w:r>
      <w:r w:rsidRPr="00526778">
        <w:rPr>
          <w:b/>
          <w:bCs/>
          <w:noProof/>
          <w:lang w:val="en-GB"/>
        </w:rPr>
        <w:t xml:space="preserve"> </w:t>
      </w:r>
    </w:p>
    <w:p w14:paraId="34FD152C" w14:textId="77777777" w:rsidR="00922ED6" w:rsidRPr="00526778" w:rsidRDefault="00922ED6" w:rsidP="007F2E51">
      <w:pPr>
        <w:pStyle w:val="NormalTimesNewRoman"/>
        <w:rPr>
          <w:noProof/>
          <w:lang w:val="en-GB"/>
        </w:rPr>
      </w:pPr>
    </w:p>
    <w:p w14:paraId="21D6F452" w14:textId="455C37EE" w:rsidR="00922ED6" w:rsidRDefault="00922ED6" w:rsidP="00922ED6">
      <w:pPr>
        <w:pStyle w:val="Style1"/>
        <w:rPr>
          <w:noProof/>
        </w:rPr>
      </w:pPr>
      <w:bookmarkStart w:id="4" w:name="_Toc109647468"/>
      <w:r w:rsidRPr="00922ED6">
        <w:rPr>
          <w:noProof/>
        </w:rPr>
        <w:t>UPDATE ON GLOBAL EXPANSION IN AGRICULTURAL COMMODITIES</w:t>
      </w:r>
      <w:bookmarkEnd w:id="4"/>
      <w:r w:rsidRPr="00922ED6">
        <w:rPr>
          <w:noProof/>
        </w:rPr>
        <w:t xml:space="preserve"> </w:t>
      </w:r>
    </w:p>
    <w:p w14:paraId="31CB5E34" w14:textId="03CCBA1B" w:rsidR="00922ED6" w:rsidRPr="0005361D" w:rsidRDefault="00922ED6" w:rsidP="00A32704">
      <w:pPr>
        <w:pStyle w:val="Style1"/>
        <w:numPr>
          <w:ilvl w:val="0"/>
          <w:numId w:val="0"/>
        </w:numPr>
        <w:ind w:left="720"/>
        <w:rPr>
          <w:noProof/>
        </w:rPr>
      </w:pPr>
    </w:p>
    <w:p w14:paraId="3F5D64F0" w14:textId="08DC73FB" w:rsidR="00361E3C" w:rsidRDefault="00354168" w:rsidP="00457526">
      <w:pPr>
        <w:pStyle w:val="NormalTimesNewRoman"/>
        <w:rPr>
          <w:noProof/>
          <w:lang w:val="en-GB"/>
        </w:rPr>
      </w:pPr>
      <w:r>
        <w:rPr>
          <w:noProof/>
          <w:lang w:val="en-GB"/>
        </w:rPr>
        <w:t>T</w:t>
      </w:r>
      <w:r w:rsidR="009B5A6C" w:rsidRPr="00526778">
        <w:rPr>
          <w:noProof/>
          <w:lang w:val="en-GB"/>
        </w:rPr>
        <w:t xml:space="preserve">he </w:t>
      </w:r>
      <w:r w:rsidR="00361E3C" w:rsidRPr="00526778">
        <w:rPr>
          <w:noProof/>
          <w:lang w:val="en-GB"/>
        </w:rPr>
        <w:t>analysis</w:t>
      </w:r>
      <w:r>
        <w:rPr>
          <w:noProof/>
          <w:lang w:val="en-GB"/>
        </w:rPr>
        <w:t xml:space="preserve"> regarding</w:t>
      </w:r>
      <w:r w:rsidR="00415E00">
        <w:rPr>
          <w:noProof/>
          <w:lang w:val="en-GB"/>
        </w:rPr>
        <w:t xml:space="preserve"> </w:t>
      </w:r>
      <w:r w:rsidRPr="00526778">
        <w:rPr>
          <w:noProof/>
          <w:lang w:val="en-GB"/>
        </w:rPr>
        <w:t>the trends in the global production expansion of feedstocks</w:t>
      </w:r>
      <w:r w:rsidR="00AF3CD7">
        <w:rPr>
          <w:noProof/>
          <w:lang w:val="en-GB"/>
        </w:rPr>
        <w:t xml:space="preserve"> that can be used for producing fuels</w:t>
      </w:r>
      <w:r>
        <w:rPr>
          <w:noProof/>
          <w:lang w:val="en-GB"/>
        </w:rPr>
        <w:t xml:space="preserve"> </w:t>
      </w:r>
      <w:r w:rsidR="009B5A6C" w:rsidRPr="00526778">
        <w:rPr>
          <w:noProof/>
          <w:lang w:val="en-GB"/>
        </w:rPr>
        <w:t>has been upd</w:t>
      </w:r>
      <w:r w:rsidR="00503E8E" w:rsidRPr="00526778">
        <w:rPr>
          <w:noProof/>
          <w:lang w:val="en-GB"/>
        </w:rPr>
        <w:t>ated</w:t>
      </w:r>
      <w:r w:rsidR="000A6603">
        <w:rPr>
          <w:noProof/>
          <w:lang w:val="en-GB"/>
        </w:rPr>
        <w:t xml:space="preserve"> </w:t>
      </w:r>
      <w:r w:rsidR="00503E8E" w:rsidRPr="00526778">
        <w:rPr>
          <w:noProof/>
          <w:lang w:val="en-GB"/>
        </w:rPr>
        <w:t>and now contains the latest available data from FAOstat</w:t>
      </w:r>
      <w:r w:rsidR="004D3E36" w:rsidRPr="00526778">
        <w:rPr>
          <w:rStyle w:val="FootnoteReference"/>
          <w:noProof/>
          <w:lang w:val="en-GB"/>
        </w:rPr>
        <w:footnoteReference w:id="16"/>
      </w:r>
      <w:r w:rsidR="00503E8E" w:rsidRPr="00526778">
        <w:rPr>
          <w:noProof/>
          <w:lang w:val="en-GB"/>
        </w:rPr>
        <w:t xml:space="preserve"> and the USDA</w:t>
      </w:r>
      <w:r w:rsidR="004D3E36" w:rsidRPr="00526778">
        <w:rPr>
          <w:rStyle w:val="FootnoteReference"/>
          <w:noProof/>
          <w:lang w:val="en-GB"/>
        </w:rPr>
        <w:footnoteReference w:id="17"/>
      </w:r>
      <w:r w:rsidR="000A6603">
        <w:rPr>
          <w:noProof/>
          <w:lang w:val="en-GB"/>
        </w:rPr>
        <w:t xml:space="preserve">, </w:t>
      </w:r>
      <w:r w:rsidR="00AF3CD7">
        <w:rPr>
          <w:noProof/>
          <w:lang w:val="en-GB"/>
        </w:rPr>
        <w:t>being</w:t>
      </w:r>
      <w:r w:rsidR="008F2A54">
        <w:rPr>
          <w:noProof/>
          <w:lang w:val="en-GB"/>
        </w:rPr>
        <w:t xml:space="preserve"> based </w:t>
      </w:r>
      <w:r w:rsidR="0042532D">
        <w:rPr>
          <w:noProof/>
          <w:lang w:val="en-GB"/>
        </w:rPr>
        <w:t xml:space="preserve">on </w:t>
      </w:r>
      <w:r w:rsidR="00797CA0">
        <w:rPr>
          <w:noProof/>
          <w:lang w:val="en-GB"/>
        </w:rPr>
        <w:t xml:space="preserve">data from </w:t>
      </w:r>
      <w:r w:rsidR="00EF0FA0" w:rsidRPr="00526778">
        <w:rPr>
          <w:noProof/>
          <w:lang w:val="en-GB"/>
        </w:rPr>
        <w:t>2014</w:t>
      </w:r>
      <w:r w:rsidR="0053537E">
        <w:rPr>
          <w:noProof/>
          <w:lang w:val="en-GB"/>
        </w:rPr>
        <w:t xml:space="preserve"> to </w:t>
      </w:r>
      <w:r w:rsidR="009A24F6" w:rsidRPr="00526778">
        <w:rPr>
          <w:noProof/>
          <w:lang w:val="en-GB"/>
        </w:rPr>
        <w:t>2021</w:t>
      </w:r>
      <w:r w:rsidR="0053537E">
        <w:rPr>
          <w:noProof/>
          <w:lang w:val="en-GB"/>
        </w:rPr>
        <w:t xml:space="preserve">. </w:t>
      </w:r>
      <w:r w:rsidR="002131BA">
        <w:rPr>
          <w:noProof/>
          <w:lang w:val="en-GB"/>
        </w:rPr>
        <w:t>F</w:t>
      </w:r>
      <w:r w:rsidR="00C51C64" w:rsidRPr="00526778">
        <w:rPr>
          <w:noProof/>
          <w:lang w:val="en-GB"/>
        </w:rPr>
        <w:t xml:space="preserve">or maize and soybeans in Brazil </w:t>
      </w:r>
      <w:r w:rsidR="00060074">
        <w:rPr>
          <w:noProof/>
          <w:lang w:val="en-GB"/>
        </w:rPr>
        <w:t>where multi-cropping is prevalent,</w:t>
      </w:r>
      <w:r w:rsidR="00060074" w:rsidRPr="00526778">
        <w:rPr>
          <w:noProof/>
          <w:lang w:val="en-GB"/>
        </w:rPr>
        <w:t xml:space="preserve"> </w:t>
      </w:r>
      <w:r w:rsidR="00C51C64" w:rsidRPr="00526778">
        <w:rPr>
          <w:noProof/>
          <w:lang w:val="en-GB"/>
        </w:rPr>
        <w:t>and for palm oil fruit production in Indonesia and Malaysia,</w:t>
      </w:r>
      <w:r w:rsidR="009B6E63">
        <w:rPr>
          <w:noProof/>
          <w:lang w:val="en-GB"/>
        </w:rPr>
        <w:t xml:space="preserve"> </w:t>
      </w:r>
      <w:r w:rsidR="00C51C64" w:rsidRPr="00526778">
        <w:rPr>
          <w:noProof/>
          <w:lang w:val="en-GB"/>
        </w:rPr>
        <w:t>FAOStat harvested area data</w:t>
      </w:r>
      <w:r w:rsidR="0086269C">
        <w:rPr>
          <w:noProof/>
          <w:lang w:val="en-GB"/>
        </w:rPr>
        <w:t xml:space="preserve"> </w:t>
      </w:r>
      <w:r w:rsidR="00C51C64" w:rsidRPr="00526778">
        <w:rPr>
          <w:noProof/>
          <w:lang w:val="en-GB"/>
        </w:rPr>
        <w:t xml:space="preserve">has been replaced with data </w:t>
      </w:r>
      <w:r w:rsidR="00D57E9A">
        <w:rPr>
          <w:noProof/>
          <w:lang w:val="en-GB"/>
        </w:rPr>
        <w:t xml:space="preserve">on planted area </w:t>
      </w:r>
      <w:r w:rsidR="00C51C64" w:rsidRPr="00526778">
        <w:rPr>
          <w:noProof/>
          <w:lang w:val="en-GB"/>
        </w:rPr>
        <w:t>from national statistics</w:t>
      </w:r>
      <w:r w:rsidR="004D0376">
        <w:rPr>
          <w:noProof/>
          <w:lang w:val="en-GB"/>
        </w:rPr>
        <w:t xml:space="preserve"> to </w:t>
      </w:r>
      <w:r w:rsidR="00173A7B">
        <w:rPr>
          <w:noProof/>
          <w:lang w:val="en-GB"/>
        </w:rPr>
        <w:t xml:space="preserve">better measure amount of land </w:t>
      </w:r>
      <w:r w:rsidR="00A60A4E">
        <w:rPr>
          <w:noProof/>
          <w:lang w:val="en-GB"/>
        </w:rPr>
        <w:t xml:space="preserve">that is </w:t>
      </w:r>
      <w:r w:rsidR="007D05FD">
        <w:rPr>
          <w:noProof/>
          <w:lang w:val="en-GB"/>
        </w:rPr>
        <w:t>used</w:t>
      </w:r>
      <w:r w:rsidR="00173A7B">
        <w:rPr>
          <w:noProof/>
          <w:lang w:val="en-GB"/>
        </w:rPr>
        <w:t xml:space="preserve"> for crop production. </w:t>
      </w:r>
      <w:r w:rsidR="00457526" w:rsidRPr="00457526" w:rsidDel="007432DA">
        <w:rPr>
          <w:noProof/>
        </w:rPr>
        <w:t>FAOstat only provides data on harvested areas, not planted areas</w:t>
      </w:r>
      <w:r w:rsidR="00457526" w:rsidDel="007432DA">
        <w:rPr>
          <w:noProof/>
        </w:rPr>
        <w:t xml:space="preserve">, which means that </w:t>
      </w:r>
      <w:r w:rsidR="00457526" w:rsidRPr="00457526" w:rsidDel="007432DA">
        <w:rPr>
          <w:noProof/>
        </w:rPr>
        <w:t xml:space="preserve">practices such as multi- or sequential cropping </w:t>
      </w:r>
      <w:r w:rsidR="003D4136" w:rsidDel="007432DA">
        <w:rPr>
          <w:noProof/>
        </w:rPr>
        <w:t>are</w:t>
      </w:r>
      <w:r w:rsidR="00457526" w:rsidRPr="00457526" w:rsidDel="007432DA">
        <w:rPr>
          <w:noProof/>
        </w:rPr>
        <w:t xml:space="preserve"> recorded as twice the amount of cropland, </w:t>
      </w:r>
      <w:r w:rsidR="000F093E">
        <w:rPr>
          <w:noProof/>
        </w:rPr>
        <w:t>and f</w:t>
      </w:r>
      <w:r w:rsidR="00D162F2">
        <w:rPr>
          <w:noProof/>
        </w:rPr>
        <w:t xml:space="preserve">or </w:t>
      </w:r>
      <w:r w:rsidR="00C249A9">
        <w:rPr>
          <w:noProof/>
        </w:rPr>
        <w:t xml:space="preserve">palm trees </w:t>
      </w:r>
      <w:r w:rsidR="005D07D4">
        <w:rPr>
          <w:noProof/>
        </w:rPr>
        <w:t xml:space="preserve">the </w:t>
      </w:r>
      <w:r w:rsidR="00C249A9" w:rsidRPr="0066524B">
        <w:rPr>
          <w:noProof/>
        </w:rPr>
        <w:t xml:space="preserve">harvested area </w:t>
      </w:r>
      <w:r w:rsidR="00C249A9">
        <w:rPr>
          <w:noProof/>
        </w:rPr>
        <w:t>does not</w:t>
      </w:r>
      <w:r w:rsidR="00C249A9" w:rsidRPr="0066524B">
        <w:rPr>
          <w:noProof/>
        </w:rPr>
        <w:t xml:space="preserve"> accurately reflect land use because palm trees take several years to mature before being harvested</w:t>
      </w:r>
      <w:r w:rsidR="00457526" w:rsidRPr="00457526" w:rsidDel="007432DA">
        <w:rPr>
          <w:noProof/>
          <w:lang w:val="en-GB"/>
        </w:rPr>
        <w:t>.</w:t>
      </w:r>
      <w:r w:rsidR="00457526" w:rsidDel="007432DA">
        <w:rPr>
          <w:noProof/>
          <w:lang w:val="en-GB"/>
        </w:rPr>
        <w:t xml:space="preserve"> </w:t>
      </w:r>
      <w:r w:rsidR="00503E8E" w:rsidRPr="00526778">
        <w:rPr>
          <w:noProof/>
          <w:lang w:val="en-GB"/>
        </w:rPr>
        <w:t xml:space="preserve">The updated results are </w:t>
      </w:r>
      <w:r w:rsidR="4CBA1E1A" w:rsidRPr="7DA7FDC4">
        <w:rPr>
          <w:noProof/>
          <w:lang w:val="en-GB"/>
        </w:rPr>
        <w:t>included in</w:t>
      </w:r>
      <w:r w:rsidR="00503E8E" w:rsidRPr="00526778">
        <w:rPr>
          <w:noProof/>
          <w:lang w:val="en-GB"/>
        </w:rPr>
        <w:t xml:space="preserve"> Table </w:t>
      </w:r>
      <w:r w:rsidR="0075589F">
        <w:rPr>
          <w:noProof/>
          <w:lang w:val="en-GB"/>
        </w:rPr>
        <w:t>1</w:t>
      </w:r>
      <w:r w:rsidR="00503E8E" w:rsidRPr="00526778">
        <w:rPr>
          <w:noProof/>
          <w:lang w:val="en-GB"/>
        </w:rPr>
        <w:t xml:space="preserve">. </w:t>
      </w:r>
    </w:p>
    <w:p w14:paraId="308B6346" w14:textId="77777777" w:rsidR="000B3318" w:rsidRPr="00526778" w:rsidRDefault="000B3318" w:rsidP="00361E3C">
      <w:pPr>
        <w:pStyle w:val="NormalTimesNewRoman"/>
        <w:rPr>
          <w:noProof/>
          <w:lang w:val="en-GB"/>
        </w:rPr>
      </w:pPr>
    </w:p>
    <w:tbl>
      <w:tblPr>
        <w:tblStyle w:val="ESIReport2"/>
        <w:tblW w:w="9026" w:type="dxa"/>
        <w:tblLayout w:type="fixed"/>
        <w:tblCellMar>
          <w:top w:w="57" w:type="dxa"/>
          <w:left w:w="57" w:type="dxa"/>
          <w:bottom w:w="57" w:type="dxa"/>
          <w:right w:w="57" w:type="dxa"/>
        </w:tblCellMar>
        <w:tblLook w:val="04A0" w:firstRow="1" w:lastRow="0" w:firstColumn="1" w:lastColumn="0" w:noHBand="0" w:noVBand="1"/>
      </w:tblPr>
      <w:tblGrid>
        <w:gridCol w:w="988"/>
        <w:gridCol w:w="992"/>
        <w:gridCol w:w="1276"/>
        <w:gridCol w:w="992"/>
        <w:gridCol w:w="954"/>
        <w:gridCol w:w="939"/>
        <w:gridCol w:w="939"/>
        <w:gridCol w:w="973"/>
        <w:gridCol w:w="973"/>
      </w:tblGrid>
      <w:tr w:rsidR="00BB5FB1" w:rsidRPr="00526778" w14:paraId="6787713D" w14:textId="77777777">
        <w:trPr>
          <w:cnfStyle w:val="100000000000" w:firstRow="1" w:lastRow="0" w:firstColumn="0" w:lastColumn="0" w:oddVBand="0" w:evenVBand="0" w:oddHBand="0" w:evenHBand="0" w:firstRowFirstColumn="0" w:firstRowLastColumn="0" w:lastRowFirstColumn="0" w:lastRowLastColumn="0"/>
          <w:trHeight w:val="723"/>
        </w:trPr>
        <w:tc>
          <w:tcPr>
            <w:tcW w:w="988" w:type="dxa"/>
            <w:hideMark/>
          </w:tcPr>
          <w:p w14:paraId="03BE662D"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Crop</w:t>
            </w:r>
          </w:p>
        </w:tc>
        <w:tc>
          <w:tcPr>
            <w:tcW w:w="992" w:type="dxa"/>
            <w:hideMark/>
          </w:tcPr>
          <w:p w14:paraId="3A62866B"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Total production 2014 (kt)</w:t>
            </w:r>
          </w:p>
        </w:tc>
        <w:tc>
          <w:tcPr>
            <w:tcW w:w="1276" w:type="dxa"/>
            <w:hideMark/>
          </w:tcPr>
          <w:p w14:paraId="70CB87F1"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Annual net increase of production 2014-2021 (%)</w:t>
            </w:r>
          </w:p>
        </w:tc>
        <w:tc>
          <w:tcPr>
            <w:tcW w:w="992" w:type="dxa"/>
            <w:hideMark/>
          </w:tcPr>
          <w:p w14:paraId="4B2B16EB"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Harvested area 2014 (kha)</w:t>
            </w:r>
          </w:p>
        </w:tc>
        <w:tc>
          <w:tcPr>
            <w:tcW w:w="954" w:type="dxa"/>
          </w:tcPr>
          <w:p w14:paraId="4F1B24A4"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Harvested area 2021 (kha)</w:t>
            </w:r>
          </w:p>
        </w:tc>
        <w:tc>
          <w:tcPr>
            <w:tcW w:w="939" w:type="dxa"/>
            <w:hideMark/>
          </w:tcPr>
          <w:p w14:paraId="5F59774D"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Annual net increase of harvested area 2014-2021 (kha)</w:t>
            </w:r>
          </w:p>
        </w:tc>
        <w:tc>
          <w:tcPr>
            <w:tcW w:w="939" w:type="dxa"/>
            <w:hideMark/>
          </w:tcPr>
          <w:p w14:paraId="0642A901"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Annual net increase of harvested area 2014-2021 (%)</w:t>
            </w:r>
          </w:p>
        </w:tc>
        <w:tc>
          <w:tcPr>
            <w:tcW w:w="973" w:type="dxa"/>
          </w:tcPr>
          <w:p w14:paraId="465A51A5"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Total net expansion (kha)</w:t>
            </w:r>
          </w:p>
        </w:tc>
        <w:tc>
          <w:tcPr>
            <w:tcW w:w="973" w:type="dxa"/>
          </w:tcPr>
          <w:p w14:paraId="11FB0F52"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Total gross expansion (kha)</w:t>
            </w:r>
          </w:p>
        </w:tc>
      </w:tr>
      <w:tr w:rsidR="00BB5FB1" w:rsidRPr="00526778" w14:paraId="2B5AC7F5" w14:textId="77777777">
        <w:trPr>
          <w:trHeight w:val="210"/>
        </w:trPr>
        <w:tc>
          <w:tcPr>
            <w:tcW w:w="988" w:type="dxa"/>
            <w:noWrap/>
            <w:hideMark/>
          </w:tcPr>
          <w:p w14:paraId="521010B1"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Wheat</w:t>
            </w:r>
          </w:p>
        </w:tc>
        <w:tc>
          <w:tcPr>
            <w:tcW w:w="992" w:type="dxa"/>
            <w:noWrap/>
            <w:hideMark/>
          </w:tcPr>
          <w:p w14:paraId="4D5D46D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728,758</w:t>
            </w:r>
          </w:p>
        </w:tc>
        <w:tc>
          <w:tcPr>
            <w:tcW w:w="1276" w:type="dxa"/>
            <w:noWrap/>
            <w:hideMark/>
          </w:tcPr>
          <w:p w14:paraId="0E739F91"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0.8%</w:t>
            </w:r>
          </w:p>
        </w:tc>
        <w:tc>
          <w:tcPr>
            <w:tcW w:w="992" w:type="dxa"/>
            <w:noWrap/>
            <w:hideMark/>
          </w:tcPr>
          <w:p w14:paraId="04BD4204"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219,755</w:t>
            </w:r>
          </w:p>
        </w:tc>
        <w:tc>
          <w:tcPr>
            <w:tcW w:w="954" w:type="dxa"/>
          </w:tcPr>
          <w:p w14:paraId="6B9A39B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220,760</w:t>
            </w:r>
          </w:p>
        </w:tc>
        <w:tc>
          <w:tcPr>
            <w:tcW w:w="939" w:type="dxa"/>
            <w:noWrap/>
            <w:hideMark/>
          </w:tcPr>
          <w:p w14:paraId="16A600E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143</w:t>
            </w:r>
          </w:p>
        </w:tc>
        <w:tc>
          <w:tcPr>
            <w:tcW w:w="939" w:type="dxa"/>
            <w:noWrap/>
            <w:hideMark/>
          </w:tcPr>
          <w:p w14:paraId="797D272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0.1%</w:t>
            </w:r>
          </w:p>
        </w:tc>
        <w:tc>
          <w:tcPr>
            <w:tcW w:w="973" w:type="dxa"/>
          </w:tcPr>
          <w:p w14:paraId="51532A4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1,004</w:t>
            </w:r>
          </w:p>
        </w:tc>
        <w:tc>
          <w:tcPr>
            <w:tcW w:w="973" w:type="dxa"/>
          </w:tcPr>
          <w:p w14:paraId="7E8ABBFD"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11,001</w:t>
            </w:r>
          </w:p>
        </w:tc>
      </w:tr>
      <w:tr w:rsidR="00BB5FB1" w:rsidRPr="00526778" w14:paraId="429C396C" w14:textId="77777777">
        <w:trPr>
          <w:trHeight w:val="210"/>
        </w:trPr>
        <w:tc>
          <w:tcPr>
            <w:tcW w:w="988" w:type="dxa"/>
            <w:noWrap/>
            <w:hideMark/>
          </w:tcPr>
          <w:p w14:paraId="54B5BCF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Maize</w:t>
            </w:r>
          </w:p>
        </w:tc>
        <w:tc>
          <w:tcPr>
            <w:tcW w:w="992" w:type="dxa"/>
            <w:noWrap/>
            <w:hideMark/>
          </w:tcPr>
          <w:p w14:paraId="5B1F746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1,040,718</w:t>
            </w:r>
          </w:p>
        </w:tc>
        <w:tc>
          <w:tcPr>
            <w:tcW w:w="1276" w:type="dxa"/>
            <w:noWrap/>
            <w:hideMark/>
          </w:tcPr>
          <w:p w14:paraId="60C2368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2.2%</w:t>
            </w:r>
          </w:p>
        </w:tc>
        <w:tc>
          <w:tcPr>
            <w:tcW w:w="992" w:type="dxa"/>
            <w:noWrap/>
            <w:hideMark/>
          </w:tcPr>
          <w:p w14:paraId="15B2334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177,675</w:t>
            </w:r>
          </w:p>
        </w:tc>
        <w:tc>
          <w:tcPr>
            <w:tcW w:w="954" w:type="dxa"/>
          </w:tcPr>
          <w:p w14:paraId="7066160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191,193</w:t>
            </w:r>
          </w:p>
        </w:tc>
        <w:tc>
          <w:tcPr>
            <w:tcW w:w="939" w:type="dxa"/>
            <w:noWrap/>
            <w:hideMark/>
          </w:tcPr>
          <w:p w14:paraId="17676E8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1,931</w:t>
            </w:r>
          </w:p>
        </w:tc>
        <w:tc>
          <w:tcPr>
            <w:tcW w:w="939" w:type="dxa"/>
            <w:noWrap/>
            <w:hideMark/>
          </w:tcPr>
          <w:p w14:paraId="7607C0D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1.1%</w:t>
            </w:r>
          </w:p>
        </w:tc>
        <w:tc>
          <w:tcPr>
            <w:tcW w:w="973" w:type="dxa"/>
          </w:tcPr>
          <w:p w14:paraId="227E518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13,518</w:t>
            </w:r>
          </w:p>
        </w:tc>
        <w:tc>
          <w:tcPr>
            <w:tcW w:w="973" w:type="dxa"/>
          </w:tcPr>
          <w:p w14:paraId="630B467E"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18,096</w:t>
            </w:r>
          </w:p>
        </w:tc>
      </w:tr>
      <w:tr w:rsidR="00BB5FB1" w:rsidRPr="00526778" w14:paraId="24CF7FAF" w14:textId="77777777">
        <w:trPr>
          <w:trHeight w:val="210"/>
        </w:trPr>
        <w:tc>
          <w:tcPr>
            <w:tcW w:w="988" w:type="dxa"/>
            <w:noWrap/>
            <w:hideMark/>
          </w:tcPr>
          <w:p w14:paraId="7E53C26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Sugar cane</w:t>
            </w:r>
          </w:p>
        </w:tc>
        <w:tc>
          <w:tcPr>
            <w:tcW w:w="992" w:type="dxa"/>
            <w:noWrap/>
            <w:hideMark/>
          </w:tcPr>
          <w:p w14:paraId="6E56691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1,885,079</w:t>
            </w:r>
          </w:p>
        </w:tc>
        <w:tc>
          <w:tcPr>
            <w:tcW w:w="1276" w:type="dxa"/>
            <w:noWrap/>
            <w:hideMark/>
          </w:tcPr>
          <w:p w14:paraId="0409CE74"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-0.2%</w:t>
            </w:r>
          </w:p>
        </w:tc>
        <w:tc>
          <w:tcPr>
            <w:tcW w:w="992" w:type="dxa"/>
            <w:noWrap/>
            <w:hideMark/>
          </w:tcPr>
          <w:p w14:paraId="0741F5CF"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27,069</w:t>
            </w:r>
          </w:p>
        </w:tc>
        <w:tc>
          <w:tcPr>
            <w:tcW w:w="954" w:type="dxa"/>
          </w:tcPr>
          <w:p w14:paraId="087FCC7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26,350</w:t>
            </w:r>
          </w:p>
        </w:tc>
        <w:tc>
          <w:tcPr>
            <w:tcW w:w="939" w:type="dxa"/>
            <w:noWrap/>
            <w:hideMark/>
          </w:tcPr>
          <w:p w14:paraId="29D4730F"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-103</w:t>
            </w:r>
          </w:p>
        </w:tc>
        <w:tc>
          <w:tcPr>
            <w:tcW w:w="939" w:type="dxa"/>
            <w:noWrap/>
            <w:hideMark/>
          </w:tcPr>
          <w:p w14:paraId="564EE14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-0.4%</w:t>
            </w:r>
          </w:p>
        </w:tc>
        <w:tc>
          <w:tcPr>
            <w:tcW w:w="973" w:type="dxa"/>
          </w:tcPr>
          <w:p w14:paraId="2B24A6E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-720</w:t>
            </w:r>
          </w:p>
        </w:tc>
        <w:tc>
          <w:tcPr>
            <w:tcW w:w="973" w:type="dxa"/>
          </w:tcPr>
          <w:p w14:paraId="3822A98E"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976</w:t>
            </w:r>
          </w:p>
        </w:tc>
      </w:tr>
      <w:tr w:rsidR="00BB5FB1" w:rsidRPr="00526778" w14:paraId="2E6BDCE6" w14:textId="77777777">
        <w:trPr>
          <w:trHeight w:val="210"/>
        </w:trPr>
        <w:tc>
          <w:tcPr>
            <w:tcW w:w="988" w:type="dxa"/>
            <w:noWrap/>
            <w:hideMark/>
          </w:tcPr>
          <w:p w14:paraId="476220E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Sugar beet</w:t>
            </w:r>
          </w:p>
        </w:tc>
        <w:tc>
          <w:tcPr>
            <w:tcW w:w="992" w:type="dxa"/>
            <w:noWrap/>
            <w:hideMark/>
          </w:tcPr>
          <w:p w14:paraId="1A95574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270,250</w:t>
            </w:r>
          </w:p>
        </w:tc>
        <w:tc>
          <w:tcPr>
            <w:tcW w:w="1276" w:type="dxa"/>
            <w:noWrap/>
            <w:hideMark/>
          </w:tcPr>
          <w:p w14:paraId="6E42D17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0.0%</w:t>
            </w:r>
          </w:p>
        </w:tc>
        <w:tc>
          <w:tcPr>
            <w:tcW w:w="992" w:type="dxa"/>
            <w:noWrap/>
            <w:hideMark/>
          </w:tcPr>
          <w:p w14:paraId="146B317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4,469</w:t>
            </w:r>
          </w:p>
        </w:tc>
        <w:tc>
          <w:tcPr>
            <w:tcW w:w="954" w:type="dxa"/>
          </w:tcPr>
          <w:p w14:paraId="6F55EE6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4,399</w:t>
            </w:r>
          </w:p>
        </w:tc>
        <w:tc>
          <w:tcPr>
            <w:tcW w:w="939" w:type="dxa"/>
            <w:noWrap/>
            <w:hideMark/>
          </w:tcPr>
          <w:p w14:paraId="4EA80AD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w:t>
            </w:r>
          </w:p>
        </w:tc>
        <w:tc>
          <w:tcPr>
            <w:tcW w:w="939" w:type="dxa"/>
            <w:noWrap/>
            <w:hideMark/>
          </w:tcPr>
          <w:p w14:paraId="1FB5762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-0.2%</w:t>
            </w:r>
          </w:p>
        </w:tc>
        <w:tc>
          <w:tcPr>
            <w:tcW w:w="973" w:type="dxa"/>
          </w:tcPr>
          <w:p w14:paraId="0F82CD6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-70</w:t>
            </w:r>
          </w:p>
        </w:tc>
        <w:tc>
          <w:tcPr>
            <w:tcW w:w="973" w:type="dxa"/>
          </w:tcPr>
          <w:p w14:paraId="280DA47B"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313</w:t>
            </w:r>
          </w:p>
        </w:tc>
      </w:tr>
      <w:tr w:rsidR="00BB5FB1" w:rsidRPr="00526778" w14:paraId="6384DE31" w14:textId="77777777">
        <w:trPr>
          <w:trHeight w:val="210"/>
        </w:trPr>
        <w:tc>
          <w:tcPr>
            <w:tcW w:w="988" w:type="dxa"/>
            <w:noWrap/>
            <w:hideMark/>
          </w:tcPr>
          <w:p w14:paraId="7B0631B4"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Rapeseed</w:t>
            </w:r>
          </w:p>
        </w:tc>
        <w:tc>
          <w:tcPr>
            <w:tcW w:w="992" w:type="dxa"/>
            <w:noWrap/>
            <w:hideMark/>
          </w:tcPr>
          <w:p w14:paraId="37ADB18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74,509</w:t>
            </w:r>
          </w:p>
        </w:tc>
        <w:tc>
          <w:tcPr>
            <w:tcW w:w="1276" w:type="dxa"/>
            <w:noWrap/>
            <w:hideMark/>
          </w:tcPr>
          <w:p w14:paraId="1D80CB6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-0.6%</w:t>
            </w:r>
          </w:p>
        </w:tc>
        <w:tc>
          <w:tcPr>
            <w:tcW w:w="992" w:type="dxa"/>
            <w:noWrap/>
            <w:hideMark/>
          </w:tcPr>
          <w:p w14:paraId="710736AE"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36,460</w:t>
            </w:r>
          </w:p>
        </w:tc>
        <w:tc>
          <w:tcPr>
            <w:tcW w:w="954" w:type="dxa"/>
          </w:tcPr>
          <w:p w14:paraId="3CC9A76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36,774</w:t>
            </w:r>
          </w:p>
        </w:tc>
        <w:tc>
          <w:tcPr>
            <w:tcW w:w="939" w:type="dxa"/>
            <w:noWrap/>
            <w:hideMark/>
          </w:tcPr>
          <w:p w14:paraId="1F26D29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45</w:t>
            </w:r>
          </w:p>
        </w:tc>
        <w:tc>
          <w:tcPr>
            <w:tcW w:w="939" w:type="dxa"/>
            <w:noWrap/>
            <w:hideMark/>
          </w:tcPr>
          <w:p w14:paraId="2F698DA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0.1%</w:t>
            </w:r>
          </w:p>
        </w:tc>
        <w:tc>
          <w:tcPr>
            <w:tcW w:w="973" w:type="dxa"/>
          </w:tcPr>
          <w:p w14:paraId="7F6AF16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313</w:t>
            </w:r>
          </w:p>
        </w:tc>
        <w:tc>
          <w:tcPr>
            <w:tcW w:w="973" w:type="dxa"/>
          </w:tcPr>
          <w:p w14:paraId="44BB60FF"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3,494</w:t>
            </w:r>
          </w:p>
        </w:tc>
      </w:tr>
      <w:tr w:rsidR="00BB5FB1" w:rsidRPr="00526778" w14:paraId="519532B4" w14:textId="77777777">
        <w:trPr>
          <w:trHeight w:val="200"/>
        </w:trPr>
        <w:tc>
          <w:tcPr>
            <w:tcW w:w="988" w:type="dxa"/>
            <w:noWrap/>
            <w:hideMark/>
          </w:tcPr>
          <w:p w14:paraId="7B4CE98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Oil palm</w:t>
            </w:r>
          </w:p>
        </w:tc>
        <w:tc>
          <w:tcPr>
            <w:tcW w:w="992" w:type="dxa"/>
            <w:noWrap/>
            <w:hideMark/>
          </w:tcPr>
          <w:p w14:paraId="50A88157"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327,489</w:t>
            </w:r>
          </w:p>
        </w:tc>
        <w:tc>
          <w:tcPr>
            <w:tcW w:w="1276" w:type="dxa"/>
            <w:noWrap/>
            <w:hideMark/>
          </w:tcPr>
          <w:p w14:paraId="6B76CC95"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3.5%</w:t>
            </w:r>
          </w:p>
        </w:tc>
        <w:tc>
          <w:tcPr>
            <w:tcW w:w="992" w:type="dxa"/>
            <w:noWrap/>
            <w:hideMark/>
          </w:tcPr>
          <w:p w14:paraId="4793522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22,971</w:t>
            </w:r>
          </w:p>
        </w:tc>
        <w:tc>
          <w:tcPr>
            <w:tcW w:w="954" w:type="dxa"/>
          </w:tcPr>
          <w:p w14:paraId="79C2D2A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29,124</w:t>
            </w:r>
          </w:p>
        </w:tc>
        <w:tc>
          <w:tcPr>
            <w:tcW w:w="939" w:type="dxa"/>
            <w:noWrap/>
            <w:hideMark/>
          </w:tcPr>
          <w:p w14:paraId="4218CEA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879</w:t>
            </w:r>
          </w:p>
        </w:tc>
        <w:tc>
          <w:tcPr>
            <w:tcW w:w="939" w:type="dxa"/>
            <w:noWrap/>
            <w:hideMark/>
          </w:tcPr>
          <w:p w14:paraId="4CBD93B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3.4%</w:t>
            </w:r>
          </w:p>
        </w:tc>
        <w:tc>
          <w:tcPr>
            <w:tcW w:w="973" w:type="dxa"/>
          </w:tcPr>
          <w:p w14:paraId="1FD7ED21"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6,153</w:t>
            </w:r>
          </w:p>
        </w:tc>
        <w:tc>
          <w:tcPr>
            <w:tcW w:w="973" w:type="dxa"/>
          </w:tcPr>
          <w:p w14:paraId="39B0E02F"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7,244</w:t>
            </w:r>
          </w:p>
        </w:tc>
      </w:tr>
      <w:tr w:rsidR="00BB5FB1" w:rsidRPr="00526778" w14:paraId="6FDE7C63" w14:textId="77777777">
        <w:trPr>
          <w:trHeight w:val="200"/>
        </w:trPr>
        <w:tc>
          <w:tcPr>
            <w:tcW w:w="988" w:type="dxa"/>
            <w:noWrap/>
            <w:hideMark/>
          </w:tcPr>
          <w:p w14:paraId="63C7161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Soybeans</w:t>
            </w:r>
          </w:p>
        </w:tc>
        <w:tc>
          <w:tcPr>
            <w:tcW w:w="992" w:type="dxa"/>
            <w:noWrap/>
            <w:hideMark/>
          </w:tcPr>
          <w:p w14:paraId="67A7E72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306,301</w:t>
            </w:r>
          </w:p>
        </w:tc>
        <w:tc>
          <w:tcPr>
            <w:tcW w:w="1276" w:type="dxa"/>
            <w:noWrap/>
            <w:hideMark/>
          </w:tcPr>
          <w:p w14:paraId="2F5C42E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2.8%</w:t>
            </w:r>
          </w:p>
        </w:tc>
        <w:tc>
          <w:tcPr>
            <w:tcW w:w="992" w:type="dxa"/>
            <w:noWrap/>
            <w:hideMark/>
          </w:tcPr>
          <w:p w14:paraId="017F491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117,633</w:t>
            </w:r>
          </w:p>
        </w:tc>
        <w:tc>
          <w:tcPr>
            <w:tcW w:w="954" w:type="dxa"/>
          </w:tcPr>
          <w:p w14:paraId="0B23176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128,886</w:t>
            </w:r>
          </w:p>
        </w:tc>
        <w:tc>
          <w:tcPr>
            <w:tcW w:w="939" w:type="dxa"/>
            <w:noWrap/>
            <w:hideMark/>
          </w:tcPr>
          <w:p w14:paraId="5C447D9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1,608</w:t>
            </w:r>
          </w:p>
        </w:tc>
        <w:tc>
          <w:tcPr>
            <w:tcW w:w="939" w:type="dxa"/>
            <w:noWrap/>
            <w:hideMark/>
          </w:tcPr>
          <w:p w14:paraId="4A91F1C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1.3%</w:t>
            </w:r>
          </w:p>
        </w:tc>
        <w:tc>
          <w:tcPr>
            <w:tcW w:w="973" w:type="dxa"/>
          </w:tcPr>
          <w:p w14:paraId="5BF5A6E7"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11,253</w:t>
            </w:r>
          </w:p>
        </w:tc>
        <w:tc>
          <w:tcPr>
            <w:tcW w:w="973" w:type="dxa"/>
          </w:tcPr>
          <w:p w14:paraId="7A10C18F"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14,486</w:t>
            </w:r>
          </w:p>
        </w:tc>
      </w:tr>
      <w:tr w:rsidR="00BB5FB1" w:rsidRPr="00526778" w14:paraId="32B97A73" w14:textId="77777777">
        <w:trPr>
          <w:trHeight w:val="200"/>
        </w:trPr>
        <w:tc>
          <w:tcPr>
            <w:tcW w:w="988" w:type="dxa"/>
            <w:noWrap/>
            <w:hideMark/>
          </w:tcPr>
          <w:p w14:paraId="4556E27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Sunflower seed</w:t>
            </w:r>
          </w:p>
        </w:tc>
        <w:tc>
          <w:tcPr>
            <w:tcW w:w="992" w:type="dxa"/>
            <w:noWrap/>
            <w:hideMark/>
          </w:tcPr>
          <w:p w14:paraId="313ADCD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40,613</w:t>
            </w:r>
          </w:p>
        </w:tc>
        <w:tc>
          <w:tcPr>
            <w:tcW w:w="1276" w:type="dxa"/>
            <w:noWrap/>
            <w:hideMark/>
          </w:tcPr>
          <w:p w14:paraId="3A37671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5.3%</w:t>
            </w:r>
          </w:p>
        </w:tc>
        <w:tc>
          <w:tcPr>
            <w:tcW w:w="992" w:type="dxa"/>
            <w:noWrap/>
            <w:hideMark/>
          </w:tcPr>
          <w:p w14:paraId="7A79E92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24,350</w:t>
            </w:r>
          </w:p>
        </w:tc>
        <w:tc>
          <w:tcPr>
            <w:tcW w:w="954" w:type="dxa"/>
          </w:tcPr>
          <w:p w14:paraId="31F1EE7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29,532</w:t>
            </w:r>
          </w:p>
        </w:tc>
        <w:tc>
          <w:tcPr>
            <w:tcW w:w="939" w:type="dxa"/>
            <w:noWrap/>
            <w:hideMark/>
          </w:tcPr>
          <w:p w14:paraId="2956CDCF"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740</w:t>
            </w:r>
          </w:p>
        </w:tc>
        <w:tc>
          <w:tcPr>
            <w:tcW w:w="939" w:type="dxa"/>
            <w:noWrap/>
            <w:hideMark/>
          </w:tcPr>
          <w:p w14:paraId="022251F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2.8%</w:t>
            </w:r>
          </w:p>
        </w:tc>
        <w:tc>
          <w:tcPr>
            <w:tcW w:w="973" w:type="dxa"/>
          </w:tcPr>
          <w:p w14:paraId="79AF73C7"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5,182</w:t>
            </w:r>
          </w:p>
        </w:tc>
        <w:tc>
          <w:tcPr>
            <w:tcW w:w="973" w:type="dxa"/>
          </w:tcPr>
          <w:p w14:paraId="5AF98D95"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5,893</w:t>
            </w:r>
          </w:p>
        </w:tc>
      </w:tr>
    </w:tbl>
    <w:p w14:paraId="047B79ED" w14:textId="68BDDF1A" w:rsidR="00361E3C" w:rsidRPr="00526778" w:rsidRDefault="00361E3C" w:rsidP="00361E3C">
      <w:pPr>
        <w:pStyle w:val="NormalTimesNewRoman"/>
        <w:rPr>
          <w:noProof/>
          <w:sz w:val="20"/>
          <w:szCs w:val="20"/>
          <w:lang w:val="en-GB"/>
        </w:rPr>
      </w:pPr>
      <w:r w:rsidRPr="00526778">
        <w:rPr>
          <w:i/>
          <w:iCs/>
          <w:noProof/>
          <w:sz w:val="20"/>
          <w:szCs w:val="20"/>
          <w:lang w:val="en-GB"/>
        </w:rPr>
        <w:t xml:space="preserve">Table </w:t>
      </w:r>
      <w:r w:rsidR="0075589F">
        <w:rPr>
          <w:i/>
          <w:iCs/>
          <w:noProof/>
          <w:sz w:val="20"/>
          <w:szCs w:val="20"/>
          <w:lang w:val="en-GB"/>
        </w:rPr>
        <w:t>1</w:t>
      </w:r>
      <w:r w:rsidRPr="00526778">
        <w:rPr>
          <w:i/>
          <w:iCs/>
          <w:noProof/>
          <w:sz w:val="20"/>
          <w:szCs w:val="20"/>
          <w:lang w:val="en-GB"/>
        </w:rPr>
        <w:t xml:space="preserve">: Guidehouse calculations updating the </w:t>
      </w:r>
      <w:r w:rsidR="007E484F" w:rsidRPr="00526778">
        <w:rPr>
          <w:i/>
          <w:iCs/>
          <w:noProof/>
          <w:sz w:val="20"/>
          <w:szCs w:val="20"/>
          <w:lang w:val="en-GB"/>
        </w:rPr>
        <w:t>t</w:t>
      </w:r>
      <w:r w:rsidRPr="00526778">
        <w:rPr>
          <w:i/>
          <w:iCs/>
          <w:noProof/>
          <w:sz w:val="20"/>
          <w:szCs w:val="20"/>
          <w:lang w:val="en-GB"/>
        </w:rPr>
        <w:t>able on Global production expansion of main biofuel feedstock based on data from FAOstat</w:t>
      </w:r>
      <w:r w:rsidR="004F174B" w:rsidRPr="00526778">
        <w:rPr>
          <w:i/>
          <w:iCs/>
          <w:noProof/>
          <w:sz w:val="20"/>
          <w:szCs w:val="20"/>
          <w:lang w:val="en-GB"/>
        </w:rPr>
        <w:t>, USDA FAS, (CONAB, 2022) for maize and soybeans in Brazil, Statistics Indonesia (Statistics Indonesia, 2022) for palm oil fruit Indonesia, MPOB (Malaysian Palm Oil Board, 2022) and Gunarso et al. (Gunarso, Hartoyo, Agus, &amp; Killeen, 2013) for palm oil fruit Malaysia.</w:t>
      </w:r>
    </w:p>
    <w:p w14:paraId="2946DB82" w14:textId="5D8D5FF2" w:rsidR="0080046C" w:rsidRPr="00526778" w:rsidRDefault="000A4298" w:rsidP="000A4298">
      <w:pPr>
        <w:pStyle w:val="NormalTimesNewRoman"/>
        <w:rPr>
          <w:noProof/>
          <w:lang w:val="en-GB"/>
        </w:rPr>
      </w:pPr>
      <w:r w:rsidRPr="00526778">
        <w:rPr>
          <w:noProof/>
          <w:lang w:val="en-GB"/>
        </w:rPr>
        <w:t xml:space="preserve">Based on the results included in Table </w:t>
      </w:r>
      <w:r w:rsidR="0075589F">
        <w:rPr>
          <w:noProof/>
          <w:lang w:val="en-GB"/>
        </w:rPr>
        <w:t>1</w:t>
      </w:r>
      <w:r w:rsidRPr="00526778">
        <w:rPr>
          <w:noProof/>
          <w:lang w:val="en-GB"/>
        </w:rPr>
        <w:t xml:space="preserve">, in the years </w:t>
      </w:r>
      <w:r w:rsidR="00EA74F6" w:rsidRPr="00526778">
        <w:rPr>
          <w:noProof/>
          <w:lang w:val="en-GB"/>
        </w:rPr>
        <w:t>2014-2021</w:t>
      </w:r>
      <w:r w:rsidRPr="00526778">
        <w:rPr>
          <w:noProof/>
          <w:lang w:val="en-GB"/>
        </w:rPr>
        <w:t xml:space="preserve">, </w:t>
      </w:r>
      <w:r w:rsidR="00DE1D4F" w:rsidRPr="00526778">
        <w:rPr>
          <w:noProof/>
          <w:lang w:val="en-GB"/>
        </w:rPr>
        <w:t xml:space="preserve">the </w:t>
      </w:r>
      <w:r w:rsidRPr="00526778">
        <w:rPr>
          <w:noProof/>
          <w:lang w:val="en-GB"/>
        </w:rPr>
        <w:t>highest annual net</w:t>
      </w:r>
      <w:r w:rsidR="00DE1D4F" w:rsidRPr="00526778">
        <w:rPr>
          <w:noProof/>
          <w:lang w:val="en-GB"/>
        </w:rPr>
        <w:t xml:space="preserve"> harvested</w:t>
      </w:r>
      <w:r w:rsidRPr="00526778">
        <w:rPr>
          <w:noProof/>
          <w:lang w:val="en-GB"/>
        </w:rPr>
        <w:t xml:space="preserve"> area</w:t>
      </w:r>
      <w:r w:rsidR="00C515BC">
        <w:rPr>
          <w:rStyle w:val="FootnoteReference"/>
          <w:noProof/>
          <w:lang w:val="en-GB"/>
        </w:rPr>
        <w:footnoteReference w:id="18"/>
      </w:r>
      <w:r w:rsidR="00DE1D4F" w:rsidRPr="00526778">
        <w:rPr>
          <w:noProof/>
          <w:lang w:val="en-GB"/>
        </w:rPr>
        <w:t xml:space="preserve"> increase has been observed for</w:t>
      </w:r>
      <w:r w:rsidR="0005712F" w:rsidRPr="00526778">
        <w:rPr>
          <w:noProof/>
          <w:lang w:val="en-GB"/>
        </w:rPr>
        <w:t xml:space="preserve"> </w:t>
      </w:r>
      <w:r w:rsidR="00455288">
        <w:rPr>
          <w:noProof/>
          <w:lang w:val="en-GB"/>
        </w:rPr>
        <w:t>oil palm (3.4%), f</w:t>
      </w:r>
      <w:r w:rsidR="00EF2EC2" w:rsidRPr="00526778">
        <w:rPr>
          <w:noProof/>
          <w:lang w:val="en-GB"/>
        </w:rPr>
        <w:t xml:space="preserve">ollowed by </w:t>
      </w:r>
      <w:r w:rsidR="00455288">
        <w:rPr>
          <w:noProof/>
          <w:lang w:val="en-GB"/>
        </w:rPr>
        <w:t>sunflower seed</w:t>
      </w:r>
      <w:r w:rsidR="00A1155F" w:rsidRPr="00526778">
        <w:rPr>
          <w:noProof/>
          <w:lang w:val="en-GB"/>
        </w:rPr>
        <w:t xml:space="preserve"> (</w:t>
      </w:r>
      <w:r w:rsidR="00455288">
        <w:rPr>
          <w:noProof/>
          <w:lang w:val="en-GB"/>
        </w:rPr>
        <w:t>2.</w:t>
      </w:r>
      <w:r w:rsidR="00355DCE">
        <w:rPr>
          <w:noProof/>
          <w:lang w:val="en-GB"/>
        </w:rPr>
        <w:t>8</w:t>
      </w:r>
      <w:r w:rsidR="00A1155F" w:rsidRPr="00526778">
        <w:rPr>
          <w:noProof/>
          <w:lang w:val="en-GB"/>
        </w:rPr>
        <w:t>%)</w:t>
      </w:r>
      <w:r w:rsidR="00DE1D4F" w:rsidRPr="00526778">
        <w:rPr>
          <w:noProof/>
          <w:lang w:val="en-GB"/>
        </w:rPr>
        <w:t xml:space="preserve">. </w:t>
      </w:r>
      <w:r w:rsidR="009600EC" w:rsidRPr="00526778">
        <w:rPr>
          <w:noProof/>
          <w:lang w:val="en-GB"/>
        </w:rPr>
        <w:t>An increase has also been observed for soybeans (</w:t>
      </w:r>
      <w:r w:rsidR="00355DCE">
        <w:rPr>
          <w:noProof/>
          <w:lang w:val="en-GB"/>
        </w:rPr>
        <w:t>1.3</w:t>
      </w:r>
      <w:r w:rsidR="009600EC" w:rsidRPr="00526778">
        <w:rPr>
          <w:noProof/>
          <w:lang w:val="en-GB"/>
        </w:rPr>
        <w:t xml:space="preserve">%) and </w:t>
      </w:r>
      <w:r w:rsidR="00B41081" w:rsidRPr="00526778">
        <w:rPr>
          <w:noProof/>
          <w:lang w:val="en-GB"/>
        </w:rPr>
        <w:t xml:space="preserve">maize </w:t>
      </w:r>
      <w:r w:rsidR="009600EC" w:rsidRPr="00526778">
        <w:rPr>
          <w:noProof/>
          <w:lang w:val="en-GB"/>
        </w:rPr>
        <w:t>(</w:t>
      </w:r>
      <w:r w:rsidR="00355DCE">
        <w:rPr>
          <w:noProof/>
          <w:lang w:val="en-GB"/>
        </w:rPr>
        <w:t>1.1</w:t>
      </w:r>
      <w:r w:rsidR="009600EC" w:rsidRPr="00526778">
        <w:rPr>
          <w:noProof/>
          <w:lang w:val="en-GB"/>
        </w:rPr>
        <w:t>%)</w:t>
      </w:r>
      <w:r w:rsidR="00B41081" w:rsidRPr="00526778">
        <w:rPr>
          <w:noProof/>
          <w:lang w:val="en-GB"/>
        </w:rPr>
        <w:t xml:space="preserve">. </w:t>
      </w:r>
      <w:r w:rsidR="00C148E8" w:rsidRPr="00526778">
        <w:rPr>
          <w:noProof/>
          <w:lang w:val="en-GB"/>
        </w:rPr>
        <w:t xml:space="preserve">While </w:t>
      </w:r>
      <w:r w:rsidR="00593F50">
        <w:rPr>
          <w:noProof/>
          <w:lang w:val="en-GB"/>
        </w:rPr>
        <w:t xml:space="preserve">the increase for </w:t>
      </w:r>
      <w:r w:rsidR="00C148E8" w:rsidRPr="00526778">
        <w:rPr>
          <w:noProof/>
          <w:lang w:val="en-GB"/>
        </w:rPr>
        <w:t>wheat</w:t>
      </w:r>
      <w:r w:rsidR="00D663B3">
        <w:rPr>
          <w:noProof/>
          <w:lang w:val="en-GB"/>
        </w:rPr>
        <w:t xml:space="preserve"> and rapeseed</w:t>
      </w:r>
      <w:r w:rsidR="00C148E8" w:rsidRPr="00526778">
        <w:rPr>
          <w:noProof/>
          <w:lang w:val="en-GB"/>
        </w:rPr>
        <w:t xml:space="preserve"> </w:t>
      </w:r>
      <w:r w:rsidR="00593F50">
        <w:rPr>
          <w:noProof/>
          <w:lang w:val="en-GB"/>
        </w:rPr>
        <w:t xml:space="preserve">has been </w:t>
      </w:r>
      <w:r w:rsidR="00C148E8" w:rsidRPr="00526778">
        <w:rPr>
          <w:noProof/>
          <w:lang w:val="en-GB"/>
        </w:rPr>
        <w:t>minimal (</w:t>
      </w:r>
      <w:r w:rsidR="000145D4" w:rsidRPr="00526778">
        <w:rPr>
          <w:noProof/>
          <w:lang w:val="en-GB"/>
        </w:rPr>
        <w:t>0.</w:t>
      </w:r>
      <w:r w:rsidR="00B906EE">
        <w:rPr>
          <w:noProof/>
          <w:lang w:val="en-GB"/>
        </w:rPr>
        <w:t>1</w:t>
      </w:r>
      <w:r w:rsidR="000145D4" w:rsidRPr="00526778">
        <w:rPr>
          <w:noProof/>
          <w:lang w:val="en-GB"/>
        </w:rPr>
        <w:t>%</w:t>
      </w:r>
      <w:r w:rsidR="005A5B41">
        <w:rPr>
          <w:noProof/>
          <w:lang w:val="en-GB"/>
        </w:rPr>
        <w:t xml:space="preserve"> for </w:t>
      </w:r>
      <w:r w:rsidR="009B2B36">
        <w:rPr>
          <w:noProof/>
          <w:lang w:val="en-GB"/>
        </w:rPr>
        <w:t>each</w:t>
      </w:r>
      <w:r w:rsidR="00B92A11" w:rsidRPr="00526778">
        <w:rPr>
          <w:noProof/>
          <w:lang w:val="en-GB"/>
        </w:rPr>
        <w:t xml:space="preserve">), sugar cane and </w:t>
      </w:r>
      <w:r w:rsidR="005A5B41">
        <w:rPr>
          <w:noProof/>
          <w:lang w:val="en-GB"/>
        </w:rPr>
        <w:t>sugar beet</w:t>
      </w:r>
      <w:r w:rsidR="009600EC" w:rsidRPr="00526778">
        <w:rPr>
          <w:noProof/>
          <w:lang w:val="en-GB"/>
        </w:rPr>
        <w:t xml:space="preserve"> </w:t>
      </w:r>
      <w:r w:rsidR="00B92A11" w:rsidRPr="00526778">
        <w:rPr>
          <w:noProof/>
          <w:lang w:val="en-GB"/>
        </w:rPr>
        <w:t>are</w:t>
      </w:r>
      <w:r w:rsidR="009600EC" w:rsidRPr="00526778">
        <w:rPr>
          <w:noProof/>
          <w:lang w:val="en-GB"/>
        </w:rPr>
        <w:t xml:space="preserve"> the only crop</w:t>
      </w:r>
      <w:r w:rsidR="00B92A11" w:rsidRPr="00526778">
        <w:rPr>
          <w:noProof/>
          <w:lang w:val="en-GB"/>
        </w:rPr>
        <w:t>s</w:t>
      </w:r>
      <w:r w:rsidR="009600EC" w:rsidRPr="00526778">
        <w:rPr>
          <w:noProof/>
          <w:lang w:val="en-GB"/>
        </w:rPr>
        <w:t xml:space="preserve"> for which the results indicate a negative value (-0.</w:t>
      </w:r>
      <w:r w:rsidR="00B906EE">
        <w:rPr>
          <w:noProof/>
          <w:lang w:val="en-GB"/>
        </w:rPr>
        <w:t>4</w:t>
      </w:r>
      <w:r w:rsidR="009600EC" w:rsidRPr="00526778">
        <w:rPr>
          <w:noProof/>
          <w:lang w:val="en-GB"/>
        </w:rPr>
        <w:t>%</w:t>
      </w:r>
      <w:r w:rsidR="00B92A11" w:rsidRPr="00526778">
        <w:rPr>
          <w:noProof/>
          <w:lang w:val="en-GB"/>
        </w:rPr>
        <w:t xml:space="preserve"> and </w:t>
      </w:r>
      <w:r w:rsidR="0033068E" w:rsidRPr="00526778">
        <w:rPr>
          <w:noProof/>
          <w:lang w:val="en-GB"/>
        </w:rPr>
        <w:t>-0.</w:t>
      </w:r>
      <w:r w:rsidR="00B906EE">
        <w:rPr>
          <w:noProof/>
          <w:lang w:val="en-GB"/>
        </w:rPr>
        <w:t>2</w:t>
      </w:r>
      <w:r w:rsidR="0033068E" w:rsidRPr="00526778">
        <w:rPr>
          <w:noProof/>
          <w:lang w:val="en-GB"/>
        </w:rPr>
        <w:t>%, respectively</w:t>
      </w:r>
      <w:r w:rsidR="009600EC" w:rsidRPr="00526778">
        <w:rPr>
          <w:noProof/>
          <w:lang w:val="en-GB"/>
        </w:rPr>
        <w:t>).</w:t>
      </w:r>
      <w:r w:rsidR="00817028" w:rsidRPr="00526778">
        <w:rPr>
          <w:noProof/>
          <w:lang w:val="en-GB"/>
        </w:rPr>
        <w:t xml:space="preserve"> </w:t>
      </w:r>
    </w:p>
    <w:p w14:paraId="649BF7FA" w14:textId="72C5FDDC" w:rsidR="007F2E51" w:rsidRPr="00FB170F" w:rsidRDefault="00922ED6" w:rsidP="00FB170F">
      <w:pPr>
        <w:pStyle w:val="Style1"/>
        <w:rPr>
          <w:noProof/>
        </w:rPr>
      </w:pPr>
      <w:bookmarkStart w:id="5" w:name="_Toc109647469"/>
      <w:r w:rsidRPr="00922ED6">
        <w:rPr>
          <w:noProof/>
        </w:rPr>
        <w:t>UPDATE OF GLOBAL MAPPING GIS ASSESSMENT AND REGIONAL MAPPING ASSESSMENT TO ESTIMATE FEEDSTOCK EXPANSION INTO HIGH CARBON STOCK LAND</w:t>
      </w:r>
      <w:bookmarkEnd w:id="5"/>
      <w:r w:rsidRPr="00FB170F">
        <w:rPr>
          <w:noProof/>
        </w:rPr>
        <w:t xml:space="preserve"> </w:t>
      </w:r>
    </w:p>
    <w:p w14:paraId="12735A43" w14:textId="77777777" w:rsidR="00415E00" w:rsidRDefault="00415E00" w:rsidP="007E484F">
      <w:pPr>
        <w:pStyle w:val="NormalTimesNewRoman"/>
        <w:rPr>
          <w:i/>
          <w:noProof/>
          <w:lang w:val="en-GB"/>
        </w:rPr>
      </w:pPr>
    </w:p>
    <w:p w14:paraId="23CBB6A2" w14:textId="48983699" w:rsidR="00D160BF" w:rsidRPr="00526778" w:rsidRDefault="00D160BF" w:rsidP="007E484F">
      <w:pPr>
        <w:pStyle w:val="NormalTimesNewRoman"/>
        <w:rPr>
          <w:i/>
          <w:noProof/>
          <w:lang w:val="en-GB"/>
        </w:rPr>
      </w:pPr>
      <w:r w:rsidRPr="00526778">
        <w:rPr>
          <w:i/>
          <w:noProof/>
          <w:lang w:val="en-GB"/>
        </w:rPr>
        <w:t xml:space="preserve">Global mapping </w:t>
      </w:r>
    </w:p>
    <w:p w14:paraId="50287DF7" w14:textId="2625F028" w:rsidR="00371F34" w:rsidRPr="00526778" w:rsidRDefault="00E46127" w:rsidP="007E484F">
      <w:pPr>
        <w:pStyle w:val="NormalTimesNewRoman"/>
        <w:rPr>
          <w:noProof/>
          <w:lang w:val="en-GB"/>
        </w:rPr>
      </w:pPr>
      <w:r w:rsidRPr="00526778">
        <w:rPr>
          <w:noProof/>
        </w:rPr>
        <w:t>In recen</w:t>
      </w:r>
      <w:r w:rsidR="002B1316" w:rsidRPr="00526778">
        <w:rPr>
          <w:noProof/>
        </w:rPr>
        <w:t>t years</w:t>
      </w:r>
      <w:r w:rsidR="5AC3728C">
        <w:rPr>
          <w:noProof/>
        </w:rPr>
        <w:t>,</w:t>
      </w:r>
      <w:r w:rsidR="00457E48">
        <w:rPr>
          <w:noProof/>
        </w:rPr>
        <w:t xml:space="preserve"> </w:t>
      </w:r>
      <w:r w:rsidR="00371F34" w:rsidRPr="00526778">
        <w:rPr>
          <w:noProof/>
        </w:rPr>
        <w:t>global dema</w:t>
      </w:r>
      <w:r w:rsidRPr="00526778">
        <w:rPr>
          <w:noProof/>
        </w:rPr>
        <w:t xml:space="preserve">nd for agricultural commodities has increased (for food, feed, </w:t>
      </w:r>
      <w:r w:rsidR="3A04CDB1">
        <w:rPr>
          <w:noProof/>
        </w:rPr>
        <w:t>fiber</w:t>
      </w:r>
      <w:r w:rsidRPr="00526778">
        <w:rPr>
          <w:noProof/>
        </w:rPr>
        <w:t xml:space="preserve"> or energy)</w:t>
      </w:r>
      <w:r w:rsidR="003D7E26">
        <w:rPr>
          <w:noProof/>
        </w:rPr>
        <w:t xml:space="preserve"> and</w:t>
      </w:r>
      <w:r w:rsidR="003A1AEE" w:rsidRPr="00526778">
        <w:rPr>
          <w:noProof/>
        </w:rPr>
        <w:t xml:space="preserve"> part of it has been met through an expansion of </w:t>
      </w:r>
      <w:r w:rsidR="00724AD4">
        <w:rPr>
          <w:noProof/>
        </w:rPr>
        <w:t xml:space="preserve">the </w:t>
      </w:r>
      <w:r w:rsidR="003A1AEE" w:rsidRPr="00526778">
        <w:rPr>
          <w:noProof/>
        </w:rPr>
        <w:t>agricultural land globally</w:t>
      </w:r>
      <w:r w:rsidRPr="00526778">
        <w:rPr>
          <w:noProof/>
        </w:rPr>
        <w:t xml:space="preserve">. </w:t>
      </w:r>
      <w:r w:rsidR="003A1AEE">
        <w:rPr>
          <w:noProof/>
        </w:rPr>
        <w:t>H</w:t>
      </w:r>
      <w:r w:rsidR="002B1316" w:rsidRPr="00526778">
        <w:rPr>
          <w:noProof/>
        </w:rPr>
        <w:t>igher</w:t>
      </w:r>
      <w:r w:rsidRPr="00526778">
        <w:rPr>
          <w:noProof/>
        </w:rPr>
        <w:t xml:space="preserve"> demand for biofuels, bioliquids and biomass fuels</w:t>
      </w:r>
      <w:r w:rsidR="000C3D9E">
        <w:rPr>
          <w:noProof/>
        </w:rPr>
        <w:t xml:space="preserve"> contributed to this development</w:t>
      </w:r>
      <w:r w:rsidR="00894AF9">
        <w:rPr>
          <w:noProof/>
        </w:rPr>
        <w:t>.</w:t>
      </w:r>
      <w:r w:rsidR="00371F34" w:rsidRPr="00526778">
        <w:rPr>
          <w:noProof/>
        </w:rPr>
        <w:t xml:space="preserve"> </w:t>
      </w:r>
      <w:r w:rsidRPr="00526778">
        <w:rPr>
          <w:noProof/>
        </w:rPr>
        <w:t>If this</w:t>
      </w:r>
      <w:r w:rsidR="00371F34" w:rsidRPr="00526778">
        <w:rPr>
          <w:noProof/>
        </w:rPr>
        <w:t xml:space="preserve"> expansion takes place </w:t>
      </w:r>
      <w:r w:rsidR="00894AF9">
        <w:rPr>
          <w:noProof/>
        </w:rPr>
        <w:t>on</w:t>
      </w:r>
      <w:r w:rsidR="00894AF9" w:rsidRPr="00526778">
        <w:rPr>
          <w:noProof/>
        </w:rPr>
        <w:t xml:space="preserve"> </w:t>
      </w:r>
      <w:r w:rsidR="00371F34" w:rsidRPr="00526778">
        <w:rPr>
          <w:noProof/>
        </w:rPr>
        <w:t>land with high</w:t>
      </w:r>
      <w:r w:rsidRPr="00526778">
        <w:rPr>
          <w:noProof/>
        </w:rPr>
        <w:t xml:space="preserve"> </w:t>
      </w:r>
      <w:r w:rsidR="00371F34" w:rsidRPr="00526778">
        <w:rPr>
          <w:noProof/>
        </w:rPr>
        <w:t xml:space="preserve">carbon stock, </w:t>
      </w:r>
      <w:r w:rsidR="00567B3C">
        <w:rPr>
          <w:noProof/>
        </w:rPr>
        <w:t>it</w:t>
      </w:r>
      <w:r w:rsidR="00894AF9">
        <w:rPr>
          <w:noProof/>
        </w:rPr>
        <w:t xml:space="preserve"> results in </w:t>
      </w:r>
      <w:r w:rsidR="002B1316" w:rsidRPr="00526778">
        <w:rPr>
          <w:noProof/>
        </w:rPr>
        <w:t xml:space="preserve">a severe increase in </w:t>
      </w:r>
      <w:r w:rsidR="00371F34" w:rsidRPr="00526778">
        <w:rPr>
          <w:noProof/>
        </w:rPr>
        <w:t xml:space="preserve">greenhouse gas emissions </w:t>
      </w:r>
      <w:r w:rsidR="002B1316" w:rsidRPr="00526778">
        <w:rPr>
          <w:noProof/>
        </w:rPr>
        <w:t>and</w:t>
      </w:r>
      <w:r w:rsidR="00371F34" w:rsidRPr="00526778">
        <w:rPr>
          <w:noProof/>
        </w:rPr>
        <w:t xml:space="preserve"> loss of biodiversity. </w:t>
      </w:r>
    </w:p>
    <w:p w14:paraId="60050B88" w14:textId="0C5A2CCB" w:rsidR="002E265D" w:rsidRPr="00526778" w:rsidRDefault="00CC3F6F" w:rsidP="007E484F">
      <w:pPr>
        <w:pStyle w:val="NormalTimesNewRoman"/>
        <w:rPr>
          <w:noProof/>
        </w:rPr>
      </w:pPr>
      <w:r>
        <w:rPr>
          <w:noProof/>
        </w:rPr>
        <w:t xml:space="preserve">To update </w:t>
      </w:r>
      <w:r w:rsidR="00722EC3">
        <w:rPr>
          <w:noProof/>
        </w:rPr>
        <w:t xml:space="preserve">the data </w:t>
      </w:r>
      <w:r w:rsidR="00FA6A5B">
        <w:rPr>
          <w:noProof/>
        </w:rPr>
        <w:t xml:space="preserve">on </w:t>
      </w:r>
      <w:r w:rsidR="00875DA9">
        <w:rPr>
          <w:noProof/>
        </w:rPr>
        <w:t>the deforestation impact of crop</w:t>
      </w:r>
      <w:r w:rsidR="00B22DA1">
        <w:rPr>
          <w:noProof/>
        </w:rPr>
        <w:t>s</w:t>
      </w:r>
      <w:r w:rsidR="00875DA9">
        <w:rPr>
          <w:noProof/>
        </w:rPr>
        <w:t xml:space="preserve"> and to determine the</w:t>
      </w:r>
      <w:r w:rsidR="00B22DA1">
        <w:rPr>
          <w:noProof/>
        </w:rPr>
        <w:t>ir</w:t>
      </w:r>
      <w:r w:rsidR="00875DA9">
        <w:rPr>
          <w:noProof/>
        </w:rPr>
        <w:t xml:space="preserve"> share </w:t>
      </w:r>
      <w:r w:rsidR="00AC5D87">
        <w:rPr>
          <w:noProof/>
        </w:rPr>
        <w:t>of expansion</w:t>
      </w:r>
      <w:r w:rsidR="00875DA9">
        <w:rPr>
          <w:noProof/>
        </w:rPr>
        <w:t xml:space="preserve"> into high carbon stock land, a mapping exercise has been conducted</w:t>
      </w:r>
      <w:r w:rsidR="00863575">
        <w:rPr>
          <w:noProof/>
        </w:rPr>
        <w:t xml:space="preserve">, which included </w:t>
      </w:r>
      <w:r w:rsidR="00EF1444">
        <w:rPr>
          <w:noProof/>
        </w:rPr>
        <w:t xml:space="preserve">the </w:t>
      </w:r>
      <w:r w:rsidR="00483826">
        <w:rPr>
          <w:noProof/>
        </w:rPr>
        <w:t xml:space="preserve">eight main crops used for biofuels production: </w:t>
      </w:r>
      <w:r w:rsidR="007E484F">
        <w:rPr>
          <w:noProof/>
        </w:rPr>
        <w:t xml:space="preserve">maize, oil palm, rapeseed, soybean, sugar beet, </w:t>
      </w:r>
      <w:r w:rsidR="00483826">
        <w:rPr>
          <w:noProof/>
        </w:rPr>
        <w:t xml:space="preserve">sugar cane, sunflower and wheat. </w:t>
      </w:r>
      <w:r w:rsidR="6D77DF48">
        <w:rPr>
          <w:noProof/>
        </w:rPr>
        <w:t>T</w:t>
      </w:r>
      <w:r w:rsidR="002C60E5">
        <w:rPr>
          <w:noProof/>
        </w:rPr>
        <w:t xml:space="preserve">he methodology used was similar to the one used in the </w:t>
      </w:r>
      <w:r w:rsidR="7F239011">
        <w:rPr>
          <w:noProof/>
        </w:rPr>
        <w:t xml:space="preserve">Commission </w:t>
      </w:r>
      <w:r w:rsidR="002C60E5">
        <w:rPr>
          <w:noProof/>
        </w:rPr>
        <w:t xml:space="preserve">2019 </w:t>
      </w:r>
      <w:r w:rsidR="0C383393">
        <w:rPr>
          <w:noProof/>
        </w:rPr>
        <w:t xml:space="preserve">ILUC </w:t>
      </w:r>
      <w:r w:rsidR="002C60E5">
        <w:rPr>
          <w:noProof/>
        </w:rPr>
        <w:t xml:space="preserve">report </w:t>
      </w:r>
      <w:r w:rsidR="00A05170">
        <w:rPr>
          <w:noProof/>
        </w:rPr>
        <w:t>but introduced a number of improvements</w:t>
      </w:r>
      <w:r w:rsidR="002C60E5">
        <w:rPr>
          <w:noProof/>
        </w:rPr>
        <w:t xml:space="preserve">. </w:t>
      </w:r>
    </w:p>
    <w:p w14:paraId="43DB2F78" w14:textId="06AFA5AC" w:rsidR="00915F37" w:rsidRPr="00526778" w:rsidRDefault="00FE0F69" w:rsidP="006D0751">
      <w:pPr>
        <w:pStyle w:val="NormalTimesNewRoman"/>
        <w:rPr>
          <w:noProof/>
        </w:rPr>
      </w:pPr>
      <w:r>
        <w:rPr>
          <w:noProof/>
        </w:rPr>
        <w:t>Th</w:t>
      </w:r>
      <w:r w:rsidR="007A6AEF">
        <w:rPr>
          <w:noProof/>
        </w:rPr>
        <w:t>e</w:t>
      </w:r>
      <w:r w:rsidR="00414623">
        <w:rPr>
          <w:noProof/>
        </w:rPr>
        <w:t xml:space="preserve"> main </w:t>
      </w:r>
      <w:r w:rsidR="00251943" w:rsidRPr="00251943">
        <w:rPr>
          <w:noProof/>
        </w:rPr>
        <w:t xml:space="preserve">improvements </w:t>
      </w:r>
      <w:r w:rsidR="007A6AEF">
        <w:rPr>
          <w:noProof/>
        </w:rPr>
        <w:t xml:space="preserve">to the methodology </w:t>
      </w:r>
      <w:r w:rsidR="00251943" w:rsidRPr="00251943">
        <w:rPr>
          <w:noProof/>
        </w:rPr>
        <w:t xml:space="preserve">focused on refining data sets related </w:t>
      </w:r>
      <w:r w:rsidR="0053235C">
        <w:rPr>
          <w:noProof/>
        </w:rPr>
        <w:t xml:space="preserve">(i) </w:t>
      </w:r>
      <w:r w:rsidR="00251943" w:rsidRPr="00251943">
        <w:rPr>
          <w:noProof/>
        </w:rPr>
        <w:t xml:space="preserve">to crop and grassland distribution, </w:t>
      </w:r>
      <w:r w:rsidR="0053235C">
        <w:rPr>
          <w:noProof/>
        </w:rPr>
        <w:t xml:space="preserve">(ii) </w:t>
      </w:r>
      <w:r w:rsidR="00251943" w:rsidRPr="00251943">
        <w:rPr>
          <w:noProof/>
        </w:rPr>
        <w:t xml:space="preserve">drivers of deforestation, and </w:t>
      </w:r>
      <w:r w:rsidR="0053235C">
        <w:rPr>
          <w:noProof/>
        </w:rPr>
        <w:t xml:space="preserve">(iii) </w:t>
      </w:r>
      <w:r w:rsidR="00251943" w:rsidRPr="00251943">
        <w:rPr>
          <w:noProof/>
        </w:rPr>
        <w:t xml:space="preserve">oil palm expansion on peatlands. </w:t>
      </w:r>
      <w:r w:rsidR="009836E6">
        <w:rPr>
          <w:noProof/>
        </w:rPr>
        <w:t>Data sets on c</w:t>
      </w:r>
      <w:r w:rsidR="00251943" w:rsidRPr="00251943">
        <w:rPr>
          <w:noProof/>
        </w:rPr>
        <w:t xml:space="preserve">rop and grassland </w:t>
      </w:r>
      <w:r w:rsidR="00771C31">
        <w:rPr>
          <w:noProof/>
        </w:rPr>
        <w:t xml:space="preserve">were improved </w:t>
      </w:r>
      <w:r w:rsidR="00251943" w:rsidRPr="00251943">
        <w:rPr>
          <w:noProof/>
        </w:rPr>
        <w:t>with the integration of the updated MapSPAM 2010 product</w:t>
      </w:r>
      <w:r w:rsidR="00CA7301">
        <w:rPr>
          <w:noProof/>
        </w:rPr>
        <w:t xml:space="preserve"> for 2010</w:t>
      </w:r>
      <w:r w:rsidR="00CA7301">
        <w:rPr>
          <w:rStyle w:val="FootnoteReference"/>
          <w:noProof/>
        </w:rPr>
        <w:footnoteReference w:id="19"/>
      </w:r>
      <w:r w:rsidR="00251943" w:rsidRPr="00251943">
        <w:rPr>
          <w:noProof/>
        </w:rPr>
        <w:t xml:space="preserve"> and a precise global soybean map from 2015, allowing for more accurate monitoring. </w:t>
      </w:r>
      <w:r w:rsidR="00D001B6">
        <w:rPr>
          <w:noProof/>
        </w:rPr>
        <w:t xml:space="preserve">As regards </w:t>
      </w:r>
      <w:r w:rsidR="00251943" w:rsidRPr="00251943">
        <w:rPr>
          <w:noProof/>
        </w:rPr>
        <w:t>the drivers of deforestation</w:t>
      </w:r>
      <w:r w:rsidR="0083646E">
        <w:rPr>
          <w:noProof/>
        </w:rPr>
        <w:t>,</w:t>
      </w:r>
      <w:r w:rsidR="00251943" w:rsidRPr="00251943">
        <w:rPr>
          <w:noProof/>
        </w:rPr>
        <w:t xml:space="preserve"> </w:t>
      </w:r>
      <w:r w:rsidR="0089619A">
        <w:rPr>
          <w:noProof/>
        </w:rPr>
        <w:t xml:space="preserve">a </w:t>
      </w:r>
      <w:r w:rsidR="00251943" w:rsidRPr="00251943">
        <w:rPr>
          <w:noProof/>
        </w:rPr>
        <w:t xml:space="preserve">tropical drivers of forest loss layer (IIASA-TDFL v1) </w:t>
      </w:r>
      <w:r w:rsidR="007A6F31">
        <w:rPr>
          <w:noProof/>
        </w:rPr>
        <w:t xml:space="preserve">was developed </w:t>
      </w:r>
      <w:r w:rsidR="00251943" w:rsidRPr="00251943">
        <w:rPr>
          <w:noProof/>
        </w:rPr>
        <w:t>to address commodity-driven deforestation more accurately</w:t>
      </w:r>
      <w:r w:rsidR="00580120">
        <w:rPr>
          <w:noProof/>
        </w:rPr>
        <w:t>.</w:t>
      </w:r>
      <w:r w:rsidR="00251943" w:rsidRPr="00251943">
        <w:rPr>
          <w:noProof/>
        </w:rPr>
        <w:t xml:space="preserve"> Additionally, the estimation of oil palm expansion on peatlands was refined by comparing maps from 2007 and 2017-2019, providing insights into expansion trends.</w:t>
      </w:r>
      <w:r w:rsidR="0059540C">
        <w:rPr>
          <w:noProof/>
        </w:rPr>
        <w:t xml:space="preserve"> </w:t>
      </w:r>
      <w:r w:rsidR="00BA1C37">
        <w:rPr>
          <w:noProof/>
        </w:rPr>
        <w:t>U</w:t>
      </w:r>
      <w:r w:rsidR="00BA1C37" w:rsidRPr="00D75805">
        <w:rPr>
          <w:noProof/>
        </w:rPr>
        <w:t xml:space="preserve">pdated maps </w:t>
      </w:r>
      <w:r w:rsidR="00BA1C37">
        <w:rPr>
          <w:noProof/>
        </w:rPr>
        <w:t>were provided by</w:t>
      </w:r>
      <w:r w:rsidR="00BA1C37" w:rsidRPr="00D75805">
        <w:rPr>
          <w:noProof/>
        </w:rPr>
        <w:t xml:space="preserve"> GRAS covering </w:t>
      </w:r>
      <w:r w:rsidR="00D75805" w:rsidRPr="00D75805">
        <w:rPr>
          <w:noProof/>
        </w:rPr>
        <w:t>oil palm expansion in peatlands</w:t>
      </w:r>
      <w:r w:rsidR="00BA1C37">
        <w:rPr>
          <w:noProof/>
        </w:rPr>
        <w:t xml:space="preserve"> in </w:t>
      </w:r>
      <w:r w:rsidR="00BA1C37" w:rsidRPr="00D75805">
        <w:rPr>
          <w:noProof/>
        </w:rPr>
        <w:t>Indonesia and Malaysia</w:t>
      </w:r>
      <w:r w:rsidR="002608DD">
        <w:rPr>
          <w:noProof/>
        </w:rPr>
        <w:t xml:space="preserve"> for the same years</w:t>
      </w:r>
      <w:r w:rsidR="00D75805" w:rsidRPr="00D75805">
        <w:rPr>
          <w:noProof/>
        </w:rPr>
        <w:t xml:space="preserve">. </w:t>
      </w:r>
      <w:r w:rsidR="002608DD">
        <w:rPr>
          <w:noProof/>
        </w:rPr>
        <w:t>In addition, t</w:t>
      </w:r>
      <w:r w:rsidR="00D75805" w:rsidRPr="00D75805">
        <w:rPr>
          <w:noProof/>
        </w:rPr>
        <w:t>he tree loss layer was updated</w:t>
      </w:r>
      <w:r w:rsidR="00590C0D">
        <w:rPr>
          <w:noProof/>
        </w:rPr>
        <w:t>,</w:t>
      </w:r>
      <w:r w:rsidR="00D75805" w:rsidRPr="00D75805">
        <w:rPr>
          <w:noProof/>
        </w:rPr>
        <w:t xml:space="preserve"> </w:t>
      </w:r>
      <w:r w:rsidR="00D15E13">
        <w:rPr>
          <w:noProof/>
        </w:rPr>
        <w:t>which included the tree loss up to</w:t>
      </w:r>
      <w:r w:rsidR="007D66AB">
        <w:rPr>
          <w:noProof/>
        </w:rPr>
        <w:t xml:space="preserve"> </w:t>
      </w:r>
      <w:r w:rsidR="00D75805" w:rsidRPr="00D75805">
        <w:rPr>
          <w:noProof/>
        </w:rPr>
        <w:t>2021</w:t>
      </w:r>
      <w:r w:rsidR="00F01F4D">
        <w:rPr>
          <w:noProof/>
        </w:rPr>
        <w:t>.</w:t>
      </w:r>
    </w:p>
    <w:p w14:paraId="0384DE20" w14:textId="77777777" w:rsidR="00A31C04" w:rsidRPr="00AF18C2" w:rsidRDefault="00A31C04" w:rsidP="002E265D">
      <w:pPr>
        <w:pStyle w:val="NormalTimesNewRoman"/>
        <w:rPr>
          <w:noProof/>
        </w:rPr>
      </w:pPr>
    </w:p>
    <w:p w14:paraId="31C9348B" w14:textId="77777777" w:rsidR="00D160BF" w:rsidRPr="00526778" w:rsidRDefault="00D160BF" w:rsidP="007E484F">
      <w:pPr>
        <w:pStyle w:val="NormalTimesNewRoman"/>
        <w:rPr>
          <w:i/>
          <w:noProof/>
        </w:rPr>
      </w:pPr>
      <w:r w:rsidRPr="00526778">
        <w:rPr>
          <w:i/>
          <w:noProof/>
        </w:rPr>
        <w:t xml:space="preserve">Regional mapping </w:t>
      </w:r>
    </w:p>
    <w:p w14:paraId="723C2A43" w14:textId="12A02B54" w:rsidR="00917428" w:rsidRDefault="00C72BB9" w:rsidP="00301BA2">
      <w:pPr>
        <w:pStyle w:val="NormalTimesNewRoman"/>
        <w:rPr>
          <w:noProof/>
        </w:rPr>
      </w:pPr>
      <w:r>
        <w:rPr>
          <w:noProof/>
        </w:rPr>
        <w:t>The results of the global mapping were complemented by more precise</w:t>
      </w:r>
      <w:r w:rsidR="00301BA2" w:rsidRPr="00526778">
        <w:rPr>
          <w:noProof/>
        </w:rPr>
        <w:t xml:space="preserve"> </w:t>
      </w:r>
      <w:r w:rsidR="00301BA2" w:rsidRPr="00526778">
        <w:rPr>
          <w:b/>
          <w:bCs/>
          <w:i/>
          <w:iCs/>
          <w:noProof/>
        </w:rPr>
        <w:t>regional mapping</w:t>
      </w:r>
      <w:r w:rsidR="009B3AD6">
        <w:rPr>
          <w:b/>
          <w:bCs/>
          <w:i/>
          <w:iCs/>
          <w:noProof/>
        </w:rPr>
        <w:t xml:space="preserve">, which </w:t>
      </w:r>
      <w:r w:rsidR="00EA4472">
        <w:rPr>
          <w:b/>
          <w:bCs/>
          <w:i/>
          <w:iCs/>
          <w:noProof/>
        </w:rPr>
        <w:t xml:space="preserve">allowed for </w:t>
      </w:r>
      <w:r w:rsidR="00301BA2" w:rsidRPr="00526778">
        <w:rPr>
          <w:b/>
          <w:bCs/>
          <w:i/>
          <w:iCs/>
          <w:noProof/>
        </w:rPr>
        <w:t>a more detailed assessment</w:t>
      </w:r>
      <w:r w:rsidR="00301BA2" w:rsidRPr="00526778">
        <w:rPr>
          <w:noProof/>
        </w:rPr>
        <w:t xml:space="preserve"> </w:t>
      </w:r>
      <w:r w:rsidR="00EA4472">
        <w:rPr>
          <w:noProof/>
        </w:rPr>
        <w:t>of</w:t>
      </w:r>
      <w:r w:rsidR="00301BA2" w:rsidRPr="00526778">
        <w:rPr>
          <w:noProof/>
        </w:rPr>
        <w:t xml:space="preserve"> the expansion of crops in high carbon stock </w:t>
      </w:r>
      <w:r w:rsidR="00AC4DEE">
        <w:rPr>
          <w:noProof/>
        </w:rPr>
        <w:t xml:space="preserve">in </w:t>
      </w:r>
      <w:r w:rsidR="001E0FBA">
        <w:rPr>
          <w:noProof/>
        </w:rPr>
        <w:t xml:space="preserve">key </w:t>
      </w:r>
      <w:r w:rsidR="00301BA2" w:rsidRPr="00526778">
        <w:rPr>
          <w:noProof/>
        </w:rPr>
        <w:t>regions</w:t>
      </w:r>
      <w:r w:rsidR="00886AC9">
        <w:rPr>
          <w:noProof/>
        </w:rPr>
        <w:t xml:space="preserve"> </w:t>
      </w:r>
      <w:r w:rsidR="00343F92">
        <w:rPr>
          <w:noProof/>
        </w:rPr>
        <w:t xml:space="preserve">which </w:t>
      </w:r>
      <w:r w:rsidR="00BD518D">
        <w:rPr>
          <w:noProof/>
        </w:rPr>
        <w:t xml:space="preserve">have been </w:t>
      </w:r>
      <w:r w:rsidR="003641AD">
        <w:rPr>
          <w:noProof/>
        </w:rPr>
        <w:t>identified in literature</w:t>
      </w:r>
      <w:r w:rsidR="00272C41">
        <w:rPr>
          <w:noProof/>
        </w:rPr>
        <w:t xml:space="preserve"> and deforestation maps</w:t>
      </w:r>
      <w:r w:rsidR="003641AD">
        <w:rPr>
          <w:noProof/>
        </w:rPr>
        <w:t xml:space="preserve"> as being </w:t>
      </w:r>
      <w:r w:rsidR="00D11488">
        <w:rPr>
          <w:noProof/>
        </w:rPr>
        <w:t>particularly</w:t>
      </w:r>
      <w:r w:rsidR="00343F92">
        <w:rPr>
          <w:noProof/>
        </w:rPr>
        <w:t xml:space="preserve"> relevant</w:t>
      </w:r>
      <w:r w:rsidR="000D4D1E">
        <w:rPr>
          <w:noProof/>
        </w:rPr>
        <w:t xml:space="preserve"> </w:t>
      </w:r>
      <w:r w:rsidR="00BC4F14">
        <w:rPr>
          <w:noProof/>
        </w:rPr>
        <w:t>or</w:t>
      </w:r>
      <w:r w:rsidR="000D4D1E">
        <w:rPr>
          <w:noProof/>
        </w:rPr>
        <w:t xml:space="preserve"> </w:t>
      </w:r>
      <w:r w:rsidR="00A54424">
        <w:rPr>
          <w:noProof/>
        </w:rPr>
        <w:t>which are key</w:t>
      </w:r>
      <w:r w:rsidR="00BC4F14">
        <w:rPr>
          <w:noProof/>
        </w:rPr>
        <w:t xml:space="preserve"> productions regions for crops linked to expansion</w:t>
      </w:r>
      <w:r w:rsidR="00301BA2" w:rsidRPr="00526778">
        <w:rPr>
          <w:noProof/>
        </w:rPr>
        <w:t xml:space="preserve">. </w:t>
      </w:r>
      <w:r w:rsidR="00DF5F79" w:rsidDel="00BC4F14">
        <w:rPr>
          <w:noProof/>
        </w:rPr>
        <w:t xml:space="preserve">For </w:t>
      </w:r>
      <w:r w:rsidR="00526CB6" w:rsidDel="00BC4F14">
        <w:rPr>
          <w:noProof/>
        </w:rPr>
        <w:t>the</w:t>
      </w:r>
      <w:r w:rsidR="00DF5F79" w:rsidDel="00BC4F14">
        <w:rPr>
          <w:noProof/>
        </w:rPr>
        <w:t xml:space="preserve"> purpose</w:t>
      </w:r>
      <w:r w:rsidR="00526CB6" w:rsidDel="00BC4F14">
        <w:rPr>
          <w:noProof/>
        </w:rPr>
        <w:t xml:space="preserve"> of regional mapping</w:t>
      </w:r>
      <w:r w:rsidR="00DF5F79" w:rsidDel="00BC4F14">
        <w:rPr>
          <w:noProof/>
        </w:rPr>
        <w:t>, r</w:t>
      </w:r>
      <w:r w:rsidR="00301BA2" w:rsidRPr="00526778" w:rsidDel="00BC4F14">
        <w:rPr>
          <w:noProof/>
        </w:rPr>
        <w:t xml:space="preserve">emote sensing and satellite imagery were used. </w:t>
      </w:r>
      <w:r w:rsidR="00BC4F14">
        <w:rPr>
          <w:noProof/>
        </w:rPr>
        <w:t>Based on the abovementioned criteria</w:t>
      </w:r>
      <w:r w:rsidR="00301BA2" w:rsidRPr="00526778">
        <w:rPr>
          <w:noProof/>
        </w:rPr>
        <w:t>, five regions were chosen: Indonesia</w:t>
      </w:r>
      <w:r w:rsidR="002A55FA">
        <w:rPr>
          <w:noProof/>
        </w:rPr>
        <w:t xml:space="preserve"> for </w:t>
      </w:r>
      <w:r w:rsidR="00513F99">
        <w:rPr>
          <w:noProof/>
        </w:rPr>
        <w:t>oil palm,</w:t>
      </w:r>
      <w:r w:rsidR="00301BA2" w:rsidRPr="00526778">
        <w:rPr>
          <w:noProof/>
        </w:rPr>
        <w:t xml:space="preserve"> Malaysia for </w:t>
      </w:r>
      <w:r w:rsidR="00513F99">
        <w:rPr>
          <w:noProof/>
        </w:rPr>
        <w:t xml:space="preserve">oil </w:t>
      </w:r>
      <w:r w:rsidR="00301BA2" w:rsidRPr="00526778">
        <w:rPr>
          <w:noProof/>
        </w:rPr>
        <w:t xml:space="preserve">palm, Amazon basin and Cerrado states in Brazil for soybeans, Cerrado and Southern </w:t>
      </w:r>
      <w:r w:rsidR="007C4AD9">
        <w:rPr>
          <w:noProof/>
        </w:rPr>
        <w:t>parts</w:t>
      </w:r>
      <w:r w:rsidR="00301BA2" w:rsidRPr="00526778">
        <w:rPr>
          <w:noProof/>
        </w:rPr>
        <w:t xml:space="preserve"> </w:t>
      </w:r>
      <w:r w:rsidR="00583B93">
        <w:rPr>
          <w:noProof/>
        </w:rPr>
        <w:t xml:space="preserve">in Brazil </w:t>
      </w:r>
      <w:r w:rsidR="00301BA2" w:rsidRPr="00526778">
        <w:rPr>
          <w:noProof/>
        </w:rPr>
        <w:t xml:space="preserve">for sugar cane, </w:t>
      </w:r>
      <w:r w:rsidR="00583B93">
        <w:rPr>
          <w:noProof/>
        </w:rPr>
        <w:t xml:space="preserve">and </w:t>
      </w:r>
      <w:r w:rsidR="00301BA2" w:rsidRPr="00526778">
        <w:rPr>
          <w:noProof/>
        </w:rPr>
        <w:t>Gran</w:t>
      </w:r>
      <w:r w:rsidR="00D24FC6">
        <w:rPr>
          <w:noProof/>
        </w:rPr>
        <w:t xml:space="preserve"> the</w:t>
      </w:r>
      <w:r w:rsidR="00301BA2" w:rsidRPr="00526778">
        <w:rPr>
          <w:noProof/>
        </w:rPr>
        <w:t xml:space="preserve"> Chaco region in Paraguay, Bolivia and Argentina for soybeans</w:t>
      </w:r>
      <w:r w:rsidR="00513F99">
        <w:rPr>
          <w:noProof/>
        </w:rPr>
        <w:t>.</w:t>
      </w:r>
      <w:r w:rsidR="002A55FA">
        <w:rPr>
          <w:noProof/>
        </w:rPr>
        <w:t xml:space="preserve"> </w:t>
      </w:r>
      <w:r w:rsidR="00237AD1">
        <w:rPr>
          <w:noProof/>
        </w:rPr>
        <w:t>For the purpose of regional mapping, r</w:t>
      </w:r>
      <w:r w:rsidR="00237AD1" w:rsidRPr="00526778">
        <w:rPr>
          <w:noProof/>
        </w:rPr>
        <w:t xml:space="preserve">emote sensing and satellite imagery were used. </w:t>
      </w:r>
    </w:p>
    <w:p w14:paraId="002CFA8E" w14:textId="77777777" w:rsidR="002B100E" w:rsidRPr="00E425A8" w:rsidRDefault="002B100E" w:rsidP="002B100E">
      <w:pPr>
        <w:pStyle w:val="NormalTimesNewRoman"/>
        <w:rPr>
          <w:rFonts w:eastAsiaTheme="minorEastAsia"/>
          <w:noProof/>
        </w:rPr>
      </w:pPr>
      <w:r>
        <w:rPr>
          <w:noProof/>
        </w:rPr>
        <w:t>Finally, the different data sources were integrated into the</w:t>
      </w:r>
      <w:r w:rsidRPr="007C0ECF">
        <w:rPr>
          <w:noProof/>
        </w:rPr>
        <w:t xml:space="preserve"> global mapping dataset. The primary crop data was sourced from the 10x10 km resolution MapSPAM 2010, augmented by regional results at a 30x30 m resolution to accurately pinpoint palm oil areas in Indonesia and Malaysia and sugar cane in Brazil. </w:t>
      </w:r>
      <w:r w:rsidRPr="004B77F8">
        <w:rPr>
          <w:noProof/>
        </w:rPr>
        <w:t xml:space="preserve">Additionally, the 5x5 km GEOGLAM 2015 soybean layer provided comprehensive global coverage with regional mapping incorporated for South </w:t>
      </w:r>
      <w:r w:rsidRPr="00E425A8">
        <w:rPr>
          <w:rFonts w:eastAsiaTheme="minorEastAsia"/>
          <w:noProof/>
        </w:rPr>
        <w:t>American countries like Brazil, Argentina, Paraguay and Bolivia. These high-resolution layers, paired with the updated Hansen Global Forest Change layers</w:t>
      </w:r>
      <w:r w:rsidRPr="00E425A8">
        <w:rPr>
          <w:rFonts w:eastAsiaTheme="minorEastAsia"/>
          <w:noProof/>
          <w:vertAlign w:val="superscript"/>
        </w:rPr>
        <w:footnoteReference w:id="20"/>
      </w:r>
      <w:r w:rsidRPr="00E425A8">
        <w:rPr>
          <w:rFonts w:eastAsiaTheme="minorEastAsia"/>
          <w:noProof/>
          <w:vertAlign w:val="superscript"/>
        </w:rPr>
        <w:t xml:space="preserve"> </w:t>
      </w:r>
      <w:r w:rsidRPr="00E425A8">
        <w:rPr>
          <w:rFonts w:eastAsiaTheme="minorEastAsia"/>
          <w:noProof/>
        </w:rPr>
        <w:t>for tree loss and Miettinen's peatland extension data</w:t>
      </w:r>
      <w:r w:rsidRPr="00E425A8">
        <w:rPr>
          <w:rFonts w:eastAsiaTheme="minorEastAsia"/>
          <w:noProof/>
          <w:vertAlign w:val="superscript"/>
        </w:rPr>
        <w:footnoteReference w:id="21"/>
      </w:r>
      <w:r w:rsidRPr="00E425A8">
        <w:rPr>
          <w:rFonts w:eastAsiaTheme="minorEastAsia"/>
          <w:noProof/>
          <w:vertAlign w:val="superscript"/>
        </w:rPr>
        <w:t>,</w:t>
      </w:r>
      <w:r w:rsidRPr="00E425A8">
        <w:rPr>
          <w:rFonts w:eastAsiaTheme="minorEastAsia"/>
          <w:noProof/>
        </w:rPr>
        <w:t xml:space="preserve"> allowed for a detailed assessment of crop expansion trends. </w:t>
      </w:r>
    </w:p>
    <w:p w14:paraId="2FD2B8F7" w14:textId="505C4D13" w:rsidR="00B27348" w:rsidRDefault="00922ED6" w:rsidP="009F16FB">
      <w:pPr>
        <w:pStyle w:val="Style1"/>
        <w:rPr>
          <w:noProof/>
        </w:rPr>
      </w:pPr>
      <w:bookmarkStart w:id="6" w:name="_Toc109647470"/>
      <w:r w:rsidRPr="009F16FB">
        <w:rPr>
          <w:noProof/>
        </w:rPr>
        <w:t>DETERMINING ‘SIGNIFICANT EXPANSION’ INTO HIGH CARBON STOCK LAND</w:t>
      </w:r>
      <w:bookmarkEnd w:id="6"/>
    </w:p>
    <w:p w14:paraId="4AEBC4ED" w14:textId="0B3B75FB" w:rsidR="009F16FB" w:rsidRPr="00885571" w:rsidRDefault="009F16FB" w:rsidP="00AB79C0">
      <w:pPr>
        <w:pStyle w:val="Style1"/>
        <w:numPr>
          <w:ilvl w:val="0"/>
          <w:numId w:val="0"/>
        </w:numPr>
        <w:rPr>
          <w:noProof/>
        </w:rPr>
      </w:pPr>
    </w:p>
    <w:p w14:paraId="1AFCAF86" w14:textId="6C4DD63F" w:rsidR="00AD16D0" w:rsidRDefault="00AD16D0" w:rsidP="006E112B">
      <w:pPr>
        <w:jc w:val="both"/>
        <w:rPr>
          <w:rFonts w:ascii="Times New Roman" w:hAnsi="Times New Roman" w:cs="Times New Roman"/>
          <w:i/>
          <w:iCs/>
          <w:noProof/>
          <w:sz w:val="24"/>
          <w:szCs w:val="24"/>
          <w:lang w:val="en-GB"/>
        </w:rPr>
      </w:pPr>
      <w:r w:rsidRPr="00D937A1">
        <w:rPr>
          <w:rFonts w:ascii="Times New Roman" w:hAnsi="Times New Roman" w:cs="Times New Roman"/>
          <w:i/>
          <w:iCs/>
          <w:noProof/>
          <w:sz w:val="24"/>
          <w:szCs w:val="24"/>
          <w:lang w:val="en-GB"/>
        </w:rPr>
        <w:t>G</w:t>
      </w:r>
      <w:r>
        <w:rPr>
          <w:rFonts w:ascii="Times New Roman" w:hAnsi="Times New Roman" w:cs="Times New Roman"/>
          <w:i/>
          <w:iCs/>
          <w:noProof/>
          <w:sz w:val="24"/>
          <w:szCs w:val="24"/>
          <w:lang w:val="en-GB"/>
        </w:rPr>
        <w:t>reenhouse gas</w:t>
      </w:r>
      <w:r w:rsidRPr="00D937A1">
        <w:rPr>
          <w:rFonts w:ascii="Times New Roman" w:hAnsi="Times New Roman" w:cs="Times New Roman"/>
          <w:i/>
          <w:iCs/>
          <w:noProof/>
          <w:sz w:val="24"/>
          <w:szCs w:val="24"/>
          <w:lang w:val="en-GB"/>
        </w:rPr>
        <w:t xml:space="preserve"> emissions related to feedstock expansion in high carbon stock land </w:t>
      </w:r>
    </w:p>
    <w:p w14:paraId="6D1F23CC" w14:textId="7A751B98" w:rsidR="002F4E5C" w:rsidRDefault="00AD16D0" w:rsidP="006E112B">
      <w:pPr>
        <w:jc w:val="both"/>
        <w:rPr>
          <w:rFonts w:ascii="Times New Roman" w:hAnsi="Times New Roman" w:cs="Times New Roman"/>
          <w:noProof/>
          <w:sz w:val="24"/>
          <w:szCs w:val="24"/>
          <w:lang w:val="en-GB"/>
        </w:rPr>
      </w:pPr>
      <w:r w:rsidRPr="00AD16D0">
        <w:rPr>
          <w:rFonts w:ascii="Times New Roman" w:hAnsi="Times New Roman" w:cs="Times New Roman"/>
          <w:noProof/>
          <w:sz w:val="24"/>
          <w:szCs w:val="24"/>
          <w:lang w:val="en-GB"/>
        </w:rPr>
        <w:t xml:space="preserve">In the evaluation of </w:t>
      </w:r>
      <w:r w:rsidR="006C1F3B">
        <w:rPr>
          <w:rFonts w:ascii="Times New Roman" w:hAnsi="Times New Roman" w:cs="Times New Roman"/>
          <w:noProof/>
          <w:sz w:val="24"/>
          <w:szCs w:val="24"/>
          <w:lang w:val="en-GB"/>
        </w:rPr>
        <w:t>G</w:t>
      </w:r>
      <w:r w:rsidRPr="00AD16D0">
        <w:rPr>
          <w:rFonts w:ascii="Times New Roman" w:hAnsi="Times New Roman" w:cs="Times New Roman"/>
          <w:noProof/>
          <w:sz w:val="24"/>
          <w:szCs w:val="24"/>
          <w:lang w:val="en-GB"/>
        </w:rPr>
        <w:t xml:space="preserve">HG emissions associated with feedstock expansion into high carbon stock land, </w:t>
      </w:r>
      <w:r w:rsidR="003831E3">
        <w:rPr>
          <w:rFonts w:ascii="Times New Roman" w:hAnsi="Times New Roman" w:cs="Times New Roman"/>
          <w:noProof/>
          <w:sz w:val="24"/>
          <w:szCs w:val="24"/>
          <w:lang w:val="en-GB"/>
        </w:rPr>
        <w:t xml:space="preserve">oil palm </w:t>
      </w:r>
      <w:r w:rsidR="00917414">
        <w:rPr>
          <w:rFonts w:ascii="Times New Roman" w:hAnsi="Times New Roman" w:cs="Times New Roman"/>
          <w:noProof/>
          <w:sz w:val="24"/>
          <w:szCs w:val="24"/>
          <w:lang w:val="en-GB"/>
        </w:rPr>
        <w:t>was found to be</w:t>
      </w:r>
      <w:r w:rsidRPr="00AD16D0">
        <w:rPr>
          <w:rFonts w:ascii="Times New Roman" w:hAnsi="Times New Roman" w:cs="Times New Roman"/>
          <w:noProof/>
          <w:sz w:val="24"/>
          <w:szCs w:val="24"/>
          <w:lang w:val="en-GB"/>
        </w:rPr>
        <w:t xml:space="preserve"> the crop with the highest GHG burden between 2014-2021, largely due to </w:t>
      </w:r>
      <w:r w:rsidR="00AC5D87">
        <w:rPr>
          <w:rFonts w:ascii="Times New Roman" w:hAnsi="Times New Roman" w:cs="Times New Roman"/>
          <w:noProof/>
          <w:sz w:val="24"/>
          <w:szCs w:val="24"/>
          <w:lang w:val="en-GB"/>
        </w:rPr>
        <w:t>the</w:t>
      </w:r>
      <w:r w:rsidR="00AC5D87" w:rsidRPr="00AD16D0">
        <w:rPr>
          <w:rFonts w:ascii="Times New Roman" w:hAnsi="Times New Roman" w:cs="Times New Roman"/>
          <w:noProof/>
          <w:sz w:val="24"/>
          <w:szCs w:val="24"/>
          <w:lang w:val="en-GB"/>
        </w:rPr>
        <w:t xml:space="preserve"> </w:t>
      </w:r>
      <w:r w:rsidRPr="00AD16D0">
        <w:rPr>
          <w:rFonts w:ascii="Times New Roman" w:hAnsi="Times New Roman" w:cs="Times New Roman"/>
          <w:noProof/>
          <w:sz w:val="24"/>
          <w:szCs w:val="24"/>
          <w:lang w:val="en-GB"/>
        </w:rPr>
        <w:t xml:space="preserve">expansion </w:t>
      </w:r>
      <w:r w:rsidR="00AC5D87">
        <w:rPr>
          <w:rFonts w:ascii="Times New Roman" w:hAnsi="Times New Roman" w:cs="Times New Roman"/>
          <w:noProof/>
          <w:sz w:val="24"/>
          <w:szCs w:val="24"/>
          <w:lang w:val="en-GB"/>
        </w:rPr>
        <w:t xml:space="preserve">of palm oil production </w:t>
      </w:r>
      <w:r w:rsidRPr="00AD16D0">
        <w:rPr>
          <w:rFonts w:ascii="Times New Roman" w:hAnsi="Times New Roman" w:cs="Times New Roman"/>
          <w:noProof/>
          <w:sz w:val="24"/>
          <w:szCs w:val="24"/>
          <w:lang w:val="en-GB"/>
        </w:rPr>
        <w:t>onto peatlands, which accounted for approximately 52% of its emissions. Other crops</w:t>
      </w:r>
      <w:r w:rsidR="00355BE2">
        <w:rPr>
          <w:rFonts w:ascii="Times New Roman" w:hAnsi="Times New Roman" w:cs="Times New Roman"/>
          <w:noProof/>
          <w:sz w:val="24"/>
          <w:szCs w:val="24"/>
          <w:lang w:val="en-GB"/>
        </w:rPr>
        <w:t xml:space="preserve">, such as </w:t>
      </w:r>
      <w:r w:rsidRPr="00AD16D0">
        <w:rPr>
          <w:rFonts w:ascii="Times New Roman" w:hAnsi="Times New Roman" w:cs="Times New Roman"/>
          <w:noProof/>
          <w:sz w:val="24"/>
          <w:szCs w:val="24"/>
          <w:lang w:val="en-GB"/>
        </w:rPr>
        <w:t>maize, sugar cane, and sugar beet</w:t>
      </w:r>
      <w:r w:rsidR="002F4E5C">
        <w:rPr>
          <w:rFonts w:ascii="Times New Roman" w:hAnsi="Times New Roman" w:cs="Times New Roman"/>
          <w:noProof/>
          <w:sz w:val="24"/>
          <w:szCs w:val="24"/>
          <w:lang w:val="en-GB"/>
        </w:rPr>
        <w:t xml:space="preserve"> </w:t>
      </w:r>
      <w:r w:rsidRPr="00AD16D0">
        <w:rPr>
          <w:rFonts w:ascii="Times New Roman" w:hAnsi="Times New Roman" w:cs="Times New Roman"/>
          <w:noProof/>
          <w:sz w:val="24"/>
          <w:szCs w:val="24"/>
          <w:lang w:val="en-GB"/>
        </w:rPr>
        <w:t xml:space="preserve">also contributed significant emissions, primarily due to the removal of living biomass and dead organic matter, which constituted over 85% of their emissions. </w:t>
      </w:r>
    </w:p>
    <w:p w14:paraId="102618E3" w14:textId="7DFE98EB" w:rsidR="00323753" w:rsidRPr="00323753" w:rsidRDefault="006875E0" w:rsidP="00323753">
      <w:pPr>
        <w:jc w:val="both"/>
        <w:rPr>
          <w:rFonts w:ascii="Times New Roman" w:hAnsi="Times New Roman" w:cs="Times New Roman"/>
          <w:noProof/>
          <w:sz w:val="24"/>
          <w:szCs w:val="24"/>
          <w:lang w:val="en-GB"/>
        </w:rPr>
      </w:pPr>
      <w:r w:rsidRPr="006875E0">
        <w:rPr>
          <w:rFonts w:ascii="Times New Roman" w:hAnsi="Times New Roman" w:cs="Times New Roman"/>
          <w:noProof/>
          <w:sz w:val="24"/>
          <w:szCs w:val="24"/>
          <w:lang w:val="en-GB"/>
        </w:rPr>
        <w:t xml:space="preserve">The weighted average based on area of expansion </w:t>
      </w:r>
      <w:r w:rsidR="00B93DD0">
        <w:rPr>
          <w:rFonts w:ascii="Times New Roman" w:hAnsi="Times New Roman" w:cs="Times New Roman"/>
          <w:noProof/>
          <w:sz w:val="24"/>
          <w:szCs w:val="24"/>
          <w:lang w:val="en-GB"/>
        </w:rPr>
        <w:t xml:space="preserve">of </w:t>
      </w:r>
      <w:r w:rsidRPr="006875E0">
        <w:rPr>
          <w:rFonts w:ascii="Times New Roman" w:hAnsi="Times New Roman" w:cs="Times New Roman"/>
          <w:noProof/>
          <w:sz w:val="24"/>
          <w:szCs w:val="24"/>
          <w:lang w:val="en-GB"/>
        </w:rPr>
        <w:t>GHG emissions for all eight crops is 25 tCO2/ha/yr</w:t>
      </w:r>
      <w:r w:rsidR="0029224D">
        <w:rPr>
          <w:rFonts w:ascii="Times New Roman" w:hAnsi="Times New Roman" w:cs="Times New Roman"/>
          <w:noProof/>
          <w:sz w:val="24"/>
          <w:szCs w:val="24"/>
          <w:lang w:val="en-GB"/>
        </w:rPr>
        <w:t>,</w:t>
      </w:r>
      <w:r w:rsidR="00AD16D0" w:rsidRPr="00AD16D0">
        <w:rPr>
          <w:rFonts w:ascii="Times New Roman" w:hAnsi="Times New Roman" w:cs="Times New Roman"/>
          <w:noProof/>
          <w:sz w:val="24"/>
          <w:szCs w:val="24"/>
          <w:lang w:val="en-GB"/>
        </w:rPr>
        <w:t xml:space="preserve"> higher than the 19.6 tCO2/ha/yr </w:t>
      </w:r>
      <w:r w:rsidR="00D95F48">
        <w:rPr>
          <w:rFonts w:ascii="Times New Roman" w:hAnsi="Times New Roman" w:cs="Times New Roman"/>
          <w:noProof/>
          <w:sz w:val="24"/>
          <w:szCs w:val="24"/>
          <w:lang w:val="en-GB"/>
        </w:rPr>
        <w:t xml:space="preserve">which was </w:t>
      </w:r>
      <w:r w:rsidR="00AD16D0" w:rsidRPr="00AD16D0">
        <w:rPr>
          <w:rFonts w:ascii="Times New Roman" w:hAnsi="Times New Roman" w:cs="Times New Roman"/>
          <w:noProof/>
          <w:sz w:val="24"/>
          <w:szCs w:val="24"/>
          <w:lang w:val="en-GB"/>
        </w:rPr>
        <w:t xml:space="preserve">reported </w:t>
      </w:r>
      <w:r w:rsidR="00D95F48">
        <w:rPr>
          <w:rFonts w:ascii="Times New Roman" w:hAnsi="Times New Roman" w:cs="Times New Roman"/>
          <w:noProof/>
          <w:sz w:val="24"/>
          <w:szCs w:val="24"/>
          <w:lang w:val="en-GB"/>
        </w:rPr>
        <w:t>in the Commission 2019 ILUC report.</w:t>
      </w:r>
      <w:r w:rsidR="00323753" w:rsidRPr="00323753">
        <w:rPr>
          <w:rFonts w:ascii="Times New Roman" w:hAnsi="Times New Roman" w:cs="Times New Roman"/>
          <w:noProof/>
          <w:sz w:val="24"/>
          <w:szCs w:val="24"/>
          <w:lang w:val="en-GB"/>
        </w:rPr>
        <w:t xml:space="preserve"> The explanation for this increase is two-fold. First, </w:t>
      </w:r>
      <w:r w:rsidR="00323753">
        <w:rPr>
          <w:rFonts w:ascii="Times New Roman" w:hAnsi="Times New Roman" w:cs="Times New Roman"/>
          <w:noProof/>
          <w:sz w:val="24"/>
          <w:szCs w:val="24"/>
          <w:lang w:val="en-GB"/>
        </w:rPr>
        <w:t>the</w:t>
      </w:r>
      <w:r w:rsidR="00323753" w:rsidRPr="00323753">
        <w:rPr>
          <w:rFonts w:ascii="Times New Roman" w:hAnsi="Times New Roman" w:cs="Times New Roman"/>
          <w:noProof/>
          <w:sz w:val="24"/>
          <w:szCs w:val="24"/>
          <w:lang w:val="en-GB"/>
        </w:rPr>
        <w:t xml:space="preserve"> calculation used specific values of above ground biomass per climatic zone and hectares of expansion per climate zone. This results in an on-average higher value of net carbon loss per hectare for all crops. Second</w:t>
      </w:r>
      <w:r w:rsidR="00323753">
        <w:rPr>
          <w:rFonts w:ascii="Times New Roman" w:hAnsi="Times New Roman" w:cs="Times New Roman"/>
          <w:noProof/>
          <w:sz w:val="24"/>
          <w:szCs w:val="24"/>
          <w:lang w:val="en-GB"/>
        </w:rPr>
        <w:t xml:space="preserve">, </w:t>
      </w:r>
      <w:r w:rsidR="00323753" w:rsidRPr="00323753">
        <w:rPr>
          <w:rFonts w:ascii="Times New Roman" w:hAnsi="Times New Roman" w:cs="Times New Roman"/>
          <w:noProof/>
          <w:sz w:val="24"/>
          <w:szCs w:val="24"/>
          <w:lang w:val="en-GB"/>
        </w:rPr>
        <w:t>emissions from soil carbon, below ground biomass (roots) and dead organic matter</w:t>
      </w:r>
      <w:r w:rsidR="00B93DD0">
        <w:rPr>
          <w:rFonts w:ascii="Times New Roman" w:hAnsi="Times New Roman" w:cs="Times New Roman"/>
          <w:noProof/>
          <w:sz w:val="24"/>
          <w:szCs w:val="24"/>
          <w:lang w:val="en-GB"/>
        </w:rPr>
        <w:t>,</w:t>
      </w:r>
      <w:r w:rsidR="00172F51">
        <w:rPr>
          <w:rFonts w:ascii="Times New Roman" w:hAnsi="Times New Roman" w:cs="Times New Roman"/>
          <w:noProof/>
          <w:sz w:val="24"/>
          <w:szCs w:val="24"/>
          <w:lang w:val="en-GB"/>
        </w:rPr>
        <w:t xml:space="preserve"> were also included. </w:t>
      </w:r>
    </w:p>
    <w:p w14:paraId="6EE0DA11" w14:textId="41E7F673" w:rsidR="00AD16D0" w:rsidRDefault="00D01117" w:rsidP="006E112B">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w:t>
      </w:r>
      <w:r w:rsidR="00930171" w:rsidRPr="00930171">
        <w:rPr>
          <w:rFonts w:ascii="Times New Roman" w:hAnsi="Times New Roman" w:cs="Times New Roman"/>
          <w:noProof/>
          <w:sz w:val="24"/>
          <w:szCs w:val="24"/>
          <w:lang w:val="en-GB"/>
        </w:rPr>
        <w:t xml:space="preserve">esults </w:t>
      </w:r>
      <w:r>
        <w:rPr>
          <w:rFonts w:ascii="Times New Roman" w:hAnsi="Times New Roman" w:cs="Times New Roman"/>
          <w:noProof/>
          <w:sz w:val="24"/>
          <w:szCs w:val="24"/>
          <w:lang w:val="en-GB"/>
        </w:rPr>
        <w:t xml:space="preserve">on GHG emissions depend on </w:t>
      </w:r>
      <w:r w:rsidR="00930171" w:rsidRPr="00930171">
        <w:rPr>
          <w:rFonts w:ascii="Times New Roman" w:hAnsi="Times New Roman" w:cs="Times New Roman"/>
          <w:noProof/>
          <w:sz w:val="24"/>
          <w:szCs w:val="24"/>
          <w:lang w:val="en-GB"/>
        </w:rPr>
        <w:t>whether crops are assumed to replace primary or secondary forest, which determines the above ground biomass carbon stock</w:t>
      </w:r>
      <w:r w:rsidR="00930171">
        <w:rPr>
          <w:rFonts w:ascii="Times New Roman" w:hAnsi="Times New Roman" w:cs="Times New Roman"/>
          <w:noProof/>
          <w:sz w:val="24"/>
          <w:szCs w:val="24"/>
          <w:lang w:val="en-GB"/>
        </w:rPr>
        <w:t xml:space="preserve">. </w:t>
      </w:r>
      <w:r w:rsidR="00AD16D0" w:rsidRPr="00AD16D0">
        <w:rPr>
          <w:rFonts w:ascii="Times New Roman" w:hAnsi="Times New Roman" w:cs="Times New Roman"/>
          <w:noProof/>
          <w:sz w:val="24"/>
          <w:szCs w:val="24"/>
          <w:lang w:val="en-GB"/>
        </w:rPr>
        <w:t xml:space="preserve">To manage this variability, </w:t>
      </w:r>
      <w:r w:rsidR="00483105" w:rsidRPr="00483105">
        <w:rPr>
          <w:rFonts w:ascii="Times New Roman" w:hAnsi="Times New Roman" w:cs="Times New Roman"/>
          <w:noProof/>
          <w:sz w:val="24"/>
          <w:szCs w:val="24"/>
          <w:lang w:val="en-GB"/>
        </w:rPr>
        <w:t>an average above ground biomass factor was adopted for Indonesia and Malaysia Tropical Rainforests from the Global Forest Resource Assessment</w:t>
      </w:r>
      <w:r w:rsidR="00483105">
        <w:rPr>
          <w:rStyle w:val="FootnoteReference"/>
          <w:rFonts w:ascii="Times New Roman" w:hAnsi="Times New Roman" w:cs="Times New Roman"/>
          <w:noProof/>
          <w:sz w:val="24"/>
          <w:szCs w:val="24"/>
          <w:lang w:val="en-GB"/>
        </w:rPr>
        <w:footnoteReference w:id="22"/>
      </w:r>
      <w:r w:rsidR="00AD16D0" w:rsidRPr="00AD16D0">
        <w:rPr>
          <w:rFonts w:ascii="Times New Roman" w:hAnsi="Times New Roman" w:cs="Times New Roman"/>
          <w:noProof/>
          <w:sz w:val="24"/>
          <w:szCs w:val="24"/>
          <w:lang w:val="en-GB"/>
        </w:rPr>
        <w:t xml:space="preserve">. </w:t>
      </w:r>
    </w:p>
    <w:tbl>
      <w:tblPr>
        <w:tblStyle w:val="EnergyReportTable1"/>
        <w:tblW w:w="5000" w:type="pct"/>
        <w:jc w:val="center"/>
        <w:tblInd w:w="0" w:type="dxa"/>
        <w:tblLook w:val="04A0" w:firstRow="1" w:lastRow="0" w:firstColumn="1" w:lastColumn="0" w:noHBand="0" w:noVBand="1"/>
      </w:tblPr>
      <w:tblGrid>
        <w:gridCol w:w="2406"/>
        <w:gridCol w:w="3327"/>
        <w:gridCol w:w="3293"/>
      </w:tblGrid>
      <w:tr w:rsidR="00F165B3" w:rsidRPr="00F165B3" w14:paraId="18A6C028" w14:textId="77777777" w:rsidTr="00F165B3">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1333" w:type="pct"/>
            <w:shd w:val="clear" w:color="auto" w:fill="93D500"/>
            <w:hideMark/>
          </w:tcPr>
          <w:p w14:paraId="3D9F67ED" w14:textId="77777777" w:rsidR="00F165B3" w:rsidRPr="00F165B3" w:rsidRDefault="00F165B3" w:rsidP="00F165B3">
            <w:pPr>
              <w:keepNext/>
              <w:keepLines/>
              <w:spacing w:after="0"/>
              <w:jc w:val="center"/>
              <w:rPr>
                <w:noProof/>
                <w:sz w:val="18"/>
                <w:lang w:val="en-GB"/>
              </w:rPr>
            </w:pPr>
            <w:r w:rsidRPr="00F165B3">
              <w:rPr>
                <w:noProof/>
                <w:sz w:val="18"/>
                <w:lang w:val="en-GB"/>
              </w:rPr>
              <w:t>Crop</w:t>
            </w:r>
          </w:p>
        </w:tc>
        <w:tc>
          <w:tcPr>
            <w:tcW w:w="1843" w:type="pct"/>
            <w:shd w:val="clear" w:color="auto" w:fill="93D500"/>
            <w:hideMark/>
          </w:tcPr>
          <w:p w14:paraId="2762C6FE" w14:textId="77777777" w:rsidR="00F165B3" w:rsidRPr="0083646E"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lang w:val="en-GB"/>
              </w:rPr>
            </w:pPr>
            <w:r w:rsidRPr="0083646E">
              <w:rPr>
                <w:noProof/>
                <w:sz w:val="18"/>
                <w:lang w:val="en-GB"/>
              </w:rPr>
              <w:t>GHG Burden [tCO</w:t>
            </w:r>
            <w:r w:rsidRPr="0083646E">
              <w:rPr>
                <w:noProof/>
                <w:sz w:val="18"/>
                <w:vertAlign w:val="subscript"/>
                <w:lang w:val="en-GB"/>
              </w:rPr>
              <w:t>2</w:t>
            </w:r>
            <w:r w:rsidRPr="0083646E">
              <w:rPr>
                <w:noProof/>
                <w:sz w:val="18"/>
                <w:lang w:val="en-GB"/>
              </w:rPr>
              <w:t>/yr/ha]</w:t>
            </w:r>
          </w:p>
        </w:tc>
        <w:tc>
          <w:tcPr>
            <w:tcW w:w="1824" w:type="pct"/>
            <w:shd w:val="clear" w:color="auto" w:fill="93D500"/>
            <w:hideMark/>
          </w:tcPr>
          <w:p w14:paraId="1378B43A" w14:textId="77777777" w:rsidR="00F165B3" w:rsidRPr="00F165B3"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lang w:val="en-GB"/>
              </w:rPr>
            </w:pPr>
            <w:r w:rsidRPr="00F165B3">
              <w:rPr>
                <w:noProof/>
                <w:sz w:val="18"/>
                <w:lang w:val="en-GB"/>
              </w:rPr>
              <w:t>Share of total expansion area of all crops [ha]</w:t>
            </w:r>
          </w:p>
        </w:tc>
      </w:tr>
      <w:tr w:rsidR="00F165B3" w:rsidRPr="00F165B3" w14:paraId="6C5023AA"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0268304" w14:textId="77777777" w:rsidR="00F165B3" w:rsidRPr="00F165B3" w:rsidRDefault="00F165B3" w:rsidP="00F165B3">
            <w:pPr>
              <w:keepNext/>
              <w:keepLines/>
              <w:spacing w:after="0"/>
              <w:rPr>
                <w:noProof/>
                <w:sz w:val="18"/>
                <w:lang w:val="en-GB"/>
              </w:rPr>
            </w:pPr>
            <w:r w:rsidRPr="00F165B3">
              <w:rPr>
                <w:noProof/>
                <w:sz w:val="18"/>
                <w:lang w:val="en-GB"/>
              </w:rPr>
              <w:t>Oil, palm</w:t>
            </w:r>
          </w:p>
        </w:tc>
        <w:tc>
          <w:tcPr>
            <w:tcW w:w="1843" w:type="pct"/>
            <w:tcBorders>
              <w:top w:val="single" w:sz="4" w:space="0" w:color="DCDDDE"/>
              <w:left w:val="nil"/>
              <w:bottom w:val="single" w:sz="4" w:space="0" w:color="DCDDDE"/>
              <w:right w:val="nil"/>
            </w:tcBorders>
            <w:vAlign w:val="bottom"/>
            <w:hideMark/>
          </w:tcPr>
          <w:p w14:paraId="707D0B0A"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32.6</w:t>
            </w:r>
          </w:p>
        </w:tc>
        <w:tc>
          <w:tcPr>
            <w:tcW w:w="1824" w:type="pct"/>
            <w:tcBorders>
              <w:top w:val="single" w:sz="4" w:space="0" w:color="DCDDDE"/>
              <w:left w:val="nil"/>
              <w:bottom w:val="single" w:sz="4" w:space="0" w:color="DCDDDE"/>
              <w:right w:val="nil"/>
            </w:tcBorders>
            <w:vAlign w:val="bottom"/>
            <w:hideMark/>
          </w:tcPr>
          <w:p w14:paraId="081D6FA1"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39%</w:t>
            </w:r>
          </w:p>
        </w:tc>
      </w:tr>
      <w:tr w:rsidR="00F165B3" w:rsidRPr="00F165B3" w14:paraId="08B94F0D"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9752917" w14:textId="77777777" w:rsidR="00F165B3" w:rsidRPr="00F165B3" w:rsidRDefault="00F165B3" w:rsidP="00F165B3">
            <w:pPr>
              <w:keepNext/>
              <w:keepLines/>
              <w:spacing w:after="0"/>
              <w:rPr>
                <w:noProof/>
                <w:sz w:val="18"/>
                <w:lang w:val="en-GB"/>
              </w:rPr>
            </w:pPr>
            <w:r w:rsidRPr="00F165B3">
              <w:rPr>
                <w:noProof/>
                <w:sz w:val="18"/>
                <w:lang w:val="en-GB"/>
              </w:rPr>
              <w:t>Soybeans</w:t>
            </w:r>
          </w:p>
        </w:tc>
        <w:tc>
          <w:tcPr>
            <w:tcW w:w="1843" w:type="pct"/>
            <w:tcBorders>
              <w:top w:val="single" w:sz="4" w:space="0" w:color="DCDDDE"/>
              <w:left w:val="nil"/>
              <w:bottom w:val="single" w:sz="4" w:space="0" w:color="DCDDDE"/>
              <w:right w:val="nil"/>
            </w:tcBorders>
            <w:vAlign w:val="bottom"/>
            <w:hideMark/>
          </w:tcPr>
          <w:p w14:paraId="7EB64CC4"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19.9</w:t>
            </w:r>
          </w:p>
        </w:tc>
        <w:tc>
          <w:tcPr>
            <w:tcW w:w="1824" w:type="pct"/>
            <w:tcBorders>
              <w:top w:val="single" w:sz="4" w:space="0" w:color="DCDDDE"/>
              <w:left w:val="nil"/>
              <w:bottom w:val="single" w:sz="4" w:space="0" w:color="DCDDDE"/>
              <w:right w:val="nil"/>
            </w:tcBorders>
            <w:vAlign w:val="bottom"/>
            <w:hideMark/>
          </w:tcPr>
          <w:p w14:paraId="32ABED3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33%</w:t>
            </w:r>
          </w:p>
        </w:tc>
      </w:tr>
      <w:tr w:rsidR="00F165B3" w:rsidRPr="00F165B3" w14:paraId="75A65DB4"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481A4BF0" w14:textId="77777777" w:rsidR="00F165B3" w:rsidRPr="00F165B3" w:rsidRDefault="00F165B3" w:rsidP="00F165B3">
            <w:pPr>
              <w:keepNext/>
              <w:keepLines/>
              <w:spacing w:after="0"/>
              <w:rPr>
                <w:noProof/>
                <w:sz w:val="18"/>
                <w:lang w:val="en-GB"/>
              </w:rPr>
            </w:pPr>
            <w:r w:rsidRPr="00F165B3">
              <w:rPr>
                <w:noProof/>
                <w:sz w:val="18"/>
                <w:lang w:val="en-GB"/>
              </w:rPr>
              <w:t>Maize</w:t>
            </w:r>
          </w:p>
        </w:tc>
        <w:tc>
          <w:tcPr>
            <w:tcW w:w="1843" w:type="pct"/>
            <w:tcBorders>
              <w:top w:val="single" w:sz="4" w:space="0" w:color="DCDDDE"/>
              <w:left w:val="nil"/>
              <w:bottom w:val="single" w:sz="4" w:space="0" w:color="DCDDDE"/>
              <w:right w:val="nil"/>
            </w:tcBorders>
            <w:vAlign w:val="bottom"/>
            <w:hideMark/>
          </w:tcPr>
          <w:p w14:paraId="33E00217"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22.5</w:t>
            </w:r>
          </w:p>
        </w:tc>
        <w:tc>
          <w:tcPr>
            <w:tcW w:w="1824" w:type="pct"/>
            <w:tcBorders>
              <w:top w:val="single" w:sz="4" w:space="0" w:color="DCDDDE"/>
              <w:left w:val="nil"/>
              <w:bottom w:val="single" w:sz="4" w:space="0" w:color="DCDDDE"/>
              <w:right w:val="nil"/>
            </w:tcBorders>
            <w:vAlign w:val="bottom"/>
            <w:hideMark/>
          </w:tcPr>
          <w:p w14:paraId="33BD0645"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21%</w:t>
            </w:r>
          </w:p>
        </w:tc>
      </w:tr>
      <w:tr w:rsidR="00F165B3" w:rsidRPr="00F165B3" w14:paraId="20D68022"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0A65BE07" w14:textId="77777777" w:rsidR="00F165B3" w:rsidRPr="00F165B3" w:rsidRDefault="00F165B3" w:rsidP="00F165B3">
            <w:pPr>
              <w:keepNext/>
              <w:keepLines/>
              <w:spacing w:after="0"/>
              <w:rPr>
                <w:noProof/>
                <w:sz w:val="18"/>
                <w:lang w:val="en-GB"/>
              </w:rPr>
            </w:pPr>
            <w:r w:rsidRPr="00F165B3">
              <w:rPr>
                <w:noProof/>
                <w:sz w:val="18"/>
                <w:lang w:val="en-GB"/>
              </w:rPr>
              <w:t>Sugar cane</w:t>
            </w:r>
          </w:p>
        </w:tc>
        <w:tc>
          <w:tcPr>
            <w:tcW w:w="1843" w:type="pct"/>
            <w:tcBorders>
              <w:top w:val="single" w:sz="4" w:space="0" w:color="DCDDDE"/>
              <w:left w:val="nil"/>
              <w:bottom w:val="single" w:sz="4" w:space="0" w:color="DCDDDE"/>
              <w:right w:val="nil"/>
            </w:tcBorders>
            <w:vAlign w:val="bottom"/>
            <w:hideMark/>
          </w:tcPr>
          <w:p w14:paraId="7C37BAED"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20.8</w:t>
            </w:r>
          </w:p>
        </w:tc>
        <w:tc>
          <w:tcPr>
            <w:tcW w:w="1824" w:type="pct"/>
            <w:tcBorders>
              <w:top w:val="single" w:sz="4" w:space="0" w:color="DCDDDE"/>
              <w:left w:val="nil"/>
              <w:bottom w:val="single" w:sz="4" w:space="0" w:color="DCDDDE"/>
              <w:right w:val="nil"/>
            </w:tcBorders>
            <w:vAlign w:val="bottom"/>
            <w:hideMark/>
          </w:tcPr>
          <w:p w14:paraId="010B12A2"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3%</w:t>
            </w:r>
          </w:p>
        </w:tc>
      </w:tr>
      <w:tr w:rsidR="00F165B3" w:rsidRPr="00F165B3" w14:paraId="7F3EF4C3"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FFE636E" w14:textId="77777777" w:rsidR="00F165B3" w:rsidRPr="00F165B3" w:rsidRDefault="00F165B3" w:rsidP="00F165B3">
            <w:pPr>
              <w:keepNext/>
              <w:keepLines/>
              <w:spacing w:after="0"/>
              <w:rPr>
                <w:noProof/>
                <w:sz w:val="18"/>
                <w:lang w:val="en-GB"/>
              </w:rPr>
            </w:pPr>
            <w:r w:rsidRPr="00F165B3">
              <w:rPr>
                <w:noProof/>
                <w:sz w:val="18"/>
                <w:lang w:val="en-GB"/>
              </w:rPr>
              <w:t>Wheat</w:t>
            </w:r>
          </w:p>
        </w:tc>
        <w:tc>
          <w:tcPr>
            <w:tcW w:w="1843" w:type="pct"/>
            <w:tcBorders>
              <w:top w:val="single" w:sz="4" w:space="0" w:color="DCDDDE"/>
              <w:left w:val="nil"/>
              <w:bottom w:val="single" w:sz="4" w:space="0" w:color="DCDDDE"/>
              <w:right w:val="nil"/>
            </w:tcBorders>
            <w:vAlign w:val="bottom"/>
            <w:hideMark/>
          </w:tcPr>
          <w:p w14:paraId="3D395874"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16.2</w:t>
            </w:r>
          </w:p>
        </w:tc>
        <w:tc>
          <w:tcPr>
            <w:tcW w:w="1824" w:type="pct"/>
            <w:tcBorders>
              <w:top w:val="single" w:sz="4" w:space="0" w:color="DCDDDE"/>
              <w:left w:val="nil"/>
              <w:bottom w:val="single" w:sz="4" w:space="0" w:color="DCDDDE"/>
              <w:right w:val="nil"/>
            </w:tcBorders>
            <w:vAlign w:val="bottom"/>
            <w:hideMark/>
          </w:tcPr>
          <w:p w14:paraId="5C032212"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3%</w:t>
            </w:r>
          </w:p>
        </w:tc>
      </w:tr>
      <w:tr w:rsidR="00F165B3" w:rsidRPr="00F165B3" w14:paraId="3B2DC585"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2D40D015" w14:textId="77777777" w:rsidR="00F165B3" w:rsidRPr="00F165B3" w:rsidRDefault="00F165B3" w:rsidP="00F165B3">
            <w:pPr>
              <w:keepNext/>
              <w:keepLines/>
              <w:spacing w:after="0"/>
              <w:rPr>
                <w:noProof/>
                <w:sz w:val="18"/>
                <w:lang w:val="en-GB"/>
              </w:rPr>
            </w:pPr>
            <w:r w:rsidRPr="00F165B3">
              <w:rPr>
                <w:noProof/>
                <w:sz w:val="18"/>
                <w:lang w:val="en-GB"/>
              </w:rPr>
              <w:t>Sunflower seed</w:t>
            </w:r>
          </w:p>
        </w:tc>
        <w:tc>
          <w:tcPr>
            <w:tcW w:w="1843" w:type="pct"/>
            <w:tcBorders>
              <w:top w:val="single" w:sz="4" w:space="0" w:color="DCDDDE"/>
              <w:left w:val="nil"/>
              <w:bottom w:val="single" w:sz="4" w:space="0" w:color="DCDDDE"/>
              <w:right w:val="nil"/>
            </w:tcBorders>
            <w:vAlign w:val="bottom"/>
            <w:hideMark/>
          </w:tcPr>
          <w:p w14:paraId="2A7B7731"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19.1</w:t>
            </w:r>
          </w:p>
        </w:tc>
        <w:tc>
          <w:tcPr>
            <w:tcW w:w="1824" w:type="pct"/>
            <w:tcBorders>
              <w:top w:val="single" w:sz="4" w:space="0" w:color="DCDDDE"/>
              <w:left w:val="nil"/>
              <w:bottom w:val="single" w:sz="4" w:space="0" w:color="DCDDDE"/>
              <w:right w:val="nil"/>
            </w:tcBorders>
            <w:vAlign w:val="bottom"/>
            <w:hideMark/>
          </w:tcPr>
          <w:p w14:paraId="5D986A2A"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1%</w:t>
            </w:r>
          </w:p>
        </w:tc>
      </w:tr>
      <w:tr w:rsidR="00F165B3" w:rsidRPr="00F165B3" w14:paraId="198A58EC"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65FF473F" w14:textId="77777777" w:rsidR="00F165B3" w:rsidRPr="00F165B3" w:rsidRDefault="00F165B3" w:rsidP="00F165B3">
            <w:pPr>
              <w:keepNext/>
              <w:keepLines/>
              <w:spacing w:after="0"/>
              <w:rPr>
                <w:noProof/>
                <w:sz w:val="18"/>
                <w:lang w:val="en-GB"/>
              </w:rPr>
            </w:pPr>
            <w:r w:rsidRPr="00F165B3">
              <w:rPr>
                <w:noProof/>
                <w:sz w:val="18"/>
                <w:lang w:val="en-GB"/>
              </w:rPr>
              <w:t>Rapeseed</w:t>
            </w:r>
          </w:p>
        </w:tc>
        <w:tc>
          <w:tcPr>
            <w:tcW w:w="1843" w:type="pct"/>
            <w:tcBorders>
              <w:top w:val="single" w:sz="4" w:space="0" w:color="DCDDDE"/>
              <w:left w:val="nil"/>
              <w:bottom w:val="single" w:sz="4" w:space="0" w:color="DCDDDE"/>
              <w:right w:val="nil"/>
            </w:tcBorders>
            <w:vAlign w:val="bottom"/>
            <w:hideMark/>
          </w:tcPr>
          <w:p w14:paraId="0D5D241E"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15.5</w:t>
            </w:r>
          </w:p>
        </w:tc>
        <w:tc>
          <w:tcPr>
            <w:tcW w:w="1824" w:type="pct"/>
            <w:tcBorders>
              <w:top w:val="single" w:sz="4" w:space="0" w:color="DCDDDE"/>
              <w:left w:val="nil"/>
              <w:bottom w:val="single" w:sz="4" w:space="0" w:color="DCDDDE"/>
              <w:right w:val="nil"/>
            </w:tcBorders>
            <w:vAlign w:val="bottom"/>
            <w:hideMark/>
          </w:tcPr>
          <w:p w14:paraId="493F3969"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1%</w:t>
            </w:r>
          </w:p>
        </w:tc>
      </w:tr>
      <w:tr w:rsidR="00F165B3" w:rsidRPr="00F165B3" w14:paraId="6CC64502" w14:textId="77777777" w:rsidTr="00F165B3">
        <w:trPr>
          <w:cnfStyle w:val="000000010000" w:firstRow="0" w:lastRow="0" w:firstColumn="0" w:lastColumn="0" w:oddVBand="0" w:evenVBand="0" w:oddHBand="0" w:evenHBand="1" w:firstRowFirstColumn="0" w:firstRowLastColumn="0" w:lastRowFirstColumn="0" w:lastRowLastColumn="0"/>
          <w:cantSplit/>
          <w:trHeight w:val="60"/>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8" w:space="0" w:color="555759"/>
              <w:right w:val="nil"/>
            </w:tcBorders>
            <w:hideMark/>
          </w:tcPr>
          <w:p w14:paraId="6B821F29" w14:textId="77777777" w:rsidR="00F165B3" w:rsidRPr="00F165B3" w:rsidRDefault="00F165B3" w:rsidP="00F165B3">
            <w:pPr>
              <w:keepNext/>
              <w:keepLines/>
              <w:spacing w:after="0"/>
              <w:rPr>
                <w:noProof/>
                <w:sz w:val="18"/>
                <w:lang w:val="en-GB"/>
              </w:rPr>
            </w:pPr>
            <w:r w:rsidRPr="00F165B3">
              <w:rPr>
                <w:noProof/>
                <w:sz w:val="18"/>
                <w:lang w:val="en-GB"/>
              </w:rPr>
              <w:t>Sugar beet</w:t>
            </w:r>
          </w:p>
        </w:tc>
        <w:tc>
          <w:tcPr>
            <w:tcW w:w="1843" w:type="pct"/>
            <w:tcBorders>
              <w:top w:val="single" w:sz="4" w:space="0" w:color="DCDDDE"/>
              <w:left w:val="nil"/>
              <w:bottom w:val="single" w:sz="8" w:space="0" w:color="555759"/>
              <w:right w:val="nil"/>
            </w:tcBorders>
            <w:vAlign w:val="bottom"/>
            <w:hideMark/>
          </w:tcPr>
          <w:p w14:paraId="79F26865"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20.8</w:t>
            </w:r>
          </w:p>
        </w:tc>
        <w:tc>
          <w:tcPr>
            <w:tcW w:w="1824" w:type="pct"/>
            <w:tcBorders>
              <w:top w:val="single" w:sz="4" w:space="0" w:color="DCDDDE"/>
              <w:left w:val="nil"/>
              <w:bottom w:val="single" w:sz="8" w:space="0" w:color="555759"/>
              <w:right w:val="nil"/>
            </w:tcBorders>
            <w:vAlign w:val="bottom"/>
            <w:hideMark/>
          </w:tcPr>
          <w:p w14:paraId="639BD84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0.01%</w:t>
            </w:r>
          </w:p>
        </w:tc>
      </w:tr>
    </w:tbl>
    <w:p w14:paraId="50CED9DA" w14:textId="72052A77" w:rsidR="00483105" w:rsidRDefault="00F165B3" w:rsidP="006E112B">
      <w:pPr>
        <w:jc w:val="both"/>
        <w:rPr>
          <w:rFonts w:ascii="Times New Roman" w:eastAsia="Times New Roman" w:hAnsi="Times New Roman" w:cs="Times New Roman"/>
          <w:i/>
          <w:noProof/>
          <w:sz w:val="20"/>
          <w:szCs w:val="20"/>
        </w:rPr>
      </w:pPr>
      <w:r w:rsidRPr="00D937A1">
        <w:rPr>
          <w:rFonts w:ascii="Times New Roman" w:eastAsia="Times New Roman" w:hAnsi="Times New Roman" w:cs="Times New Roman"/>
          <w:i/>
          <w:noProof/>
          <w:sz w:val="20"/>
          <w:szCs w:val="20"/>
        </w:rPr>
        <w:t xml:space="preserve">Table </w:t>
      </w:r>
      <w:r w:rsidR="0075589F">
        <w:rPr>
          <w:rFonts w:ascii="Times New Roman" w:eastAsia="Times New Roman" w:hAnsi="Times New Roman" w:cs="Times New Roman"/>
          <w:i/>
          <w:noProof/>
          <w:sz w:val="20"/>
          <w:szCs w:val="20"/>
        </w:rPr>
        <w:t>2</w:t>
      </w:r>
      <w:r w:rsidRPr="00D937A1">
        <w:rPr>
          <w:rFonts w:ascii="Times New Roman" w:eastAsia="Times New Roman" w:hAnsi="Times New Roman" w:cs="Times New Roman"/>
          <w:i/>
          <w:noProof/>
          <w:sz w:val="20"/>
          <w:szCs w:val="20"/>
        </w:rPr>
        <w:t xml:space="preserve">- </w:t>
      </w:r>
      <w:r w:rsidR="003831E3" w:rsidRPr="003831E3">
        <w:rPr>
          <w:rFonts w:ascii="Times New Roman" w:eastAsia="Times New Roman" w:hAnsi="Times New Roman" w:cs="Times New Roman"/>
          <w:i/>
          <w:noProof/>
          <w:sz w:val="20"/>
          <w:szCs w:val="20"/>
        </w:rPr>
        <w:t>GHG emissions per crop per hectare converted</w:t>
      </w:r>
    </w:p>
    <w:p w14:paraId="02DEB6C2" w14:textId="38A42CD4" w:rsidR="00483105" w:rsidRPr="00D937A1" w:rsidRDefault="00F13568" w:rsidP="006E112B">
      <w:pPr>
        <w:jc w:val="both"/>
        <w:rPr>
          <w:rFonts w:ascii="Times New Roman" w:eastAsia="Times New Roman" w:hAnsi="Times New Roman" w:cs="Times New Roman"/>
          <w:i/>
          <w:noProof/>
          <w:sz w:val="24"/>
          <w:szCs w:val="24"/>
          <w:lang w:val="en-GB"/>
        </w:rPr>
      </w:pPr>
      <w:r w:rsidRPr="00D937A1">
        <w:rPr>
          <w:rFonts w:ascii="Times New Roman" w:eastAsia="Times New Roman" w:hAnsi="Times New Roman" w:cs="Times New Roman"/>
          <w:i/>
          <w:noProof/>
          <w:sz w:val="24"/>
          <w:szCs w:val="24"/>
        </w:rPr>
        <w:t>Threshold</w:t>
      </w:r>
      <w:r w:rsidRPr="00D937A1">
        <w:rPr>
          <w:rFonts w:ascii="Times New Roman" w:eastAsia="Times New Roman" w:hAnsi="Times New Roman" w:cs="Times New Roman"/>
          <w:i/>
          <w:noProof/>
          <w:sz w:val="24"/>
          <w:szCs w:val="24"/>
          <w:lang w:val="en-GB"/>
        </w:rPr>
        <w:t xml:space="preserve"> for </w:t>
      </w:r>
      <w:r w:rsidRPr="00D937A1">
        <w:rPr>
          <w:rFonts w:ascii="Times New Roman" w:hAnsi="Times New Roman" w:cs="Times New Roman"/>
          <w:i/>
          <w:iCs/>
          <w:noProof/>
          <w:sz w:val="24"/>
          <w:szCs w:val="24"/>
          <w:lang w:val="en-GB"/>
        </w:rPr>
        <w:t>expansion</w:t>
      </w:r>
      <w:r w:rsidRPr="00D937A1">
        <w:rPr>
          <w:rFonts w:ascii="Times New Roman" w:eastAsia="Times New Roman" w:hAnsi="Times New Roman" w:cs="Times New Roman"/>
          <w:i/>
          <w:noProof/>
          <w:sz w:val="24"/>
          <w:szCs w:val="24"/>
          <w:lang w:val="en-GB"/>
        </w:rPr>
        <w:t xml:space="preserve"> </w:t>
      </w:r>
    </w:p>
    <w:p w14:paraId="2D479E93" w14:textId="7FDD052D" w:rsidR="00484E4C" w:rsidRDefault="00845DA4" w:rsidP="006E112B">
      <w:pPr>
        <w:jc w:val="both"/>
        <w:rPr>
          <w:rFonts w:ascii="Times New Roman" w:hAnsi="Times New Roman" w:cs="Times New Roman"/>
          <w:noProof/>
          <w:sz w:val="24"/>
          <w:szCs w:val="24"/>
          <w:lang w:val="en-GB"/>
        </w:rPr>
      </w:pPr>
      <w:r w:rsidRPr="72E8964A">
        <w:rPr>
          <w:rFonts w:ascii="Times New Roman" w:hAnsi="Times New Roman" w:cs="Times New Roman"/>
          <w:noProof/>
          <w:sz w:val="24"/>
          <w:szCs w:val="24"/>
          <w:lang w:val="en-GB"/>
        </w:rPr>
        <w:t>The threshold of expansion (%) is estimated by comparing the default minimum CO</w:t>
      </w:r>
      <w:r w:rsidRPr="72E8964A">
        <w:rPr>
          <w:rFonts w:ascii="Times New Roman" w:hAnsi="Times New Roman" w:cs="Times New Roman"/>
          <w:noProof/>
          <w:sz w:val="24"/>
          <w:szCs w:val="24"/>
          <w:vertAlign w:val="subscript"/>
          <w:lang w:val="en-GB"/>
        </w:rPr>
        <w:t>2</w:t>
      </w:r>
      <w:r w:rsidRPr="72E8964A">
        <w:rPr>
          <w:rFonts w:ascii="Times New Roman" w:hAnsi="Times New Roman" w:cs="Times New Roman"/>
          <w:noProof/>
          <w:sz w:val="24"/>
          <w:szCs w:val="24"/>
          <w:lang w:val="en-GB"/>
        </w:rPr>
        <w:t xml:space="preserve"> savings (in CO</w:t>
      </w:r>
      <w:r w:rsidRPr="72E8964A">
        <w:rPr>
          <w:rFonts w:ascii="Times New Roman" w:hAnsi="Times New Roman" w:cs="Times New Roman"/>
          <w:noProof/>
          <w:sz w:val="24"/>
          <w:szCs w:val="24"/>
          <w:vertAlign w:val="subscript"/>
          <w:lang w:val="en-GB"/>
        </w:rPr>
        <w:t>2</w:t>
      </w:r>
      <w:r w:rsidRPr="72E8964A">
        <w:rPr>
          <w:rFonts w:ascii="Times New Roman" w:hAnsi="Times New Roman" w:cs="Times New Roman"/>
          <w:noProof/>
          <w:sz w:val="24"/>
          <w:szCs w:val="24"/>
          <w:lang w:val="en-GB"/>
        </w:rPr>
        <w:t>/MJ) to the calculated indirect GHG emissions (in CO</w:t>
      </w:r>
      <w:r w:rsidRPr="72E8964A">
        <w:rPr>
          <w:rFonts w:ascii="Times New Roman" w:hAnsi="Times New Roman" w:cs="Times New Roman"/>
          <w:noProof/>
          <w:sz w:val="24"/>
          <w:szCs w:val="24"/>
          <w:vertAlign w:val="subscript"/>
          <w:lang w:val="en-GB"/>
        </w:rPr>
        <w:t>2</w:t>
      </w:r>
      <w:r w:rsidRPr="72E8964A">
        <w:rPr>
          <w:rFonts w:ascii="Times New Roman" w:hAnsi="Times New Roman" w:cs="Times New Roman"/>
          <w:noProof/>
          <w:sz w:val="24"/>
          <w:szCs w:val="24"/>
          <w:lang w:val="en-GB"/>
        </w:rPr>
        <w:t>/MJ) due to the expansion of feedstock into high carbon stock land</w:t>
      </w:r>
      <w:r w:rsidR="005109CB" w:rsidRPr="72E8964A">
        <w:rPr>
          <w:rFonts w:ascii="Times New Roman" w:hAnsi="Times New Roman" w:cs="Times New Roman"/>
          <w:noProof/>
          <w:sz w:val="24"/>
          <w:szCs w:val="24"/>
          <w:lang w:val="en-GB"/>
        </w:rPr>
        <w:t xml:space="preserve">. </w:t>
      </w:r>
      <w:r w:rsidRPr="72E8964A">
        <w:rPr>
          <w:rFonts w:ascii="Times New Roman" w:hAnsi="Times New Roman" w:cs="Times New Roman"/>
          <w:noProof/>
          <w:sz w:val="24"/>
          <w:szCs w:val="24"/>
          <w:lang w:val="en-GB"/>
        </w:rPr>
        <w:t>Previously, a 14% expansion threshold was identified based on specific GHG savings and energy yield inputs</w:t>
      </w:r>
      <w:r w:rsidR="00E25B17">
        <w:rPr>
          <w:rFonts w:ascii="Times New Roman" w:hAnsi="Times New Roman" w:cs="Times New Roman"/>
          <w:noProof/>
          <w:sz w:val="24"/>
          <w:szCs w:val="24"/>
          <w:lang w:val="en-GB"/>
        </w:rPr>
        <w:t>. A</w:t>
      </w:r>
      <w:r w:rsidRPr="72E8964A">
        <w:rPr>
          <w:rFonts w:ascii="Times New Roman" w:hAnsi="Times New Roman" w:cs="Times New Roman"/>
          <w:noProof/>
          <w:sz w:val="24"/>
          <w:szCs w:val="24"/>
          <w:lang w:val="en-GB"/>
        </w:rPr>
        <w:t>pplying a 30% precautionary discount factor</w:t>
      </w:r>
      <w:r w:rsidR="004D1F68" w:rsidRPr="72E8964A">
        <w:rPr>
          <w:rFonts w:ascii="Times New Roman" w:hAnsi="Times New Roman" w:cs="Times New Roman"/>
          <w:noProof/>
          <w:sz w:val="24"/>
          <w:szCs w:val="24"/>
          <w:lang w:val="en-GB"/>
        </w:rPr>
        <w:t>, this was</w:t>
      </w:r>
      <w:r w:rsidRPr="72E8964A">
        <w:rPr>
          <w:rFonts w:ascii="Times New Roman" w:hAnsi="Times New Roman" w:cs="Times New Roman"/>
          <w:noProof/>
          <w:sz w:val="24"/>
          <w:szCs w:val="24"/>
          <w:lang w:val="en-GB"/>
        </w:rPr>
        <w:t xml:space="preserve"> reduced to 10%, as set </w:t>
      </w:r>
      <w:r w:rsidR="00E25B17">
        <w:rPr>
          <w:rFonts w:ascii="Times New Roman" w:hAnsi="Times New Roman" w:cs="Times New Roman"/>
          <w:noProof/>
          <w:sz w:val="24"/>
          <w:szCs w:val="24"/>
          <w:lang w:val="en-GB"/>
        </w:rPr>
        <w:t xml:space="preserve">out </w:t>
      </w:r>
      <w:r w:rsidR="004D1F68" w:rsidRPr="72E8964A">
        <w:rPr>
          <w:rFonts w:ascii="Times New Roman" w:hAnsi="Times New Roman" w:cs="Times New Roman"/>
          <w:noProof/>
          <w:sz w:val="24"/>
          <w:szCs w:val="24"/>
          <w:lang w:val="en-GB"/>
        </w:rPr>
        <w:t xml:space="preserve">in Article 3 of </w:t>
      </w:r>
      <w:r w:rsidR="6C23FFCE" w:rsidRPr="72E8964A">
        <w:rPr>
          <w:rFonts w:ascii="Times New Roman" w:hAnsi="Times New Roman" w:cs="Times New Roman"/>
          <w:noProof/>
          <w:sz w:val="24"/>
          <w:szCs w:val="24"/>
          <w:lang w:val="en-GB"/>
        </w:rPr>
        <w:t>the ILUC Delegated Regulation</w:t>
      </w:r>
      <w:r w:rsidRPr="72E8964A">
        <w:rPr>
          <w:rFonts w:ascii="Times New Roman" w:hAnsi="Times New Roman" w:cs="Times New Roman"/>
          <w:noProof/>
          <w:sz w:val="24"/>
          <w:szCs w:val="24"/>
          <w:lang w:val="en-GB"/>
        </w:rPr>
        <w:t xml:space="preserve">. </w:t>
      </w:r>
      <w:r w:rsidR="00AE2920" w:rsidRPr="72E8964A">
        <w:rPr>
          <w:rFonts w:ascii="Times New Roman" w:hAnsi="Times New Roman" w:cs="Times New Roman"/>
          <w:noProof/>
          <w:sz w:val="24"/>
          <w:szCs w:val="24"/>
          <w:lang w:val="en-GB"/>
        </w:rPr>
        <w:t>This</w:t>
      </w:r>
      <w:r w:rsidRPr="72E8964A">
        <w:rPr>
          <w:rFonts w:ascii="Times New Roman" w:hAnsi="Times New Roman" w:cs="Times New Roman"/>
          <w:noProof/>
          <w:sz w:val="24"/>
          <w:szCs w:val="24"/>
          <w:lang w:val="en-GB"/>
        </w:rPr>
        <w:t xml:space="preserve"> threshold </w:t>
      </w:r>
      <w:r w:rsidR="00AE2920" w:rsidRPr="72E8964A">
        <w:rPr>
          <w:rFonts w:ascii="Times New Roman" w:hAnsi="Times New Roman" w:cs="Times New Roman"/>
          <w:noProof/>
          <w:sz w:val="24"/>
          <w:szCs w:val="24"/>
          <w:lang w:val="en-GB"/>
        </w:rPr>
        <w:t xml:space="preserve">was recalculated </w:t>
      </w:r>
      <w:r w:rsidRPr="72E8964A">
        <w:rPr>
          <w:rFonts w:ascii="Times New Roman" w:hAnsi="Times New Roman" w:cs="Times New Roman"/>
          <w:noProof/>
          <w:sz w:val="24"/>
          <w:szCs w:val="24"/>
          <w:lang w:val="en-GB"/>
        </w:rPr>
        <w:t>using updated inputs</w:t>
      </w:r>
      <w:r w:rsidR="00AE2920" w:rsidRPr="72E8964A">
        <w:rPr>
          <w:rFonts w:ascii="Times New Roman" w:hAnsi="Times New Roman" w:cs="Times New Roman"/>
          <w:noProof/>
          <w:sz w:val="24"/>
          <w:szCs w:val="24"/>
          <w:lang w:val="en-GB"/>
        </w:rPr>
        <w:t xml:space="preserve">, i.e. </w:t>
      </w:r>
      <w:r w:rsidRPr="72E8964A">
        <w:rPr>
          <w:rFonts w:ascii="Times New Roman" w:hAnsi="Times New Roman" w:cs="Times New Roman"/>
          <w:noProof/>
          <w:sz w:val="24"/>
          <w:szCs w:val="24"/>
          <w:lang w:val="en-GB"/>
        </w:rPr>
        <w:t>a higher average GHG emission rate of 25 tCO2/ha/yr and an adjusted energy yield of 53.6 GJ/ha/y</w:t>
      </w:r>
      <w:r w:rsidR="00A737B8" w:rsidRPr="72E8964A">
        <w:rPr>
          <w:rFonts w:ascii="Times New Roman" w:hAnsi="Times New Roman" w:cs="Times New Roman"/>
          <w:noProof/>
          <w:sz w:val="24"/>
          <w:szCs w:val="24"/>
          <w:lang w:val="en-GB"/>
        </w:rPr>
        <w:t xml:space="preserve">r, </w:t>
      </w:r>
      <w:r w:rsidRPr="72E8964A">
        <w:rPr>
          <w:rFonts w:ascii="Times New Roman" w:hAnsi="Times New Roman" w:cs="Times New Roman"/>
          <w:noProof/>
          <w:sz w:val="24"/>
          <w:szCs w:val="24"/>
          <w:lang w:val="en-GB"/>
        </w:rPr>
        <w:t xml:space="preserve">resulting in a new threshold of 11.0%, </w:t>
      </w:r>
      <w:r w:rsidR="00A737B8" w:rsidRPr="72E8964A">
        <w:rPr>
          <w:rFonts w:ascii="Times New Roman" w:hAnsi="Times New Roman" w:cs="Times New Roman"/>
          <w:noProof/>
          <w:sz w:val="24"/>
          <w:szCs w:val="24"/>
          <w:lang w:val="en-GB"/>
        </w:rPr>
        <w:t xml:space="preserve">which </w:t>
      </w:r>
      <w:r w:rsidR="00E74E61">
        <w:rPr>
          <w:rFonts w:ascii="Times New Roman" w:hAnsi="Times New Roman" w:cs="Times New Roman"/>
          <w:noProof/>
          <w:sz w:val="24"/>
          <w:szCs w:val="24"/>
          <w:lang w:val="en-GB"/>
        </w:rPr>
        <w:t>confirm</w:t>
      </w:r>
      <w:r w:rsidR="001F1B62">
        <w:rPr>
          <w:rFonts w:ascii="Times New Roman" w:hAnsi="Times New Roman" w:cs="Times New Roman"/>
          <w:noProof/>
          <w:sz w:val="24"/>
          <w:szCs w:val="24"/>
          <w:lang w:val="en-GB"/>
        </w:rPr>
        <w:t>s</w:t>
      </w:r>
      <w:r w:rsidR="00E74E61">
        <w:rPr>
          <w:rFonts w:ascii="Times New Roman" w:hAnsi="Times New Roman" w:cs="Times New Roman"/>
          <w:noProof/>
          <w:sz w:val="24"/>
          <w:szCs w:val="24"/>
          <w:lang w:val="en-GB"/>
        </w:rPr>
        <w:t xml:space="preserve"> </w:t>
      </w:r>
      <w:r w:rsidR="001F1B62">
        <w:rPr>
          <w:rFonts w:ascii="Times New Roman" w:hAnsi="Times New Roman" w:cs="Times New Roman"/>
          <w:noProof/>
          <w:sz w:val="24"/>
          <w:szCs w:val="24"/>
          <w:lang w:val="en-GB"/>
        </w:rPr>
        <w:t xml:space="preserve">the choice of </w:t>
      </w:r>
      <w:r w:rsidR="00A737B8" w:rsidRPr="72E8964A">
        <w:rPr>
          <w:rFonts w:ascii="Times New Roman" w:hAnsi="Times New Roman" w:cs="Times New Roman"/>
          <w:noProof/>
          <w:sz w:val="24"/>
          <w:szCs w:val="24"/>
          <w:lang w:val="en-GB"/>
        </w:rPr>
        <w:t xml:space="preserve">the 10% threshold. </w:t>
      </w:r>
    </w:p>
    <w:p w14:paraId="4EE49651" w14:textId="2348A3F0" w:rsidR="005D36CE" w:rsidRPr="00D937A1" w:rsidRDefault="00484E4C" w:rsidP="006E112B">
      <w:pPr>
        <w:jc w:val="both"/>
        <w:rPr>
          <w:rFonts w:ascii="Times New Roman" w:eastAsia="Times New Roman" w:hAnsi="Times New Roman" w:cs="Times New Roman"/>
          <w:i/>
          <w:noProof/>
          <w:sz w:val="24"/>
          <w:szCs w:val="24"/>
        </w:rPr>
      </w:pPr>
      <w:bookmarkStart w:id="7" w:name="_Toc149826817"/>
      <w:r w:rsidRPr="00D937A1">
        <w:rPr>
          <w:rFonts w:ascii="Times New Roman" w:eastAsia="Times New Roman" w:hAnsi="Times New Roman" w:cs="Times New Roman"/>
          <w:i/>
          <w:noProof/>
          <w:sz w:val="24"/>
          <w:szCs w:val="24"/>
        </w:rPr>
        <w:t xml:space="preserve">Average energy yield per feedstock </w:t>
      </w:r>
      <w:bookmarkEnd w:id="7"/>
    </w:p>
    <w:p w14:paraId="1B773E2B" w14:textId="69CEB719" w:rsidR="005D36CE" w:rsidRPr="00D937A1" w:rsidRDefault="003B55FD" w:rsidP="00D937A1">
      <w:pPr>
        <w:jc w:val="both"/>
        <w:rPr>
          <w:rFonts w:ascii="Times New Roman" w:hAnsi="Times New Roman" w:cs="Times New Roman"/>
          <w:noProof/>
          <w:sz w:val="24"/>
          <w:szCs w:val="24"/>
          <w:lang w:val="en-GB"/>
        </w:rPr>
      </w:pPr>
      <w:r w:rsidRPr="003B55FD">
        <w:rPr>
          <w:rFonts w:ascii="Times New Roman" w:hAnsi="Times New Roman" w:cs="Times New Roman"/>
          <w:noProof/>
          <w:sz w:val="24"/>
          <w:szCs w:val="24"/>
          <w:lang w:val="en-GB"/>
        </w:rPr>
        <w:t xml:space="preserve">The average energy yield of each feedstock crop was calculated through </w:t>
      </w:r>
      <w:r w:rsidR="00CA4148">
        <w:rPr>
          <w:rFonts w:ascii="Times New Roman" w:hAnsi="Times New Roman" w:cs="Times New Roman"/>
          <w:noProof/>
          <w:sz w:val="24"/>
          <w:szCs w:val="24"/>
          <w:lang w:val="en-GB"/>
        </w:rPr>
        <w:t>an</w:t>
      </w:r>
      <w:r w:rsidRPr="003B55FD">
        <w:rPr>
          <w:rFonts w:ascii="Times New Roman" w:hAnsi="Times New Roman" w:cs="Times New Roman"/>
          <w:noProof/>
          <w:sz w:val="24"/>
          <w:szCs w:val="24"/>
          <w:lang w:val="en-GB"/>
        </w:rPr>
        <w:t xml:space="preserve"> approach</w:t>
      </w:r>
      <w:r w:rsidR="00CA4148">
        <w:rPr>
          <w:rFonts w:ascii="Times New Roman" w:hAnsi="Times New Roman" w:cs="Times New Roman"/>
          <w:noProof/>
          <w:sz w:val="24"/>
          <w:szCs w:val="24"/>
          <w:lang w:val="en-GB"/>
        </w:rPr>
        <w:t xml:space="preserve"> consisting of four steps. </w:t>
      </w:r>
      <w:r w:rsidR="00BA5771">
        <w:rPr>
          <w:rFonts w:ascii="Times New Roman" w:hAnsi="Times New Roman" w:cs="Times New Roman"/>
          <w:noProof/>
          <w:sz w:val="24"/>
          <w:szCs w:val="24"/>
          <w:lang w:val="en-GB"/>
        </w:rPr>
        <w:t>First,</w:t>
      </w:r>
      <w:r w:rsidRPr="003B55FD">
        <w:rPr>
          <w:rFonts w:ascii="Times New Roman" w:hAnsi="Times New Roman" w:cs="Times New Roman"/>
          <w:noProof/>
          <w:sz w:val="24"/>
          <w:szCs w:val="24"/>
          <w:lang w:val="en-GB"/>
        </w:rPr>
        <w:t xml:space="preserve"> the top 10 producing countries </w:t>
      </w:r>
      <w:r w:rsidR="00252FA2">
        <w:rPr>
          <w:rFonts w:ascii="Times New Roman" w:hAnsi="Times New Roman" w:cs="Times New Roman"/>
          <w:noProof/>
          <w:sz w:val="24"/>
          <w:szCs w:val="24"/>
          <w:lang w:val="en-GB"/>
        </w:rPr>
        <w:t xml:space="preserve">per feedstock </w:t>
      </w:r>
      <w:r w:rsidRPr="003B55FD">
        <w:rPr>
          <w:rFonts w:ascii="Times New Roman" w:hAnsi="Times New Roman" w:cs="Times New Roman"/>
          <w:noProof/>
          <w:sz w:val="24"/>
          <w:szCs w:val="24"/>
          <w:lang w:val="en-GB"/>
        </w:rPr>
        <w:t>annually</w:t>
      </w:r>
      <w:r w:rsidR="00252FA2">
        <w:rPr>
          <w:rFonts w:ascii="Times New Roman" w:hAnsi="Times New Roman" w:cs="Times New Roman"/>
          <w:noProof/>
          <w:sz w:val="24"/>
          <w:szCs w:val="24"/>
          <w:lang w:val="en-GB"/>
        </w:rPr>
        <w:t xml:space="preserve"> were identified,</w:t>
      </w:r>
      <w:r w:rsidRPr="003B55FD">
        <w:rPr>
          <w:rFonts w:ascii="Times New Roman" w:hAnsi="Times New Roman" w:cs="Times New Roman"/>
          <w:noProof/>
          <w:sz w:val="24"/>
          <w:szCs w:val="24"/>
          <w:lang w:val="en-GB"/>
        </w:rPr>
        <w:t xml:space="preserve"> and their contribution percentages</w:t>
      </w:r>
      <w:r w:rsidR="00252FA2">
        <w:rPr>
          <w:rFonts w:ascii="Times New Roman" w:hAnsi="Times New Roman" w:cs="Times New Roman"/>
          <w:noProof/>
          <w:sz w:val="24"/>
          <w:szCs w:val="24"/>
          <w:lang w:val="en-GB"/>
        </w:rPr>
        <w:t xml:space="preserve"> were determined</w:t>
      </w:r>
      <w:r w:rsidRPr="003B55FD">
        <w:rPr>
          <w:rFonts w:ascii="Times New Roman" w:hAnsi="Times New Roman" w:cs="Times New Roman"/>
          <w:noProof/>
          <w:sz w:val="24"/>
          <w:szCs w:val="24"/>
          <w:lang w:val="en-GB"/>
        </w:rPr>
        <w:t xml:space="preserve">. </w:t>
      </w:r>
      <w:r w:rsidR="00430497">
        <w:rPr>
          <w:rFonts w:ascii="Times New Roman" w:hAnsi="Times New Roman" w:cs="Times New Roman"/>
          <w:noProof/>
          <w:sz w:val="24"/>
          <w:szCs w:val="24"/>
          <w:lang w:val="en-GB"/>
        </w:rPr>
        <w:t xml:space="preserve">Then, </w:t>
      </w:r>
      <w:r w:rsidRPr="003B55FD">
        <w:rPr>
          <w:rFonts w:ascii="Times New Roman" w:hAnsi="Times New Roman" w:cs="Times New Roman"/>
          <w:noProof/>
          <w:sz w:val="24"/>
          <w:szCs w:val="24"/>
          <w:lang w:val="en-GB"/>
        </w:rPr>
        <w:t xml:space="preserve">FAOstat yield data provided the basis for calculating the average crop yield for these </w:t>
      </w:r>
      <w:r w:rsidR="001D08DA">
        <w:rPr>
          <w:rFonts w:ascii="Times New Roman" w:hAnsi="Times New Roman" w:cs="Times New Roman"/>
          <w:noProof/>
          <w:sz w:val="24"/>
          <w:szCs w:val="24"/>
          <w:lang w:val="en-GB"/>
        </w:rPr>
        <w:t>10</w:t>
      </w:r>
      <w:r w:rsidRPr="003B55FD">
        <w:rPr>
          <w:rFonts w:ascii="Times New Roman" w:hAnsi="Times New Roman" w:cs="Times New Roman"/>
          <w:noProof/>
          <w:sz w:val="24"/>
          <w:szCs w:val="24"/>
          <w:lang w:val="en-GB"/>
        </w:rPr>
        <w:t xml:space="preserve"> countries each year. </w:t>
      </w:r>
      <w:r w:rsidR="00430497">
        <w:rPr>
          <w:rFonts w:ascii="Times New Roman" w:hAnsi="Times New Roman" w:cs="Times New Roman"/>
          <w:noProof/>
          <w:sz w:val="24"/>
          <w:szCs w:val="24"/>
          <w:lang w:val="en-GB"/>
        </w:rPr>
        <w:t>As a third step, u</w:t>
      </w:r>
      <w:r w:rsidRPr="003B55FD">
        <w:rPr>
          <w:rFonts w:ascii="Times New Roman" w:hAnsi="Times New Roman" w:cs="Times New Roman"/>
          <w:noProof/>
          <w:sz w:val="24"/>
          <w:szCs w:val="24"/>
          <w:lang w:val="en-GB"/>
        </w:rPr>
        <w:t xml:space="preserve">sing this yield, the annual singular energy yield </w:t>
      </w:r>
      <w:r w:rsidR="00477BA7">
        <w:rPr>
          <w:rFonts w:ascii="Times New Roman" w:hAnsi="Times New Roman" w:cs="Times New Roman"/>
          <w:noProof/>
          <w:sz w:val="24"/>
          <w:szCs w:val="24"/>
          <w:lang w:val="en-GB"/>
        </w:rPr>
        <w:t xml:space="preserve">was calculated </w:t>
      </w:r>
      <w:r w:rsidRPr="003B55FD">
        <w:rPr>
          <w:rFonts w:ascii="Times New Roman" w:hAnsi="Times New Roman" w:cs="Times New Roman"/>
          <w:noProof/>
          <w:sz w:val="24"/>
          <w:szCs w:val="24"/>
          <w:lang w:val="en-GB"/>
        </w:rPr>
        <w:t>for each crop</w:t>
      </w:r>
      <w:r w:rsidR="00E64F6D">
        <w:rPr>
          <w:rFonts w:ascii="Times New Roman" w:hAnsi="Times New Roman" w:cs="Times New Roman"/>
          <w:noProof/>
          <w:sz w:val="24"/>
          <w:szCs w:val="24"/>
          <w:lang w:val="en-GB"/>
        </w:rPr>
        <w:t>. Fi</w:t>
      </w:r>
      <w:r w:rsidRPr="003B55FD">
        <w:rPr>
          <w:rFonts w:ascii="Times New Roman" w:hAnsi="Times New Roman" w:cs="Times New Roman"/>
          <w:noProof/>
          <w:sz w:val="24"/>
          <w:szCs w:val="24"/>
          <w:lang w:val="en-GB"/>
        </w:rPr>
        <w:t xml:space="preserve">nally, the average energy yield for the period 2014-2021 was </w:t>
      </w:r>
      <w:r w:rsidR="00325E20">
        <w:rPr>
          <w:rFonts w:ascii="Times New Roman" w:hAnsi="Times New Roman" w:cs="Times New Roman"/>
          <w:noProof/>
          <w:sz w:val="24"/>
          <w:szCs w:val="24"/>
          <w:lang w:val="en-GB"/>
        </w:rPr>
        <w:t>calculated</w:t>
      </w:r>
      <w:r w:rsidR="005D36CE">
        <w:rPr>
          <w:rFonts w:ascii="Times New Roman" w:hAnsi="Times New Roman" w:cs="Times New Roman"/>
          <w:noProof/>
          <w:sz w:val="24"/>
          <w:szCs w:val="24"/>
          <w:lang w:val="en-GB"/>
        </w:rPr>
        <w:t xml:space="preserve">, as shown in Table </w:t>
      </w:r>
      <w:r w:rsidR="0075589F">
        <w:rPr>
          <w:rFonts w:ascii="Times New Roman" w:hAnsi="Times New Roman" w:cs="Times New Roman"/>
          <w:noProof/>
          <w:sz w:val="24"/>
          <w:szCs w:val="24"/>
          <w:lang w:val="en-GB"/>
        </w:rPr>
        <w:t>3</w:t>
      </w:r>
      <w:r w:rsidR="005D36CE">
        <w:rPr>
          <w:rFonts w:ascii="Times New Roman" w:hAnsi="Times New Roman" w:cs="Times New Roman"/>
          <w:noProof/>
          <w:sz w:val="24"/>
          <w:szCs w:val="24"/>
          <w:lang w:val="en-GB"/>
        </w:rPr>
        <w:t xml:space="preserve">. </w:t>
      </w:r>
    </w:p>
    <w:p w14:paraId="4898C88B" w14:textId="520DF5BF" w:rsidR="005D36CE" w:rsidRPr="005D36CE" w:rsidRDefault="005D36CE" w:rsidP="005D36CE">
      <w:pPr>
        <w:keepNext/>
        <w:keepLines/>
        <w:spacing w:after="120" w:line="240" w:lineRule="auto"/>
        <w:jc w:val="center"/>
        <w:rPr>
          <w:rFonts w:ascii="Arial" w:eastAsia="Times New Roman" w:hAnsi="Arial" w:cs="Arial"/>
          <w:b/>
          <w:bCs/>
          <w:noProof/>
          <w:szCs w:val="20"/>
          <w:lang w:val="en-GB"/>
        </w:rPr>
      </w:pPr>
    </w:p>
    <w:tbl>
      <w:tblPr>
        <w:tblStyle w:val="EnergyReportTable2"/>
        <w:tblW w:w="5000" w:type="pct"/>
        <w:jc w:val="center"/>
        <w:tblInd w:w="0" w:type="dxa"/>
        <w:tblLook w:val="04A0" w:firstRow="1" w:lastRow="0" w:firstColumn="1" w:lastColumn="0" w:noHBand="0" w:noVBand="1"/>
      </w:tblPr>
      <w:tblGrid>
        <w:gridCol w:w="891"/>
        <w:gridCol w:w="811"/>
        <w:gridCol w:w="868"/>
        <w:gridCol w:w="948"/>
        <w:gridCol w:w="1163"/>
        <w:gridCol w:w="1081"/>
        <w:gridCol w:w="1049"/>
        <w:gridCol w:w="1081"/>
        <w:gridCol w:w="1134"/>
      </w:tblGrid>
      <w:tr w:rsidR="005D36CE" w:rsidRPr="005D36CE" w14:paraId="1DFD50C1" w14:textId="77777777" w:rsidTr="005D36CE">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494" w:type="pct"/>
            <w:shd w:val="clear" w:color="auto" w:fill="93D500"/>
            <w:hideMark/>
          </w:tcPr>
          <w:p w14:paraId="28525CEE" w14:textId="77777777" w:rsidR="005D36CE" w:rsidRPr="005D36CE" w:rsidRDefault="005D36CE" w:rsidP="005D36CE">
            <w:pPr>
              <w:keepNext/>
              <w:keepLines/>
              <w:spacing w:after="0"/>
              <w:jc w:val="center"/>
              <w:rPr>
                <w:noProof/>
                <w:sz w:val="18"/>
                <w:szCs w:val="18"/>
                <w:lang w:val="en-GB"/>
              </w:rPr>
            </w:pPr>
            <w:r w:rsidRPr="005D36CE">
              <w:rPr>
                <w:noProof/>
                <w:sz w:val="18"/>
                <w:szCs w:val="18"/>
                <w:lang w:val="en-GB"/>
              </w:rPr>
              <w:t>Period</w:t>
            </w:r>
          </w:p>
        </w:tc>
        <w:tc>
          <w:tcPr>
            <w:tcW w:w="449" w:type="pct"/>
            <w:shd w:val="clear" w:color="auto" w:fill="93D500"/>
            <w:hideMark/>
          </w:tcPr>
          <w:p w14:paraId="7AC3E788"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Wheat</w:t>
            </w:r>
          </w:p>
        </w:tc>
        <w:tc>
          <w:tcPr>
            <w:tcW w:w="481" w:type="pct"/>
            <w:shd w:val="clear" w:color="auto" w:fill="93D500"/>
            <w:hideMark/>
          </w:tcPr>
          <w:p w14:paraId="48963AC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Maize</w:t>
            </w:r>
          </w:p>
        </w:tc>
        <w:tc>
          <w:tcPr>
            <w:tcW w:w="525" w:type="pct"/>
            <w:shd w:val="clear" w:color="auto" w:fill="93D500"/>
            <w:hideMark/>
          </w:tcPr>
          <w:p w14:paraId="4659AD3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Sugar cane</w:t>
            </w:r>
          </w:p>
        </w:tc>
        <w:tc>
          <w:tcPr>
            <w:tcW w:w="644" w:type="pct"/>
            <w:shd w:val="clear" w:color="auto" w:fill="93D500"/>
            <w:hideMark/>
          </w:tcPr>
          <w:p w14:paraId="79564D3F"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Sugar beet</w:t>
            </w:r>
          </w:p>
        </w:tc>
        <w:tc>
          <w:tcPr>
            <w:tcW w:w="599" w:type="pct"/>
            <w:shd w:val="clear" w:color="auto" w:fill="93D500"/>
            <w:hideMark/>
          </w:tcPr>
          <w:p w14:paraId="7EDE744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Rapeseed</w:t>
            </w:r>
          </w:p>
        </w:tc>
        <w:tc>
          <w:tcPr>
            <w:tcW w:w="581" w:type="pct"/>
            <w:shd w:val="clear" w:color="auto" w:fill="93D500"/>
            <w:hideMark/>
          </w:tcPr>
          <w:p w14:paraId="371FB484"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Oil palm fruit</w:t>
            </w:r>
          </w:p>
        </w:tc>
        <w:tc>
          <w:tcPr>
            <w:tcW w:w="599" w:type="pct"/>
            <w:shd w:val="clear" w:color="auto" w:fill="93D500"/>
            <w:hideMark/>
          </w:tcPr>
          <w:p w14:paraId="565CF502"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Soybeans</w:t>
            </w:r>
          </w:p>
        </w:tc>
        <w:tc>
          <w:tcPr>
            <w:tcW w:w="629" w:type="pct"/>
            <w:shd w:val="clear" w:color="auto" w:fill="93D500"/>
            <w:hideMark/>
          </w:tcPr>
          <w:p w14:paraId="47302B6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Sunflower seed</w:t>
            </w:r>
          </w:p>
        </w:tc>
      </w:tr>
      <w:tr w:rsidR="005D36CE" w:rsidRPr="005D36CE" w14:paraId="264FA9CA" w14:textId="77777777" w:rsidTr="005D36CE">
        <w:trPr>
          <w:cnfStyle w:val="000000100000" w:firstRow="0" w:lastRow="0" w:firstColumn="0" w:lastColumn="0" w:oddVBand="0" w:evenVBand="0" w:oddHBand="1" w:evenHBand="0" w:firstRowFirstColumn="0" w:firstRowLastColumn="0" w:lastRowFirstColumn="0" w:lastRowLastColumn="0"/>
          <w:cantSplit/>
          <w:trHeight w:val="259"/>
          <w:jc w:val="center"/>
        </w:trPr>
        <w:tc>
          <w:tcPr>
            <w:cnfStyle w:val="001000000000" w:firstRow="0" w:lastRow="0" w:firstColumn="1" w:lastColumn="0" w:oddVBand="0" w:evenVBand="0" w:oddHBand="0" w:evenHBand="0" w:firstRowFirstColumn="0" w:firstRowLastColumn="0" w:lastRowFirstColumn="0" w:lastRowLastColumn="0"/>
            <w:tcW w:w="494" w:type="pct"/>
            <w:tcBorders>
              <w:top w:val="single" w:sz="4" w:space="0" w:color="DCDDDE"/>
              <w:left w:val="nil"/>
              <w:bottom w:val="single" w:sz="8" w:space="0" w:color="555759"/>
              <w:right w:val="nil"/>
            </w:tcBorders>
            <w:hideMark/>
          </w:tcPr>
          <w:p w14:paraId="1A0FC326" w14:textId="77777777" w:rsidR="005D36CE" w:rsidRPr="005D36CE" w:rsidRDefault="005D36CE" w:rsidP="005D36CE">
            <w:pPr>
              <w:keepNext/>
              <w:keepLines/>
              <w:spacing w:after="0"/>
              <w:rPr>
                <w:noProof/>
                <w:sz w:val="18"/>
                <w:szCs w:val="18"/>
                <w:lang w:val="en-GB"/>
              </w:rPr>
            </w:pPr>
            <w:r w:rsidRPr="005D36CE">
              <w:rPr>
                <w:noProof/>
                <w:sz w:val="18"/>
                <w:szCs w:val="18"/>
                <w:lang w:val="en-GB"/>
              </w:rPr>
              <w:t>2014-2021</w:t>
            </w:r>
          </w:p>
        </w:tc>
        <w:tc>
          <w:tcPr>
            <w:tcW w:w="449" w:type="pct"/>
            <w:tcBorders>
              <w:top w:val="single" w:sz="4" w:space="0" w:color="DCDDDE"/>
              <w:left w:val="nil"/>
              <w:bottom w:val="single" w:sz="8" w:space="0" w:color="555759"/>
              <w:right w:val="nil"/>
            </w:tcBorders>
            <w:hideMark/>
          </w:tcPr>
          <w:p w14:paraId="69BE43C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32</w:t>
            </w:r>
          </w:p>
        </w:tc>
        <w:tc>
          <w:tcPr>
            <w:tcW w:w="481" w:type="pct"/>
            <w:tcBorders>
              <w:top w:val="single" w:sz="4" w:space="0" w:color="DCDDDE"/>
              <w:left w:val="nil"/>
              <w:bottom w:val="single" w:sz="8" w:space="0" w:color="555759"/>
              <w:right w:val="nil"/>
            </w:tcBorders>
            <w:hideMark/>
          </w:tcPr>
          <w:p w14:paraId="433ADAE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62</w:t>
            </w:r>
          </w:p>
        </w:tc>
        <w:tc>
          <w:tcPr>
            <w:tcW w:w="525" w:type="pct"/>
            <w:tcBorders>
              <w:top w:val="single" w:sz="4" w:space="0" w:color="DCDDDE"/>
              <w:left w:val="nil"/>
              <w:bottom w:val="single" w:sz="8" w:space="0" w:color="555759"/>
              <w:right w:val="nil"/>
            </w:tcBorders>
            <w:hideMark/>
          </w:tcPr>
          <w:p w14:paraId="43EC667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144</w:t>
            </w:r>
          </w:p>
        </w:tc>
        <w:tc>
          <w:tcPr>
            <w:tcW w:w="644" w:type="pct"/>
            <w:tcBorders>
              <w:top w:val="single" w:sz="4" w:space="0" w:color="DCDDDE"/>
              <w:left w:val="nil"/>
              <w:bottom w:val="single" w:sz="8" w:space="0" w:color="555759"/>
              <w:right w:val="nil"/>
            </w:tcBorders>
            <w:hideMark/>
          </w:tcPr>
          <w:p w14:paraId="5F23FD48"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133</w:t>
            </w:r>
          </w:p>
        </w:tc>
        <w:tc>
          <w:tcPr>
            <w:tcW w:w="599" w:type="pct"/>
            <w:tcBorders>
              <w:top w:val="single" w:sz="4" w:space="0" w:color="DCDDDE"/>
              <w:left w:val="nil"/>
              <w:bottom w:val="single" w:sz="8" w:space="0" w:color="555759"/>
              <w:right w:val="nil"/>
            </w:tcBorders>
            <w:hideMark/>
          </w:tcPr>
          <w:p w14:paraId="02B89E62"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32</w:t>
            </w:r>
          </w:p>
        </w:tc>
        <w:tc>
          <w:tcPr>
            <w:tcW w:w="581" w:type="pct"/>
            <w:tcBorders>
              <w:top w:val="single" w:sz="4" w:space="0" w:color="DCDDDE"/>
              <w:left w:val="nil"/>
              <w:bottom w:val="single" w:sz="8" w:space="0" w:color="555759"/>
              <w:right w:val="nil"/>
            </w:tcBorders>
            <w:hideMark/>
          </w:tcPr>
          <w:p w14:paraId="7FA0C64D"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132</w:t>
            </w:r>
          </w:p>
        </w:tc>
        <w:tc>
          <w:tcPr>
            <w:tcW w:w="599" w:type="pct"/>
            <w:tcBorders>
              <w:top w:val="single" w:sz="4" w:space="0" w:color="DCDDDE"/>
              <w:left w:val="nil"/>
              <w:bottom w:val="single" w:sz="8" w:space="0" w:color="555759"/>
              <w:right w:val="nil"/>
            </w:tcBorders>
            <w:hideMark/>
          </w:tcPr>
          <w:p w14:paraId="55E47AB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19</w:t>
            </w:r>
          </w:p>
        </w:tc>
        <w:tc>
          <w:tcPr>
            <w:tcW w:w="629" w:type="pct"/>
            <w:tcBorders>
              <w:top w:val="single" w:sz="4" w:space="0" w:color="DCDDDE"/>
              <w:left w:val="nil"/>
              <w:bottom w:val="single" w:sz="8" w:space="0" w:color="555759"/>
              <w:right w:val="nil"/>
            </w:tcBorders>
            <w:hideMark/>
          </w:tcPr>
          <w:p w14:paraId="3944FAA0"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30</w:t>
            </w:r>
          </w:p>
        </w:tc>
      </w:tr>
    </w:tbl>
    <w:p w14:paraId="126E24B5" w14:textId="04A9504D" w:rsidR="005D36CE" w:rsidRPr="00D937A1" w:rsidRDefault="00484E4C" w:rsidP="006E112B">
      <w:pPr>
        <w:jc w:val="both"/>
        <w:rPr>
          <w:rFonts w:ascii="Times New Roman" w:eastAsia="Times New Roman" w:hAnsi="Times New Roman" w:cs="Times New Roman"/>
          <w:i/>
          <w:noProof/>
          <w:sz w:val="20"/>
          <w:szCs w:val="20"/>
        </w:rPr>
      </w:pPr>
      <w:r w:rsidRPr="00D937A1">
        <w:rPr>
          <w:rFonts w:ascii="Times New Roman" w:eastAsia="Times New Roman" w:hAnsi="Times New Roman" w:cs="Times New Roman"/>
          <w:i/>
          <w:noProof/>
          <w:sz w:val="20"/>
          <w:szCs w:val="20"/>
        </w:rPr>
        <w:t xml:space="preserve">Table </w:t>
      </w:r>
      <w:r w:rsidR="0075589F">
        <w:rPr>
          <w:rFonts w:ascii="Times New Roman" w:eastAsia="Times New Roman" w:hAnsi="Times New Roman" w:cs="Times New Roman"/>
          <w:i/>
          <w:noProof/>
          <w:sz w:val="20"/>
          <w:szCs w:val="20"/>
        </w:rPr>
        <w:t>3</w:t>
      </w:r>
      <w:r w:rsidR="00F06A77" w:rsidRPr="00D937A1">
        <w:rPr>
          <w:rFonts w:ascii="Times New Roman" w:eastAsia="Times New Roman" w:hAnsi="Times New Roman" w:cs="Times New Roman"/>
          <w:i/>
          <w:noProof/>
          <w:sz w:val="20"/>
          <w:szCs w:val="20"/>
        </w:rPr>
        <w:t>- Average energy yield per feedstock in GJ/ha</w:t>
      </w:r>
    </w:p>
    <w:p w14:paraId="3FF77FA6" w14:textId="0B315442" w:rsidR="00F06A77" w:rsidRDefault="00F06A77" w:rsidP="006E112B">
      <w:pPr>
        <w:jc w:val="both"/>
        <w:rPr>
          <w:rFonts w:ascii="Times New Roman" w:hAnsi="Times New Roman" w:cs="Times New Roman"/>
          <w:i/>
          <w:iCs/>
          <w:noProof/>
          <w:sz w:val="24"/>
          <w:szCs w:val="24"/>
          <w:lang w:val="en-GB"/>
        </w:rPr>
      </w:pPr>
      <w:r>
        <w:rPr>
          <w:rFonts w:ascii="Times New Roman" w:hAnsi="Times New Roman" w:cs="Times New Roman"/>
          <w:i/>
          <w:iCs/>
          <w:noProof/>
          <w:sz w:val="24"/>
          <w:szCs w:val="24"/>
          <w:lang w:val="en-GB"/>
        </w:rPr>
        <w:t>Productivity Factors</w:t>
      </w:r>
    </w:p>
    <w:p w14:paraId="519F65E2" w14:textId="78B5327E" w:rsidR="00F06A77" w:rsidRDefault="00EB4080" w:rsidP="006E112B">
      <w:pPr>
        <w:jc w:val="both"/>
        <w:rPr>
          <w:rFonts w:ascii="Times New Roman" w:hAnsi="Times New Roman" w:cs="Times New Roman"/>
          <w:noProof/>
          <w:sz w:val="24"/>
          <w:szCs w:val="24"/>
          <w:lang w:val="en-GB"/>
        </w:rPr>
      </w:pPr>
      <w:r w:rsidRPr="5FA26339">
        <w:rPr>
          <w:rFonts w:ascii="Times New Roman" w:hAnsi="Times New Roman" w:cs="Times New Roman"/>
          <w:noProof/>
          <w:sz w:val="24"/>
          <w:szCs w:val="24"/>
          <w:lang w:val="en-GB"/>
        </w:rPr>
        <w:t>T</w:t>
      </w:r>
      <w:r w:rsidR="3508001E" w:rsidRPr="5FA26339">
        <w:rPr>
          <w:rFonts w:ascii="Times New Roman" w:hAnsi="Times New Roman" w:cs="Times New Roman"/>
          <w:noProof/>
          <w:sz w:val="24"/>
          <w:szCs w:val="24"/>
          <w:lang w:val="en-GB"/>
        </w:rPr>
        <w:t>he productivity factors for various crops were calculated by</w:t>
      </w:r>
      <w:r w:rsidR="00D61600" w:rsidRPr="5FA26339">
        <w:rPr>
          <w:rFonts w:ascii="Times New Roman" w:hAnsi="Times New Roman" w:cs="Times New Roman"/>
          <w:noProof/>
          <w:sz w:val="24"/>
          <w:szCs w:val="24"/>
          <w:lang w:val="en-GB"/>
        </w:rPr>
        <w:t>,</w:t>
      </w:r>
      <w:r w:rsidR="3508001E" w:rsidRPr="5FA26339">
        <w:rPr>
          <w:rFonts w:ascii="Times New Roman" w:hAnsi="Times New Roman" w:cs="Times New Roman"/>
          <w:noProof/>
          <w:sz w:val="24"/>
          <w:szCs w:val="24"/>
          <w:lang w:val="en-GB"/>
        </w:rPr>
        <w:t xml:space="preserve"> first, determining the average yield per hectare for each crop for the period from 2014 to 2021, expressed in tonnes per hectare. Next, the total energy of all allocated materials per unit crop weight was calculated, taking into account all traded products, along with any losses, such as those occurring during transport. </w:t>
      </w:r>
      <w:r w:rsidR="00954215" w:rsidRPr="5FA26339">
        <w:rPr>
          <w:rFonts w:ascii="Times New Roman" w:hAnsi="Times New Roman" w:cs="Times New Roman"/>
          <w:noProof/>
          <w:sz w:val="24"/>
          <w:szCs w:val="24"/>
          <w:lang w:val="en-GB"/>
        </w:rPr>
        <w:t>Then</w:t>
      </w:r>
      <w:r w:rsidR="3508001E" w:rsidRPr="5FA26339">
        <w:rPr>
          <w:rFonts w:ascii="Times New Roman" w:hAnsi="Times New Roman" w:cs="Times New Roman"/>
          <w:noProof/>
          <w:sz w:val="24"/>
          <w:szCs w:val="24"/>
          <w:lang w:val="en-GB"/>
        </w:rPr>
        <w:t xml:space="preserve">, the energy of all allocated materials was calculated for a planted hectare over a span of 20 years. Finally, the </w:t>
      </w:r>
      <w:r w:rsidR="13F60814" w:rsidRPr="5FA26339">
        <w:rPr>
          <w:rFonts w:ascii="Times New Roman" w:hAnsi="Times New Roman" w:cs="Times New Roman"/>
          <w:noProof/>
          <w:sz w:val="24"/>
          <w:szCs w:val="24"/>
          <w:lang w:val="en-GB"/>
        </w:rPr>
        <w:t>p</w:t>
      </w:r>
      <w:r w:rsidR="3508001E" w:rsidRPr="5FA26339">
        <w:rPr>
          <w:rFonts w:ascii="Times New Roman" w:hAnsi="Times New Roman" w:cs="Times New Roman"/>
          <w:noProof/>
          <w:sz w:val="24"/>
          <w:szCs w:val="24"/>
          <w:lang w:val="en-GB"/>
        </w:rPr>
        <w:t xml:space="preserve">roductivity </w:t>
      </w:r>
      <w:r w:rsidR="55006205" w:rsidRPr="5FA26339">
        <w:rPr>
          <w:rFonts w:ascii="Times New Roman" w:hAnsi="Times New Roman" w:cs="Times New Roman"/>
          <w:noProof/>
          <w:sz w:val="24"/>
          <w:szCs w:val="24"/>
          <w:lang w:val="en-GB"/>
        </w:rPr>
        <w:t>f</w:t>
      </w:r>
      <w:r w:rsidR="3508001E" w:rsidRPr="5FA26339">
        <w:rPr>
          <w:rFonts w:ascii="Times New Roman" w:hAnsi="Times New Roman" w:cs="Times New Roman"/>
          <w:noProof/>
          <w:sz w:val="24"/>
          <w:szCs w:val="24"/>
          <w:lang w:val="en-GB"/>
        </w:rPr>
        <w:t>actor for each crop was derived by indexing the calculated energy values</w:t>
      </w:r>
      <w:r w:rsidR="6F4FF616" w:rsidRPr="5FA26339">
        <w:rPr>
          <w:rFonts w:ascii="Times New Roman" w:hAnsi="Times New Roman" w:cs="Times New Roman"/>
          <w:noProof/>
          <w:sz w:val="24"/>
          <w:szCs w:val="24"/>
          <w:lang w:val="en-GB"/>
        </w:rPr>
        <w:t xml:space="preserve"> calculated in the previous step</w:t>
      </w:r>
      <w:r w:rsidR="3508001E" w:rsidRPr="5FA26339">
        <w:rPr>
          <w:rFonts w:ascii="Times New Roman" w:hAnsi="Times New Roman" w:cs="Times New Roman"/>
          <w:noProof/>
          <w:sz w:val="24"/>
          <w:szCs w:val="24"/>
          <w:lang w:val="en-GB"/>
        </w:rPr>
        <w:t xml:space="preserve">. </w:t>
      </w:r>
      <w:r w:rsidR="00DD6FC0" w:rsidRPr="5FA26339">
        <w:rPr>
          <w:rFonts w:ascii="Times New Roman" w:hAnsi="Times New Roman" w:cs="Times New Roman"/>
          <w:noProof/>
          <w:sz w:val="24"/>
          <w:szCs w:val="24"/>
          <w:lang w:val="en-GB"/>
        </w:rPr>
        <w:t>The values calculated as part of th</w:t>
      </w:r>
      <w:r w:rsidR="00525DB2" w:rsidRPr="5FA26339">
        <w:rPr>
          <w:rFonts w:ascii="Times New Roman" w:hAnsi="Times New Roman" w:cs="Times New Roman"/>
          <w:noProof/>
          <w:sz w:val="24"/>
          <w:szCs w:val="24"/>
          <w:lang w:val="en-GB"/>
        </w:rPr>
        <w:t>e Guidehouse</w:t>
      </w:r>
      <w:r w:rsidR="00DD6FC0" w:rsidRPr="5FA26339">
        <w:rPr>
          <w:rFonts w:ascii="Times New Roman" w:hAnsi="Times New Roman" w:cs="Times New Roman"/>
          <w:noProof/>
          <w:sz w:val="24"/>
          <w:szCs w:val="24"/>
          <w:lang w:val="en-GB"/>
        </w:rPr>
        <w:t xml:space="preserve"> study</w:t>
      </w:r>
      <w:r w:rsidR="7E95B479" w:rsidRPr="5FA26339">
        <w:rPr>
          <w:rFonts w:ascii="Times New Roman" w:hAnsi="Times New Roman" w:cs="Times New Roman"/>
          <w:noProof/>
          <w:sz w:val="24"/>
          <w:szCs w:val="24"/>
          <w:lang w:val="en-GB"/>
        </w:rPr>
        <w:t xml:space="preserve"> </w:t>
      </w:r>
      <w:r w:rsidR="00DD6FC0" w:rsidRPr="5FA26339">
        <w:rPr>
          <w:rFonts w:ascii="Times New Roman" w:hAnsi="Times New Roman" w:cs="Times New Roman"/>
          <w:noProof/>
          <w:sz w:val="24"/>
          <w:szCs w:val="24"/>
          <w:lang w:val="en-GB"/>
        </w:rPr>
        <w:t>closely followed the values provided in the Commission 2019 ILUC report</w:t>
      </w:r>
      <w:r w:rsidR="004971D5">
        <w:rPr>
          <w:rFonts w:ascii="Times New Roman" w:hAnsi="Times New Roman" w:cs="Times New Roman"/>
          <w:noProof/>
          <w:sz w:val="24"/>
          <w:szCs w:val="24"/>
          <w:lang w:val="en-GB"/>
        </w:rPr>
        <w:t>.</w:t>
      </w:r>
      <w:r w:rsidR="002B100E" w:rsidRPr="00E425A8">
        <w:rPr>
          <w:rFonts w:ascii="Times New Roman" w:hAnsi="Times New Roman"/>
          <w:noProof/>
          <w:sz w:val="24"/>
        </w:rPr>
        <w:t xml:space="preserve"> </w:t>
      </w:r>
      <w:r w:rsidR="004971D5">
        <w:rPr>
          <w:rFonts w:ascii="Times New Roman" w:hAnsi="Times New Roman" w:cs="Times New Roman"/>
          <w:noProof/>
          <w:sz w:val="24"/>
          <w:szCs w:val="24"/>
          <w:lang w:val="en-GB"/>
        </w:rPr>
        <w:t>M</w:t>
      </w:r>
      <w:r w:rsidR="00D95C05" w:rsidRPr="5FA26339">
        <w:rPr>
          <w:rFonts w:ascii="Times New Roman" w:hAnsi="Times New Roman" w:cs="Times New Roman"/>
          <w:noProof/>
          <w:sz w:val="24"/>
          <w:szCs w:val="24"/>
          <w:lang w:val="en-GB"/>
        </w:rPr>
        <w:t>aize, sugar cane</w:t>
      </w:r>
      <w:r w:rsidR="00071727" w:rsidRPr="5FA26339">
        <w:rPr>
          <w:rFonts w:ascii="Times New Roman" w:hAnsi="Times New Roman" w:cs="Times New Roman"/>
          <w:noProof/>
          <w:sz w:val="24"/>
          <w:szCs w:val="24"/>
          <w:lang w:val="en-GB"/>
        </w:rPr>
        <w:t>, sugar beet and oil palm</w:t>
      </w:r>
      <w:r w:rsidR="004971D5">
        <w:rPr>
          <w:rFonts w:ascii="Times New Roman" w:hAnsi="Times New Roman" w:cs="Times New Roman"/>
          <w:noProof/>
          <w:sz w:val="24"/>
          <w:szCs w:val="24"/>
          <w:lang w:val="en-GB"/>
        </w:rPr>
        <w:t xml:space="preserve"> were found to have significantly higher yields than other crops, which justifies </w:t>
      </w:r>
      <w:r w:rsidR="004971D5" w:rsidRPr="5FA26339">
        <w:rPr>
          <w:rFonts w:ascii="Times New Roman" w:hAnsi="Times New Roman" w:cs="Times New Roman"/>
          <w:noProof/>
          <w:sz w:val="24"/>
          <w:szCs w:val="24"/>
          <w:lang w:val="en-GB"/>
        </w:rPr>
        <w:t xml:space="preserve">continuing applying </w:t>
      </w:r>
      <w:r w:rsidR="004971D5">
        <w:rPr>
          <w:rFonts w:ascii="Times New Roman" w:hAnsi="Times New Roman" w:cs="Times New Roman"/>
          <w:noProof/>
          <w:sz w:val="24"/>
          <w:szCs w:val="24"/>
          <w:lang w:val="en-GB"/>
        </w:rPr>
        <w:t xml:space="preserve">higher </w:t>
      </w:r>
      <w:r w:rsidR="004971D5" w:rsidRPr="5FA26339">
        <w:rPr>
          <w:rFonts w:ascii="Times New Roman" w:hAnsi="Times New Roman" w:cs="Times New Roman"/>
          <w:noProof/>
          <w:sz w:val="24"/>
          <w:szCs w:val="24"/>
          <w:lang w:val="en-GB"/>
        </w:rPr>
        <w:t xml:space="preserve">productivity factors for </w:t>
      </w:r>
      <w:r w:rsidR="004971D5">
        <w:rPr>
          <w:rFonts w:ascii="Times New Roman" w:hAnsi="Times New Roman" w:cs="Times New Roman"/>
          <w:noProof/>
          <w:sz w:val="24"/>
          <w:szCs w:val="24"/>
          <w:lang w:val="en-GB"/>
        </w:rPr>
        <w:t>these</w:t>
      </w:r>
      <w:r w:rsidR="004971D5" w:rsidRPr="5FA26339">
        <w:rPr>
          <w:rFonts w:ascii="Times New Roman" w:hAnsi="Times New Roman" w:cs="Times New Roman"/>
          <w:noProof/>
          <w:sz w:val="24"/>
          <w:szCs w:val="24"/>
          <w:lang w:val="en-GB"/>
        </w:rPr>
        <w:t xml:space="preserve"> crops</w:t>
      </w:r>
      <w:r w:rsidR="00071727" w:rsidRPr="5FA26339">
        <w:rPr>
          <w:rFonts w:ascii="Times New Roman" w:hAnsi="Times New Roman" w:cs="Times New Roman"/>
          <w:noProof/>
          <w:sz w:val="24"/>
          <w:szCs w:val="24"/>
          <w:lang w:val="en-GB"/>
        </w:rPr>
        <w:t xml:space="preserve">. </w:t>
      </w:r>
    </w:p>
    <w:tbl>
      <w:tblPr>
        <w:tblStyle w:val="EnergyReportTable3"/>
        <w:tblpPr w:leftFromText="180" w:rightFromText="180" w:vertAnchor="text" w:horzAnchor="margin" w:tblpY="351"/>
        <w:tblW w:w="3862" w:type="pct"/>
        <w:tblInd w:w="0" w:type="dxa"/>
        <w:tblLook w:val="04A0" w:firstRow="1" w:lastRow="0" w:firstColumn="1" w:lastColumn="0" w:noHBand="0" w:noVBand="1"/>
      </w:tblPr>
      <w:tblGrid>
        <w:gridCol w:w="2086"/>
        <w:gridCol w:w="2831"/>
        <w:gridCol w:w="2055"/>
      </w:tblGrid>
      <w:tr w:rsidR="00092F1B" w:rsidRPr="004B76D2" w14:paraId="682654B3" w14:textId="77777777" w:rsidTr="00092F1B">
        <w:trPr>
          <w:cnfStyle w:val="100000000000" w:firstRow="1" w:lastRow="0" w:firstColumn="0" w:lastColumn="0" w:oddVBand="0" w:evenVBand="0" w:oddHBand="0" w:evenHBand="0" w:firstRowFirstColumn="0" w:firstRowLastColumn="0" w:lastRowFirstColumn="0" w:lastRowLastColumn="0"/>
          <w:cantSplit/>
          <w:trHeight w:val="624"/>
        </w:trPr>
        <w:tc>
          <w:tcPr>
            <w:cnfStyle w:val="001000000000" w:firstRow="0" w:lastRow="0" w:firstColumn="1" w:lastColumn="0" w:oddVBand="0" w:evenVBand="0" w:oddHBand="0" w:evenHBand="0" w:firstRowFirstColumn="0" w:firstRowLastColumn="0" w:lastRowFirstColumn="0" w:lastRowLastColumn="0"/>
            <w:tcW w:w="1496" w:type="pct"/>
            <w:shd w:val="clear" w:color="auto" w:fill="93D500"/>
            <w:hideMark/>
          </w:tcPr>
          <w:p w14:paraId="65EBD9DC" w14:textId="77777777" w:rsidR="00092F1B" w:rsidRPr="004B76D2" w:rsidRDefault="00092F1B" w:rsidP="00092F1B">
            <w:pPr>
              <w:spacing w:after="0"/>
              <w:rPr>
                <w:noProof/>
                <w:sz w:val="18"/>
                <w:szCs w:val="16"/>
                <w:lang w:val="en-GB"/>
              </w:rPr>
            </w:pPr>
            <w:r w:rsidRPr="004B76D2">
              <w:rPr>
                <w:noProof/>
                <w:sz w:val="18"/>
                <w:szCs w:val="16"/>
                <w:lang w:val="en-GB"/>
              </w:rPr>
              <w:t>Crop</w:t>
            </w:r>
          </w:p>
        </w:tc>
        <w:tc>
          <w:tcPr>
            <w:tcW w:w="2030" w:type="pct"/>
            <w:shd w:val="clear" w:color="auto" w:fill="93D500"/>
            <w:hideMark/>
          </w:tcPr>
          <w:p w14:paraId="2411ADCE"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lang w:val="en-GB"/>
              </w:rPr>
            </w:pPr>
            <w:r w:rsidRPr="004B76D2">
              <w:rPr>
                <w:noProof/>
                <w:sz w:val="18"/>
                <w:szCs w:val="16"/>
                <w:lang w:val="en-GB"/>
              </w:rPr>
              <w:t>PF from Feedstock Expansion report 2008-2017</w:t>
            </w:r>
          </w:p>
        </w:tc>
        <w:tc>
          <w:tcPr>
            <w:tcW w:w="1474" w:type="pct"/>
            <w:shd w:val="clear" w:color="auto" w:fill="93D500"/>
            <w:hideMark/>
          </w:tcPr>
          <w:p w14:paraId="55458C5B"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lang w:val="en-GB"/>
              </w:rPr>
            </w:pPr>
            <w:r w:rsidRPr="004B76D2">
              <w:rPr>
                <w:noProof/>
                <w:sz w:val="18"/>
                <w:szCs w:val="16"/>
                <w:lang w:val="en-GB"/>
              </w:rPr>
              <w:t>PF from this analysis 2014-2021</w:t>
            </w:r>
          </w:p>
        </w:tc>
      </w:tr>
      <w:tr w:rsidR="00092F1B" w:rsidRPr="004B76D2" w14:paraId="41F84FCF"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218C4879"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Wheat</w:t>
            </w:r>
          </w:p>
        </w:tc>
        <w:tc>
          <w:tcPr>
            <w:tcW w:w="2030" w:type="pct"/>
            <w:tcBorders>
              <w:top w:val="single" w:sz="4" w:space="0" w:color="DCDDDE"/>
              <w:left w:val="nil"/>
              <w:bottom w:val="single" w:sz="4" w:space="0" w:color="DCDDDE"/>
              <w:right w:val="nil"/>
            </w:tcBorders>
            <w:noWrap/>
            <w:hideMark/>
          </w:tcPr>
          <w:p w14:paraId="1DC4FD9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4" w:space="0" w:color="DCDDDE"/>
              <w:right w:val="nil"/>
            </w:tcBorders>
            <w:noWrap/>
            <w:hideMark/>
          </w:tcPr>
          <w:p w14:paraId="29411CBD" w14:textId="5CE671B7"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Pr>
                <w:rFonts w:cs="Arial"/>
                <w:noProof/>
                <w:sz w:val="18"/>
                <w:szCs w:val="16"/>
                <w:lang w:val="en-IE"/>
              </w:rPr>
              <w:t>0.9</w:t>
            </w:r>
          </w:p>
        </w:tc>
      </w:tr>
      <w:tr w:rsidR="00092F1B" w:rsidRPr="004B76D2" w14:paraId="36D15844"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E1A872C"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Maize</w:t>
            </w:r>
          </w:p>
        </w:tc>
        <w:tc>
          <w:tcPr>
            <w:tcW w:w="2030" w:type="pct"/>
            <w:tcBorders>
              <w:top w:val="single" w:sz="4" w:space="0" w:color="DCDDDE"/>
              <w:left w:val="nil"/>
              <w:bottom w:val="single" w:sz="4" w:space="0" w:color="DCDDDE"/>
              <w:right w:val="nil"/>
            </w:tcBorders>
            <w:noWrap/>
            <w:hideMark/>
          </w:tcPr>
          <w:p w14:paraId="0AC08E0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1.7</w:t>
            </w:r>
          </w:p>
        </w:tc>
        <w:tc>
          <w:tcPr>
            <w:tcW w:w="1474" w:type="pct"/>
            <w:tcBorders>
              <w:top w:val="single" w:sz="4" w:space="0" w:color="DCDDDE"/>
              <w:left w:val="nil"/>
              <w:bottom w:val="single" w:sz="4" w:space="0" w:color="DCDDDE"/>
              <w:right w:val="nil"/>
            </w:tcBorders>
            <w:noWrap/>
            <w:hideMark/>
          </w:tcPr>
          <w:p w14:paraId="18169EA8"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2.0</w:t>
            </w:r>
          </w:p>
        </w:tc>
      </w:tr>
      <w:tr w:rsidR="00092F1B" w:rsidRPr="004B76D2" w14:paraId="78B48F48"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1833FC40"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Sugar cane</w:t>
            </w:r>
          </w:p>
        </w:tc>
        <w:tc>
          <w:tcPr>
            <w:tcW w:w="2030" w:type="pct"/>
            <w:tcBorders>
              <w:top w:val="single" w:sz="4" w:space="0" w:color="DCDDDE"/>
              <w:left w:val="nil"/>
              <w:bottom w:val="single" w:sz="4" w:space="0" w:color="DCDDDE"/>
              <w:right w:val="nil"/>
            </w:tcBorders>
            <w:noWrap/>
            <w:hideMark/>
          </w:tcPr>
          <w:p w14:paraId="1D60EB09"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2.2</w:t>
            </w:r>
          </w:p>
        </w:tc>
        <w:tc>
          <w:tcPr>
            <w:tcW w:w="1474" w:type="pct"/>
            <w:tcBorders>
              <w:top w:val="single" w:sz="4" w:space="0" w:color="DCDDDE"/>
              <w:left w:val="nil"/>
              <w:bottom w:val="single" w:sz="4" w:space="0" w:color="DCDDDE"/>
              <w:right w:val="nil"/>
            </w:tcBorders>
            <w:noWrap/>
            <w:hideMark/>
          </w:tcPr>
          <w:p w14:paraId="2A256C32"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1.9</w:t>
            </w:r>
          </w:p>
        </w:tc>
      </w:tr>
      <w:tr w:rsidR="00092F1B" w:rsidRPr="004B76D2" w14:paraId="389EF429"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1E9A42F"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Sugar beet</w:t>
            </w:r>
          </w:p>
        </w:tc>
        <w:tc>
          <w:tcPr>
            <w:tcW w:w="2030" w:type="pct"/>
            <w:tcBorders>
              <w:top w:val="single" w:sz="4" w:space="0" w:color="DCDDDE"/>
              <w:left w:val="nil"/>
              <w:bottom w:val="single" w:sz="4" w:space="0" w:color="DCDDDE"/>
              <w:right w:val="nil"/>
            </w:tcBorders>
            <w:noWrap/>
            <w:hideMark/>
          </w:tcPr>
          <w:p w14:paraId="3B4C6F9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3.2</w:t>
            </w:r>
          </w:p>
        </w:tc>
        <w:tc>
          <w:tcPr>
            <w:tcW w:w="1474" w:type="pct"/>
            <w:tcBorders>
              <w:top w:val="single" w:sz="4" w:space="0" w:color="DCDDDE"/>
              <w:left w:val="nil"/>
              <w:bottom w:val="single" w:sz="4" w:space="0" w:color="DCDDDE"/>
              <w:right w:val="nil"/>
            </w:tcBorders>
            <w:noWrap/>
            <w:hideMark/>
          </w:tcPr>
          <w:p w14:paraId="7E630AB6"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3.1</w:t>
            </w:r>
          </w:p>
        </w:tc>
      </w:tr>
      <w:tr w:rsidR="00092F1B" w:rsidRPr="004B76D2" w14:paraId="475A3426"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5098F1A"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Rapeseed</w:t>
            </w:r>
          </w:p>
        </w:tc>
        <w:tc>
          <w:tcPr>
            <w:tcW w:w="2030" w:type="pct"/>
            <w:tcBorders>
              <w:top w:val="single" w:sz="4" w:space="0" w:color="DCDDDE"/>
              <w:left w:val="nil"/>
              <w:bottom w:val="single" w:sz="4" w:space="0" w:color="DCDDDE"/>
              <w:right w:val="nil"/>
            </w:tcBorders>
            <w:noWrap/>
            <w:hideMark/>
          </w:tcPr>
          <w:p w14:paraId="1AC3B9DB"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4" w:space="0" w:color="DCDDDE"/>
              <w:right w:val="nil"/>
            </w:tcBorders>
            <w:noWrap/>
            <w:hideMark/>
          </w:tcPr>
          <w:p w14:paraId="61BDBF21" w14:textId="00AD16F8"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Pr>
                <w:rFonts w:cs="Arial"/>
                <w:noProof/>
                <w:sz w:val="18"/>
                <w:szCs w:val="16"/>
                <w:lang w:val="en-GB"/>
              </w:rPr>
              <w:t>0.9</w:t>
            </w:r>
          </w:p>
        </w:tc>
      </w:tr>
      <w:tr w:rsidR="00092F1B" w:rsidRPr="004B76D2" w14:paraId="24E790FA"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A8F6381"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Oil, palm</w:t>
            </w:r>
          </w:p>
        </w:tc>
        <w:tc>
          <w:tcPr>
            <w:tcW w:w="2030" w:type="pct"/>
            <w:tcBorders>
              <w:top w:val="single" w:sz="4" w:space="0" w:color="DCDDDE"/>
              <w:left w:val="nil"/>
              <w:bottom w:val="single" w:sz="4" w:space="0" w:color="DCDDDE"/>
              <w:right w:val="nil"/>
            </w:tcBorders>
            <w:noWrap/>
            <w:hideMark/>
          </w:tcPr>
          <w:p w14:paraId="19E93391"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2.5</w:t>
            </w:r>
          </w:p>
        </w:tc>
        <w:tc>
          <w:tcPr>
            <w:tcW w:w="1474" w:type="pct"/>
            <w:tcBorders>
              <w:top w:val="single" w:sz="4" w:space="0" w:color="DCDDDE"/>
              <w:left w:val="nil"/>
              <w:bottom w:val="single" w:sz="4" w:space="0" w:color="DCDDDE"/>
              <w:right w:val="nil"/>
            </w:tcBorders>
            <w:noWrap/>
            <w:hideMark/>
          </w:tcPr>
          <w:p w14:paraId="226C0424"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2.2</w:t>
            </w:r>
          </w:p>
        </w:tc>
      </w:tr>
      <w:tr w:rsidR="00092F1B" w:rsidRPr="004B76D2" w14:paraId="1ABCD367"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2B18DA0"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Soybeans</w:t>
            </w:r>
          </w:p>
        </w:tc>
        <w:tc>
          <w:tcPr>
            <w:tcW w:w="2030" w:type="pct"/>
            <w:tcBorders>
              <w:top w:val="single" w:sz="4" w:space="0" w:color="DCDDDE"/>
              <w:left w:val="nil"/>
              <w:bottom w:val="single" w:sz="4" w:space="0" w:color="DCDDDE"/>
              <w:right w:val="nil"/>
            </w:tcBorders>
            <w:noWrap/>
            <w:hideMark/>
          </w:tcPr>
          <w:p w14:paraId="509325EA"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4" w:space="0" w:color="DCDDDE"/>
              <w:right w:val="nil"/>
            </w:tcBorders>
            <w:noWrap/>
            <w:hideMark/>
          </w:tcPr>
          <w:p w14:paraId="3822665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1.0</w:t>
            </w:r>
          </w:p>
        </w:tc>
      </w:tr>
      <w:tr w:rsidR="00092F1B" w:rsidRPr="004B76D2" w14:paraId="2F08EFE1"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8" w:space="0" w:color="555759"/>
              <w:right w:val="nil"/>
            </w:tcBorders>
            <w:noWrap/>
            <w:hideMark/>
          </w:tcPr>
          <w:p w14:paraId="5906C7F2"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Sunflower</w:t>
            </w:r>
          </w:p>
        </w:tc>
        <w:tc>
          <w:tcPr>
            <w:tcW w:w="2030" w:type="pct"/>
            <w:tcBorders>
              <w:top w:val="single" w:sz="4" w:space="0" w:color="DCDDDE"/>
              <w:left w:val="nil"/>
              <w:bottom w:val="single" w:sz="8" w:space="0" w:color="555759"/>
              <w:right w:val="nil"/>
            </w:tcBorders>
            <w:noWrap/>
            <w:hideMark/>
          </w:tcPr>
          <w:p w14:paraId="74316B39"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8" w:space="0" w:color="555759"/>
              <w:right w:val="nil"/>
            </w:tcBorders>
            <w:noWrap/>
            <w:hideMark/>
          </w:tcPr>
          <w:p w14:paraId="26EB6185" w14:textId="4F0F15CA" w:rsidR="00092F1B" w:rsidRPr="004B76D2" w:rsidRDefault="006F1A4D"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Pr>
                <w:rFonts w:cs="Arial"/>
                <w:noProof/>
                <w:sz w:val="18"/>
                <w:szCs w:val="16"/>
                <w:lang w:val="en-GB"/>
              </w:rPr>
              <w:t>0.8</w:t>
            </w:r>
          </w:p>
        </w:tc>
      </w:tr>
    </w:tbl>
    <w:p w14:paraId="2B896EEB" w14:textId="77777777" w:rsidR="00092F1B" w:rsidRPr="00F06A77" w:rsidRDefault="00092F1B" w:rsidP="006E112B">
      <w:pPr>
        <w:jc w:val="both"/>
        <w:rPr>
          <w:rFonts w:ascii="Times New Roman" w:hAnsi="Times New Roman" w:cs="Times New Roman"/>
          <w:noProof/>
          <w:sz w:val="24"/>
          <w:szCs w:val="24"/>
          <w:lang w:val="en-GB"/>
        </w:rPr>
      </w:pPr>
    </w:p>
    <w:p w14:paraId="316563DF" w14:textId="301A55CD" w:rsidR="78992165" w:rsidRDefault="78992165" w:rsidP="78992165">
      <w:pPr>
        <w:jc w:val="both"/>
        <w:rPr>
          <w:rFonts w:ascii="Times New Roman" w:hAnsi="Times New Roman" w:cs="Times New Roman"/>
          <w:noProof/>
          <w:sz w:val="24"/>
          <w:szCs w:val="24"/>
          <w:lang w:val="en-GB"/>
        </w:rPr>
      </w:pPr>
    </w:p>
    <w:p w14:paraId="1399E376" w14:textId="77777777" w:rsidR="00092F1B" w:rsidRDefault="00092F1B" w:rsidP="006E112B">
      <w:pPr>
        <w:jc w:val="both"/>
        <w:rPr>
          <w:rFonts w:ascii="Times New Roman" w:hAnsi="Times New Roman" w:cs="Times New Roman"/>
          <w:noProof/>
          <w:sz w:val="24"/>
          <w:szCs w:val="24"/>
          <w:lang w:val="en-GB"/>
        </w:rPr>
      </w:pPr>
    </w:p>
    <w:p w14:paraId="58FF49C3" w14:textId="77777777" w:rsidR="00092F1B" w:rsidRDefault="00092F1B" w:rsidP="006E112B">
      <w:pPr>
        <w:jc w:val="both"/>
        <w:rPr>
          <w:rFonts w:ascii="Times New Roman" w:hAnsi="Times New Roman" w:cs="Times New Roman"/>
          <w:noProof/>
          <w:sz w:val="24"/>
          <w:szCs w:val="24"/>
          <w:lang w:val="en-GB"/>
        </w:rPr>
      </w:pPr>
    </w:p>
    <w:p w14:paraId="0C89F0AF" w14:textId="5BDCF268" w:rsidR="00092F1B" w:rsidRDefault="00092F1B" w:rsidP="006E112B">
      <w:pPr>
        <w:jc w:val="both"/>
        <w:rPr>
          <w:rFonts w:ascii="Times New Roman" w:hAnsi="Times New Roman" w:cs="Times New Roman"/>
          <w:noProof/>
          <w:sz w:val="24"/>
          <w:szCs w:val="24"/>
          <w:lang w:val="en-GB"/>
        </w:rPr>
      </w:pPr>
    </w:p>
    <w:p w14:paraId="7C997C01" w14:textId="77777777" w:rsidR="00092F1B" w:rsidRDefault="00092F1B" w:rsidP="006E112B">
      <w:pPr>
        <w:jc w:val="both"/>
        <w:rPr>
          <w:rFonts w:ascii="Times New Roman" w:hAnsi="Times New Roman" w:cs="Times New Roman"/>
          <w:noProof/>
          <w:sz w:val="24"/>
          <w:szCs w:val="24"/>
          <w:lang w:val="en-GB"/>
        </w:rPr>
      </w:pPr>
    </w:p>
    <w:p w14:paraId="0C568DF2" w14:textId="77777777" w:rsidR="00092F1B" w:rsidRDefault="00092F1B" w:rsidP="006E112B">
      <w:pPr>
        <w:jc w:val="both"/>
        <w:rPr>
          <w:rFonts w:ascii="Times New Roman" w:hAnsi="Times New Roman" w:cs="Times New Roman"/>
          <w:noProof/>
          <w:sz w:val="24"/>
          <w:szCs w:val="24"/>
          <w:lang w:val="en-GB"/>
        </w:rPr>
      </w:pPr>
    </w:p>
    <w:p w14:paraId="46201E08" w14:textId="727B9C52" w:rsidR="00092F1B" w:rsidRPr="00D937A1" w:rsidRDefault="00092F1B" w:rsidP="006E112B">
      <w:pPr>
        <w:jc w:val="both"/>
        <w:rPr>
          <w:rFonts w:ascii="Times New Roman" w:eastAsia="Times New Roman" w:hAnsi="Times New Roman" w:cs="Times New Roman"/>
          <w:i/>
          <w:noProof/>
          <w:sz w:val="20"/>
          <w:szCs w:val="20"/>
        </w:rPr>
      </w:pPr>
      <w:r w:rsidRPr="00770636">
        <w:rPr>
          <w:rFonts w:ascii="Times New Roman" w:eastAsia="Times New Roman" w:hAnsi="Times New Roman" w:cs="Times New Roman"/>
          <w:i/>
          <w:noProof/>
          <w:sz w:val="20"/>
          <w:szCs w:val="20"/>
        </w:rPr>
        <w:t xml:space="preserve">Table </w:t>
      </w:r>
      <w:r w:rsidR="00E103E5">
        <w:rPr>
          <w:rFonts w:ascii="Times New Roman" w:eastAsia="Times New Roman" w:hAnsi="Times New Roman" w:cs="Times New Roman"/>
          <w:i/>
          <w:noProof/>
          <w:sz w:val="20"/>
          <w:szCs w:val="20"/>
        </w:rPr>
        <w:t>4</w:t>
      </w:r>
      <w:r w:rsidRPr="00770636">
        <w:rPr>
          <w:rFonts w:ascii="Times New Roman" w:eastAsia="Times New Roman" w:hAnsi="Times New Roman" w:cs="Times New Roman"/>
          <w:i/>
          <w:noProof/>
          <w:sz w:val="20"/>
          <w:szCs w:val="20"/>
        </w:rPr>
        <w:t xml:space="preserve">- </w:t>
      </w:r>
      <w:r>
        <w:rPr>
          <w:rFonts w:ascii="Times New Roman" w:eastAsia="Times New Roman" w:hAnsi="Times New Roman" w:cs="Times New Roman"/>
          <w:i/>
          <w:noProof/>
          <w:sz w:val="20"/>
          <w:szCs w:val="20"/>
        </w:rPr>
        <w:t>Productivity Factors per crop</w:t>
      </w:r>
    </w:p>
    <w:p w14:paraId="5A0B87E0" w14:textId="731165F0" w:rsidR="002B4DCD" w:rsidRPr="00D937A1" w:rsidRDefault="002B4DCD" w:rsidP="006E112B">
      <w:pPr>
        <w:jc w:val="both"/>
        <w:rPr>
          <w:rFonts w:ascii="Times New Roman" w:hAnsi="Times New Roman" w:cs="Times New Roman"/>
          <w:i/>
          <w:iCs/>
          <w:noProof/>
          <w:sz w:val="24"/>
          <w:szCs w:val="24"/>
          <w:lang w:val="en-GB"/>
        </w:rPr>
      </w:pPr>
      <w:r w:rsidRPr="00D937A1">
        <w:rPr>
          <w:rFonts w:ascii="Times New Roman" w:hAnsi="Times New Roman" w:cs="Times New Roman"/>
          <w:i/>
          <w:iCs/>
          <w:noProof/>
          <w:sz w:val="24"/>
          <w:szCs w:val="24"/>
          <w:lang w:val="en-GB"/>
        </w:rPr>
        <w:t>Final results</w:t>
      </w:r>
    </w:p>
    <w:p w14:paraId="2EC632B2" w14:textId="5A5F11F8" w:rsidR="007C1F5D" w:rsidRPr="00526778" w:rsidRDefault="007C1F5D" w:rsidP="006E112B">
      <w:pPr>
        <w:jc w:val="both"/>
        <w:rPr>
          <w:rFonts w:ascii="Times New Roman" w:hAnsi="Times New Roman" w:cs="Times New Roman"/>
          <w:noProof/>
          <w:sz w:val="24"/>
          <w:szCs w:val="24"/>
          <w:lang w:val="en-GB"/>
        </w:rPr>
      </w:pPr>
      <w:r w:rsidRPr="72E8964A">
        <w:rPr>
          <w:rFonts w:ascii="Times New Roman" w:hAnsi="Times New Roman" w:cs="Times New Roman"/>
          <w:noProof/>
          <w:sz w:val="24"/>
          <w:szCs w:val="24"/>
          <w:lang w:val="en-GB"/>
        </w:rPr>
        <w:t>In t</w:t>
      </w:r>
      <w:r w:rsidR="00C0616C" w:rsidRPr="72E8964A">
        <w:rPr>
          <w:rFonts w:ascii="Times New Roman" w:hAnsi="Times New Roman" w:cs="Times New Roman"/>
          <w:noProof/>
          <w:sz w:val="24"/>
          <w:szCs w:val="24"/>
          <w:lang w:val="en-GB"/>
        </w:rPr>
        <w:t xml:space="preserve">he </w:t>
      </w:r>
      <w:r w:rsidR="348D733F" w:rsidRPr="72E8964A">
        <w:rPr>
          <w:rFonts w:ascii="Times New Roman" w:hAnsi="Times New Roman" w:cs="Times New Roman"/>
          <w:noProof/>
          <w:sz w:val="24"/>
          <w:szCs w:val="24"/>
          <w:lang w:val="en-GB"/>
        </w:rPr>
        <w:t xml:space="preserve">Commission </w:t>
      </w:r>
      <w:r w:rsidR="005E7D28" w:rsidRPr="72E8964A">
        <w:rPr>
          <w:rFonts w:ascii="Times New Roman" w:hAnsi="Times New Roman" w:cs="Times New Roman"/>
          <w:noProof/>
          <w:sz w:val="24"/>
          <w:szCs w:val="24"/>
          <w:lang w:val="en-GB"/>
        </w:rPr>
        <w:t xml:space="preserve">2019 </w:t>
      </w:r>
      <w:r w:rsidR="7DF6B48F" w:rsidRPr="72E8964A">
        <w:rPr>
          <w:rFonts w:ascii="Times New Roman" w:hAnsi="Times New Roman" w:cs="Times New Roman"/>
          <w:noProof/>
          <w:sz w:val="24"/>
          <w:szCs w:val="24"/>
          <w:lang w:val="en-GB"/>
        </w:rPr>
        <w:t xml:space="preserve">ILUC </w:t>
      </w:r>
      <w:r w:rsidR="00C0616C" w:rsidRPr="72E8964A">
        <w:rPr>
          <w:rFonts w:ascii="Times New Roman" w:hAnsi="Times New Roman" w:cs="Times New Roman"/>
          <w:noProof/>
          <w:sz w:val="24"/>
          <w:szCs w:val="24"/>
          <w:lang w:val="en-GB"/>
        </w:rPr>
        <w:t>report</w:t>
      </w:r>
      <w:r w:rsidR="00851288" w:rsidRPr="72E8964A">
        <w:rPr>
          <w:rFonts w:ascii="Times New Roman" w:hAnsi="Times New Roman" w:cs="Times New Roman"/>
          <w:noProof/>
          <w:sz w:val="24"/>
          <w:szCs w:val="24"/>
          <w:lang w:val="en-GB"/>
        </w:rPr>
        <w:t>,</w:t>
      </w:r>
      <w:r w:rsidR="00C0616C" w:rsidRPr="72E8964A">
        <w:rPr>
          <w:rFonts w:ascii="Times New Roman" w:hAnsi="Times New Roman" w:cs="Times New Roman"/>
          <w:noProof/>
          <w:sz w:val="24"/>
          <w:szCs w:val="24"/>
          <w:lang w:val="en-GB"/>
        </w:rPr>
        <w:t xml:space="preserve"> </w:t>
      </w:r>
      <w:r w:rsidRPr="72E8964A">
        <w:rPr>
          <w:rFonts w:ascii="Times New Roman" w:hAnsi="Times New Roman" w:cs="Times New Roman"/>
          <w:noProof/>
          <w:sz w:val="24"/>
          <w:szCs w:val="24"/>
          <w:lang w:val="en-GB"/>
        </w:rPr>
        <w:t>three factors were deemed crucial in determining the ‘significance’ of the</w:t>
      </w:r>
      <w:r w:rsidR="00C0616C" w:rsidRPr="72E8964A">
        <w:rPr>
          <w:rFonts w:ascii="Times New Roman" w:hAnsi="Times New Roman" w:cs="Times New Roman"/>
          <w:noProof/>
          <w:sz w:val="24"/>
          <w:szCs w:val="24"/>
          <w:lang w:val="en-GB"/>
        </w:rPr>
        <w:t xml:space="preserve"> expansion of the production area of </w:t>
      </w:r>
      <w:r w:rsidRPr="72E8964A">
        <w:rPr>
          <w:rFonts w:ascii="Times New Roman" w:hAnsi="Times New Roman" w:cs="Times New Roman"/>
          <w:noProof/>
          <w:sz w:val="24"/>
          <w:szCs w:val="24"/>
          <w:lang w:val="en-GB"/>
        </w:rPr>
        <w:t>a specific</w:t>
      </w:r>
      <w:r w:rsidR="00C0616C" w:rsidRPr="72E8964A">
        <w:rPr>
          <w:rFonts w:ascii="Times New Roman" w:hAnsi="Times New Roman" w:cs="Times New Roman"/>
          <w:noProof/>
          <w:sz w:val="24"/>
          <w:szCs w:val="24"/>
          <w:lang w:val="en-GB"/>
        </w:rPr>
        <w:t xml:space="preserve"> crop i</w:t>
      </w:r>
      <w:r w:rsidRPr="72E8964A">
        <w:rPr>
          <w:rFonts w:ascii="Times New Roman" w:hAnsi="Times New Roman" w:cs="Times New Roman"/>
          <w:noProof/>
          <w:sz w:val="24"/>
          <w:szCs w:val="24"/>
          <w:lang w:val="en-GB"/>
        </w:rPr>
        <w:t xml:space="preserve">nto land with high-carbon stock for the purposes of </w:t>
      </w:r>
      <w:r w:rsidR="6D2E8BFD" w:rsidRPr="72E8964A">
        <w:rPr>
          <w:rFonts w:ascii="Times New Roman" w:hAnsi="Times New Roman" w:cs="Times New Roman"/>
          <w:noProof/>
          <w:sz w:val="24"/>
          <w:szCs w:val="24"/>
          <w:lang w:val="en-GB"/>
        </w:rPr>
        <w:t>the R</w:t>
      </w:r>
      <w:r w:rsidR="67187479" w:rsidRPr="72E8964A">
        <w:rPr>
          <w:rFonts w:ascii="Times New Roman" w:hAnsi="Times New Roman" w:cs="Times New Roman"/>
          <w:noProof/>
          <w:sz w:val="24"/>
          <w:szCs w:val="24"/>
          <w:lang w:val="en-GB"/>
        </w:rPr>
        <w:t>enewable Energy Directive</w:t>
      </w:r>
      <w:r w:rsidR="00012207">
        <w:rPr>
          <w:rFonts w:ascii="Times New Roman" w:hAnsi="Times New Roman" w:cs="Times New Roman"/>
          <w:noProof/>
          <w:sz w:val="24"/>
          <w:szCs w:val="24"/>
          <w:lang w:val="en-GB"/>
        </w:rPr>
        <w:t>:</w:t>
      </w:r>
      <w:r w:rsidR="00851288" w:rsidRPr="72E8964A">
        <w:rPr>
          <w:rFonts w:ascii="Times New Roman" w:hAnsi="Times New Roman" w:cs="Times New Roman"/>
          <w:noProof/>
          <w:sz w:val="24"/>
          <w:szCs w:val="24"/>
          <w:lang w:val="en-GB"/>
        </w:rPr>
        <w:t xml:space="preserve"> </w:t>
      </w:r>
      <w:r w:rsidRPr="72E8964A">
        <w:rPr>
          <w:rFonts w:ascii="Times New Roman" w:hAnsi="Times New Roman" w:cs="Times New Roman"/>
          <w:noProof/>
          <w:sz w:val="24"/>
          <w:szCs w:val="24"/>
          <w:lang w:val="en-GB"/>
        </w:rPr>
        <w:t xml:space="preserve">(a) </w:t>
      </w:r>
      <w:r w:rsidR="00C0616C" w:rsidRPr="72E8964A">
        <w:rPr>
          <w:rFonts w:ascii="Times New Roman" w:hAnsi="Times New Roman" w:cs="Times New Roman"/>
          <w:noProof/>
          <w:sz w:val="24"/>
          <w:szCs w:val="24"/>
          <w:lang w:val="en-GB"/>
        </w:rPr>
        <w:t>the absolute and relative magnitude of the land expansion since a specific reference year compared to the total produc</w:t>
      </w:r>
      <w:r w:rsidRPr="72E8964A">
        <w:rPr>
          <w:rFonts w:ascii="Times New Roman" w:hAnsi="Times New Roman" w:cs="Times New Roman"/>
          <w:noProof/>
          <w:sz w:val="24"/>
          <w:szCs w:val="24"/>
          <w:lang w:val="en-GB"/>
        </w:rPr>
        <w:t xml:space="preserve">tion area of the relevant crop; (b) </w:t>
      </w:r>
      <w:r w:rsidR="00C0616C" w:rsidRPr="72E8964A">
        <w:rPr>
          <w:rFonts w:ascii="Times New Roman" w:hAnsi="Times New Roman" w:cs="Times New Roman"/>
          <w:noProof/>
          <w:sz w:val="24"/>
          <w:szCs w:val="24"/>
          <w:lang w:val="en-GB"/>
        </w:rPr>
        <w:t>the share of this expansion into land with high-carbon stock</w:t>
      </w:r>
      <w:r w:rsidR="00AB58BB">
        <w:rPr>
          <w:rFonts w:ascii="Times New Roman" w:hAnsi="Times New Roman" w:cs="Times New Roman"/>
          <w:noProof/>
          <w:sz w:val="24"/>
          <w:szCs w:val="24"/>
          <w:lang w:val="en-GB"/>
        </w:rPr>
        <w:t>; and</w:t>
      </w:r>
      <w:r w:rsidRPr="72E8964A">
        <w:rPr>
          <w:rFonts w:ascii="Times New Roman" w:hAnsi="Times New Roman" w:cs="Times New Roman"/>
          <w:noProof/>
          <w:sz w:val="24"/>
          <w:szCs w:val="24"/>
          <w:lang w:val="en-GB"/>
        </w:rPr>
        <w:t xml:space="preserve"> (c)</w:t>
      </w:r>
      <w:r w:rsidR="00C0616C" w:rsidRPr="72E8964A">
        <w:rPr>
          <w:rFonts w:ascii="Times New Roman" w:hAnsi="Times New Roman" w:cs="Times New Roman"/>
          <w:noProof/>
          <w:sz w:val="24"/>
          <w:szCs w:val="24"/>
          <w:lang w:val="en-GB"/>
        </w:rPr>
        <w:t xml:space="preserve"> the </w:t>
      </w:r>
      <w:r w:rsidRPr="72E8964A">
        <w:rPr>
          <w:rFonts w:ascii="Times New Roman" w:hAnsi="Times New Roman" w:cs="Times New Roman"/>
          <w:noProof/>
          <w:sz w:val="24"/>
          <w:szCs w:val="24"/>
          <w:lang w:val="en-GB"/>
        </w:rPr>
        <w:t xml:space="preserve">type of high-carbon stock area. </w:t>
      </w:r>
      <w:r w:rsidR="00C0616C" w:rsidRPr="72E8964A">
        <w:rPr>
          <w:rFonts w:ascii="Times New Roman" w:hAnsi="Times New Roman" w:cs="Times New Roman"/>
          <w:noProof/>
          <w:sz w:val="24"/>
          <w:szCs w:val="24"/>
          <w:lang w:val="en-GB"/>
        </w:rPr>
        <w:t>These factors as well as the specific productivity factors for each group of</w:t>
      </w:r>
      <w:r w:rsidRPr="72E8964A">
        <w:rPr>
          <w:rFonts w:ascii="Times New Roman" w:hAnsi="Times New Roman" w:cs="Times New Roman"/>
          <w:noProof/>
          <w:sz w:val="24"/>
          <w:szCs w:val="24"/>
          <w:lang w:val="en-GB"/>
        </w:rPr>
        <w:t xml:space="preserve"> crop were considered when </w:t>
      </w:r>
      <w:r w:rsidR="008243A8" w:rsidRPr="72E8964A">
        <w:rPr>
          <w:rFonts w:ascii="Times New Roman" w:hAnsi="Times New Roman" w:cs="Times New Roman"/>
          <w:noProof/>
          <w:sz w:val="24"/>
          <w:szCs w:val="24"/>
          <w:lang w:val="en-GB"/>
        </w:rPr>
        <w:t xml:space="preserve">setting </w:t>
      </w:r>
      <w:r w:rsidR="008243A8" w:rsidRPr="4738D487">
        <w:rPr>
          <w:rFonts w:ascii="Times New Roman" w:hAnsi="Times New Roman" w:cs="Times New Roman"/>
          <w:noProof/>
          <w:sz w:val="24"/>
          <w:szCs w:val="24"/>
          <w:lang w:val="en-GB"/>
        </w:rPr>
        <w:t>the</w:t>
      </w:r>
      <w:r w:rsidR="008243A8" w:rsidRPr="72E8964A">
        <w:rPr>
          <w:rFonts w:ascii="Times New Roman" w:hAnsi="Times New Roman" w:cs="Times New Roman"/>
          <w:noProof/>
          <w:sz w:val="24"/>
          <w:szCs w:val="24"/>
          <w:lang w:val="en-GB"/>
        </w:rPr>
        <w:t xml:space="preserve"> criteria to determine high ILUC-risk feedstock in </w:t>
      </w:r>
      <w:r w:rsidR="09F1439D" w:rsidRPr="72E8964A">
        <w:rPr>
          <w:rFonts w:ascii="Times New Roman" w:hAnsi="Times New Roman" w:cs="Times New Roman"/>
          <w:noProof/>
          <w:sz w:val="24"/>
          <w:szCs w:val="24"/>
          <w:lang w:val="en-GB"/>
        </w:rPr>
        <w:t>the ILUC Delegated Regulation</w:t>
      </w:r>
      <w:r w:rsidR="008243A8" w:rsidRPr="72E8964A">
        <w:rPr>
          <w:rFonts w:ascii="Times New Roman" w:hAnsi="Times New Roman" w:cs="Times New Roman"/>
          <w:noProof/>
          <w:sz w:val="24"/>
          <w:szCs w:val="24"/>
          <w:lang w:val="en-GB"/>
        </w:rPr>
        <w:t>.</w:t>
      </w:r>
    </w:p>
    <w:p w14:paraId="158C7427" w14:textId="72960586" w:rsidR="00122A63" w:rsidRDefault="00AD2C26" w:rsidP="00C40EEF">
      <w:pPr>
        <w:jc w:val="both"/>
        <w:rPr>
          <w:rFonts w:ascii="Times New Roman" w:hAnsi="Times New Roman" w:cs="Times New Roman"/>
          <w:noProof/>
          <w:sz w:val="24"/>
          <w:szCs w:val="24"/>
          <w:lang w:val="en-GB"/>
        </w:rPr>
      </w:pPr>
      <w:r w:rsidRPr="00526778">
        <w:rPr>
          <w:rFonts w:ascii="Times New Roman" w:hAnsi="Times New Roman" w:cs="Times New Roman"/>
          <w:noProof/>
          <w:sz w:val="24"/>
          <w:szCs w:val="24"/>
          <w:lang w:val="en-GB"/>
        </w:rPr>
        <w:t>The results of the updated analysis can be found in the table below:</w:t>
      </w:r>
      <w:r w:rsidR="004675D7" w:rsidRPr="00526778">
        <w:rPr>
          <w:rFonts w:ascii="Times New Roman" w:hAnsi="Times New Roman" w:cs="Times New Roman"/>
          <w:noProof/>
          <w:sz w:val="24"/>
          <w:szCs w:val="24"/>
          <w:lang w:val="en-GB"/>
        </w:rPr>
        <w:t xml:space="preserve"> </w:t>
      </w:r>
    </w:p>
    <w:tbl>
      <w:tblPr>
        <w:tblW w:w="6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0"/>
        <w:gridCol w:w="1365"/>
        <w:gridCol w:w="1350"/>
        <w:gridCol w:w="1470"/>
        <w:gridCol w:w="1440"/>
      </w:tblGrid>
      <w:tr w:rsidR="009645C7" w:rsidRPr="00526778" w14:paraId="0A2931EB" w14:textId="77777777" w:rsidTr="3F6AB15B">
        <w:trPr>
          <w:trHeight w:val="780"/>
        </w:trPr>
        <w:tc>
          <w:tcPr>
            <w:tcW w:w="1200" w:type="dxa"/>
            <w:tcBorders>
              <w:top w:val="nil"/>
              <w:left w:val="nil"/>
              <w:bottom w:val="single" w:sz="12" w:space="0" w:color="95D600"/>
              <w:right w:val="nil"/>
            </w:tcBorders>
            <w:shd w:val="clear" w:color="auto" w:fill="93D500"/>
            <w:vAlign w:val="center"/>
            <w:hideMark/>
          </w:tcPr>
          <w:p w14:paraId="59D9D60C"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Crop</w:t>
            </w:r>
            <w:r w:rsidRPr="00D937A1">
              <w:rPr>
                <w:rFonts w:ascii="Times New Roman" w:eastAsia="Times New Roman" w:hAnsi="Times New Roman" w:cs="Times New Roman"/>
                <w:b/>
                <w:bCs/>
                <w:noProof/>
                <w:sz w:val="18"/>
                <w:szCs w:val="18"/>
                <w:lang w:val="en-IE" w:eastAsia="en-IE"/>
              </w:rPr>
              <w:t> </w:t>
            </w:r>
          </w:p>
        </w:tc>
        <w:tc>
          <w:tcPr>
            <w:tcW w:w="1365" w:type="dxa"/>
            <w:tcBorders>
              <w:top w:val="nil"/>
              <w:left w:val="nil"/>
              <w:bottom w:val="single" w:sz="12" w:space="0" w:color="95D600"/>
              <w:right w:val="nil"/>
            </w:tcBorders>
            <w:shd w:val="clear" w:color="auto" w:fill="93D500"/>
            <w:vAlign w:val="center"/>
            <w:hideMark/>
          </w:tcPr>
          <w:p w14:paraId="14F567A6"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Share of expansion forest</w:t>
            </w:r>
            <w:r w:rsidRPr="00D937A1">
              <w:rPr>
                <w:rFonts w:ascii="Times New Roman" w:eastAsia="Times New Roman" w:hAnsi="Times New Roman" w:cs="Times New Roman"/>
                <w:b/>
                <w:bCs/>
                <w:noProof/>
                <w:sz w:val="18"/>
                <w:szCs w:val="18"/>
                <w:lang w:val="en-IE" w:eastAsia="en-IE"/>
              </w:rPr>
              <w:t> </w:t>
            </w:r>
          </w:p>
        </w:tc>
        <w:tc>
          <w:tcPr>
            <w:tcW w:w="1350" w:type="dxa"/>
            <w:tcBorders>
              <w:top w:val="nil"/>
              <w:left w:val="nil"/>
              <w:bottom w:val="single" w:sz="12" w:space="0" w:color="95D600"/>
              <w:right w:val="nil"/>
            </w:tcBorders>
            <w:shd w:val="clear" w:color="auto" w:fill="93D500"/>
            <w:vAlign w:val="center"/>
            <w:hideMark/>
          </w:tcPr>
          <w:p w14:paraId="25960441"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Share of expansion peat</w:t>
            </w:r>
            <w:r w:rsidRPr="00D937A1">
              <w:rPr>
                <w:rFonts w:ascii="Times New Roman" w:eastAsia="Times New Roman" w:hAnsi="Times New Roman" w:cs="Times New Roman"/>
                <w:b/>
                <w:bCs/>
                <w:noProof/>
                <w:sz w:val="18"/>
                <w:szCs w:val="18"/>
                <w:lang w:val="en-IE" w:eastAsia="en-IE"/>
              </w:rPr>
              <w:t> </w:t>
            </w:r>
          </w:p>
        </w:tc>
        <w:tc>
          <w:tcPr>
            <w:tcW w:w="1470" w:type="dxa"/>
            <w:tcBorders>
              <w:top w:val="nil"/>
              <w:left w:val="nil"/>
              <w:bottom w:val="single" w:sz="12" w:space="0" w:color="95D600"/>
              <w:right w:val="nil"/>
            </w:tcBorders>
            <w:shd w:val="clear" w:color="auto" w:fill="93D500"/>
            <w:vAlign w:val="center"/>
            <w:hideMark/>
          </w:tcPr>
          <w:p w14:paraId="06FF71ED"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Average annual expansion (kha)</w:t>
            </w:r>
            <w:r w:rsidRPr="00D937A1">
              <w:rPr>
                <w:rFonts w:ascii="Times New Roman" w:eastAsia="Times New Roman" w:hAnsi="Times New Roman" w:cs="Times New Roman"/>
                <w:b/>
                <w:bCs/>
                <w:noProof/>
                <w:sz w:val="18"/>
                <w:szCs w:val="18"/>
                <w:lang w:val="en-IE" w:eastAsia="en-IE"/>
              </w:rPr>
              <w:t> </w:t>
            </w:r>
          </w:p>
        </w:tc>
        <w:tc>
          <w:tcPr>
            <w:tcW w:w="1440" w:type="dxa"/>
            <w:tcBorders>
              <w:top w:val="nil"/>
              <w:left w:val="nil"/>
              <w:bottom w:val="single" w:sz="12" w:space="0" w:color="95D600"/>
              <w:right w:val="nil"/>
            </w:tcBorders>
            <w:shd w:val="clear" w:color="auto" w:fill="93D500"/>
            <w:vAlign w:val="center"/>
            <w:hideMark/>
          </w:tcPr>
          <w:p w14:paraId="10C25450"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Average annual expansion (%)</w:t>
            </w:r>
            <w:r w:rsidRPr="00D937A1">
              <w:rPr>
                <w:rFonts w:ascii="Times New Roman" w:eastAsia="Times New Roman" w:hAnsi="Times New Roman" w:cs="Times New Roman"/>
                <w:b/>
                <w:bCs/>
                <w:noProof/>
                <w:sz w:val="18"/>
                <w:szCs w:val="18"/>
                <w:lang w:val="en-IE" w:eastAsia="en-IE"/>
              </w:rPr>
              <w:t> </w:t>
            </w:r>
          </w:p>
        </w:tc>
      </w:tr>
      <w:tr w:rsidR="00322DEE" w:rsidRPr="00526778" w14:paraId="02636E6C" w14:textId="77777777" w:rsidTr="00322DEE">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96CC854"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b/>
                <w:bCs/>
                <w:noProof/>
                <w:color w:val="3F4143"/>
                <w:sz w:val="18"/>
                <w:szCs w:val="18"/>
                <w:lang w:val="en-GB" w:eastAsia="en-IE"/>
              </w:rPr>
              <w:t>Wheat</w:t>
            </w:r>
            <w:r w:rsidRPr="00D937A1">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0D4E350E"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1.6%</w:t>
            </w:r>
            <w:r w:rsidRPr="00D937A1">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C561B34"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0.0%</w:t>
            </w:r>
            <w:r w:rsidRPr="00D937A1">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61E7CB09" w14:textId="5093065C" w:rsidR="008012A6" w:rsidRPr="00D937A1" w:rsidRDefault="00C144E1"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IE" w:eastAsia="en-IE"/>
              </w:rPr>
              <w:t>143</w:t>
            </w:r>
            <w:r w:rsidR="008012A6" w:rsidRPr="00D937A1">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4650452" w14:textId="20C52DC5"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0</w:t>
            </w:r>
            <w:r w:rsidR="00C144E1">
              <w:rPr>
                <w:rFonts w:ascii="Times New Roman" w:eastAsia="Times New Roman" w:hAnsi="Times New Roman" w:cs="Times New Roman"/>
                <w:noProof/>
                <w:sz w:val="16"/>
                <w:szCs w:val="16"/>
                <w:lang w:val="en-GB" w:eastAsia="en-IE"/>
              </w:rPr>
              <w:t>,1</w:t>
            </w:r>
            <w:r w:rsidRPr="00D937A1">
              <w:rPr>
                <w:rFonts w:ascii="Times New Roman" w:eastAsia="Times New Roman" w:hAnsi="Times New Roman" w:cs="Times New Roman"/>
                <w:noProof/>
                <w:sz w:val="16"/>
                <w:szCs w:val="16"/>
                <w:lang w:val="en-GB" w:eastAsia="en-IE"/>
              </w:rPr>
              <w:t>%</w:t>
            </w:r>
            <w:r w:rsidRPr="00D937A1">
              <w:rPr>
                <w:rFonts w:ascii="Times New Roman" w:eastAsia="Times New Roman" w:hAnsi="Times New Roman" w:cs="Times New Roman"/>
                <w:noProof/>
                <w:sz w:val="16"/>
                <w:szCs w:val="16"/>
                <w:lang w:val="en-IE" w:eastAsia="en-IE"/>
              </w:rPr>
              <w:t> </w:t>
            </w:r>
          </w:p>
        </w:tc>
      </w:tr>
      <w:tr w:rsidR="009645C7" w:rsidRPr="00526778" w14:paraId="109B0F31" w14:textId="77777777" w:rsidTr="3F6AB15B">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B8FD44A"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b/>
                <w:bCs/>
                <w:noProof/>
                <w:color w:val="3F4143"/>
                <w:sz w:val="18"/>
                <w:szCs w:val="18"/>
                <w:lang w:val="en-GB" w:eastAsia="en-IE"/>
              </w:rPr>
              <w:t>Maize</w:t>
            </w:r>
            <w:r w:rsidRPr="00D937A1">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7CFF76D"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7.0%</w:t>
            </w:r>
            <w:r w:rsidRPr="00D937A1">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053C13A"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0.0%</w:t>
            </w:r>
            <w:r w:rsidRPr="00D937A1">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A14CEF2" w14:textId="47B63EA1"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2</w:t>
            </w:r>
            <w:r w:rsidR="00C144E1">
              <w:rPr>
                <w:rFonts w:ascii="Times New Roman" w:eastAsia="Times New Roman" w:hAnsi="Times New Roman" w:cs="Times New Roman"/>
                <w:noProof/>
                <w:sz w:val="16"/>
                <w:szCs w:val="16"/>
                <w:lang w:val="en-GB" w:eastAsia="en-IE"/>
              </w:rPr>
              <w:t>.749</w:t>
            </w:r>
            <w:r w:rsidRPr="00D937A1">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B540044" w14:textId="2CD113B6"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1</w:t>
            </w:r>
            <w:r w:rsidR="00C144E1">
              <w:rPr>
                <w:rFonts w:ascii="Times New Roman" w:eastAsia="Times New Roman" w:hAnsi="Times New Roman" w:cs="Times New Roman"/>
                <w:noProof/>
                <w:sz w:val="16"/>
                <w:szCs w:val="16"/>
                <w:lang w:val="en-GB" w:eastAsia="en-IE"/>
              </w:rPr>
              <w:t>,</w:t>
            </w:r>
            <w:r w:rsidRPr="00D937A1">
              <w:rPr>
                <w:rFonts w:ascii="Times New Roman" w:eastAsia="Times New Roman" w:hAnsi="Times New Roman" w:cs="Times New Roman"/>
                <w:noProof/>
                <w:sz w:val="16"/>
                <w:szCs w:val="16"/>
                <w:lang w:val="en-GB" w:eastAsia="en-IE"/>
              </w:rPr>
              <w:t>4%</w:t>
            </w:r>
            <w:r w:rsidRPr="00D937A1">
              <w:rPr>
                <w:rFonts w:ascii="Times New Roman" w:eastAsia="Times New Roman" w:hAnsi="Times New Roman" w:cs="Times New Roman"/>
                <w:noProof/>
                <w:sz w:val="16"/>
                <w:szCs w:val="16"/>
                <w:lang w:val="en-IE" w:eastAsia="en-IE"/>
              </w:rPr>
              <w:t> </w:t>
            </w:r>
          </w:p>
        </w:tc>
      </w:tr>
      <w:tr w:rsidR="009645C7" w:rsidRPr="00133FC9" w14:paraId="4049913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27A2803A"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Sugar cane</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201DF81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16.1%</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38C3DEC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1D81D742" w14:textId="4943ADE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-103</w:t>
            </w:r>
            <w:r w:rsidR="008012A6" w:rsidRPr="00133FC9">
              <w:rPr>
                <w:rFonts w:ascii="Times New Roman" w:eastAsia="Times New Roman" w:hAnsi="Times New Roman" w:cs="Times New Roman"/>
                <w:noProof/>
                <w:sz w:val="16"/>
                <w:szCs w:val="16"/>
                <w:lang w:val="en-GB" w:eastAsia="en-IE"/>
              </w:rPr>
              <w:t> </w:t>
            </w:r>
            <w:r w:rsidR="008012A6"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92BCC4E" w14:textId="240242F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w:t>
            </w:r>
            <w:r w:rsidR="008012A6" w:rsidRPr="00133FC9">
              <w:rPr>
                <w:rFonts w:ascii="Times New Roman" w:eastAsia="Times New Roman" w:hAnsi="Times New Roman" w:cs="Times New Roman"/>
                <w:noProof/>
                <w:sz w:val="16"/>
                <w:szCs w:val="16"/>
                <w:lang w:val="en-GB" w:eastAsia="en-IE"/>
              </w:rPr>
              <w:t>0</w:t>
            </w:r>
            <w:r>
              <w:rPr>
                <w:rFonts w:ascii="Times New Roman" w:eastAsia="Times New Roman" w:hAnsi="Times New Roman" w:cs="Times New Roman"/>
                <w:noProof/>
                <w:sz w:val="16"/>
                <w:szCs w:val="16"/>
                <w:lang w:val="en-GB" w:eastAsia="en-IE"/>
              </w:rPr>
              <w:t>,4</w:t>
            </w:r>
            <w:r w:rsidR="008012A6" w:rsidRPr="00133FC9">
              <w:rPr>
                <w:rFonts w:ascii="Times New Roman" w:eastAsia="Times New Roman" w:hAnsi="Times New Roman" w:cs="Times New Roman"/>
                <w:noProof/>
                <w:sz w:val="16"/>
                <w:szCs w:val="16"/>
                <w:lang w:val="en-GB" w:eastAsia="en-IE"/>
              </w:rPr>
              <w:t>%</w:t>
            </w:r>
            <w:r w:rsidR="008012A6" w:rsidRPr="00133FC9">
              <w:rPr>
                <w:rFonts w:ascii="Times New Roman" w:eastAsia="Times New Roman" w:hAnsi="Times New Roman" w:cs="Times New Roman"/>
                <w:noProof/>
                <w:sz w:val="16"/>
                <w:szCs w:val="16"/>
                <w:lang w:val="en-IE" w:eastAsia="en-IE"/>
              </w:rPr>
              <w:t> </w:t>
            </w:r>
          </w:p>
        </w:tc>
      </w:tr>
      <w:tr w:rsidR="009645C7" w:rsidRPr="00133FC9" w14:paraId="0C9D8FA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154023B"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Sugar beet</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EE66DD1"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0.2%</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0FE9B5"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750AADD" w14:textId="0AD47E79"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-10</w:t>
            </w:r>
            <w:r w:rsidR="008012A6" w:rsidRPr="00133FC9">
              <w:rPr>
                <w:rFonts w:ascii="Times New Roman" w:eastAsia="Times New Roman" w:hAnsi="Times New Roman" w:cs="Times New Roman"/>
                <w:noProof/>
                <w:sz w:val="16"/>
                <w:szCs w:val="16"/>
                <w:lang w:val="en-GB" w:eastAsia="en-IE"/>
              </w:rPr>
              <w:t> </w:t>
            </w:r>
            <w:r w:rsidR="008012A6"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5CB7A764" w14:textId="0131CFD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w:t>
            </w:r>
            <w:r w:rsidR="008012A6" w:rsidRPr="00133FC9">
              <w:rPr>
                <w:rFonts w:ascii="Times New Roman" w:eastAsia="Times New Roman" w:hAnsi="Times New Roman" w:cs="Times New Roman"/>
                <w:noProof/>
                <w:sz w:val="16"/>
                <w:szCs w:val="16"/>
                <w:lang w:val="en-GB" w:eastAsia="en-IE"/>
              </w:rPr>
              <w:t>0.</w:t>
            </w:r>
            <w:r>
              <w:rPr>
                <w:rFonts w:ascii="Times New Roman" w:eastAsia="Times New Roman" w:hAnsi="Times New Roman" w:cs="Times New Roman"/>
                <w:noProof/>
                <w:sz w:val="16"/>
                <w:szCs w:val="16"/>
                <w:lang w:val="en-GB" w:eastAsia="en-IE"/>
              </w:rPr>
              <w:t>2</w:t>
            </w:r>
            <w:r w:rsidR="008012A6" w:rsidRPr="00133FC9">
              <w:rPr>
                <w:rFonts w:ascii="Times New Roman" w:eastAsia="Times New Roman" w:hAnsi="Times New Roman" w:cs="Times New Roman"/>
                <w:noProof/>
                <w:sz w:val="16"/>
                <w:szCs w:val="16"/>
                <w:lang w:val="en-GB" w:eastAsia="en-IE"/>
              </w:rPr>
              <w:t>%</w:t>
            </w:r>
            <w:r w:rsidR="008012A6" w:rsidRPr="00133FC9">
              <w:rPr>
                <w:rFonts w:ascii="Times New Roman" w:eastAsia="Times New Roman" w:hAnsi="Times New Roman" w:cs="Times New Roman"/>
                <w:noProof/>
                <w:sz w:val="16"/>
                <w:szCs w:val="16"/>
                <w:lang w:val="en-IE" w:eastAsia="en-IE"/>
              </w:rPr>
              <w:t> </w:t>
            </w:r>
          </w:p>
        </w:tc>
      </w:tr>
      <w:tr w:rsidR="009645C7" w:rsidRPr="00133FC9" w14:paraId="0D096919"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139BE756"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Rapeseed</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5F068B88"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1.0%</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23D094"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015A8EC3" w14:textId="46960675"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45</w:t>
            </w:r>
            <w:r w:rsidR="008012A6" w:rsidRPr="00133FC9">
              <w:rPr>
                <w:rFonts w:ascii="Times New Roman" w:eastAsia="Times New Roman" w:hAnsi="Times New Roman" w:cs="Times New Roman"/>
                <w:noProof/>
                <w:sz w:val="16"/>
                <w:szCs w:val="16"/>
                <w:lang w:val="en-GB" w:eastAsia="en-IE"/>
              </w:rPr>
              <w:t> </w:t>
            </w:r>
            <w:r w:rsidR="008012A6"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A237342" w14:textId="0B4698DC"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0,1</w:t>
            </w:r>
            <w:r w:rsidR="008012A6" w:rsidRPr="00133FC9">
              <w:rPr>
                <w:rFonts w:ascii="Times New Roman" w:eastAsia="Times New Roman" w:hAnsi="Times New Roman" w:cs="Times New Roman"/>
                <w:noProof/>
                <w:sz w:val="16"/>
                <w:szCs w:val="16"/>
                <w:lang w:val="en-GB" w:eastAsia="en-IE"/>
              </w:rPr>
              <w:t>%</w:t>
            </w:r>
            <w:r w:rsidR="008012A6" w:rsidRPr="00133FC9">
              <w:rPr>
                <w:rFonts w:ascii="Times New Roman" w:eastAsia="Times New Roman" w:hAnsi="Times New Roman" w:cs="Times New Roman"/>
                <w:noProof/>
                <w:sz w:val="16"/>
                <w:szCs w:val="16"/>
                <w:lang w:val="en-IE" w:eastAsia="en-IE"/>
              </w:rPr>
              <w:t> </w:t>
            </w:r>
          </w:p>
        </w:tc>
      </w:tr>
      <w:tr w:rsidR="00133FC9" w:rsidRPr="00133FC9" w14:paraId="10CE4766"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D1192F3"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Oil, palm</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63F529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27.1%</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64FAEEA"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13.7%</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08B0B32" w14:textId="47F341A2"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879</w:t>
            </w:r>
            <w:r w:rsidR="008012A6" w:rsidRPr="00133FC9">
              <w:rPr>
                <w:rFonts w:ascii="Times New Roman" w:eastAsia="Times New Roman" w:hAnsi="Times New Roman" w:cs="Times New Roman"/>
                <w:noProof/>
                <w:sz w:val="16"/>
                <w:szCs w:val="16"/>
                <w:lang w:val="en-GB" w:eastAsia="en-IE"/>
              </w:rPr>
              <w:t> </w:t>
            </w:r>
            <w:r w:rsidR="008012A6"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1395DC0" w14:textId="42A9256A"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3</w:t>
            </w:r>
            <w:r w:rsidR="00C144E1">
              <w:rPr>
                <w:rFonts w:ascii="Times New Roman" w:eastAsia="Times New Roman" w:hAnsi="Times New Roman" w:cs="Times New Roman"/>
                <w:noProof/>
                <w:sz w:val="16"/>
                <w:szCs w:val="16"/>
                <w:lang w:val="en-GB" w:eastAsia="en-IE"/>
              </w:rPr>
              <w:t>,4</w:t>
            </w:r>
            <w:r w:rsidRPr="00133FC9">
              <w:rPr>
                <w:rFonts w:ascii="Times New Roman" w:eastAsia="Times New Roman" w:hAnsi="Times New Roman" w:cs="Times New Roman"/>
                <w:noProof/>
                <w:sz w:val="16"/>
                <w:szCs w:val="16"/>
                <w:lang w:val="en-GB" w:eastAsia="en-IE"/>
              </w:rPr>
              <w:t>%</w:t>
            </w:r>
            <w:r w:rsidRPr="00133FC9">
              <w:rPr>
                <w:rFonts w:ascii="Times New Roman" w:eastAsia="Times New Roman" w:hAnsi="Times New Roman" w:cs="Times New Roman"/>
                <w:noProof/>
                <w:sz w:val="16"/>
                <w:szCs w:val="16"/>
                <w:lang w:val="en-IE" w:eastAsia="en-IE"/>
              </w:rPr>
              <w:t> </w:t>
            </w:r>
          </w:p>
        </w:tc>
      </w:tr>
      <w:tr w:rsidR="00133FC9" w:rsidRPr="00133FC9" w14:paraId="6B3F0C75"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5495D3D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Soybeans</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2EBF460"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14.1%</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10AB0D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90CC76D" w14:textId="797798C7"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1.608</w:t>
            </w:r>
            <w:r w:rsidR="008012A6" w:rsidRPr="00133FC9">
              <w:rPr>
                <w:rFonts w:ascii="Times New Roman" w:eastAsia="Times New Roman" w:hAnsi="Times New Roman" w:cs="Times New Roman"/>
                <w:noProof/>
                <w:sz w:val="16"/>
                <w:szCs w:val="16"/>
                <w:lang w:val="en-GB" w:eastAsia="en-IE"/>
              </w:rPr>
              <w:t> </w:t>
            </w:r>
            <w:r w:rsidR="008012A6"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A4B711B" w14:textId="75E5C7E9"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1,3</w:t>
            </w:r>
            <w:r w:rsidR="008012A6" w:rsidRPr="00133FC9">
              <w:rPr>
                <w:rFonts w:ascii="Times New Roman" w:eastAsia="Times New Roman" w:hAnsi="Times New Roman" w:cs="Times New Roman"/>
                <w:noProof/>
                <w:sz w:val="16"/>
                <w:szCs w:val="16"/>
                <w:lang w:val="en-GB" w:eastAsia="en-IE"/>
              </w:rPr>
              <w:t>%</w:t>
            </w:r>
            <w:r w:rsidR="008012A6" w:rsidRPr="00133FC9">
              <w:rPr>
                <w:rFonts w:ascii="Times New Roman" w:eastAsia="Times New Roman" w:hAnsi="Times New Roman" w:cs="Times New Roman"/>
                <w:noProof/>
                <w:sz w:val="16"/>
                <w:szCs w:val="16"/>
                <w:lang w:val="en-IE" w:eastAsia="en-IE"/>
              </w:rPr>
              <w:t> </w:t>
            </w:r>
          </w:p>
        </w:tc>
      </w:tr>
      <w:tr w:rsidR="0077755C" w:rsidRPr="00133FC9" w14:paraId="07A9FA54" w14:textId="77777777" w:rsidTr="00133FC9">
        <w:trPr>
          <w:trHeight w:val="34"/>
        </w:trPr>
        <w:tc>
          <w:tcPr>
            <w:tcW w:w="1200" w:type="dxa"/>
            <w:tcBorders>
              <w:top w:val="single" w:sz="6" w:space="0" w:color="DCDDDE"/>
              <w:left w:val="nil"/>
              <w:bottom w:val="single" w:sz="6" w:space="0" w:color="555759"/>
              <w:right w:val="nil"/>
            </w:tcBorders>
            <w:shd w:val="clear" w:color="auto" w:fill="FFFFFF" w:themeFill="background1"/>
            <w:vAlign w:val="center"/>
            <w:hideMark/>
          </w:tcPr>
          <w:p w14:paraId="6CCDDF6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Sunflower</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555759"/>
              <w:right w:val="nil"/>
            </w:tcBorders>
            <w:shd w:val="clear" w:color="auto" w:fill="FFFFFF" w:themeFill="background1"/>
            <w:vAlign w:val="bottom"/>
            <w:hideMark/>
          </w:tcPr>
          <w:p w14:paraId="30FFAE9C"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1.0%</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555759"/>
              <w:right w:val="nil"/>
            </w:tcBorders>
            <w:shd w:val="clear" w:color="auto" w:fill="FFFFFF" w:themeFill="background1"/>
            <w:vAlign w:val="bottom"/>
            <w:hideMark/>
          </w:tcPr>
          <w:p w14:paraId="5BDA61D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555759"/>
              <w:right w:val="nil"/>
            </w:tcBorders>
            <w:shd w:val="clear" w:color="auto" w:fill="FFFFFF" w:themeFill="background1"/>
            <w:vAlign w:val="bottom"/>
            <w:hideMark/>
          </w:tcPr>
          <w:p w14:paraId="4C3B8829" w14:textId="49EFAD14"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740</w:t>
            </w:r>
            <w:r w:rsidR="008012A6" w:rsidRPr="00133FC9">
              <w:rPr>
                <w:rFonts w:ascii="Times New Roman" w:eastAsia="Times New Roman" w:hAnsi="Times New Roman" w:cs="Times New Roman"/>
                <w:noProof/>
                <w:sz w:val="16"/>
                <w:szCs w:val="16"/>
                <w:lang w:val="en-GB" w:eastAsia="en-IE"/>
              </w:rPr>
              <w:t> </w:t>
            </w:r>
            <w:r w:rsidR="008012A6"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555759"/>
              <w:right w:val="nil"/>
            </w:tcBorders>
            <w:shd w:val="clear" w:color="auto" w:fill="FFFFFF" w:themeFill="background1"/>
            <w:vAlign w:val="bottom"/>
            <w:hideMark/>
          </w:tcPr>
          <w:p w14:paraId="22E35E6B" w14:textId="026CF691" w:rsidR="008012A6" w:rsidRPr="00133FC9"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Pr>
                <w:rFonts w:ascii="Times New Roman" w:eastAsia="Times New Roman" w:hAnsi="Times New Roman" w:cs="Times New Roman"/>
                <w:noProof/>
                <w:sz w:val="16"/>
                <w:szCs w:val="16"/>
                <w:lang w:val="en-GB" w:eastAsia="en-IE"/>
              </w:rPr>
              <w:t>2,8</w:t>
            </w:r>
            <w:r w:rsidR="008012A6" w:rsidRPr="00133FC9">
              <w:rPr>
                <w:rFonts w:ascii="Times New Roman" w:eastAsia="Times New Roman" w:hAnsi="Times New Roman" w:cs="Times New Roman"/>
                <w:noProof/>
                <w:sz w:val="16"/>
                <w:szCs w:val="16"/>
                <w:lang w:val="en-GB" w:eastAsia="en-IE"/>
              </w:rPr>
              <w:t>%</w:t>
            </w:r>
            <w:r w:rsidR="008012A6" w:rsidRPr="00133FC9">
              <w:rPr>
                <w:rFonts w:ascii="Times New Roman" w:eastAsia="Times New Roman" w:hAnsi="Times New Roman" w:cs="Times New Roman"/>
                <w:noProof/>
                <w:sz w:val="16"/>
                <w:szCs w:val="16"/>
                <w:lang w:val="en-IE" w:eastAsia="en-IE"/>
              </w:rPr>
              <w:t> </w:t>
            </w:r>
          </w:p>
        </w:tc>
      </w:tr>
    </w:tbl>
    <w:p w14:paraId="6CCB590D" w14:textId="18C96EC3" w:rsidR="00F22F37" w:rsidRDefault="008B5093" w:rsidP="00407BC7">
      <w:pPr>
        <w:shd w:val="clear" w:color="auto" w:fill="FFFFFF" w:themeFill="background1"/>
        <w:rPr>
          <w:rFonts w:ascii="Times New Roman" w:hAnsi="Times New Roman" w:cs="Times New Roman"/>
          <w:i/>
          <w:noProof/>
          <w:sz w:val="20"/>
          <w:szCs w:val="20"/>
        </w:rPr>
      </w:pPr>
      <w:r w:rsidRPr="00133FC9">
        <w:rPr>
          <w:rFonts w:ascii="Times New Roman" w:hAnsi="Times New Roman" w:cs="Times New Roman"/>
          <w:i/>
          <w:noProof/>
          <w:sz w:val="20"/>
          <w:szCs w:val="20"/>
        </w:rPr>
        <w:t>T</w:t>
      </w:r>
      <w:r w:rsidR="00C40EEF" w:rsidRPr="00133FC9">
        <w:rPr>
          <w:rFonts w:ascii="Times New Roman" w:hAnsi="Times New Roman" w:cs="Times New Roman"/>
          <w:i/>
          <w:noProof/>
          <w:sz w:val="20"/>
          <w:szCs w:val="20"/>
        </w:rPr>
        <w:t xml:space="preserve">able </w:t>
      </w:r>
      <w:r w:rsidR="00E103E5">
        <w:rPr>
          <w:rFonts w:ascii="Times New Roman" w:hAnsi="Times New Roman" w:cs="Times New Roman"/>
          <w:i/>
          <w:noProof/>
          <w:sz w:val="20"/>
          <w:szCs w:val="20"/>
        </w:rPr>
        <w:t>5</w:t>
      </w:r>
      <w:r w:rsidRPr="00133FC9">
        <w:rPr>
          <w:rFonts w:ascii="Times New Roman" w:hAnsi="Times New Roman" w:cs="Times New Roman"/>
          <w:i/>
          <w:noProof/>
          <w:sz w:val="20"/>
          <w:szCs w:val="20"/>
        </w:rPr>
        <w:t xml:space="preserve">: </w:t>
      </w:r>
      <w:r w:rsidR="00451D10" w:rsidRPr="00133FC9">
        <w:rPr>
          <w:rFonts w:ascii="Times New Roman" w:hAnsi="Times New Roman" w:cs="Times New Roman"/>
          <w:i/>
          <w:noProof/>
          <w:sz w:val="20"/>
          <w:szCs w:val="20"/>
        </w:rPr>
        <w:t xml:space="preserve">Guidehouse calculations - </w:t>
      </w:r>
      <w:r w:rsidRPr="00133FC9">
        <w:rPr>
          <w:rFonts w:ascii="Times New Roman" w:hAnsi="Times New Roman" w:cs="Times New Roman"/>
          <w:i/>
          <w:noProof/>
          <w:sz w:val="20"/>
          <w:szCs w:val="20"/>
        </w:rPr>
        <w:t>Final Results</w:t>
      </w:r>
      <w:r w:rsidR="00802EC3" w:rsidRPr="00133FC9">
        <w:rPr>
          <w:rStyle w:val="FootnoteReference"/>
          <w:rFonts w:ascii="Times New Roman" w:hAnsi="Times New Roman" w:cs="Times New Roman"/>
          <w:i/>
          <w:noProof/>
          <w:sz w:val="20"/>
          <w:szCs w:val="20"/>
        </w:rPr>
        <w:footnoteReference w:id="23"/>
      </w:r>
      <w:r w:rsidRPr="00526778">
        <w:rPr>
          <w:rFonts w:ascii="Times New Roman" w:hAnsi="Times New Roman" w:cs="Times New Roman"/>
          <w:i/>
          <w:noProof/>
          <w:sz w:val="20"/>
          <w:szCs w:val="20"/>
        </w:rPr>
        <w:t xml:space="preserve"> </w:t>
      </w:r>
    </w:p>
    <w:p w14:paraId="2677B143" w14:textId="0C413D39" w:rsidR="00765D53" w:rsidRDefault="00C02A97" w:rsidP="5003CF81">
      <w:pPr>
        <w:pStyle w:val="NormalTimesNewRoman"/>
        <w:rPr>
          <w:noProof/>
        </w:rPr>
      </w:pPr>
      <w:r>
        <w:rPr>
          <w:noProof/>
          <w:lang w:val="en-GB"/>
        </w:rPr>
        <w:t xml:space="preserve">As explained </w:t>
      </w:r>
      <w:r w:rsidR="00354168">
        <w:rPr>
          <w:noProof/>
          <w:lang w:val="en-GB"/>
        </w:rPr>
        <w:t>in Chapter I, for</w:t>
      </w:r>
      <w:r w:rsidRPr="72E8964A">
        <w:rPr>
          <w:noProof/>
          <w:lang w:val="en-GB"/>
        </w:rPr>
        <w:t xml:space="preserve"> a specific crop to be categorised as high ILUC-risk, </w:t>
      </w:r>
      <w:r w:rsidR="00354168">
        <w:rPr>
          <w:noProof/>
          <w:lang w:val="en-GB"/>
        </w:rPr>
        <w:t xml:space="preserve">the </w:t>
      </w:r>
      <w:r w:rsidRPr="72E8964A">
        <w:rPr>
          <w:noProof/>
          <w:lang w:val="en-GB"/>
        </w:rPr>
        <w:t>two criteria</w:t>
      </w:r>
      <w:r w:rsidR="00354168">
        <w:rPr>
          <w:noProof/>
          <w:lang w:val="en-GB"/>
        </w:rPr>
        <w:t xml:space="preserve"> set in </w:t>
      </w:r>
      <w:r w:rsidR="00354168" w:rsidRPr="72E8964A">
        <w:rPr>
          <w:noProof/>
          <w:lang w:val="en-GB"/>
        </w:rPr>
        <w:t xml:space="preserve">Article 3 </w:t>
      </w:r>
      <w:r w:rsidR="00354168" w:rsidRPr="60C23A81">
        <w:rPr>
          <w:noProof/>
          <w:lang w:val="en-GB"/>
        </w:rPr>
        <w:t>of the</w:t>
      </w:r>
      <w:r w:rsidR="00354168" w:rsidRPr="72E8964A">
        <w:rPr>
          <w:noProof/>
          <w:lang w:val="en-GB"/>
        </w:rPr>
        <w:t xml:space="preserve"> ILUC Delegated Regulation</w:t>
      </w:r>
      <w:r w:rsidR="00354168">
        <w:rPr>
          <w:noProof/>
          <w:lang w:val="en-GB"/>
        </w:rPr>
        <w:t xml:space="preserve"> </w:t>
      </w:r>
      <w:r>
        <w:rPr>
          <w:noProof/>
          <w:lang w:val="en-GB"/>
        </w:rPr>
        <w:t>must</w:t>
      </w:r>
      <w:r w:rsidRPr="72E8964A">
        <w:rPr>
          <w:noProof/>
          <w:lang w:val="en-GB"/>
        </w:rPr>
        <w:t xml:space="preserve"> be fulfilled cumulatively</w:t>
      </w:r>
      <w:r w:rsidR="00354168">
        <w:rPr>
          <w:noProof/>
          <w:lang w:val="en-GB"/>
        </w:rPr>
        <w:t xml:space="preserve">. </w:t>
      </w:r>
      <w:r w:rsidR="00B474D4">
        <w:rPr>
          <w:noProof/>
          <w:lang w:val="en-GB"/>
        </w:rPr>
        <w:t xml:space="preserve">Taking into account these two criteria, and </w:t>
      </w:r>
      <w:r w:rsidR="00B474D4">
        <w:rPr>
          <w:noProof/>
        </w:rPr>
        <w:t>a</w:t>
      </w:r>
      <w:r w:rsidR="004675D7">
        <w:rPr>
          <w:noProof/>
        </w:rPr>
        <w:t>ccording to the updated data and new scientific evidence</w:t>
      </w:r>
      <w:r w:rsidR="00C41662">
        <w:rPr>
          <w:noProof/>
        </w:rPr>
        <w:t>,</w:t>
      </w:r>
      <w:r w:rsidR="00DD6FC0">
        <w:rPr>
          <w:noProof/>
        </w:rPr>
        <w:t xml:space="preserve"> </w:t>
      </w:r>
      <w:r w:rsidR="004675D7" w:rsidRPr="72E8964A">
        <w:rPr>
          <w:b/>
          <w:bCs/>
          <w:noProof/>
        </w:rPr>
        <w:t xml:space="preserve">oil </w:t>
      </w:r>
      <w:r w:rsidR="00DD6FC0" w:rsidRPr="72E8964A">
        <w:rPr>
          <w:b/>
          <w:bCs/>
          <w:noProof/>
        </w:rPr>
        <w:t xml:space="preserve">palm </w:t>
      </w:r>
      <w:r w:rsidR="004675D7" w:rsidRPr="72E8964A">
        <w:rPr>
          <w:b/>
          <w:bCs/>
          <w:noProof/>
        </w:rPr>
        <w:t xml:space="preserve">remains </w:t>
      </w:r>
      <w:r w:rsidR="00983F0F">
        <w:rPr>
          <w:noProof/>
        </w:rPr>
        <w:t>a feedstock that</w:t>
      </w:r>
      <w:r w:rsidR="005C0ABA">
        <w:rPr>
          <w:noProof/>
        </w:rPr>
        <w:t xml:space="preserve"> </w:t>
      </w:r>
      <w:r w:rsidR="00FD4122">
        <w:rPr>
          <w:noProof/>
        </w:rPr>
        <w:t xml:space="preserve">is to </w:t>
      </w:r>
      <w:r w:rsidR="005C0ABA">
        <w:rPr>
          <w:noProof/>
        </w:rPr>
        <w:t xml:space="preserve">be classified </w:t>
      </w:r>
      <w:r w:rsidR="00C0616C">
        <w:rPr>
          <w:noProof/>
        </w:rPr>
        <w:t>as high ILUC-risk</w:t>
      </w:r>
      <w:r w:rsidR="0081434C">
        <w:rPr>
          <w:noProof/>
        </w:rPr>
        <w:t>.</w:t>
      </w:r>
      <w:r w:rsidR="00DD6FC0">
        <w:rPr>
          <w:noProof/>
        </w:rPr>
        <w:t xml:space="preserve"> </w:t>
      </w:r>
      <w:r w:rsidR="0081434C" w:rsidRPr="72E8964A">
        <w:rPr>
          <w:b/>
          <w:bCs/>
          <w:noProof/>
        </w:rPr>
        <w:t xml:space="preserve">In addition, </w:t>
      </w:r>
      <w:r w:rsidR="00221E61" w:rsidRPr="72E8964A">
        <w:rPr>
          <w:b/>
          <w:bCs/>
          <w:noProof/>
        </w:rPr>
        <w:t>s</w:t>
      </w:r>
      <w:r w:rsidR="000D186C" w:rsidRPr="72E8964A">
        <w:rPr>
          <w:b/>
          <w:bCs/>
          <w:noProof/>
        </w:rPr>
        <w:t>oybeans</w:t>
      </w:r>
      <w:r w:rsidR="0047541C">
        <w:rPr>
          <w:noProof/>
        </w:rPr>
        <w:t xml:space="preserve"> </w:t>
      </w:r>
      <w:r w:rsidR="00B36055">
        <w:rPr>
          <w:noProof/>
        </w:rPr>
        <w:t xml:space="preserve">should be </w:t>
      </w:r>
      <w:r w:rsidR="009B6615">
        <w:rPr>
          <w:noProof/>
        </w:rPr>
        <w:t>classifie</w:t>
      </w:r>
      <w:r w:rsidR="00B36055">
        <w:rPr>
          <w:noProof/>
        </w:rPr>
        <w:t>d</w:t>
      </w:r>
      <w:r w:rsidR="000F59E6">
        <w:rPr>
          <w:noProof/>
        </w:rPr>
        <w:t xml:space="preserve"> as a high ILUC-risk feedstock, as </w:t>
      </w:r>
      <w:r w:rsidR="00E61D8D">
        <w:rPr>
          <w:noProof/>
        </w:rPr>
        <w:t xml:space="preserve">both </w:t>
      </w:r>
      <w:r w:rsidR="12CF0623">
        <w:rPr>
          <w:noProof/>
        </w:rPr>
        <w:t>criteria</w:t>
      </w:r>
      <w:r w:rsidR="000F59E6">
        <w:rPr>
          <w:noProof/>
        </w:rPr>
        <w:t xml:space="preserve"> of Article 3 of the </w:t>
      </w:r>
      <w:r w:rsidR="746D44EC" w:rsidRPr="3E5533D5">
        <w:rPr>
          <w:noProof/>
          <w:color w:val="000000" w:themeColor="text1"/>
          <w:lang w:val="en-GB"/>
        </w:rPr>
        <w:t>ILUC Delegated Regulation</w:t>
      </w:r>
      <w:r w:rsidR="746D44EC" w:rsidRPr="3E5533D5">
        <w:rPr>
          <w:noProof/>
          <w:lang w:val="en-GB"/>
        </w:rPr>
        <w:t xml:space="preserve"> </w:t>
      </w:r>
      <w:r w:rsidR="000F59E6" w:rsidRPr="3E5533D5">
        <w:rPr>
          <w:noProof/>
          <w:lang w:val="en-GB"/>
        </w:rPr>
        <w:t xml:space="preserve">are </w:t>
      </w:r>
      <w:r w:rsidR="47AE0E69" w:rsidRPr="3E5533D5">
        <w:rPr>
          <w:noProof/>
          <w:lang w:val="en-GB"/>
        </w:rPr>
        <w:t>fulfilled</w:t>
      </w:r>
      <w:r w:rsidR="00D937A1">
        <w:rPr>
          <w:noProof/>
        </w:rPr>
        <w:t>.</w:t>
      </w:r>
      <w:r w:rsidR="00C0616C">
        <w:rPr>
          <w:noProof/>
        </w:rPr>
        <w:t xml:space="preserve"> This means that the </w:t>
      </w:r>
      <w:r w:rsidR="004675D7">
        <w:rPr>
          <w:noProof/>
        </w:rPr>
        <w:t xml:space="preserve">expansion of </w:t>
      </w:r>
      <w:r w:rsidR="00C0616C">
        <w:rPr>
          <w:noProof/>
        </w:rPr>
        <w:t xml:space="preserve">the palm oil </w:t>
      </w:r>
      <w:r w:rsidR="00AE3E8D">
        <w:rPr>
          <w:noProof/>
        </w:rPr>
        <w:t xml:space="preserve">and soybeans </w:t>
      </w:r>
      <w:r w:rsidR="004675D7">
        <w:rPr>
          <w:noProof/>
        </w:rPr>
        <w:t xml:space="preserve">production area into </w:t>
      </w:r>
      <w:r w:rsidR="005E7D28">
        <w:rPr>
          <w:noProof/>
        </w:rPr>
        <w:t>high-</w:t>
      </w:r>
      <w:r w:rsidR="004675D7">
        <w:rPr>
          <w:noProof/>
        </w:rPr>
        <w:t>carbon stock</w:t>
      </w:r>
      <w:r w:rsidR="00C0616C">
        <w:rPr>
          <w:noProof/>
        </w:rPr>
        <w:t xml:space="preserve"> land</w:t>
      </w:r>
      <w:r w:rsidR="004675D7">
        <w:rPr>
          <w:noProof/>
        </w:rPr>
        <w:t xml:space="preserve"> is so </w:t>
      </w:r>
      <w:r w:rsidR="005E7D28">
        <w:rPr>
          <w:noProof/>
        </w:rPr>
        <w:t xml:space="preserve">significant </w:t>
      </w:r>
      <w:r w:rsidR="004675D7">
        <w:rPr>
          <w:noProof/>
        </w:rPr>
        <w:t>that the greenhouse gas emissions</w:t>
      </w:r>
      <w:r w:rsidR="00C0616C">
        <w:rPr>
          <w:noProof/>
        </w:rPr>
        <w:t xml:space="preserve"> that result</w:t>
      </w:r>
      <w:r w:rsidR="005E7D28">
        <w:rPr>
          <w:noProof/>
        </w:rPr>
        <w:t xml:space="preserve"> from land use change offset</w:t>
      </w:r>
      <w:r w:rsidR="004675D7">
        <w:rPr>
          <w:noProof/>
        </w:rPr>
        <w:t xml:space="preserve"> all greenhouse gas emission savings of fuel</w:t>
      </w:r>
      <w:r w:rsidR="00C0616C">
        <w:rPr>
          <w:noProof/>
        </w:rPr>
        <w:t xml:space="preserve">s </w:t>
      </w:r>
      <w:r w:rsidR="005E7D28">
        <w:rPr>
          <w:noProof/>
        </w:rPr>
        <w:t>originating</w:t>
      </w:r>
      <w:r w:rsidR="00C0616C">
        <w:rPr>
          <w:noProof/>
        </w:rPr>
        <w:t xml:space="preserve"> from this feedstock, when compared</w:t>
      </w:r>
      <w:r w:rsidR="004675D7">
        <w:rPr>
          <w:noProof/>
        </w:rPr>
        <w:t xml:space="preserve"> to the use of fossil fuels.</w:t>
      </w:r>
    </w:p>
    <w:p w14:paraId="2DC84204" w14:textId="77777777" w:rsidR="003A6E2A" w:rsidRPr="00526778" w:rsidRDefault="003A6E2A" w:rsidP="5003CF81">
      <w:pPr>
        <w:pStyle w:val="NormalTimesNewRoman"/>
        <w:rPr>
          <w:noProof/>
          <w:lang w:val="en-GB"/>
        </w:rPr>
      </w:pPr>
    </w:p>
    <w:p w14:paraId="59995CC3" w14:textId="08C1B909" w:rsidR="74982C6C" w:rsidRPr="00526778" w:rsidRDefault="67FE5085" w:rsidP="00725345">
      <w:pPr>
        <w:pStyle w:val="Style1"/>
        <w:rPr>
          <w:noProof/>
        </w:rPr>
      </w:pPr>
      <w:bookmarkStart w:id="9" w:name="_Toc109647471"/>
      <w:r>
        <w:rPr>
          <w:noProof/>
        </w:rPr>
        <w:t xml:space="preserve">UPDATE ON LOW ILUC-RISK FUELS CERTIFICATION </w:t>
      </w:r>
      <w:bookmarkEnd w:id="9"/>
    </w:p>
    <w:p w14:paraId="23DE523C" w14:textId="77777777" w:rsidR="74982C6C" w:rsidRPr="00D937A1" w:rsidRDefault="74982C6C" w:rsidP="74982C6C">
      <w:pPr>
        <w:rPr>
          <w:rFonts w:ascii="Times New Roman" w:hAnsi="Times New Roman" w:cs="Times New Roman"/>
          <w:noProof/>
          <w:lang w:val="en-GB"/>
        </w:rPr>
      </w:pPr>
    </w:p>
    <w:p w14:paraId="6140CEEB" w14:textId="41B5220E" w:rsidR="67FE5085" w:rsidRPr="00526778" w:rsidRDefault="67FE5085" w:rsidP="67FE5085">
      <w:pPr>
        <w:pStyle w:val="NormalTimesNewRoman"/>
        <w:rPr>
          <w:noProof/>
          <w:lang w:val="en-GB"/>
        </w:rPr>
      </w:pPr>
      <w:r w:rsidRPr="72E8964A">
        <w:rPr>
          <w:noProof/>
          <w:lang w:val="en-GB"/>
        </w:rPr>
        <w:t xml:space="preserve">Low ILUC-risk biofuels, bioliquids and biomass fuels are defined in </w:t>
      </w:r>
      <w:r w:rsidR="00F92FCA">
        <w:rPr>
          <w:noProof/>
          <w:lang w:val="en-GB"/>
        </w:rPr>
        <w:t>Article 2(37) of the</w:t>
      </w:r>
      <w:r w:rsidR="00F92FCA" w:rsidRPr="72E8964A">
        <w:rPr>
          <w:noProof/>
          <w:lang w:val="en-GB"/>
        </w:rPr>
        <w:t xml:space="preserve"> </w:t>
      </w:r>
      <w:r w:rsidR="43CD517D" w:rsidRPr="72E8964A">
        <w:rPr>
          <w:noProof/>
          <w:lang w:val="en-GB"/>
        </w:rPr>
        <w:t>R</w:t>
      </w:r>
      <w:r w:rsidR="4C742DAE" w:rsidRPr="72E8964A">
        <w:rPr>
          <w:noProof/>
          <w:lang w:val="en-GB"/>
        </w:rPr>
        <w:t>enewable Energy Directive</w:t>
      </w:r>
      <w:r w:rsidRPr="72E8964A">
        <w:rPr>
          <w:noProof/>
          <w:lang w:val="en-GB"/>
        </w:rPr>
        <w:t xml:space="preserve"> as</w:t>
      </w:r>
      <w:r w:rsidR="00C47F39">
        <w:rPr>
          <w:noProof/>
          <w:lang w:val="en-GB"/>
        </w:rPr>
        <w:t xml:space="preserve"> </w:t>
      </w:r>
      <w:r w:rsidR="00C47F39" w:rsidRPr="72E8964A">
        <w:rPr>
          <w:noProof/>
          <w:lang w:val="en-GB"/>
        </w:rPr>
        <w:t>(a)</w:t>
      </w:r>
      <w:r w:rsidRPr="72E8964A">
        <w:rPr>
          <w:noProof/>
          <w:lang w:val="en-GB"/>
        </w:rPr>
        <w:t xml:space="preserve"> those originating from feedstock for which a yield improvement on existing land has been observed - through improved agricultural practices</w:t>
      </w:r>
      <w:r w:rsidR="00237ED8">
        <w:rPr>
          <w:noProof/>
          <w:lang w:val="en-GB"/>
        </w:rPr>
        <w:t xml:space="preserve"> </w:t>
      </w:r>
      <w:r w:rsidRPr="72E8964A">
        <w:rPr>
          <w:noProof/>
          <w:lang w:val="en-GB"/>
        </w:rPr>
        <w:t>- or (b) those cultivated on unused land. These two options are called “additionality measures” in the</w:t>
      </w:r>
      <w:r w:rsidRPr="2F395CA6">
        <w:rPr>
          <w:noProof/>
          <w:color w:val="000000" w:themeColor="text1"/>
          <w:lang w:val="en-GB"/>
        </w:rPr>
        <w:t xml:space="preserve"> </w:t>
      </w:r>
      <w:r w:rsidR="194243BD" w:rsidRPr="2F395CA6">
        <w:rPr>
          <w:noProof/>
          <w:color w:val="000000" w:themeColor="text1"/>
          <w:lang w:val="en-GB"/>
        </w:rPr>
        <w:t xml:space="preserve">ILUC </w:t>
      </w:r>
      <w:r w:rsidRPr="2F395CA6">
        <w:rPr>
          <w:noProof/>
          <w:color w:val="000000" w:themeColor="text1"/>
          <w:lang w:val="en-GB"/>
        </w:rPr>
        <w:t>Delegated Regulation</w:t>
      </w:r>
      <w:r w:rsidR="00F92FCA">
        <w:rPr>
          <w:rStyle w:val="FootnoteReference"/>
          <w:noProof/>
          <w:color w:val="000000" w:themeColor="text1"/>
          <w:lang w:val="en-GB"/>
        </w:rPr>
        <w:footnoteReference w:id="24"/>
      </w:r>
      <w:r w:rsidRPr="72E8964A">
        <w:rPr>
          <w:noProof/>
          <w:lang w:val="en-GB"/>
        </w:rPr>
        <w:t xml:space="preserve">. </w:t>
      </w:r>
      <w:r w:rsidR="00851288" w:rsidRPr="72E8964A">
        <w:rPr>
          <w:noProof/>
          <w:lang w:val="en-GB"/>
        </w:rPr>
        <w:t>Article 4 of the</w:t>
      </w:r>
      <w:r w:rsidR="77C676ED" w:rsidRPr="5C738B9B">
        <w:rPr>
          <w:noProof/>
          <w:lang w:val="en-GB"/>
        </w:rPr>
        <w:t xml:space="preserve"> </w:t>
      </w:r>
      <w:r w:rsidR="77C676ED" w:rsidRPr="6A6E2B08">
        <w:rPr>
          <w:noProof/>
          <w:color w:val="000000" w:themeColor="text1"/>
          <w:lang w:val="en-GB"/>
        </w:rPr>
        <w:t>ILUC</w:t>
      </w:r>
      <w:r w:rsidR="00851288" w:rsidRPr="6A6E2B08">
        <w:rPr>
          <w:noProof/>
          <w:color w:val="000000" w:themeColor="text1"/>
          <w:lang w:val="en-GB"/>
        </w:rPr>
        <w:t xml:space="preserve"> </w:t>
      </w:r>
      <w:r w:rsidRPr="6A6E2B08">
        <w:rPr>
          <w:noProof/>
          <w:color w:val="000000" w:themeColor="text1"/>
          <w:lang w:val="en-GB"/>
        </w:rPr>
        <w:t>Delegated Regulation</w:t>
      </w:r>
      <w:r w:rsidRPr="72E8964A">
        <w:rPr>
          <w:noProof/>
          <w:lang w:val="en-GB"/>
        </w:rPr>
        <w:t xml:space="preserve"> contains general criteria for the certification of low ILUC-risk biofuels, bioliquids and biomass fuels, while Article 5</w:t>
      </w:r>
      <w:r w:rsidR="006201D6">
        <w:rPr>
          <w:noProof/>
          <w:lang w:val="en-GB"/>
        </w:rPr>
        <w:t xml:space="preserve"> further describes</w:t>
      </w:r>
      <w:r w:rsidRPr="72E8964A">
        <w:rPr>
          <w:noProof/>
          <w:lang w:val="en-GB"/>
        </w:rPr>
        <w:t xml:space="preserve"> the additionality measures. </w:t>
      </w:r>
      <w:r w:rsidR="00154565">
        <w:rPr>
          <w:noProof/>
          <w:lang w:val="en-GB"/>
        </w:rPr>
        <w:t>L</w:t>
      </w:r>
      <w:r w:rsidRPr="72E8964A">
        <w:rPr>
          <w:noProof/>
          <w:lang w:val="en-GB"/>
        </w:rPr>
        <w:t xml:space="preserve">ow ILUC-risk fuels must be produced in accordance with the sustainability and </w:t>
      </w:r>
      <w:r w:rsidR="006201D6">
        <w:rPr>
          <w:noProof/>
          <w:lang w:val="en-GB"/>
        </w:rPr>
        <w:t>GHG</w:t>
      </w:r>
      <w:r w:rsidRPr="72E8964A">
        <w:rPr>
          <w:noProof/>
          <w:lang w:val="en-GB"/>
        </w:rPr>
        <w:t xml:space="preserve"> emission saving criteria </w:t>
      </w:r>
      <w:r w:rsidR="00851288" w:rsidRPr="72E8964A">
        <w:rPr>
          <w:noProof/>
          <w:lang w:val="en-GB"/>
        </w:rPr>
        <w:t>pursuant to</w:t>
      </w:r>
      <w:r w:rsidRPr="72E8964A">
        <w:rPr>
          <w:noProof/>
          <w:lang w:val="en-GB"/>
        </w:rPr>
        <w:t xml:space="preserve"> Article 29 of</w:t>
      </w:r>
      <w:r w:rsidR="5F0504D8" w:rsidRPr="72E8964A">
        <w:rPr>
          <w:noProof/>
          <w:lang w:val="en-GB"/>
        </w:rPr>
        <w:t xml:space="preserve"> the Renewable Energy Directive</w:t>
      </w:r>
      <w:r w:rsidRPr="72E8964A">
        <w:rPr>
          <w:noProof/>
          <w:lang w:val="en-GB"/>
        </w:rPr>
        <w:t>.</w:t>
      </w:r>
    </w:p>
    <w:p w14:paraId="21A0EA25" w14:textId="48A03EDF" w:rsidR="00826FFE" w:rsidRDefault="67FE5085" w:rsidP="00826FFE">
      <w:pPr>
        <w:pStyle w:val="NormalTimesNewRoman"/>
        <w:rPr>
          <w:noProof/>
          <w:lang w:val="en-IE"/>
        </w:rPr>
      </w:pPr>
      <w:r w:rsidRPr="00526778">
        <w:rPr>
          <w:noProof/>
          <w:lang w:val="en-GB"/>
        </w:rPr>
        <w:t>Article 5(1) of the</w:t>
      </w:r>
      <w:r w:rsidRPr="0EAA0E46">
        <w:rPr>
          <w:noProof/>
          <w:lang w:val="en-GB"/>
        </w:rPr>
        <w:t xml:space="preserve"> </w:t>
      </w:r>
      <w:r w:rsidR="44C1D54F" w:rsidRPr="0EAA0E46">
        <w:rPr>
          <w:noProof/>
          <w:color w:val="000000" w:themeColor="text1"/>
          <w:lang w:val="en-GB"/>
        </w:rPr>
        <w:t>ILUC</w:t>
      </w:r>
      <w:r w:rsidRPr="0EAA0E46">
        <w:rPr>
          <w:noProof/>
          <w:color w:val="000000" w:themeColor="text1"/>
          <w:lang w:val="en-GB"/>
        </w:rPr>
        <w:t xml:space="preserve"> Delegated Regulation</w:t>
      </w:r>
      <w:r w:rsidRPr="00526778">
        <w:rPr>
          <w:noProof/>
          <w:lang w:val="en-GB"/>
        </w:rPr>
        <w:t xml:space="preserve"> describes the conditions that have to be fulfilled </w:t>
      </w:r>
      <w:r w:rsidR="00F70857">
        <w:rPr>
          <w:noProof/>
          <w:lang w:val="en-GB"/>
        </w:rPr>
        <w:t>for</w:t>
      </w:r>
      <w:r w:rsidRPr="00526778">
        <w:rPr>
          <w:noProof/>
          <w:lang w:val="en-GB"/>
        </w:rPr>
        <w:t xml:space="preserve"> the feedstock used </w:t>
      </w:r>
      <w:bookmarkStart w:id="10" w:name="_Int_MYhAf1sC"/>
      <w:r w:rsidRPr="00526778">
        <w:rPr>
          <w:noProof/>
          <w:lang w:val="en-GB"/>
        </w:rPr>
        <w:t>for the production of</w:t>
      </w:r>
      <w:bookmarkEnd w:id="10"/>
      <w:r w:rsidRPr="00526778">
        <w:rPr>
          <w:noProof/>
          <w:lang w:val="en-GB"/>
        </w:rPr>
        <w:t xml:space="preserve"> biofuels, bioliquids and biomass fuels </w:t>
      </w:r>
      <w:r w:rsidR="008D1630">
        <w:rPr>
          <w:noProof/>
          <w:lang w:val="en-GB"/>
        </w:rPr>
        <w:t>to</w:t>
      </w:r>
      <w:r w:rsidR="008D1630" w:rsidRPr="00526778">
        <w:rPr>
          <w:noProof/>
          <w:lang w:val="en-GB"/>
        </w:rPr>
        <w:t xml:space="preserve"> </w:t>
      </w:r>
      <w:r w:rsidRPr="00526778">
        <w:rPr>
          <w:noProof/>
          <w:lang w:val="en-GB"/>
        </w:rPr>
        <w:t xml:space="preserve">be classified as </w:t>
      </w:r>
      <w:r w:rsidRPr="00526778">
        <w:rPr>
          <w:i/>
          <w:iCs/>
          <w:noProof/>
          <w:lang w:val="en-GB"/>
        </w:rPr>
        <w:t xml:space="preserve">additional </w:t>
      </w:r>
      <w:r w:rsidRPr="00526778">
        <w:rPr>
          <w:noProof/>
          <w:lang w:val="en-GB"/>
        </w:rPr>
        <w:t xml:space="preserve">and thus the fuel produced </w:t>
      </w:r>
      <w:r w:rsidR="008D1630">
        <w:rPr>
          <w:noProof/>
          <w:lang w:val="en-GB"/>
        </w:rPr>
        <w:t>to</w:t>
      </w:r>
      <w:r w:rsidR="008D1630" w:rsidRPr="00526778">
        <w:rPr>
          <w:noProof/>
          <w:lang w:val="en-GB"/>
        </w:rPr>
        <w:t xml:space="preserve"> </w:t>
      </w:r>
      <w:r w:rsidRPr="00526778">
        <w:rPr>
          <w:noProof/>
          <w:lang w:val="en-GB"/>
        </w:rPr>
        <w:t>be eligible for low ILUC-risk certification. There are three different conditions listed in point (a) of Article 5(1), at least one of which has to be fulfilled. Financial attractiveness is the first condition</w:t>
      </w:r>
      <w:r w:rsidR="004B098A">
        <w:rPr>
          <w:noProof/>
          <w:lang w:val="en-GB"/>
        </w:rPr>
        <w:t xml:space="preserve">. </w:t>
      </w:r>
      <w:r w:rsidR="004B098A" w:rsidRPr="00481F59">
        <w:rPr>
          <w:noProof/>
          <w:lang w:val="en-GB"/>
        </w:rPr>
        <w:t>I</w:t>
      </w:r>
      <w:r w:rsidRPr="00481F59">
        <w:rPr>
          <w:noProof/>
          <w:lang w:val="en-GB"/>
        </w:rPr>
        <w:t xml:space="preserve">t means </w:t>
      </w:r>
      <w:r w:rsidRPr="00526778">
        <w:rPr>
          <w:noProof/>
          <w:lang w:val="en-GB"/>
        </w:rPr>
        <w:t xml:space="preserve">that the additionality measure </w:t>
      </w:r>
      <w:r w:rsidR="00952F1B">
        <w:rPr>
          <w:noProof/>
          <w:lang w:val="en-GB"/>
        </w:rPr>
        <w:t>makes the fuel</w:t>
      </w:r>
      <w:r w:rsidRPr="00526778">
        <w:rPr>
          <w:noProof/>
          <w:lang w:val="en-GB"/>
        </w:rPr>
        <w:t xml:space="preserve"> eligible for certification</w:t>
      </w:r>
      <w:r w:rsidR="00F416D1">
        <w:rPr>
          <w:noProof/>
          <w:lang w:val="en-GB"/>
        </w:rPr>
        <w:t xml:space="preserve"> as </w:t>
      </w:r>
      <w:r w:rsidR="00952F1B">
        <w:rPr>
          <w:noProof/>
          <w:lang w:val="en-GB"/>
        </w:rPr>
        <w:t xml:space="preserve">a </w:t>
      </w:r>
      <w:r w:rsidR="00F416D1">
        <w:rPr>
          <w:noProof/>
          <w:lang w:val="en-GB"/>
        </w:rPr>
        <w:t>low ILUC</w:t>
      </w:r>
      <w:r w:rsidR="00AB0E32">
        <w:rPr>
          <w:noProof/>
          <w:lang w:val="en-GB"/>
        </w:rPr>
        <w:t>-risk fuel</w:t>
      </w:r>
      <w:r w:rsidRPr="00526778">
        <w:rPr>
          <w:noProof/>
          <w:lang w:val="en-GB"/>
        </w:rPr>
        <w:t xml:space="preserve"> </w:t>
      </w:r>
      <w:r w:rsidR="003429E0" w:rsidRPr="003429E0">
        <w:rPr>
          <w:noProof/>
          <w:lang w:val="en-GB"/>
        </w:rPr>
        <w:t xml:space="preserve">where </w:t>
      </w:r>
      <w:r w:rsidR="00952F1B">
        <w:rPr>
          <w:noProof/>
          <w:lang w:val="en-GB"/>
        </w:rPr>
        <w:t>the</w:t>
      </w:r>
      <w:r w:rsidR="00952F1B" w:rsidRPr="003429E0">
        <w:rPr>
          <w:noProof/>
          <w:lang w:val="en-GB"/>
        </w:rPr>
        <w:t xml:space="preserve"> </w:t>
      </w:r>
      <w:r w:rsidR="003429E0" w:rsidRPr="003429E0">
        <w:rPr>
          <w:noProof/>
          <w:lang w:val="en-GB"/>
        </w:rPr>
        <w:t xml:space="preserve">implementation </w:t>
      </w:r>
      <w:r w:rsidR="00952F1B">
        <w:rPr>
          <w:noProof/>
          <w:lang w:val="en-GB"/>
        </w:rPr>
        <w:t xml:space="preserve">of the measure </w:t>
      </w:r>
      <w:r w:rsidR="003429E0" w:rsidRPr="003429E0">
        <w:rPr>
          <w:noProof/>
          <w:lang w:val="en-GB"/>
        </w:rPr>
        <w:t xml:space="preserve">is made financially attractive because the fuel produced can be counted towards </w:t>
      </w:r>
      <w:r w:rsidR="004B15B0">
        <w:rPr>
          <w:noProof/>
          <w:lang w:val="en-GB"/>
        </w:rPr>
        <w:t xml:space="preserve">the </w:t>
      </w:r>
      <w:r w:rsidR="003429E0" w:rsidRPr="003429E0">
        <w:rPr>
          <w:noProof/>
          <w:lang w:val="en-GB"/>
        </w:rPr>
        <w:t>renewable energy targets, or because other barriers that would otherwise prevent its implementation are removed as a result of being eligible to count towards those targets.</w:t>
      </w:r>
      <w:r w:rsidRPr="00526778">
        <w:rPr>
          <w:noProof/>
          <w:lang w:val="en-GB"/>
        </w:rPr>
        <w:t xml:space="preserve"> For the other two conditions, </w:t>
      </w:r>
      <w:r w:rsidR="003A0F3B">
        <w:rPr>
          <w:noProof/>
          <w:lang w:val="en-GB"/>
        </w:rPr>
        <w:t xml:space="preserve">namely </w:t>
      </w:r>
      <w:r w:rsidR="003A0F3B" w:rsidRPr="00526778">
        <w:rPr>
          <w:noProof/>
          <w:lang w:val="en-GB"/>
        </w:rPr>
        <w:t xml:space="preserve">cultivation in abandoned or severely degraded land and </w:t>
      </w:r>
      <w:r w:rsidR="003A0F3B">
        <w:rPr>
          <w:noProof/>
          <w:lang w:val="en-GB"/>
        </w:rPr>
        <w:t xml:space="preserve">application of the </w:t>
      </w:r>
      <w:r w:rsidR="003A0F3B" w:rsidRPr="3FE6C6E4">
        <w:rPr>
          <w:noProof/>
          <w:lang w:val="en-GB"/>
        </w:rPr>
        <w:t>additional</w:t>
      </w:r>
      <w:r w:rsidR="67B05A2D" w:rsidRPr="3FE6C6E4">
        <w:rPr>
          <w:noProof/>
          <w:lang w:val="en-GB"/>
        </w:rPr>
        <w:t>it</w:t>
      </w:r>
      <w:r w:rsidR="003A0F3B" w:rsidRPr="3FE6C6E4">
        <w:rPr>
          <w:noProof/>
          <w:lang w:val="en-GB"/>
        </w:rPr>
        <w:t xml:space="preserve">y </w:t>
      </w:r>
      <w:r w:rsidR="003A0F3B">
        <w:rPr>
          <w:noProof/>
          <w:lang w:val="en-GB"/>
        </w:rPr>
        <w:t>measures</w:t>
      </w:r>
      <w:r w:rsidR="003A0F3B" w:rsidRPr="00526778">
        <w:rPr>
          <w:noProof/>
          <w:lang w:val="en-GB"/>
        </w:rPr>
        <w:t xml:space="preserve"> by smallholders</w:t>
      </w:r>
      <w:r w:rsidR="003A0F3B">
        <w:rPr>
          <w:noProof/>
          <w:lang w:val="en-GB"/>
        </w:rPr>
        <w:t xml:space="preserve">, </w:t>
      </w:r>
      <w:r w:rsidRPr="00526778">
        <w:rPr>
          <w:noProof/>
          <w:lang w:val="en-GB"/>
        </w:rPr>
        <w:t xml:space="preserve">additionality is </w:t>
      </w:r>
      <w:r w:rsidR="00CC475C">
        <w:rPr>
          <w:noProof/>
          <w:lang w:val="en-GB"/>
        </w:rPr>
        <w:t>assumed</w:t>
      </w:r>
      <w:r w:rsidRPr="00526778">
        <w:rPr>
          <w:noProof/>
          <w:lang w:val="en-GB"/>
        </w:rPr>
        <w:t xml:space="preserve">. </w:t>
      </w:r>
      <w:r w:rsidR="006A6B64">
        <w:rPr>
          <w:noProof/>
          <w:lang w:val="en-GB"/>
        </w:rPr>
        <w:t>The latter</w:t>
      </w:r>
      <w:r w:rsidR="006A6B64" w:rsidRPr="00526778">
        <w:rPr>
          <w:noProof/>
          <w:lang w:val="en-GB"/>
        </w:rPr>
        <w:t xml:space="preserve"> </w:t>
      </w:r>
      <w:r w:rsidRPr="00526778">
        <w:rPr>
          <w:noProof/>
          <w:lang w:val="en-GB"/>
        </w:rPr>
        <w:t xml:space="preserve">is to ensure that </w:t>
      </w:r>
      <w:r w:rsidR="006A6B64">
        <w:rPr>
          <w:noProof/>
          <w:lang w:val="en-GB"/>
        </w:rPr>
        <w:t>unnecessary</w:t>
      </w:r>
      <w:r w:rsidR="006A6B64" w:rsidRPr="00526778">
        <w:rPr>
          <w:noProof/>
          <w:lang w:val="en-GB"/>
        </w:rPr>
        <w:t xml:space="preserve"> </w:t>
      </w:r>
      <w:r w:rsidRPr="00526778">
        <w:rPr>
          <w:noProof/>
          <w:lang w:val="en-GB"/>
        </w:rPr>
        <w:t xml:space="preserve">administrative burden is avoided. </w:t>
      </w:r>
      <w:r w:rsidR="00826FFE" w:rsidRPr="00526778">
        <w:rPr>
          <w:noProof/>
          <w:lang w:val="en-GB"/>
        </w:rPr>
        <w:t xml:space="preserve">This </w:t>
      </w:r>
      <w:r w:rsidR="00E468AE">
        <w:rPr>
          <w:noProof/>
          <w:lang w:val="en-GB"/>
        </w:rPr>
        <w:t>ex</w:t>
      </w:r>
      <w:r w:rsidR="00C71D75">
        <w:rPr>
          <w:noProof/>
          <w:lang w:val="en-GB"/>
        </w:rPr>
        <w:t xml:space="preserve">emption is justified and can be maintained </w:t>
      </w:r>
      <w:r w:rsidR="00826FFE" w:rsidRPr="00526778">
        <w:rPr>
          <w:noProof/>
          <w:lang w:val="en-GB"/>
        </w:rPr>
        <w:t>because smallholders are facing barriers that hinder the implementation of measures</w:t>
      </w:r>
      <w:r w:rsidR="00952F1B">
        <w:rPr>
          <w:noProof/>
          <w:lang w:val="en-GB"/>
        </w:rPr>
        <w:t xml:space="preserve"> to increase productivity</w:t>
      </w:r>
      <w:r w:rsidR="00826FFE" w:rsidRPr="00526778">
        <w:rPr>
          <w:noProof/>
          <w:lang w:val="en-GB"/>
        </w:rPr>
        <w:t>.</w:t>
      </w:r>
      <w:r w:rsidR="00826FFE" w:rsidRPr="00526778">
        <w:rPr>
          <w:noProof/>
          <w:lang w:val="en-IE"/>
        </w:rPr>
        <w:t xml:space="preserve"> </w:t>
      </w:r>
    </w:p>
    <w:p w14:paraId="75F88B29" w14:textId="0AABCA66" w:rsidR="00BF4564" w:rsidRPr="004B77F8" w:rsidRDefault="00BF2EB9" w:rsidP="00826FFE">
      <w:pPr>
        <w:pStyle w:val="NormalTimesNewRoman"/>
        <w:rPr>
          <w:noProof/>
          <w:lang w:val="en-IE"/>
        </w:rPr>
      </w:pPr>
      <w:r>
        <w:rPr>
          <w:noProof/>
        </w:rPr>
        <w:t xml:space="preserve">To allow </w:t>
      </w:r>
      <w:r w:rsidRPr="002A2A80">
        <w:rPr>
          <w:noProof/>
        </w:rPr>
        <w:t xml:space="preserve">economic operators to recuperate investments costs </w:t>
      </w:r>
      <w:r>
        <w:rPr>
          <w:noProof/>
        </w:rPr>
        <w:t>while</w:t>
      </w:r>
      <w:r w:rsidRPr="002A2A80">
        <w:rPr>
          <w:noProof/>
        </w:rPr>
        <w:t xml:space="preserve"> ensur</w:t>
      </w:r>
      <w:r>
        <w:rPr>
          <w:noProof/>
        </w:rPr>
        <w:t>ing</w:t>
      </w:r>
      <w:r w:rsidRPr="002A2A80">
        <w:rPr>
          <w:noProof/>
        </w:rPr>
        <w:t xml:space="preserve"> the continued effectiveness of the framework</w:t>
      </w:r>
      <w:r>
        <w:rPr>
          <w:noProof/>
        </w:rPr>
        <w:t>, p</w:t>
      </w:r>
      <w:r w:rsidR="00915353" w:rsidRPr="00526778">
        <w:rPr>
          <w:noProof/>
          <w:lang w:val="en-GB"/>
        </w:rPr>
        <w:t>oint (</w:t>
      </w:r>
      <w:r w:rsidR="009460D4">
        <w:rPr>
          <w:noProof/>
          <w:lang w:val="en-GB"/>
        </w:rPr>
        <w:t>b</w:t>
      </w:r>
      <w:r w:rsidR="00915353" w:rsidRPr="00526778">
        <w:rPr>
          <w:noProof/>
          <w:lang w:val="en-GB"/>
        </w:rPr>
        <w:t>) of Article 5(1)</w:t>
      </w:r>
      <w:r w:rsidR="009460D4">
        <w:rPr>
          <w:noProof/>
          <w:lang w:val="en-GB"/>
        </w:rPr>
        <w:t xml:space="preserve"> </w:t>
      </w:r>
      <w:r w:rsidR="007E30E9">
        <w:rPr>
          <w:noProof/>
          <w:lang w:val="en-GB"/>
        </w:rPr>
        <w:t xml:space="preserve">of the ILUC Delegated Regulation </w:t>
      </w:r>
      <w:r w:rsidR="00A142BF">
        <w:rPr>
          <w:noProof/>
          <w:lang w:val="en-GB"/>
        </w:rPr>
        <w:t>require</w:t>
      </w:r>
      <w:r w:rsidR="00346410">
        <w:rPr>
          <w:noProof/>
          <w:lang w:val="en-GB"/>
        </w:rPr>
        <w:t>s</w:t>
      </w:r>
      <w:r w:rsidR="009460D4">
        <w:rPr>
          <w:noProof/>
          <w:lang w:val="en-GB"/>
        </w:rPr>
        <w:t xml:space="preserve"> that </w:t>
      </w:r>
      <w:r w:rsidR="00A97E04">
        <w:rPr>
          <w:noProof/>
          <w:lang w:val="en-GB"/>
        </w:rPr>
        <w:t>t</w:t>
      </w:r>
      <w:r w:rsidR="00A97E04" w:rsidRPr="00A97E04">
        <w:rPr>
          <w:noProof/>
          <w:lang w:val="en-GB"/>
        </w:rPr>
        <w:t xml:space="preserve">he additionality measures </w:t>
      </w:r>
      <w:r w:rsidR="00346410">
        <w:rPr>
          <w:noProof/>
          <w:lang w:val="en-GB"/>
        </w:rPr>
        <w:t>have been</w:t>
      </w:r>
      <w:r w:rsidR="00A97E04" w:rsidRPr="00A97E04">
        <w:rPr>
          <w:noProof/>
          <w:lang w:val="en-GB"/>
        </w:rPr>
        <w:t xml:space="preserve"> taken no longer than 10 years before the certification of the biofuels, bioliquids and biomass fuels as low </w:t>
      </w:r>
      <w:r w:rsidR="00AB0E32">
        <w:rPr>
          <w:noProof/>
          <w:lang w:val="en-GB"/>
        </w:rPr>
        <w:t>ILUC</w:t>
      </w:r>
      <w:r w:rsidR="00A97E04" w:rsidRPr="00A97E04">
        <w:rPr>
          <w:noProof/>
          <w:lang w:val="en-GB"/>
        </w:rPr>
        <w:t>-risk fuels.</w:t>
      </w:r>
      <w:r w:rsidR="00A97E04">
        <w:rPr>
          <w:noProof/>
          <w:lang w:val="en-GB"/>
        </w:rPr>
        <w:t xml:space="preserve"> This </w:t>
      </w:r>
      <w:r w:rsidR="000E5F25">
        <w:rPr>
          <w:noProof/>
          <w:lang w:val="en-GB"/>
        </w:rPr>
        <w:t xml:space="preserve">condition works well for </w:t>
      </w:r>
      <w:r w:rsidR="00F55101" w:rsidRPr="004B77F8">
        <w:rPr>
          <w:noProof/>
          <w:lang w:val="en-GB"/>
        </w:rPr>
        <w:t xml:space="preserve">additionality </w:t>
      </w:r>
      <w:r w:rsidR="000E5F25" w:rsidRPr="004B77F8">
        <w:rPr>
          <w:noProof/>
          <w:lang w:val="en-GB"/>
        </w:rPr>
        <w:t>measures that</w:t>
      </w:r>
      <w:r w:rsidR="00F55101" w:rsidRPr="004B77F8">
        <w:rPr>
          <w:noProof/>
          <w:lang w:val="en-GB"/>
        </w:rPr>
        <w:t xml:space="preserve"> have an immediate </w:t>
      </w:r>
      <w:r w:rsidR="00697DA0" w:rsidRPr="004B77F8">
        <w:rPr>
          <w:noProof/>
          <w:lang w:val="en-GB"/>
        </w:rPr>
        <w:t xml:space="preserve">effect. However, to better cover cases where </w:t>
      </w:r>
      <w:r w:rsidR="00C82EBC" w:rsidRPr="004B77F8">
        <w:rPr>
          <w:noProof/>
          <w:lang w:val="en-GB"/>
        </w:rPr>
        <w:t xml:space="preserve">significant time </w:t>
      </w:r>
      <w:r w:rsidR="0071068A" w:rsidRPr="004B77F8">
        <w:rPr>
          <w:noProof/>
          <w:lang w:val="en-GB"/>
        </w:rPr>
        <w:t>passes until they yield additional feedstock</w:t>
      </w:r>
      <w:r w:rsidR="00953C6D" w:rsidRPr="004B77F8">
        <w:rPr>
          <w:noProof/>
          <w:lang w:val="en-GB"/>
        </w:rPr>
        <w:t xml:space="preserve">, it is </w:t>
      </w:r>
      <w:r w:rsidR="00246E2D" w:rsidRPr="004B77F8">
        <w:rPr>
          <w:noProof/>
          <w:lang w:val="en-GB"/>
        </w:rPr>
        <w:t>j</w:t>
      </w:r>
      <w:r w:rsidR="00246E2D" w:rsidRPr="00E425A8">
        <w:rPr>
          <w:rFonts w:eastAsiaTheme="minorEastAsia"/>
          <w:noProof/>
          <w:lang w:val="en-GB"/>
        </w:rPr>
        <w:t xml:space="preserve">ustified to </w:t>
      </w:r>
      <w:r w:rsidR="00C03DE7" w:rsidRPr="00E425A8">
        <w:rPr>
          <w:rFonts w:eastAsiaTheme="minorEastAsia"/>
          <w:noProof/>
          <w:lang w:val="en-GB"/>
        </w:rPr>
        <w:t xml:space="preserve">determine </w:t>
      </w:r>
      <w:r w:rsidR="00246E2D" w:rsidRPr="00E425A8">
        <w:rPr>
          <w:rFonts w:eastAsiaTheme="minorEastAsia"/>
          <w:noProof/>
          <w:lang w:val="en-GB"/>
        </w:rPr>
        <w:t xml:space="preserve">the </w:t>
      </w:r>
      <w:r w:rsidR="0071068A" w:rsidRPr="00E425A8">
        <w:rPr>
          <w:rFonts w:eastAsiaTheme="minorEastAsia"/>
          <w:noProof/>
          <w:lang w:val="en-GB"/>
        </w:rPr>
        <w:t>period of their eligibility based on the point in time when the production of additional feedstock started, rather than the point in time of their implementation</w:t>
      </w:r>
      <w:r w:rsidR="00406A3B" w:rsidRPr="00E425A8">
        <w:rPr>
          <w:rFonts w:eastAsiaTheme="minorEastAsia"/>
          <w:noProof/>
          <w:lang w:val="en-GB"/>
        </w:rPr>
        <w:t>.</w:t>
      </w:r>
      <w:r w:rsidR="000E5F25" w:rsidRPr="00E425A8">
        <w:rPr>
          <w:rFonts w:eastAsiaTheme="minorEastAsia"/>
          <w:noProof/>
          <w:lang w:val="en-GB"/>
        </w:rPr>
        <w:t xml:space="preserve"> </w:t>
      </w:r>
    </w:p>
    <w:p w14:paraId="2289B772" w14:textId="580897AE" w:rsidR="00CC3046" w:rsidRPr="00CC3046" w:rsidRDefault="67FE5085" w:rsidP="00CC3046">
      <w:pPr>
        <w:pStyle w:val="NormalTimesNewRoman"/>
        <w:rPr>
          <w:noProof/>
          <w:lang w:val="en-IE"/>
        </w:rPr>
      </w:pPr>
      <w:r w:rsidRPr="00E425A8">
        <w:rPr>
          <w:rFonts w:eastAsiaTheme="minorEastAsia"/>
          <w:noProof/>
          <w:lang w:val="en-GB"/>
        </w:rPr>
        <w:t xml:space="preserve">Further guidance on the implementation of low ILUC-risk certification </w:t>
      </w:r>
      <w:r w:rsidR="0038154D" w:rsidRPr="00E425A8">
        <w:rPr>
          <w:rFonts w:eastAsiaTheme="minorEastAsia"/>
          <w:noProof/>
          <w:lang w:val="en-GB"/>
        </w:rPr>
        <w:t xml:space="preserve">is </w:t>
      </w:r>
      <w:r w:rsidRPr="00E425A8">
        <w:rPr>
          <w:rFonts w:eastAsiaTheme="minorEastAsia"/>
          <w:noProof/>
          <w:lang w:val="en-GB"/>
        </w:rPr>
        <w:t>included in Chapter</w:t>
      </w:r>
      <w:r w:rsidR="0038154D" w:rsidRPr="00E425A8">
        <w:rPr>
          <w:rFonts w:eastAsiaTheme="minorEastAsia"/>
          <w:noProof/>
          <w:lang w:val="en-GB"/>
        </w:rPr>
        <w:t> </w:t>
      </w:r>
      <w:r w:rsidRPr="00E425A8">
        <w:rPr>
          <w:rFonts w:eastAsiaTheme="minorEastAsia"/>
          <w:noProof/>
          <w:lang w:val="en-GB"/>
        </w:rPr>
        <w:t>V of Implementing Regulation (EU) 2022/996</w:t>
      </w:r>
      <w:r w:rsidRPr="00E425A8">
        <w:rPr>
          <w:rFonts w:eastAsiaTheme="minorEastAsia"/>
          <w:noProof/>
          <w:vertAlign w:val="superscript"/>
        </w:rPr>
        <w:footnoteReference w:id="25"/>
      </w:r>
      <w:r w:rsidRPr="00E425A8">
        <w:rPr>
          <w:rFonts w:eastAsiaTheme="minorEastAsia"/>
          <w:noProof/>
          <w:vertAlign w:val="superscript"/>
          <w:lang w:val="en-GB"/>
        </w:rPr>
        <w:t xml:space="preserve"> </w:t>
      </w:r>
      <w:r w:rsidRPr="00E425A8">
        <w:rPr>
          <w:rFonts w:eastAsiaTheme="minorEastAsia"/>
          <w:noProof/>
          <w:lang w:val="en-GB"/>
        </w:rPr>
        <w:t xml:space="preserve">on certification rules for voluntary schemes. </w:t>
      </w:r>
      <w:r w:rsidR="0038154D" w:rsidRPr="00E425A8">
        <w:rPr>
          <w:rFonts w:eastAsiaTheme="minorEastAsia"/>
          <w:noProof/>
          <w:lang w:val="en-GB"/>
        </w:rPr>
        <w:t xml:space="preserve">Its </w:t>
      </w:r>
      <w:r w:rsidRPr="00E425A8">
        <w:rPr>
          <w:rFonts w:eastAsiaTheme="minorEastAsia"/>
          <w:noProof/>
          <w:lang w:val="en-GB"/>
        </w:rPr>
        <w:t>Articles 24</w:t>
      </w:r>
      <w:r w:rsidR="00825662">
        <w:rPr>
          <w:rFonts w:eastAsiaTheme="minorEastAsia"/>
          <w:noProof/>
          <w:lang w:val="en-GB"/>
        </w:rPr>
        <w:t xml:space="preserve"> to</w:t>
      </w:r>
      <w:r w:rsidR="002B100E">
        <w:rPr>
          <w:rFonts w:eastAsiaTheme="minorEastAsia"/>
          <w:noProof/>
          <w:lang w:val="en-GB"/>
        </w:rPr>
        <w:t xml:space="preserve"> </w:t>
      </w:r>
      <w:r w:rsidRPr="00E425A8">
        <w:rPr>
          <w:rFonts w:eastAsiaTheme="minorEastAsia"/>
          <w:noProof/>
          <w:lang w:val="en-GB"/>
        </w:rPr>
        <w:t>27</w:t>
      </w:r>
      <w:r w:rsidR="0038154D" w:rsidRPr="00E425A8">
        <w:rPr>
          <w:rFonts w:eastAsiaTheme="minorEastAsia"/>
          <w:noProof/>
          <w:lang w:val="en-GB"/>
        </w:rPr>
        <w:t xml:space="preserve"> explain</w:t>
      </w:r>
      <w:r w:rsidRPr="00E425A8">
        <w:rPr>
          <w:rFonts w:eastAsiaTheme="minorEastAsia"/>
          <w:noProof/>
          <w:lang w:val="en-GB"/>
        </w:rPr>
        <w:t xml:space="preserve"> the specific requirements for low ILUC-risk certification</w:t>
      </w:r>
      <w:r w:rsidR="006A6279" w:rsidRPr="00E425A8">
        <w:rPr>
          <w:rFonts w:eastAsiaTheme="minorEastAsia"/>
          <w:noProof/>
          <w:lang w:val="en-GB"/>
        </w:rPr>
        <w:t xml:space="preserve"> and include</w:t>
      </w:r>
      <w:r w:rsidRPr="00E425A8">
        <w:rPr>
          <w:rFonts w:eastAsiaTheme="minorEastAsia"/>
          <w:noProof/>
          <w:lang w:val="en-GB"/>
        </w:rPr>
        <w:t xml:space="preserve"> </w:t>
      </w:r>
      <w:r w:rsidRPr="004B77F8">
        <w:rPr>
          <w:noProof/>
          <w:lang w:val="en-GB"/>
        </w:rPr>
        <w:t>rules for proving additionality and</w:t>
      </w:r>
      <w:r w:rsidRPr="00526778">
        <w:rPr>
          <w:noProof/>
          <w:lang w:val="en-GB"/>
        </w:rPr>
        <w:t xml:space="preserve"> detailed guidance for complying with the requirements for production on unused or abandoned land and for determining additional biomass for yield increase measures. These technical rules aim to ensure a harmonised and robust approach across certification bodies. </w:t>
      </w:r>
      <w:r w:rsidR="00CC3046">
        <w:rPr>
          <w:noProof/>
          <w:lang w:val="en-GB"/>
        </w:rPr>
        <w:t xml:space="preserve">Specifically when it comes to the additionality measures and the </w:t>
      </w:r>
      <w:r w:rsidR="003D4289">
        <w:rPr>
          <w:noProof/>
          <w:lang w:val="en-GB"/>
        </w:rPr>
        <w:t>eligibility</w:t>
      </w:r>
      <w:r w:rsidR="00CC3046">
        <w:rPr>
          <w:noProof/>
          <w:lang w:val="en-GB"/>
        </w:rPr>
        <w:t xml:space="preserve"> period mentioned above, </w:t>
      </w:r>
      <w:r w:rsidR="00CC3046" w:rsidRPr="00CC3046">
        <w:rPr>
          <w:noProof/>
          <w:lang w:val="en-IE"/>
        </w:rPr>
        <w:t xml:space="preserve">Article 24(6) of Implementing Regulation (EU) 2022/996 </w:t>
      </w:r>
      <w:r w:rsidR="00CC3046">
        <w:rPr>
          <w:noProof/>
          <w:lang w:val="en-IE"/>
        </w:rPr>
        <w:t xml:space="preserve">introduced the rule that for </w:t>
      </w:r>
      <w:r w:rsidR="00CC3046" w:rsidRPr="00CC3046">
        <w:rPr>
          <w:noProof/>
          <w:lang w:val="en-IE"/>
        </w:rPr>
        <w:t>perennial crops</w:t>
      </w:r>
      <w:r w:rsidR="00CC3046">
        <w:rPr>
          <w:noProof/>
          <w:lang w:val="en-IE"/>
        </w:rPr>
        <w:t>,</w:t>
      </w:r>
      <w:r w:rsidR="00CC3046" w:rsidRPr="00CC3046">
        <w:rPr>
          <w:noProof/>
          <w:lang w:val="en-IE"/>
        </w:rPr>
        <w:t xml:space="preserve"> an economic operator can choose to delay the start of the 10-year validity period by up to 2 years in the case of operational additionality measures or up to 5 years in the case of replanting.</w:t>
      </w:r>
    </w:p>
    <w:p w14:paraId="35DBCC75" w14:textId="3924B420" w:rsidR="001C9B45" w:rsidRDefault="001C9B45" w:rsidP="001C9B45">
      <w:pPr>
        <w:pStyle w:val="NormalTimesNewRoman"/>
        <w:rPr>
          <w:noProof/>
          <w:lang w:val="en-GB"/>
        </w:rPr>
      </w:pPr>
    </w:p>
    <w:p w14:paraId="2E0BB16D" w14:textId="77777777" w:rsidR="74982C6C" w:rsidRPr="00526778" w:rsidRDefault="74982C6C" w:rsidP="00725345">
      <w:pPr>
        <w:pStyle w:val="Style1"/>
        <w:rPr>
          <w:noProof/>
        </w:rPr>
      </w:pPr>
      <w:bookmarkStart w:id="11" w:name="_Toc109647472"/>
      <w:r w:rsidRPr="00526778">
        <w:rPr>
          <w:noProof/>
        </w:rPr>
        <w:t>CONCLUSIONS</w:t>
      </w:r>
      <w:bookmarkEnd w:id="11"/>
    </w:p>
    <w:p w14:paraId="5043CB0F" w14:textId="77777777" w:rsidR="67FE5085" w:rsidRPr="00526778" w:rsidRDefault="67FE5085" w:rsidP="67FE5085">
      <w:pPr>
        <w:rPr>
          <w:rFonts w:ascii="Times New Roman" w:eastAsia="Times New Roman" w:hAnsi="Times New Roman" w:cs="Times New Roman"/>
          <w:noProof/>
          <w:sz w:val="24"/>
          <w:szCs w:val="24"/>
          <w:lang w:val="en-GB"/>
        </w:rPr>
      </w:pPr>
    </w:p>
    <w:p w14:paraId="07459315" w14:textId="5CAFC5E0" w:rsidR="008243A8" w:rsidRPr="00526778" w:rsidRDefault="00382EB9" w:rsidP="00D937A1">
      <w:pPr>
        <w:pStyle w:val="NormalTimesNewRoman"/>
        <w:rPr>
          <w:noProof/>
          <w:lang w:val="en-GB"/>
        </w:rPr>
      </w:pPr>
      <w:r w:rsidRPr="72E8964A">
        <w:rPr>
          <w:noProof/>
          <w:lang w:val="en-GB"/>
        </w:rPr>
        <w:t xml:space="preserve">The </w:t>
      </w:r>
      <w:r w:rsidR="00914BB0" w:rsidRPr="72E8964A">
        <w:rPr>
          <w:noProof/>
          <w:lang w:val="en-GB"/>
        </w:rPr>
        <w:t xml:space="preserve">findings of the </w:t>
      </w:r>
      <w:r w:rsidR="00D417AE" w:rsidRPr="72E8964A">
        <w:rPr>
          <w:noProof/>
          <w:lang w:val="en-GB"/>
        </w:rPr>
        <w:t xml:space="preserve">review of </w:t>
      </w:r>
      <w:r w:rsidRPr="72E8964A">
        <w:rPr>
          <w:noProof/>
          <w:lang w:val="en-GB"/>
        </w:rPr>
        <w:t>scientific evidence</w:t>
      </w:r>
      <w:r w:rsidR="67FE5085" w:rsidRPr="72E8964A">
        <w:rPr>
          <w:noProof/>
          <w:lang w:val="en-GB"/>
        </w:rPr>
        <w:t xml:space="preserve"> </w:t>
      </w:r>
      <w:r w:rsidR="008243A8" w:rsidRPr="72E8964A">
        <w:rPr>
          <w:noProof/>
          <w:lang w:val="en-GB"/>
        </w:rPr>
        <w:t xml:space="preserve">included </w:t>
      </w:r>
      <w:r w:rsidRPr="72E8964A">
        <w:rPr>
          <w:noProof/>
          <w:lang w:val="en-GB"/>
        </w:rPr>
        <w:t xml:space="preserve">in this report are consistent with the data included in the 2019 feedstock report </w:t>
      </w:r>
      <w:r w:rsidR="009C37DB">
        <w:rPr>
          <w:noProof/>
          <w:color w:val="000000" w:themeColor="text1"/>
          <w:lang w:val="en-GB"/>
        </w:rPr>
        <w:t xml:space="preserve">and confirm the approach taken in the </w:t>
      </w:r>
      <w:r w:rsidR="009C37DB" w:rsidRPr="0EAA0E46">
        <w:rPr>
          <w:noProof/>
          <w:color w:val="000000" w:themeColor="text1"/>
          <w:lang w:val="en-GB"/>
        </w:rPr>
        <w:t>ILUC Delegated Regulation</w:t>
      </w:r>
      <w:r w:rsidR="00EC7F34" w:rsidRPr="0EAA0E46">
        <w:rPr>
          <w:noProof/>
          <w:lang w:val="en-GB"/>
        </w:rPr>
        <w:t>.</w:t>
      </w:r>
      <w:r w:rsidR="00EC7F34" w:rsidRPr="72E8964A">
        <w:rPr>
          <w:noProof/>
          <w:lang w:val="en-GB"/>
        </w:rPr>
        <w:t xml:space="preserve"> </w:t>
      </w:r>
      <w:r w:rsidR="00FD0C1F">
        <w:rPr>
          <w:noProof/>
          <w:lang w:val="en-GB"/>
        </w:rPr>
        <w:t>Accordingly</w:t>
      </w:r>
      <w:r w:rsidR="003517E9">
        <w:rPr>
          <w:noProof/>
          <w:lang w:val="en-GB"/>
        </w:rPr>
        <w:t xml:space="preserve">, </w:t>
      </w:r>
      <w:r w:rsidR="00962233">
        <w:rPr>
          <w:noProof/>
          <w:lang w:val="en-GB"/>
        </w:rPr>
        <w:t xml:space="preserve">the Commission intends to limit the </w:t>
      </w:r>
      <w:r w:rsidR="00194973">
        <w:rPr>
          <w:noProof/>
          <w:lang w:val="en-GB"/>
        </w:rPr>
        <w:t xml:space="preserve">review of the </w:t>
      </w:r>
      <w:r w:rsidR="00962233" w:rsidRPr="0EAA0E46">
        <w:rPr>
          <w:noProof/>
          <w:color w:val="000000" w:themeColor="text1"/>
          <w:lang w:val="en-GB"/>
        </w:rPr>
        <w:t>ILUC Delegated Regulation</w:t>
      </w:r>
      <w:r w:rsidR="00962233">
        <w:rPr>
          <w:noProof/>
          <w:color w:val="000000" w:themeColor="text1"/>
          <w:lang w:val="en-GB"/>
        </w:rPr>
        <w:t xml:space="preserve"> </w:t>
      </w:r>
      <w:r w:rsidR="00194973">
        <w:rPr>
          <w:noProof/>
          <w:color w:val="000000" w:themeColor="text1"/>
          <w:lang w:val="en-GB"/>
        </w:rPr>
        <w:t xml:space="preserve">to minor changes </w:t>
      </w:r>
      <w:r w:rsidR="009E291C">
        <w:rPr>
          <w:noProof/>
          <w:color w:val="000000" w:themeColor="text1"/>
          <w:lang w:val="en-GB"/>
        </w:rPr>
        <w:t xml:space="preserve">of the methodology </w:t>
      </w:r>
      <w:r w:rsidR="00194973">
        <w:rPr>
          <w:noProof/>
          <w:color w:val="000000" w:themeColor="text1"/>
          <w:lang w:val="en-GB"/>
        </w:rPr>
        <w:t xml:space="preserve">as well as an update of the </w:t>
      </w:r>
      <w:r w:rsidR="0048206B">
        <w:rPr>
          <w:noProof/>
          <w:color w:val="000000" w:themeColor="text1"/>
          <w:lang w:val="en-GB"/>
        </w:rPr>
        <w:t>data</w:t>
      </w:r>
      <w:r w:rsidR="009E291C">
        <w:rPr>
          <w:noProof/>
          <w:color w:val="000000" w:themeColor="text1"/>
          <w:lang w:val="en-GB"/>
        </w:rPr>
        <w:t xml:space="preserve"> on feedstock expansion and </w:t>
      </w:r>
      <w:r w:rsidR="005850DB">
        <w:rPr>
          <w:noProof/>
          <w:color w:val="000000" w:themeColor="text1"/>
          <w:lang w:val="en-GB"/>
        </w:rPr>
        <w:t>the productivity factors.</w:t>
      </w:r>
      <w:r w:rsidR="00976947">
        <w:rPr>
          <w:noProof/>
          <w:color w:val="000000" w:themeColor="text1"/>
          <w:lang w:val="en-GB"/>
        </w:rPr>
        <w:t xml:space="preserve"> According to the updated data</w:t>
      </w:r>
      <w:r w:rsidR="001C3C2C">
        <w:rPr>
          <w:noProof/>
          <w:color w:val="000000" w:themeColor="text1"/>
          <w:lang w:val="en-GB"/>
        </w:rPr>
        <w:t>,</w:t>
      </w:r>
      <w:r w:rsidR="00976947">
        <w:rPr>
          <w:noProof/>
          <w:color w:val="000000" w:themeColor="text1"/>
          <w:lang w:val="en-GB"/>
        </w:rPr>
        <w:t xml:space="preserve"> both palm oil and soy</w:t>
      </w:r>
      <w:r w:rsidR="00CC3046">
        <w:rPr>
          <w:noProof/>
          <w:color w:val="000000" w:themeColor="text1"/>
          <w:lang w:val="en-GB"/>
        </w:rPr>
        <w:t>beans</w:t>
      </w:r>
      <w:r w:rsidR="00976947">
        <w:rPr>
          <w:noProof/>
          <w:color w:val="000000" w:themeColor="text1"/>
          <w:lang w:val="en-GB"/>
        </w:rPr>
        <w:t xml:space="preserve"> </w:t>
      </w:r>
      <w:r w:rsidR="00F77D43" w:rsidRPr="72E8964A">
        <w:rPr>
          <w:noProof/>
          <w:lang w:val="en-GB"/>
        </w:rPr>
        <w:t>qualif</w:t>
      </w:r>
      <w:r w:rsidR="008C0A5F">
        <w:rPr>
          <w:noProof/>
          <w:lang w:val="en-GB"/>
        </w:rPr>
        <w:t>y</w:t>
      </w:r>
      <w:r w:rsidR="00F77D43" w:rsidRPr="72E8964A">
        <w:rPr>
          <w:noProof/>
          <w:lang w:val="en-GB"/>
        </w:rPr>
        <w:t xml:space="preserve"> as high</w:t>
      </w:r>
      <w:r w:rsidR="00D524E3" w:rsidRPr="72E8964A">
        <w:rPr>
          <w:noProof/>
          <w:lang w:val="en-GB"/>
        </w:rPr>
        <w:t xml:space="preserve"> ILUC-risk feedstock</w:t>
      </w:r>
      <w:r w:rsidR="00EC7F34" w:rsidRPr="72E8964A">
        <w:rPr>
          <w:noProof/>
          <w:lang w:val="en-GB"/>
        </w:rPr>
        <w:t>.</w:t>
      </w:r>
      <w:r w:rsidR="00D937A1" w:rsidRPr="72E8964A">
        <w:rPr>
          <w:noProof/>
          <w:lang w:val="en-GB"/>
        </w:rPr>
        <w:t xml:space="preserve"> </w:t>
      </w:r>
    </w:p>
    <w:sectPr w:rsidR="008243A8" w:rsidRPr="00526778" w:rsidSect="00CD6E84">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C780F" w14:textId="77777777" w:rsidR="00C92CBF" w:rsidRDefault="00C92CBF">
      <w:pPr>
        <w:spacing w:after="0" w:line="240" w:lineRule="auto"/>
      </w:pPr>
      <w:r>
        <w:separator/>
      </w:r>
    </w:p>
  </w:endnote>
  <w:endnote w:type="continuationSeparator" w:id="0">
    <w:p w14:paraId="7E92E9CC" w14:textId="77777777" w:rsidR="00C92CBF" w:rsidRDefault="00C92CBF">
      <w:pPr>
        <w:spacing w:after="0" w:line="240" w:lineRule="auto"/>
      </w:pPr>
      <w:r>
        <w:continuationSeparator/>
      </w:r>
    </w:p>
  </w:endnote>
  <w:endnote w:type="continuationNotice" w:id="1">
    <w:p w14:paraId="2235AFF2" w14:textId="77777777" w:rsidR="00C92CBF" w:rsidRDefault="00C92C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498D6" w14:textId="0E2C23C0" w:rsidR="00652629" w:rsidRPr="00652629" w:rsidRDefault="00652629" w:rsidP="00652629">
    <w:pPr>
      <w:pStyle w:val="FooterCoverPage"/>
      <w:rPr>
        <w:rFonts w:ascii="Arial" w:hAnsi="Arial" w:cs="Arial"/>
        <w:b/>
        <w:sz w:val="48"/>
      </w:rPr>
    </w:pPr>
    <w:r w:rsidRPr="00652629">
      <w:rPr>
        <w:rFonts w:ascii="Arial" w:hAnsi="Arial" w:cs="Arial"/>
        <w:b/>
        <w:sz w:val="48"/>
      </w:rPr>
      <w:t>EN</w:t>
    </w:r>
    <w:r w:rsidRPr="00652629">
      <w:rPr>
        <w:rFonts w:ascii="Arial" w:hAnsi="Arial" w:cs="Arial"/>
        <w:b/>
        <w:sz w:val="48"/>
      </w:rPr>
      <w:tab/>
    </w:r>
    <w:r w:rsidRPr="00652629">
      <w:rPr>
        <w:rFonts w:ascii="Arial" w:hAnsi="Arial" w:cs="Arial"/>
        <w:b/>
        <w:sz w:val="48"/>
      </w:rPr>
      <w:tab/>
    </w:r>
    <w:r w:rsidRPr="00652629">
      <w:tab/>
    </w:r>
    <w:r w:rsidRPr="0065262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ED69" w14:textId="7D49EAE6" w:rsidR="00652629" w:rsidRPr="00652629" w:rsidRDefault="00652629" w:rsidP="00652629">
    <w:pPr>
      <w:pStyle w:val="FooterCoverPage"/>
      <w:rPr>
        <w:rFonts w:ascii="Arial" w:hAnsi="Arial" w:cs="Arial"/>
        <w:b/>
        <w:sz w:val="48"/>
      </w:rPr>
    </w:pPr>
    <w:r w:rsidRPr="00652629">
      <w:rPr>
        <w:rFonts w:ascii="Arial" w:hAnsi="Arial" w:cs="Arial"/>
        <w:b/>
        <w:sz w:val="48"/>
      </w:rPr>
      <w:t>EN</w:t>
    </w:r>
    <w:r w:rsidRPr="00652629">
      <w:rPr>
        <w:rFonts w:ascii="Arial" w:hAnsi="Arial" w:cs="Arial"/>
        <w:b/>
        <w:sz w:val="48"/>
      </w:rPr>
      <w:tab/>
    </w:r>
    <w:r w:rsidRPr="00652629">
      <w:rPr>
        <w:rFonts w:ascii="Arial" w:hAnsi="Arial" w:cs="Arial"/>
        <w:b/>
        <w:sz w:val="48"/>
      </w:rPr>
      <w:tab/>
    </w:r>
    <w:r w:rsidRPr="00652629">
      <w:tab/>
    </w:r>
    <w:r w:rsidRPr="0065262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6BF6" w14:textId="77777777" w:rsidR="00652629" w:rsidRPr="00652629" w:rsidRDefault="00652629" w:rsidP="006526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77777777" w:rsidR="00CD6E84" w:rsidRDefault="00CD6E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924244"/>
      <w:docPartObj>
        <w:docPartGallery w:val="Page Numbers (Bottom of Page)"/>
        <w:docPartUnique/>
      </w:docPartObj>
    </w:sdtPr>
    <w:sdtEndPr>
      <w:rPr>
        <w:noProof/>
      </w:rPr>
    </w:sdtEndPr>
    <w:sdtContent>
      <w:p w14:paraId="3D3D22A9" w14:textId="320CC415" w:rsidR="00CD6E84" w:rsidRDefault="00CD6E84">
        <w:pPr>
          <w:pStyle w:val="Footer"/>
          <w:jc w:val="center"/>
        </w:pPr>
        <w:r>
          <w:fldChar w:fldCharType="begin"/>
        </w:r>
        <w:r>
          <w:instrText xml:space="preserve"> PAGE   \* MERGEFORMAT </w:instrText>
        </w:r>
        <w:r>
          <w:fldChar w:fldCharType="separate"/>
        </w:r>
        <w:r w:rsidR="002666EE">
          <w:rPr>
            <w:noProof/>
          </w:rPr>
          <w:t>1</w:t>
        </w:r>
        <w:r>
          <w:rPr>
            <w:noProof/>
          </w:rPr>
          <w:fldChar w:fldCharType="end"/>
        </w:r>
      </w:p>
    </w:sdtContent>
  </w:sdt>
  <w:p w14:paraId="6DFB9E20" w14:textId="77777777" w:rsidR="00CD6E84" w:rsidRDefault="00CD6E84" w:rsidP="74982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AD66" w14:textId="77777777" w:rsidR="00CD6E84" w:rsidRDefault="00CD6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1BD8" w14:textId="77777777" w:rsidR="00C92CBF" w:rsidRDefault="00C92CBF">
      <w:pPr>
        <w:spacing w:after="0" w:line="240" w:lineRule="auto"/>
      </w:pPr>
      <w:r>
        <w:separator/>
      </w:r>
    </w:p>
  </w:footnote>
  <w:footnote w:type="continuationSeparator" w:id="0">
    <w:p w14:paraId="525A1C8D" w14:textId="77777777" w:rsidR="00C92CBF" w:rsidRDefault="00C92CBF">
      <w:pPr>
        <w:spacing w:after="0" w:line="240" w:lineRule="auto"/>
      </w:pPr>
      <w:r>
        <w:continuationSeparator/>
      </w:r>
    </w:p>
  </w:footnote>
  <w:footnote w:type="continuationNotice" w:id="1">
    <w:p w14:paraId="189EE537" w14:textId="77777777" w:rsidR="00C92CBF" w:rsidRDefault="00C92CBF">
      <w:pPr>
        <w:spacing w:after="0" w:line="240" w:lineRule="auto"/>
      </w:pPr>
    </w:p>
  </w:footnote>
  <w:footnote w:id="2">
    <w:p w14:paraId="232E177B" w14:textId="25F6A85B" w:rsidR="004B465E" w:rsidRPr="009645C7" w:rsidRDefault="004B465E" w:rsidP="00D937A1">
      <w:pPr>
        <w:pStyle w:val="FootnoteText"/>
        <w:jc w:val="both"/>
        <w:rPr>
          <w:rFonts w:ascii="Times New Roman" w:hAnsi="Times New Roman" w:cs="Times New Roman"/>
        </w:rPr>
      </w:pPr>
      <w:r w:rsidRPr="009645C7">
        <w:rPr>
          <w:rStyle w:val="FootnoteReference"/>
          <w:rFonts w:ascii="Times New Roman" w:hAnsi="Times New Roman" w:cs="Times New Roman"/>
        </w:rPr>
        <w:footnoteRef/>
      </w:r>
      <w:r w:rsidRPr="009645C7">
        <w:rPr>
          <w:rFonts w:ascii="Times New Roman" w:hAnsi="Times New Roman" w:cs="Times New Roman"/>
        </w:rPr>
        <w:t xml:space="preserve"> </w:t>
      </w:r>
      <w:r w:rsidRPr="009645C7">
        <w:rPr>
          <w:rFonts w:ascii="Times New Roman" w:eastAsia="Roboto" w:hAnsi="Times New Roman" w:cs="Times New Roman"/>
          <w:iCs/>
        </w:rPr>
        <w:t xml:space="preserve">Directive (EU) 2018/2001 of the European Parliament and of the Council of 11 December 2018 on the promotion of the use of energy from renewable sources, </w:t>
      </w:r>
      <w:r w:rsidR="0015058B" w:rsidRPr="009645C7">
        <w:rPr>
          <w:rFonts w:ascii="Times New Roman" w:eastAsia="Roboto" w:hAnsi="Times New Roman" w:cs="Times New Roman"/>
          <w:iCs/>
        </w:rPr>
        <w:t>(</w:t>
      </w:r>
      <w:r w:rsidRPr="009645C7">
        <w:rPr>
          <w:rFonts w:ascii="Times New Roman" w:eastAsia="Roboto" w:hAnsi="Times New Roman" w:cs="Times New Roman"/>
          <w:iCs/>
        </w:rPr>
        <w:t xml:space="preserve">OJ L 328, 21.12.2018, </w:t>
      </w:r>
      <w:r w:rsidR="007F57F9" w:rsidRPr="009645C7">
        <w:rPr>
          <w:rFonts w:ascii="Times New Roman" w:eastAsia="Roboto" w:hAnsi="Times New Roman" w:cs="Times New Roman"/>
          <w:iCs/>
        </w:rPr>
        <w:t>ELI: </w:t>
      </w:r>
      <w:hyperlink r:id="rId1" w:tooltip="Gives access to this document through its ELI URI." w:history="1">
        <w:r w:rsidR="007F57F9" w:rsidRPr="009645C7">
          <w:rPr>
            <w:rStyle w:val="Hyperlink"/>
            <w:rFonts w:ascii="Times New Roman" w:eastAsia="Roboto" w:hAnsi="Times New Roman" w:cs="Times New Roman"/>
            <w:iCs/>
          </w:rPr>
          <w:t>http://data.europa.eu/eli/dir/2018/2001/oj</w:t>
        </w:r>
      </w:hyperlink>
      <w:r w:rsidR="007F57F9" w:rsidRPr="009645C7">
        <w:rPr>
          <w:rFonts w:ascii="Times New Roman" w:eastAsia="Roboto" w:hAnsi="Times New Roman" w:cs="Times New Roman"/>
          <w:iCs/>
        </w:rPr>
        <w:t>) as amended by Directive (EU) 2023/2413 of the European Parliament and of the Council of 18 October 2023 amending Directive (EU) 2018/2001, Regulation (EU) 2018/1999 and Directive 98/70/EC as regards the promotion of energy from renewable sources, and repealing Council Directive (EU) 2015/652 (</w:t>
      </w:r>
      <w:r w:rsidR="007F57F9" w:rsidRPr="009645C7">
        <w:rPr>
          <w:rFonts w:ascii="Times New Roman" w:eastAsia="Roboto" w:hAnsi="Times New Roman" w:cs="Times New Roman"/>
          <w:i/>
          <w:iCs/>
        </w:rPr>
        <w:t>OJ L, 2023/2413, 31.10.2023, ELI: </w:t>
      </w:r>
      <w:hyperlink r:id="rId2" w:tgtFrame="_blank" w:tooltip="Gives access to this document through its ELI URI." w:history="1">
        <w:r w:rsidR="007F57F9" w:rsidRPr="009645C7">
          <w:rPr>
            <w:rStyle w:val="Hyperlink"/>
            <w:rFonts w:ascii="Times New Roman" w:eastAsia="Roboto" w:hAnsi="Times New Roman" w:cs="Times New Roman"/>
            <w:i/>
            <w:iCs/>
          </w:rPr>
          <w:t>http://data.europa.eu/eli/dir/2023/2413/oj</w:t>
        </w:r>
      </w:hyperlink>
      <w:r w:rsidR="007F57F9" w:rsidRPr="009645C7">
        <w:rPr>
          <w:rFonts w:ascii="Times New Roman" w:eastAsia="Roboto" w:hAnsi="Times New Roman" w:cs="Times New Roman"/>
          <w:iCs/>
        </w:rPr>
        <w:t>)</w:t>
      </w:r>
    </w:p>
  </w:footnote>
  <w:footnote w:id="3">
    <w:p w14:paraId="44AAE05E" w14:textId="77777777" w:rsidR="003F69F4" w:rsidRPr="009645C7" w:rsidRDefault="003F69F4" w:rsidP="006324EC">
      <w:pPr>
        <w:pStyle w:val="FootnoteText"/>
        <w:jc w:val="both"/>
        <w:rPr>
          <w:rFonts w:ascii="Times New Roman" w:hAnsi="Times New Roman" w:cs="Times New Roman"/>
        </w:rPr>
      </w:pPr>
      <w:r w:rsidRPr="009645C7">
        <w:rPr>
          <w:rStyle w:val="FootnoteReference"/>
          <w:rFonts w:ascii="Times New Roman" w:hAnsi="Times New Roman" w:cs="Times New Roman"/>
        </w:rPr>
        <w:footnoteRef/>
      </w:r>
      <w:r w:rsidRPr="009645C7">
        <w:rPr>
          <w:rFonts w:ascii="Times New Roman" w:hAnsi="Times New Roman" w:cs="Times New Roman"/>
        </w:rPr>
        <w:t xml:space="preserve">  Commission Delegated Regulation (EU) 2019/807 of 13 March 2019 supplementing Directive (EU) 2018/2001 of the European Parliament and of the Council as regards the determination of high indirect land-use change-risk feedstock for which a significant expansion of the production area into land with high carbon stock is observed and the certification of low indirect land-use change-risk biofuels, bioliquids and biomass fuels, OJ L 133, 21.5.2019, p. 1.</w:t>
      </w:r>
    </w:p>
  </w:footnote>
  <w:footnote w:id="4">
    <w:p w14:paraId="473F21FD" w14:textId="3929D1CB" w:rsidR="00656CE7" w:rsidRPr="00412EF2" w:rsidRDefault="00656CE7" w:rsidP="00656CE7">
      <w:pPr>
        <w:pStyle w:val="FootnoteText"/>
        <w:jc w:val="both"/>
        <w:rPr>
          <w:rFonts w:ascii="Times New Roman" w:hAnsi="Times New Roman" w:cs="Times New Roman"/>
        </w:rPr>
      </w:pPr>
      <w:r w:rsidRPr="00412EF2">
        <w:rPr>
          <w:rStyle w:val="FootnoteReference"/>
          <w:rFonts w:ascii="Times New Roman" w:hAnsi="Times New Roman" w:cs="Times New Roman"/>
        </w:rPr>
        <w:footnoteRef/>
      </w:r>
      <w:r w:rsidRPr="00412EF2">
        <w:rPr>
          <w:rFonts w:ascii="Times New Roman" w:hAnsi="Times New Roman" w:cs="Times New Roman"/>
        </w:rPr>
        <w:t xml:space="preserve"> COM/2019/142 final - Report from the Commission to the European Parliament, the Council, the European Economic and Social Committee and the Committee of the Regions on the status of production expansion of relevant food and feed crops worldwide</w:t>
      </w:r>
      <w:r w:rsidR="00CF6C97">
        <w:rPr>
          <w:rFonts w:ascii="Times New Roman" w:hAnsi="Times New Roman" w:cs="Times New Roman"/>
        </w:rPr>
        <w:t>.</w:t>
      </w:r>
    </w:p>
  </w:footnote>
  <w:footnote w:id="5">
    <w:p w14:paraId="58CA19A0" w14:textId="1DEEA15C" w:rsidR="00830A7C" w:rsidRPr="002419DC" w:rsidRDefault="00830A7C">
      <w:pPr>
        <w:pStyle w:val="FootnoteText"/>
        <w:rPr>
          <w:lang w:val="en-GB"/>
        </w:rPr>
      </w:pPr>
      <w:r>
        <w:rPr>
          <w:rStyle w:val="FootnoteReference"/>
        </w:rPr>
        <w:footnoteRef/>
      </w:r>
      <w:r>
        <w:t xml:space="preserve"> </w:t>
      </w:r>
      <w:r w:rsidRPr="00830A7C">
        <w:t>doi:10.2833/7401246</w:t>
      </w:r>
    </w:p>
  </w:footnote>
  <w:footnote w:id="6">
    <w:p w14:paraId="282F2D3E" w14:textId="2ACBF33C" w:rsidR="00F45646" w:rsidRPr="000F1082" w:rsidRDefault="00F45646">
      <w:pPr>
        <w:pStyle w:val="FootnoteText"/>
        <w:rPr>
          <w:rFonts w:ascii="Times New Roman" w:hAnsi="Times New Roman" w:cs="Times New Roman"/>
          <w:lang w:val="it-IT"/>
        </w:rPr>
      </w:pPr>
      <w:r w:rsidRPr="00412EF2">
        <w:rPr>
          <w:rStyle w:val="FootnoteReference"/>
          <w:rFonts w:ascii="Times New Roman" w:hAnsi="Times New Roman" w:cs="Times New Roman"/>
        </w:rPr>
        <w:footnoteRef/>
      </w:r>
      <w:r w:rsidRPr="0083646E">
        <w:rPr>
          <w:rFonts w:ascii="Times New Roman" w:hAnsi="Times New Roman" w:cs="Times New Roman"/>
        </w:rPr>
        <w:t xml:space="preserve"> </w:t>
      </w:r>
      <w:r w:rsidR="00732398" w:rsidRPr="0083646E">
        <w:rPr>
          <w:rFonts w:ascii="Times New Roman" w:hAnsi="Times New Roman" w:cs="Times New Roman"/>
        </w:rPr>
        <w:t xml:space="preserve">Amaral, D. F., De Souza Ferreira Filho, J. B., Chagas, A. L. S., &amp; Adami, M. (2021). </w:t>
      </w:r>
      <w:r w:rsidR="00732398" w:rsidRPr="00412EF2">
        <w:rPr>
          <w:rFonts w:ascii="Times New Roman" w:hAnsi="Times New Roman" w:cs="Times New Roman"/>
        </w:rPr>
        <w:t xml:space="preserve">Expansion of soybean farming into deforested areas in the amazon biome: the role and impact of the soy moratorium. </w:t>
      </w:r>
      <w:r w:rsidR="00732398" w:rsidRPr="000F1082">
        <w:rPr>
          <w:rFonts w:ascii="Times New Roman" w:hAnsi="Times New Roman" w:cs="Times New Roman"/>
          <w:lang w:val="it-IT"/>
        </w:rPr>
        <w:t xml:space="preserve">Sustainability Science, 16(4), 1295–1312. https://doi.org/10.1007/s11625-021-00942-x </w:t>
      </w:r>
    </w:p>
  </w:footnote>
  <w:footnote w:id="7">
    <w:p w14:paraId="0380A12B" w14:textId="28E722F0" w:rsidR="003F1429" w:rsidRPr="00412EF2" w:rsidRDefault="003F1429" w:rsidP="00D937A1">
      <w:pPr>
        <w:pStyle w:val="FootnoteText"/>
        <w:jc w:val="both"/>
        <w:rPr>
          <w:rFonts w:ascii="Times New Roman" w:hAnsi="Times New Roman" w:cs="Times New Roman"/>
        </w:rPr>
      </w:pPr>
      <w:r w:rsidRPr="00412EF2">
        <w:rPr>
          <w:rFonts w:ascii="Times New Roman" w:hAnsi="Times New Roman" w:cs="Times New Roman"/>
        </w:rPr>
        <w:footnoteRef/>
      </w:r>
      <w:r w:rsidRPr="000F1082">
        <w:rPr>
          <w:rFonts w:ascii="Times New Roman" w:hAnsi="Times New Roman" w:cs="Times New Roman"/>
          <w:lang w:val="it-IT"/>
        </w:rPr>
        <w:t xml:space="preserve"> </w:t>
      </w:r>
      <w:r w:rsidR="00713315" w:rsidRPr="000F1082">
        <w:rPr>
          <w:rFonts w:ascii="Times New Roman" w:hAnsi="Times New Roman" w:cs="Times New Roman"/>
          <w:lang w:val="it-IT"/>
        </w:rPr>
        <w:t xml:space="preserve">Picoli, M. C. A., Rorato, A. C., Leitão, P. J., Câmara, G., Maciel, A., Hostert, P., &amp; Sanches, I. D. (2020). </w:t>
      </w:r>
      <w:r w:rsidR="00713315" w:rsidRPr="00885571">
        <w:rPr>
          <w:rFonts w:ascii="Times New Roman" w:hAnsi="Times New Roman" w:cs="Times New Roman"/>
        </w:rPr>
        <w:t>Impacts of Public and Private Sector Policies on Soybean and Pasture Expansion in Mato Grosso—Brazil from 2001 to 2017. Land, 9(1), 20. https://doi.org/10.3390/land9010020</w:t>
      </w:r>
      <w:r w:rsidR="00713315" w:rsidRPr="00412EF2">
        <w:rPr>
          <w:rFonts w:ascii="Times New Roman" w:hAnsi="Times New Roman" w:cs="Times New Roman"/>
        </w:rPr>
        <w:t xml:space="preserve"> </w:t>
      </w:r>
    </w:p>
  </w:footnote>
  <w:footnote w:id="8">
    <w:p w14:paraId="6D5B0430" w14:textId="68B9D1A9" w:rsidR="004D7E2C" w:rsidRPr="00EE7A55" w:rsidRDefault="004D7E2C" w:rsidP="00D937A1">
      <w:pPr>
        <w:pStyle w:val="FootnoteText"/>
        <w:jc w:val="both"/>
        <w:rPr>
          <w:rFonts w:ascii="Times New Roman" w:hAnsi="Times New Roman" w:cs="Times New Roman"/>
        </w:rPr>
      </w:pPr>
      <w:r w:rsidRPr="00412EF2">
        <w:rPr>
          <w:rStyle w:val="FootnoteReference"/>
          <w:rFonts w:ascii="Times New Roman" w:hAnsi="Times New Roman" w:cs="Times New Roman"/>
        </w:rPr>
        <w:footnoteRef/>
      </w:r>
      <w:r w:rsidRPr="00412EF2">
        <w:rPr>
          <w:rFonts w:ascii="Times New Roman" w:hAnsi="Times New Roman" w:cs="Times New Roman"/>
        </w:rPr>
        <w:t xml:space="preserve"> Song, X., Hansen, M. C., Potapov, P., Adusei, B., Pickering, J., Adami, M., Lima, A., Zalles, V., Stehman, S. V., Di Bella, C. M., Conde, M. C., Copati, E. J., Fernandes, L. B., Hernández-Serna, A., Jantz, S. M., Pickens, A., Turubanova, S., &amp; Tyukavina, A. (2021). Massive soybean expansion in South America since 2000 and implications for conservation. Nature Sustainability, 4(9), 784–792. https://doi.org/10.1038/s41893-021-00729-z</w:t>
      </w:r>
    </w:p>
  </w:footnote>
  <w:footnote w:id="9">
    <w:p w14:paraId="0E76D42F" w14:textId="23BCD936" w:rsidR="006F57E9" w:rsidRPr="00EE7A55" w:rsidRDefault="006F57E9" w:rsidP="00D937A1">
      <w:pPr>
        <w:pStyle w:val="FootnoteText"/>
        <w:jc w:val="both"/>
        <w:rPr>
          <w:rFonts w:ascii="Times New Roman" w:hAnsi="Times New Roman" w:cs="Times New Roman"/>
          <w:lang w:val="en-IE"/>
        </w:rPr>
      </w:pPr>
      <w:r w:rsidRPr="00EE7A55">
        <w:rPr>
          <w:rStyle w:val="FootnoteReference"/>
          <w:rFonts w:ascii="Times New Roman" w:hAnsi="Times New Roman" w:cs="Times New Roman"/>
        </w:rPr>
        <w:footnoteRef/>
      </w:r>
      <w:r w:rsidRPr="00EE7A55">
        <w:rPr>
          <w:rFonts w:ascii="Times New Roman" w:hAnsi="Times New Roman" w:cs="Times New Roman"/>
        </w:rPr>
        <w:t xml:space="preserve"> </w:t>
      </w:r>
      <w:r w:rsidR="00BA49AE" w:rsidRPr="00EE7A55">
        <w:rPr>
          <w:rFonts w:ascii="Times New Roman" w:hAnsi="Times New Roman" w:cs="Times New Roman"/>
        </w:rPr>
        <w:t>Strapasson, A., Falcão, J. P., Rossberg, T., Buss, G., Woods, J., &amp; Peterson, S. (2019). Land Use Change and the European Biofuels Policy: The expansion of oilseed feedstocks on lands with high carbon stocks. Oilseeds and Fats, Crops and Lipids, 26, 39. https://doi.org/10.1051/ocl/2019034</w:t>
      </w:r>
    </w:p>
  </w:footnote>
  <w:footnote w:id="10">
    <w:p w14:paraId="7AAA1F2A" w14:textId="28830744" w:rsidR="004A7597" w:rsidRPr="00EE7A55" w:rsidRDefault="004A7597" w:rsidP="00D937A1">
      <w:pPr>
        <w:pStyle w:val="FootnoteText"/>
        <w:jc w:val="both"/>
        <w:rPr>
          <w:rFonts w:ascii="Times New Roman" w:hAnsi="Times New Roman" w:cs="Times New Roman"/>
          <w:lang w:val="en-IE"/>
        </w:rPr>
      </w:pPr>
      <w:r w:rsidRPr="00EE7A55">
        <w:rPr>
          <w:rStyle w:val="FootnoteReference"/>
          <w:rFonts w:ascii="Times New Roman" w:hAnsi="Times New Roman" w:cs="Times New Roman"/>
        </w:rPr>
        <w:footnoteRef/>
      </w:r>
      <w:r w:rsidRPr="00885571">
        <w:rPr>
          <w:rFonts w:ascii="Times New Roman" w:hAnsi="Times New Roman" w:cs="Times New Roman"/>
        </w:rPr>
        <w:t xml:space="preserve"> </w:t>
      </w:r>
      <w:r w:rsidRPr="00EE7A55">
        <w:rPr>
          <w:rFonts w:ascii="Times New Roman" w:hAnsi="Times New Roman" w:cs="Times New Roman"/>
        </w:rPr>
        <w:t>Schoneveld, G., Ekowati, D., Andrianto, A., &amp; Van Der Haar, S. (2019). Modeling peat- and forestland conversion by oil palm smallholders in Indonesian Borneo. Environmental Research Letters, 14(1), 014006. https://doi.org/10.1088/1748-9326/aaf044  and Glinskis, E. A., &amp; Gutiérrez-Vélez, V. H. (2019). Quantifying and understanding land cover changes by large and small oil palm expansion regimes in the Peruvian Amazon. Land Use Policy, 80, 95–106. https://doi.org/10.1016/j.landusepol.2018.09.032 </w:t>
      </w:r>
    </w:p>
  </w:footnote>
  <w:footnote w:id="11">
    <w:p w14:paraId="4BC5EDF7" w14:textId="49885FD6" w:rsidR="00E53B6C" w:rsidRPr="001D037B" w:rsidRDefault="00E53B6C" w:rsidP="00D937A1">
      <w:pPr>
        <w:pStyle w:val="FootnoteText"/>
        <w:jc w:val="both"/>
        <w:rPr>
          <w:rFonts w:ascii="Times New Roman" w:hAnsi="Times New Roman" w:cs="Times New Roman"/>
          <w:lang w:val="en-IE"/>
        </w:rPr>
      </w:pPr>
      <w:r w:rsidRPr="00EE7A55">
        <w:rPr>
          <w:rStyle w:val="FootnoteReference"/>
          <w:rFonts w:ascii="Times New Roman" w:hAnsi="Times New Roman" w:cs="Times New Roman"/>
        </w:rPr>
        <w:footnoteRef/>
      </w:r>
      <w:r w:rsidR="004E1F4D" w:rsidRPr="00E425A8">
        <w:rPr>
          <w:rFonts w:ascii="Times New Roman" w:hAnsi="Times New Roman"/>
          <w:lang w:val="es-ES"/>
        </w:rPr>
        <w:t xml:space="preserve"> Astuti, R., Miller, M. A., McGregor, A., Sukmara, M. D. P., Saputra, W., Sulistyanto, &amp; Taylor, D. (2022). </w:t>
      </w:r>
      <w:r w:rsidR="004E1F4D" w:rsidRPr="00EE7A55">
        <w:rPr>
          <w:rFonts w:ascii="Times New Roman" w:hAnsi="Times New Roman" w:cs="Times New Roman"/>
        </w:rPr>
        <w:t>Making illegality visible: The governance dilemmas created by visualising illegal palm oil plantations in Central Kalimantan, Indonesia. Land Use Policy, 114, 105942. https://doi.org/10.1016/j.landusepol.2021.105942 </w:t>
      </w:r>
      <w:r w:rsidR="00F415BE" w:rsidRPr="00EE7A55">
        <w:rPr>
          <w:rFonts w:ascii="Times New Roman" w:hAnsi="Times New Roman" w:cs="Times New Roman"/>
        </w:rPr>
        <w:t xml:space="preserve">, ​Jing, Z., Lee, J. S. H., Elmore, A. J., Fatimah, Y. A., Numata, I., Xin, Z., &amp; Cochrane, M. A. (2022). Spatial patterns and drivers of smallholder oil palm expansion within peat swamp forests of Riau, Indonesia. Environmental Research Letters, 17(4), 044015. </w:t>
      </w:r>
      <w:hyperlink r:id="rId3" w:history="1">
        <w:r w:rsidR="00F415BE" w:rsidRPr="00EE7A55">
          <w:rPr>
            <w:rFonts w:ascii="Times New Roman" w:hAnsi="Times New Roman" w:cs="Times New Roman"/>
          </w:rPr>
          <w:t>https://doi.org/10.1088/1748-9326/ac4dc6</w:t>
        </w:r>
      </w:hyperlink>
      <w:r w:rsidR="00F415BE" w:rsidRPr="001D037B">
        <w:rPr>
          <w:rFonts w:ascii="Times New Roman" w:hAnsi="Times New Roman" w:cs="Times New Roman"/>
        </w:rPr>
        <w:t>, and</w:t>
      </w:r>
      <w:r w:rsidRPr="001D037B">
        <w:rPr>
          <w:rFonts w:ascii="Times New Roman" w:hAnsi="Times New Roman" w:cs="Times New Roman"/>
          <w:lang w:val="en-IE"/>
        </w:rPr>
        <w:t xml:space="preserve"> </w:t>
      </w:r>
      <w:r w:rsidR="00492E72" w:rsidRPr="001D037B">
        <w:rPr>
          <w:rFonts w:ascii="Times New Roman" w:hAnsi="Times New Roman" w:cs="Times New Roman"/>
        </w:rPr>
        <w:t>Schoneveld, G., Ekowati, D., Andrianto, A., &amp; Van Der Haar, S. (2019). Modeling peat- and forestland conversion by oil palm smallholders in Indonesian Borneo. Environmental Research Letters, 14(1), 014006. https://doi.org/10.1088/1748-9326/aaf044 </w:t>
      </w:r>
    </w:p>
  </w:footnote>
  <w:footnote w:id="12">
    <w:p w14:paraId="4849DA9C" w14:textId="4B441638" w:rsidR="00E2437A" w:rsidRPr="001D037B" w:rsidRDefault="00E2437A" w:rsidP="00D937A1">
      <w:pPr>
        <w:pStyle w:val="FootnoteText"/>
        <w:jc w:val="both"/>
        <w:rPr>
          <w:rFonts w:ascii="Times New Roman" w:hAnsi="Times New Roman" w:cs="Times New Roman"/>
          <w:lang w:val="en-IE"/>
        </w:rPr>
      </w:pPr>
      <w:r w:rsidRPr="00885571">
        <w:rPr>
          <w:rStyle w:val="FootnoteReference"/>
          <w:rFonts w:ascii="Times New Roman" w:hAnsi="Times New Roman" w:cs="Times New Roman"/>
        </w:rPr>
        <w:footnoteRef/>
      </w:r>
      <w:r w:rsidRPr="00885571">
        <w:rPr>
          <w:rFonts w:ascii="Times New Roman" w:hAnsi="Times New Roman" w:cs="Times New Roman"/>
        </w:rPr>
        <w:t xml:space="preserve"> </w:t>
      </w:r>
      <w:r w:rsidRPr="001D037B">
        <w:rPr>
          <w:rFonts w:ascii="Times New Roman" w:hAnsi="Times New Roman" w:cs="Times New Roman"/>
        </w:rPr>
        <w:t xml:space="preserve">Benami, E., Curran, L. M., Cochrane, M. A., Venturieri, A., Franco, R. V., Kneipp, J. M., &amp; Swartos, A. (2018). Oil palm land conversion in Pará, Brazil, from 2006–2014: evaluating the 2010 Brazilian Sustainable Palm Oil Production Program. Environmental Research Letters, 13(3), 034037. https://doi.org/10.1088/1748-9326/aaa270 </w:t>
      </w:r>
    </w:p>
  </w:footnote>
  <w:footnote w:id="13">
    <w:p w14:paraId="2CB30D4B" w14:textId="295005D1" w:rsidR="000B4015" w:rsidRPr="001D037B" w:rsidRDefault="000B4015" w:rsidP="00D937A1">
      <w:pPr>
        <w:pStyle w:val="FootnoteText"/>
        <w:jc w:val="both"/>
        <w:rPr>
          <w:rFonts w:ascii="Times New Roman" w:hAnsi="Times New Roman" w:cs="Times New Roman"/>
          <w:lang w:val="en-IE"/>
        </w:rPr>
      </w:pPr>
      <w:r w:rsidRPr="001D037B">
        <w:rPr>
          <w:rStyle w:val="FootnoteReference"/>
          <w:rFonts w:ascii="Times New Roman" w:hAnsi="Times New Roman" w:cs="Times New Roman"/>
        </w:rPr>
        <w:footnoteRef/>
      </w:r>
      <w:r w:rsidRPr="001D037B">
        <w:rPr>
          <w:rFonts w:ascii="Times New Roman" w:hAnsi="Times New Roman" w:cs="Times New Roman"/>
          <w:lang w:val="en-IE"/>
        </w:rPr>
        <w:t xml:space="preserve"> </w:t>
      </w:r>
      <w:r w:rsidR="00D9262F" w:rsidRPr="001D037B">
        <w:rPr>
          <w:rFonts w:ascii="Times New Roman" w:hAnsi="Times New Roman" w:cs="Times New Roman"/>
          <w:lang w:val="en-IE"/>
        </w:rPr>
        <w:t xml:space="preserve">Glinskis, E. A., &amp; Gutiérrez-Vélez, V. H. (2019). </w:t>
      </w:r>
      <w:r w:rsidR="00D9262F" w:rsidRPr="001D037B">
        <w:rPr>
          <w:rFonts w:ascii="Times New Roman" w:hAnsi="Times New Roman" w:cs="Times New Roman"/>
        </w:rPr>
        <w:t>Quantifying and understanding land cover changes by large and small oil palm expansion regimes in the Peruvian Amazon. Land Use Policy, 80, 95–106. https://doi.org/10.1016/j.landusepol.2018.09.032</w:t>
      </w:r>
    </w:p>
  </w:footnote>
  <w:footnote w:id="14">
    <w:p w14:paraId="7B6988EF" w14:textId="0D0CCD95" w:rsidR="00494115" w:rsidRPr="001D037B" w:rsidRDefault="00494115">
      <w:pPr>
        <w:pStyle w:val="FootnoteText"/>
        <w:rPr>
          <w:rFonts w:ascii="Times New Roman" w:hAnsi="Times New Roman" w:cs="Times New Roman"/>
        </w:rPr>
      </w:pPr>
      <w:r w:rsidRPr="001D037B">
        <w:rPr>
          <w:rStyle w:val="FootnoteReference"/>
          <w:rFonts w:ascii="Times New Roman" w:hAnsi="Times New Roman" w:cs="Times New Roman"/>
        </w:rPr>
        <w:footnoteRef/>
      </w:r>
      <w:r w:rsidRPr="001D037B">
        <w:rPr>
          <w:rFonts w:ascii="Times New Roman" w:hAnsi="Times New Roman" w:cs="Times New Roman"/>
        </w:rPr>
        <w:t xml:space="preserve"> </w:t>
      </w:r>
      <w:r w:rsidR="007A6035" w:rsidRPr="001D037B">
        <w:rPr>
          <w:rFonts w:ascii="Times New Roman" w:hAnsi="Times New Roman" w:cs="Times New Roman"/>
        </w:rPr>
        <w:t xml:space="preserve">Duguma LA, Muthee K, Minang PA, van Noordwijk M, Duba D, Bah A, Piabuo SM, Wainaina P. 2021. The palm oil sector in Africa: the dynamics, challenges and pathways to sustainability. </w:t>
      </w:r>
      <w:r w:rsidR="007A6035" w:rsidRPr="000F1082">
        <w:rPr>
          <w:rFonts w:ascii="Times New Roman" w:hAnsi="Times New Roman" w:cs="Times New Roman"/>
          <w:lang w:val="it-IT"/>
        </w:rPr>
        <w:t xml:space="preserve">Chapter 9. In: Minang PA, Duguma LA, van Noordwijk M, eds. </w:t>
      </w:r>
      <w:r w:rsidR="007A6035" w:rsidRPr="001D037B">
        <w:rPr>
          <w:rFonts w:ascii="Times New Roman" w:hAnsi="Times New Roman" w:cs="Times New Roman"/>
        </w:rPr>
        <w:t xml:space="preserve">Tree commodities and resilient green economies in Africa. Nairobi, Kenya: World Agroforestry (ICRAF) </w:t>
      </w:r>
    </w:p>
  </w:footnote>
  <w:footnote w:id="15">
    <w:p w14:paraId="34E19F36" w14:textId="641B3679" w:rsidR="007B6804" w:rsidRPr="001D037B" w:rsidRDefault="007B6804">
      <w:pPr>
        <w:pStyle w:val="FootnoteText"/>
        <w:rPr>
          <w:rFonts w:ascii="Times New Roman" w:hAnsi="Times New Roman" w:cs="Times New Roman"/>
          <w:lang w:val="en-IE"/>
        </w:rPr>
      </w:pPr>
      <w:r w:rsidRPr="001D037B">
        <w:rPr>
          <w:rStyle w:val="FootnoteReference"/>
          <w:rFonts w:ascii="Times New Roman" w:hAnsi="Times New Roman" w:cs="Times New Roman"/>
        </w:rPr>
        <w:footnoteRef/>
      </w:r>
      <w:r w:rsidRPr="000F1082">
        <w:rPr>
          <w:rFonts w:ascii="Times New Roman" w:hAnsi="Times New Roman" w:cs="Times New Roman"/>
          <w:lang w:val="it-IT"/>
        </w:rPr>
        <w:t xml:space="preserve"> </w:t>
      </w:r>
      <w:r w:rsidR="002B4273" w:rsidRPr="000F1082">
        <w:rPr>
          <w:rFonts w:ascii="Times New Roman" w:hAnsi="Times New Roman" w:cs="Times New Roman"/>
          <w:lang w:val="it-IT"/>
        </w:rPr>
        <w:t xml:space="preserve">Guarenghi, M. M., Garofalo, D. F. T., Seabra, J. E. A., Moreira, M. M. R., Novaes, R. M. L., Ramos, N. P., Nogueira, S. F., &amp; de Andrade, C. A. (2023). </w:t>
      </w:r>
      <w:r w:rsidR="002B4273" w:rsidRPr="001D037B">
        <w:rPr>
          <w:rFonts w:ascii="Times New Roman" w:hAnsi="Times New Roman" w:cs="Times New Roman"/>
        </w:rPr>
        <w:t xml:space="preserve">Land use change net removals associated with sugarcane in Brazil. </w:t>
      </w:r>
      <w:r w:rsidR="002B4273" w:rsidRPr="001D037B">
        <w:rPr>
          <w:rFonts w:ascii="Times New Roman" w:hAnsi="Times New Roman" w:cs="Times New Roman"/>
          <w:lang w:val="de-DE"/>
        </w:rPr>
        <w:t xml:space="preserve">Land, 12(3), 584. </w:t>
      </w:r>
      <w:hyperlink r:id="rId4" w:history="1">
        <w:r w:rsidR="002B4273" w:rsidRPr="001D037B">
          <w:rPr>
            <w:rFonts w:ascii="Times New Roman" w:hAnsi="Times New Roman" w:cs="Times New Roman"/>
            <w:lang w:val="de-DE"/>
          </w:rPr>
          <w:t>https://doi.org/10.3390/land12030584</w:t>
        </w:r>
      </w:hyperlink>
      <w:r w:rsidR="002B4273" w:rsidRPr="001D037B">
        <w:rPr>
          <w:rFonts w:ascii="Times New Roman" w:hAnsi="Times New Roman" w:cs="Times New Roman"/>
          <w:lang w:val="de-DE"/>
        </w:rPr>
        <w:t xml:space="preserve">, </w:t>
      </w:r>
      <w:r w:rsidRPr="001D037B">
        <w:rPr>
          <w:rFonts w:ascii="Times New Roman" w:hAnsi="Times New Roman" w:cs="Times New Roman"/>
          <w:lang w:val="de-DE"/>
        </w:rPr>
        <w:t xml:space="preserve">Vera, I., Wicke, B., &amp; van der Hilst, F. (2020). </w:t>
      </w:r>
      <w:r w:rsidRPr="001D037B">
        <w:rPr>
          <w:rFonts w:ascii="Times New Roman" w:hAnsi="Times New Roman" w:cs="Times New Roman"/>
        </w:rPr>
        <w:t xml:space="preserve">Spatial variation in environmental impacts of sugarcane expansion in Brazil. Land, 9(10), 397. </w:t>
      </w:r>
      <w:hyperlink r:id="rId5" w:history="1">
        <w:r w:rsidR="0049628A" w:rsidRPr="001D037B">
          <w:rPr>
            <w:rFonts w:ascii="Times New Roman" w:hAnsi="Times New Roman" w:cs="Times New Roman"/>
          </w:rPr>
          <w:t>https://doi.org/10.3390/land9100397</w:t>
        </w:r>
      </w:hyperlink>
      <w:r w:rsidR="0049628A" w:rsidRPr="001D037B">
        <w:rPr>
          <w:rFonts w:ascii="Times New Roman" w:hAnsi="Times New Roman" w:cs="Times New Roman"/>
        </w:rPr>
        <w:t xml:space="preserve"> and </w:t>
      </w:r>
      <w:r w:rsidR="00B25BC3" w:rsidRPr="001D037B">
        <w:rPr>
          <w:rFonts w:ascii="Times New Roman" w:hAnsi="Times New Roman" w:cs="Times New Roman"/>
        </w:rPr>
        <w:t>Picoli, M. C. A., &amp; Machado, P. G. (2021). Land use change: The barrier for sugarcane sustainability. Biofuels, Bioproducts and Biorefining, 15(6), 1591–1603. https://doi.org/10.1002/bbb.2270</w:t>
      </w:r>
    </w:p>
  </w:footnote>
  <w:footnote w:id="16">
    <w:p w14:paraId="6AD624E9" w14:textId="77777777" w:rsidR="004D3E36" w:rsidRPr="001D037B" w:rsidRDefault="004D3E36">
      <w:pPr>
        <w:pStyle w:val="FootnoteText"/>
        <w:rPr>
          <w:rFonts w:ascii="Times New Roman" w:hAnsi="Times New Roman" w:cs="Times New Roman"/>
        </w:rPr>
      </w:pPr>
      <w:r w:rsidRPr="001D037B">
        <w:rPr>
          <w:rStyle w:val="FootnoteReference"/>
          <w:rFonts w:ascii="Times New Roman" w:hAnsi="Times New Roman" w:cs="Times New Roman"/>
        </w:rPr>
        <w:footnoteRef/>
      </w:r>
      <w:r w:rsidRPr="001D037B">
        <w:rPr>
          <w:rFonts w:ascii="Times New Roman" w:hAnsi="Times New Roman" w:cs="Times New Roman"/>
        </w:rPr>
        <w:t xml:space="preserve"> Food and Agriculture Organization of the United Nations - Statistics</w:t>
      </w:r>
    </w:p>
  </w:footnote>
  <w:footnote w:id="17">
    <w:p w14:paraId="41FD5961" w14:textId="77777777" w:rsidR="004D3E36" w:rsidRPr="001D037B" w:rsidRDefault="004D3E36">
      <w:pPr>
        <w:pStyle w:val="FootnoteText"/>
        <w:rPr>
          <w:rFonts w:ascii="Times New Roman" w:hAnsi="Times New Roman" w:cs="Times New Roman"/>
        </w:rPr>
      </w:pPr>
      <w:r w:rsidRPr="001D037B">
        <w:rPr>
          <w:rStyle w:val="FootnoteReference"/>
          <w:rFonts w:ascii="Times New Roman" w:hAnsi="Times New Roman" w:cs="Times New Roman"/>
        </w:rPr>
        <w:footnoteRef/>
      </w:r>
      <w:r w:rsidRPr="001D037B">
        <w:rPr>
          <w:rFonts w:ascii="Times New Roman" w:hAnsi="Times New Roman" w:cs="Times New Roman"/>
        </w:rPr>
        <w:t xml:space="preserve"> United States Department of Agriculture National Agricultural Statistics Service</w:t>
      </w:r>
    </w:p>
  </w:footnote>
  <w:footnote w:id="18">
    <w:p w14:paraId="44EB5BF2" w14:textId="1C99B192" w:rsidR="00C515BC" w:rsidRPr="00237AD1" w:rsidRDefault="00C515BC">
      <w:pPr>
        <w:pStyle w:val="FootnoteText"/>
        <w:rPr>
          <w:rFonts w:ascii="Times New Roman" w:hAnsi="Times New Roman" w:cs="Times New Roman"/>
          <w:lang w:val="en-GB"/>
        </w:rPr>
      </w:pPr>
      <w:r w:rsidRPr="001D037B">
        <w:rPr>
          <w:rStyle w:val="FootnoteReference"/>
          <w:rFonts w:ascii="Times New Roman" w:hAnsi="Times New Roman" w:cs="Times New Roman"/>
        </w:rPr>
        <w:footnoteRef/>
      </w:r>
      <w:r w:rsidRPr="001D037B">
        <w:rPr>
          <w:rFonts w:ascii="Times New Roman" w:hAnsi="Times New Roman" w:cs="Times New Roman"/>
        </w:rPr>
        <w:t xml:space="preserve"> </w:t>
      </w:r>
      <w:r w:rsidR="002C00FC" w:rsidRPr="001D037B">
        <w:rPr>
          <w:rFonts w:ascii="Times New Roman" w:hAnsi="Times New Roman" w:cs="Times New Roman"/>
        </w:rPr>
        <w:t xml:space="preserve">Harvested area </w:t>
      </w:r>
      <w:r w:rsidR="00EB19CB" w:rsidRPr="001D037B">
        <w:rPr>
          <w:rFonts w:ascii="Times New Roman" w:hAnsi="Times New Roman" w:cs="Times New Roman"/>
        </w:rPr>
        <w:t xml:space="preserve">includes the area on which </w:t>
      </w:r>
      <w:r w:rsidR="00225851" w:rsidRPr="001D037B">
        <w:rPr>
          <w:rFonts w:ascii="Times New Roman" w:hAnsi="Times New Roman" w:cs="Times New Roman"/>
        </w:rPr>
        <w:t>crops are produced</w:t>
      </w:r>
      <w:r w:rsidR="001E18C5" w:rsidRPr="001D037B">
        <w:rPr>
          <w:rFonts w:ascii="Times New Roman" w:hAnsi="Times New Roman" w:cs="Times New Roman"/>
        </w:rPr>
        <w:t>, excluding planted areas, which are not yet producing.</w:t>
      </w:r>
    </w:p>
  </w:footnote>
  <w:footnote w:id="19">
    <w:p w14:paraId="7243333A" w14:textId="6A586976" w:rsidR="00CA7301" w:rsidRPr="00237AD1" w:rsidRDefault="00CA7301">
      <w:pPr>
        <w:pStyle w:val="FootnoteText"/>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MapSPAM 2010 v2r0</w:t>
      </w:r>
    </w:p>
  </w:footnote>
  <w:footnote w:id="20">
    <w:p w14:paraId="0B36A5DE" w14:textId="77777777" w:rsidR="002B100E" w:rsidRPr="00237AD1" w:rsidRDefault="002B100E" w:rsidP="002B100E">
      <w:pPr>
        <w:pStyle w:val="FootnoteText"/>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Hansen Global Forest Change Layers v1.7 was used in the first phase of the Guidehouse study and v1.9 was used in the second phase, following the methodology described in ​Hansen, et al., 2013, </w:t>
      </w:r>
    </w:p>
  </w:footnote>
  <w:footnote w:id="21">
    <w:p w14:paraId="4A85FF9A" w14:textId="77777777" w:rsidR="002B100E" w:rsidRPr="00CF6F5F" w:rsidRDefault="002B100E" w:rsidP="002B100E">
      <w:pPr>
        <w:pStyle w:val="FootnoteText"/>
        <w:rPr>
          <w:rFonts w:ascii="Times New Roman" w:hAnsi="Times New Roman" w:cs="Times New Roman"/>
        </w:rPr>
      </w:pPr>
      <w:r w:rsidRPr="00CF6F5F">
        <w:rPr>
          <w:rStyle w:val="FootnoteReference"/>
          <w:rFonts w:ascii="Times New Roman" w:hAnsi="Times New Roman" w:cs="Times New Roman"/>
        </w:rPr>
        <w:footnoteRef/>
      </w:r>
      <w:r w:rsidRPr="00CF6F5F">
        <w:rPr>
          <w:rFonts w:ascii="Times New Roman" w:hAnsi="Times New Roman" w:cs="Times New Roman"/>
        </w:rPr>
        <w:t xml:space="preserve"> ​Miettinen, J., Shi, C., &amp; Liew, S. C. (2016). Land cover distribution in the peatlands of Peninsular Malaysia, Sumatra and Borneo in 2015 with changes since 1990. Global Ecology and Conservation. </w:t>
      </w:r>
    </w:p>
  </w:footnote>
  <w:footnote w:id="22">
    <w:p w14:paraId="64C88F8B" w14:textId="32CF04BE" w:rsidR="00483105" w:rsidRPr="00237AD1" w:rsidRDefault="00483105">
      <w:pPr>
        <w:pStyle w:val="FootnoteText"/>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FaoSTAT, 2021</w:t>
      </w:r>
    </w:p>
  </w:footnote>
  <w:footnote w:id="23">
    <w:p w14:paraId="38A5EDB5" w14:textId="28628060" w:rsidR="00802EC3" w:rsidRPr="00237AD1" w:rsidRDefault="00802EC3" w:rsidP="00380D19">
      <w:pPr>
        <w:pStyle w:val="FootnoteText"/>
        <w:jc w:val="both"/>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w:t>
      </w:r>
      <w:bookmarkStart w:id="8" w:name="_Hlk119587085"/>
      <w:r w:rsidRPr="00237AD1">
        <w:rPr>
          <w:rFonts w:ascii="Times New Roman" w:hAnsi="Times New Roman" w:cs="Times New Roman"/>
        </w:rPr>
        <w:t xml:space="preserve">The values included in this table have been calculated in accordance with the formula included in </w:t>
      </w:r>
      <w:r w:rsidR="00F56426" w:rsidRPr="00237AD1">
        <w:rPr>
          <w:rFonts w:ascii="Times New Roman" w:hAnsi="Times New Roman" w:cs="Times New Roman"/>
        </w:rPr>
        <w:t xml:space="preserve">the Delegated Regulation 2019/807 (see </w:t>
      </w:r>
      <w:r w:rsidR="001F4606">
        <w:rPr>
          <w:rFonts w:ascii="Times New Roman" w:hAnsi="Times New Roman" w:cs="Times New Roman"/>
        </w:rPr>
        <w:t>Chapter I</w:t>
      </w:r>
      <w:r w:rsidR="00F56426" w:rsidRPr="00237AD1">
        <w:rPr>
          <w:rFonts w:ascii="Times New Roman" w:hAnsi="Times New Roman" w:cs="Times New Roman"/>
        </w:rPr>
        <w:t>)</w:t>
      </w:r>
      <w:r w:rsidRPr="00237AD1">
        <w:rPr>
          <w:rFonts w:ascii="Times New Roman" w:hAnsi="Times New Roman" w:cs="Times New Roman"/>
        </w:rPr>
        <w:t xml:space="preserve">. For the calculation, the results from the updated statistics analysis and the updated mapping were combined with the productivity factors </w:t>
      </w:r>
      <w:r w:rsidR="00F56426" w:rsidRPr="00237AD1">
        <w:rPr>
          <w:rFonts w:ascii="Times New Roman" w:hAnsi="Times New Roman" w:cs="Times New Roman"/>
        </w:rPr>
        <w:t>for each group of crop, as suggested by the JRC and as indicated in the Delegated Act</w:t>
      </w:r>
      <w:r w:rsidRPr="00237AD1">
        <w:rPr>
          <w:rFonts w:ascii="Times New Roman" w:hAnsi="Times New Roman" w:cs="Times New Roman"/>
        </w:rPr>
        <w:t>.</w:t>
      </w:r>
      <w:bookmarkEnd w:id="8"/>
    </w:p>
  </w:footnote>
  <w:footnote w:id="24">
    <w:p w14:paraId="67258CA5" w14:textId="09120072" w:rsidR="00F92FCA" w:rsidRPr="00F92FCA" w:rsidRDefault="00F92FCA">
      <w:pPr>
        <w:pStyle w:val="FootnoteText"/>
      </w:pPr>
      <w:r>
        <w:rPr>
          <w:rStyle w:val="FootnoteReference"/>
        </w:rPr>
        <w:footnoteRef/>
      </w:r>
      <w:r>
        <w:t xml:space="preserve"> </w:t>
      </w:r>
      <w:r w:rsidRPr="00154565">
        <w:rPr>
          <w:rFonts w:ascii="Times New Roman" w:hAnsi="Times New Roman" w:cs="Times New Roman"/>
        </w:rPr>
        <w:t>Article 2(5)</w:t>
      </w:r>
      <w:r>
        <w:rPr>
          <w:rFonts w:ascii="Times New Roman" w:hAnsi="Times New Roman" w:cs="Times New Roman"/>
        </w:rPr>
        <w:t>.</w:t>
      </w:r>
    </w:p>
  </w:footnote>
  <w:footnote w:id="25">
    <w:p w14:paraId="7E03251B" w14:textId="5E471025" w:rsidR="003F69F4" w:rsidRPr="00237AD1" w:rsidRDefault="003F69F4" w:rsidP="00725345">
      <w:pPr>
        <w:pStyle w:val="FootnoteText"/>
        <w:jc w:val="both"/>
        <w:rPr>
          <w:rFonts w:ascii="Times New Roman" w:hAnsi="Times New Roman" w:cs="Times New Roman"/>
          <w:iCs/>
        </w:rPr>
      </w:pPr>
      <w:r w:rsidRPr="00237AD1">
        <w:rPr>
          <w:rStyle w:val="FootnoteReference"/>
          <w:rFonts w:ascii="Times New Roman" w:hAnsi="Times New Roman" w:cs="Times New Roman"/>
        </w:rPr>
        <w:footnoteRef/>
      </w:r>
      <w:r w:rsidRPr="00237AD1">
        <w:rPr>
          <w:rFonts w:ascii="Times New Roman" w:hAnsi="Times New Roman" w:cs="Times New Roman"/>
        </w:rPr>
        <w:t xml:space="preserve"> </w:t>
      </w:r>
      <w:r w:rsidRPr="00237AD1">
        <w:rPr>
          <w:rFonts w:ascii="Times New Roman" w:hAnsi="Times New Roman" w:cs="Times New Roman"/>
          <w:iCs/>
        </w:rPr>
        <w:t xml:space="preserve">Commission Implementing Regulation (EU) 2022/996 of 14 June 2022 on rules to verify sustainability and greenhouse gas emissions saving criteria and low indirect land-use change-risk criteria, </w:t>
      </w:r>
      <w:r w:rsidRPr="00237AD1">
        <w:rPr>
          <w:rFonts w:ascii="Times New Roman" w:hAnsi="Times New Roman" w:cs="Times New Roman"/>
        </w:rPr>
        <w:t>OJ L 168, 27.6.2022,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B03F" w14:textId="77777777" w:rsidR="00652629" w:rsidRPr="00652629" w:rsidRDefault="00652629" w:rsidP="006526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D7D2" w14:textId="77777777" w:rsidR="00652629" w:rsidRPr="00652629" w:rsidRDefault="00652629" w:rsidP="006526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A9DA3" w14:textId="77777777" w:rsidR="00652629" w:rsidRPr="00652629" w:rsidRDefault="00652629" w:rsidP="006526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5B7" w14:textId="77777777" w:rsidR="00CD6E84" w:rsidRDefault="00CD6E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D6E84" w14:paraId="738610EB" w14:textId="77777777" w:rsidTr="74982C6C">
      <w:tc>
        <w:tcPr>
          <w:tcW w:w="3120" w:type="dxa"/>
        </w:tcPr>
        <w:p w14:paraId="637805D2" w14:textId="77777777" w:rsidR="00CD6E84" w:rsidRDefault="00CD6E84" w:rsidP="74982C6C">
          <w:pPr>
            <w:pStyle w:val="Header"/>
            <w:ind w:left="-115"/>
          </w:pPr>
        </w:p>
      </w:tc>
      <w:tc>
        <w:tcPr>
          <w:tcW w:w="3120" w:type="dxa"/>
        </w:tcPr>
        <w:p w14:paraId="463F29E8" w14:textId="77777777" w:rsidR="00CD6E84" w:rsidRDefault="00CD6E84" w:rsidP="74982C6C">
          <w:pPr>
            <w:pStyle w:val="Header"/>
            <w:jc w:val="center"/>
          </w:pPr>
        </w:p>
      </w:tc>
      <w:tc>
        <w:tcPr>
          <w:tcW w:w="3120" w:type="dxa"/>
        </w:tcPr>
        <w:p w14:paraId="3B7B4B86" w14:textId="77777777" w:rsidR="00CD6E84" w:rsidRDefault="00CD6E84" w:rsidP="74982C6C">
          <w:pPr>
            <w:pStyle w:val="Header"/>
            <w:ind w:right="-115"/>
            <w:jc w:val="right"/>
          </w:pPr>
        </w:p>
      </w:tc>
    </w:tr>
  </w:tbl>
  <w:p w14:paraId="3A0FF5F2" w14:textId="77777777" w:rsidR="00CD6E84" w:rsidRDefault="00CD6E84" w:rsidP="74982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0D7D" w14:textId="77777777" w:rsidR="00CD6E84" w:rsidRDefault="00CD6E84">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BBFE1"/>
    <w:multiLevelType w:val="hybridMultilevel"/>
    <w:tmpl w:val="E59293B2"/>
    <w:lvl w:ilvl="0" w:tplc="8ED4E448">
      <w:start w:val="1"/>
      <w:numFmt w:val="upperRoman"/>
      <w:pStyle w:val="Style1"/>
      <w:lvlText w:val="%1."/>
      <w:lvlJc w:val="right"/>
      <w:pPr>
        <w:ind w:left="720" w:hanging="360"/>
      </w:pPr>
      <w:rPr>
        <w:rFonts w:ascii="Times New Roman" w:hAnsi="Times New Roman" w:cs="Times New Roman" w:hint="default"/>
      </w:rPr>
    </w:lvl>
    <w:lvl w:ilvl="1" w:tplc="A832F536">
      <w:start w:val="1"/>
      <w:numFmt w:val="lowerLetter"/>
      <w:lvlText w:val="%2."/>
      <w:lvlJc w:val="left"/>
      <w:pPr>
        <w:ind w:left="1440" w:hanging="360"/>
      </w:pPr>
    </w:lvl>
    <w:lvl w:ilvl="2" w:tplc="DE90CE2A">
      <w:start w:val="1"/>
      <w:numFmt w:val="lowerRoman"/>
      <w:lvlText w:val="%3."/>
      <w:lvlJc w:val="right"/>
      <w:pPr>
        <w:ind w:left="2160" w:hanging="180"/>
      </w:pPr>
    </w:lvl>
    <w:lvl w:ilvl="3" w:tplc="B598FBA6">
      <w:start w:val="1"/>
      <w:numFmt w:val="decimal"/>
      <w:lvlText w:val="%4."/>
      <w:lvlJc w:val="left"/>
      <w:pPr>
        <w:ind w:left="2880" w:hanging="360"/>
      </w:pPr>
    </w:lvl>
    <w:lvl w:ilvl="4" w:tplc="943E9CEE">
      <w:start w:val="1"/>
      <w:numFmt w:val="lowerLetter"/>
      <w:lvlText w:val="%5."/>
      <w:lvlJc w:val="left"/>
      <w:pPr>
        <w:ind w:left="3600" w:hanging="360"/>
      </w:pPr>
    </w:lvl>
    <w:lvl w:ilvl="5" w:tplc="E18C7634">
      <w:start w:val="1"/>
      <w:numFmt w:val="lowerRoman"/>
      <w:lvlText w:val="%6."/>
      <w:lvlJc w:val="right"/>
      <w:pPr>
        <w:ind w:left="4320" w:hanging="180"/>
      </w:pPr>
    </w:lvl>
    <w:lvl w:ilvl="6" w:tplc="1C0E9696">
      <w:start w:val="1"/>
      <w:numFmt w:val="decimal"/>
      <w:lvlText w:val="%7."/>
      <w:lvlJc w:val="left"/>
      <w:pPr>
        <w:ind w:left="5040" w:hanging="360"/>
      </w:pPr>
    </w:lvl>
    <w:lvl w:ilvl="7" w:tplc="711CBC4E">
      <w:start w:val="1"/>
      <w:numFmt w:val="lowerLetter"/>
      <w:lvlText w:val="%8."/>
      <w:lvlJc w:val="left"/>
      <w:pPr>
        <w:ind w:left="5760" w:hanging="360"/>
      </w:pPr>
    </w:lvl>
    <w:lvl w:ilvl="8" w:tplc="76C60900">
      <w:start w:val="1"/>
      <w:numFmt w:val="lowerRoman"/>
      <w:lvlText w:val="%9."/>
      <w:lvlJc w:val="right"/>
      <w:pPr>
        <w:ind w:left="6480" w:hanging="180"/>
      </w:pPr>
    </w:lvl>
  </w:abstractNum>
  <w:abstractNum w:abstractNumId="1" w15:restartNumberingAfterBreak="0">
    <w:nsid w:val="3CCBA1CE"/>
    <w:multiLevelType w:val="hybridMultilevel"/>
    <w:tmpl w:val="DBAE4F7C"/>
    <w:lvl w:ilvl="0" w:tplc="B7909148">
      <w:start w:val="1"/>
      <w:numFmt w:val="upperRoman"/>
      <w:lvlText w:val="%1."/>
      <w:lvlJc w:val="right"/>
      <w:pPr>
        <w:ind w:left="720" w:hanging="360"/>
      </w:p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2" w15:restartNumberingAfterBreak="0">
    <w:nsid w:val="447468CB"/>
    <w:multiLevelType w:val="hybridMultilevel"/>
    <w:tmpl w:val="E55CBB12"/>
    <w:lvl w:ilvl="0" w:tplc="467A356A">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00715B"/>
    <w:multiLevelType w:val="hybridMultilevel"/>
    <w:tmpl w:val="670A5C76"/>
    <w:lvl w:ilvl="0" w:tplc="7D721E3C">
      <w:start w:val="1"/>
      <w:numFmt w:val="upperRoman"/>
      <w:lvlText w:val="%1."/>
      <w:lvlJc w:val="right"/>
      <w:pPr>
        <w:ind w:left="720" w:hanging="360"/>
      </w:pPr>
      <w:rPr>
        <w:lang w:val="en-GB"/>
      </w:r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4" w15:restartNumberingAfterBreak="0">
    <w:nsid w:val="4BEB804E"/>
    <w:multiLevelType w:val="hybridMultilevel"/>
    <w:tmpl w:val="632017B8"/>
    <w:lvl w:ilvl="0" w:tplc="4AB43EF2">
      <w:start w:val="1"/>
      <w:numFmt w:val="bullet"/>
      <w:lvlText w:val="·"/>
      <w:lvlJc w:val="left"/>
      <w:pPr>
        <w:ind w:left="720" w:hanging="360"/>
      </w:pPr>
      <w:rPr>
        <w:rFonts w:ascii="Symbol" w:hAnsi="Symbol" w:hint="default"/>
      </w:rPr>
    </w:lvl>
    <w:lvl w:ilvl="1" w:tplc="472CD62C">
      <w:start w:val="1"/>
      <w:numFmt w:val="bullet"/>
      <w:lvlText w:val="o"/>
      <w:lvlJc w:val="left"/>
      <w:pPr>
        <w:ind w:left="1440" w:hanging="360"/>
      </w:pPr>
      <w:rPr>
        <w:rFonts w:ascii="Courier New" w:hAnsi="Courier New" w:hint="default"/>
      </w:rPr>
    </w:lvl>
    <w:lvl w:ilvl="2" w:tplc="089EFBC0">
      <w:start w:val="1"/>
      <w:numFmt w:val="bullet"/>
      <w:lvlText w:val=""/>
      <w:lvlJc w:val="left"/>
      <w:pPr>
        <w:ind w:left="2160" w:hanging="360"/>
      </w:pPr>
      <w:rPr>
        <w:rFonts w:ascii="Wingdings" w:hAnsi="Wingdings" w:hint="default"/>
      </w:rPr>
    </w:lvl>
    <w:lvl w:ilvl="3" w:tplc="AA60A776">
      <w:start w:val="1"/>
      <w:numFmt w:val="bullet"/>
      <w:lvlText w:val=""/>
      <w:lvlJc w:val="left"/>
      <w:pPr>
        <w:ind w:left="2880" w:hanging="360"/>
      </w:pPr>
      <w:rPr>
        <w:rFonts w:ascii="Symbol" w:hAnsi="Symbol" w:hint="default"/>
      </w:rPr>
    </w:lvl>
    <w:lvl w:ilvl="4" w:tplc="E410F464">
      <w:start w:val="1"/>
      <w:numFmt w:val="bullet"/>
      <w:lvlText w:val="o"/>
      <w:lvlJc w:val="left"/>
      <w:pPr>
        <w:ind w:left="3600" w:hanging="360"/>
      </w:pPr>
      <w:rPr>
        <w:rFonts w:ascii="Courier New" w:hAnsi="Courier New" w:hint="default"/>
      </w:rPr>
    </w:lvl>
    <w:lvl w:ilvl="5" w:tplc="2E34C542">
      <w:start w:val="1"/>
      <w:numFmt w:val="bullet"/>
      <w:lvlText w:val=""/>
      <w:lvlJc w:val="left"/>
      <w:pPr>
        <w:ind w:left="4320" w:hanging="360"/>
      </w:pPr>
      <w:rPr>
        <w:rFonts w:ascii="Wingdings" w:hAnsi="Wingdings" w:hint="default"/>
      </w:rPr>
    </w:lvl>
    <w:lvl w:ilvl="6" w:tplc="1CFC5636">
      <w:start w:val="1"/>
      <w:numFmt w:val="bullet"/>
      <w:lvlText w:val=""/>
      <w:lvlJc w:val="left"/>
      <w:pPr>
        <w:ind w:left="5040" w:hanging="360"/>
      </w:pPr>
      <w:rPr>
        <w:rFonts w:ascii="Symbol" w:hAnsi="Symbol" w:hint="default"/>
      </w:rPr>
    </w:lvl>
    <w:lvl w:ilvl="7" w:tplc="A926A630">
      <w:start w:val="1"/>
      <w:numFmt w:val="bullet"/>
      <w:lvlText w:val="o"/>
      <w:lvlJc w:val="left"/>
      <w:pPr>
        <w:ind w:left="5760" w:hanging="360"/>
      </w:pPr>
      <w:rPr>
        <w:rFonts w:ascii="Courier New" w:hAnsi="Courier New" w:hint="default"/>
      </w:rPr>
    </w:lvl>
    <w:lvl w:ilvl="8" w:tplc="2154DDD6">
      <w:start w:val="1"/>
      <w:numFmt w:val="bullet"/>
      <w:lvlText w:val=""/>
      <w:lvlJc w:val="left"/>
      <w:pPr>
        <w:ind w:left="6480" w:hanging="360"/>
      </w:pPr>
      <w:rPr>
        <w:rFonts w:ascii="Wingdings" w:hAnsi="Wingdings" w:hint="default"/>
      </w:rPr>
    </w:lvl>
  </w:abstractNum>
  <w:abstractNum w:abstractNumId="5" w15:restartNumberingAfterBreak="0">
    <w:nsid w:val="695DBCF8"/>
    <w:multiLevelType w:val="hybridMultilevel"/>
    <w:tmpl w:val="9CE0E150"/>
    <w:lvl w:ilvl="0" w:tplc="497A4D1C">
      <w:start w:val="1"/>
      <w:numFmt w:val="upperRoman"/>
      <w:lvlText w:val="%1."/>
      <w:lvlJc w:val="right"/>
      <w:pPr>
        <w:ind w:left="720" w:hanging="360"/>
      </w:pPr>
    </w:lvl>
    <w:lvl w:ilvl="1" w:tplc="91607B22">
      <w:start w:val="1"/>
      <w:numFmt w:val="lowerLetter"/>
      <w:lvlText w:val="%2."/>
      <w:lvlJc w:val="left"/>
      <w:pPr>
        <w:ind w:left="1440" w:hanging="360"/>
      </w:pPr>
    </w:lvl>
    <w:lvl w:ilvl="2" w:tplc="3DCE8A1E">
      <w:start w:val="1"/>
      <w:numFmt w:val="lowerRoman"/>
      <w:lvlText w:val="%3."/>
      <w:lvlJc w:val="right"/>
      <w:pPr>
        <w:ind w:left="2160" w:hanging="180"/>
      </w:pPr>
    </w:lvl>
    <w:lvl w:ilvl="3" w:tplc="23C4959C">
      <w:start w:val="1"/>
      <w:numFmt w:val="decimal"/>
      <w:lvlText w:val="%4."/>
      <w:lvlJc w:val="left"/>
      <w:pPr>
        <w:ind w:left="2880" w:hanging="360"/>
      </w:pPr>
    </w:lvl>
    <w:lvl w:ilvl="4" w:tplc="14821CA8">
      <w:start w:val="1"/>
      <w:numFmt w:val="lowerLetter"/>
      <w:lvlText w:val="%5."/>
      <w:lvlJc w:val="left"/>
      <w:pPr>
        <w:ind w:left="3600" w:hanging="360"/>
      </w:pPr>
    </w:lvl>
    <w:lvl w:ilvl="5" w:tplc="CBA2A2DA">
      <w:start w:val="1"/>
      <w:numFmt w:val="lowerRoman"/>
      <w:lvlText w:val="%6."/>
      <w:lvlJc w:val="right"/>
      <w:pPr>
        <w:ind w:left="4320" w:hanging="180"/>
      </w:pPr>
    </w:lvl>
    <w:lvl w:ilvl="6" w:tplc="336285CC">
      <w:start w:val="1"/>
      <w:numFmt w:val="decimal"/>
      <w:lvlText w:val="%7."/>
      <w:lvlJc w:val="left"/>
      <w:pPr>
        <w:ind w:left="5040" w:hanging="360"/>
      </w:pPr>
    </w:lvl>
    <w:lvl w:ilvl="7" w:tplc="5E3446BE">
      <w:start w:val="1"/>
      <w:numFmt w:val="lowerLetter"/>
      <w:lvlText w:val="%8."/>
      <w:lvlJc w:val="left"/>
      <w:pPr>
        <w:ind w:left="5760" w:hanging="360"/>
      </w:pPr>
    </w:lvl>
    <w:lvl w:ilvl="8" w:tplc="442C984A">
      <w:start w:val="1"/>
      <w:numFmt w:val="lowerRoman"/>
      <w:lvlText w:val="%9."/>
      <w:lvlJc w:val="right"/>
      <w:pPr>
        <w:ind w:left="6480" w:hanging="180"/>
      </w:pPr>
    </w:lvl>
  </w:abstractNum>
  <w:num w:numId="1" w16cid:durableId="345448665">
    <w:abstractNumId w:val="4"/>
  </w:num>
  <w:num w:numId="2" w16cid:durableId="1044989681">
    <w:abstractNumId w:val="1"/>
  </w:num>
  <w:num w:numId="3" w16cid:durableId="27150267">
    <w:abstractNumId w:val="0"/>
  </w:num>
  <w:num w:numId="4" w16cid:durableId="104811865">
    <w:abstractNumId w:val="5"/>
  </w:num>
  <w:num w:numId="5" w16cid:durableId="1115752507">
    <w:abstractNumId w:val="2"/>
  </w:num>
  <w:num w:numId="6" w16cid:durableId="1107966286">
    <w:abstractNumId w:val="3"/>
  </w:num>
  <w:num w:numId="7" w16cid:durableId="1957978000">
    <w:abstractNumId w:val="0"/>
  </w:num>
  <w:num w:numId="8" w16cid:durableId="1467893133">
    <w:abstractNumId w:val="0"/>
  </w:num>
  <w:num w:numId="9" w16cid:durableId="1586917593">
    <w:abstractNumId w:val="0"/>
  </w:num>
  <w:num w:numId="10" w16cid:durableId="970476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This document corrects document COM(2026) 36 final of 20.1.2026_x000b_The correction concerns all language versions. _x000b_The error exists on Table 5, and in specific the columns titled 'Average annual expansion (kha)' and 'Average annual expansion', where the relevant values are corrected. _x000b_The text shall read as follows:"/>
    <w:docVar w:name="LW_COVERPAGE_EXISTS" w:val="True"/>
    <w:docVar w:name="LW_COVERPAGE_GUID" w:val="35132A05-04FE-431E-B3B3-963E1F12B48E"/>
    <w:docVar w:name="LW_COVERPAGE_TYPE" w:val="1"/>
    <w:docVar w:name="LW_CROSSREFERENCE" w:val="&lt;UNUSED&gt;"/>
    <w:docVar w:name="LW_DocType" w:val="NORMAL"/>
    <w:docVar w:name="LW_EMISSION" w:val="22.6.2026"/>
    <w:docVar w:name="LW_EMISSION_ISODATE" w:val="2026-06-22"/>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2"/>
    <w:docVar w:name="LW_REF.INST.NEW_TEXT" w:val="(2026) 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status of production expansion of relevant food and feed crops worldwide_x000d__x000d__x000d__x000d__x000d__x000d__x000d__x000d__x000d__x000d__x000d__x000d__x000d__x000d__x000d__x000b_"/>
    <w:docVar w:name="LW_TYPE.DOC.CP" w:val="REPORT FROM THE COMMISSION TO THE EUROPEAN PARLIAMENT, THE COUNCIL, THE EUROPEAN ECONOMIC AND SOCIAL COMMITTEE AND THE COMMITTEE OF THE REGIONS"/>
    <w:docVar w:name="LwApiVersions" w:val="LW4CoDe 1.24.5.0; LW 9.2, Build 20251112"/>
  </w:docVars>
  <w:rsids>
    <w:rsidRoot w:val="7ECD667B"/>
    <w:rsid w:val="000025EC"/>
    <w:rsid w:val="000028F5"/>
    <w:rsid w:val="0000308E"/>
    <w:rsid w:val="00003F9A"/>
    <w:rsid w:val="000049A7"/>
    <w:rsid w:val="00005FCB"/>
    <w:rsid w:val="0000725D"/>
    <w:rsid w:val="00007CB7"/>
    <w:rsid w:val="00010039"/>
    <w:rsid w:val="00010ECD"/>
    <w:rsid w:val="000119E1"/>
    <w:rsid w:val="00011EF2"/>
    <w:rsid w:val="00012207"/>
    <w:rsid w:val="000129EE"/>
    <w:rsid w:val="0001343F"/>
    <w:rsid w:val="000145D4"/>
    <w:rsid w:val="0001580D"/>
    <w:rsid w:val="00015F09"/>
    <w:rsid w:val="0001612B"/>
    <w:rsid w:val="00020FDC"/>
    <w:rsid w:val="00021A67"/>
    <w:rsid w:val="0002292F"/>
    <w:rsid w:val="00025AD0"/>
    <w:rsid w:val="00030D7D"/>
    <w:rsid w:val="00030DF8"/>
    <w:rsid w:val="0003197E"/>
    <w:rsid w:val="00032574"/>
    <w:rsid w:val="0003391C"/>
    <w:rsid w:val="00033B1E"/>
    <w:rsid w:val="00034E1C"/>
    <w:rsid w:val="000364DC"/>
    <w:rsid w:val="00036657"/>
    <w:rsid w:val="00043C6D"/>
    <w:rsid w:val="00044190"/>
    <w:rsid w:val="00044210"/>
    <w:rsid w:val="00044E24"/>
    <w:rsid w:val="00045BB5"/>
    <w:rsid w:val="00046537"/>
    <w:rsid w:val="000503A2"/>
    <w:rsid w:val="00051AD3"/>
    <w:rsid w:val="00051BA0"/>
    <w:rsid w:val="000527FB"/>
    <w:rsid w:val="0005361D"/>
    <w:rsid w:val="00053E7B"/>
    <w:rsid w:val="00055745"/>
    <w:rsid w:val="00056667"/>
    <w:rsid w:val="0005712F"/>
    <w:rsid w:val="00057890"/>
    <w:rsid w:val="00060074"/>
    <w:rsid w:val="00060F10"/>
    <w:rsid w:val="000616AD"/>
    <w:rsid w:val="00063000"/>
    <w:rsid w:val="000640AD"/>
    <w:rsid w:val="0006458D"/>
    <w:rsid w:val="00064DC9"/>
    <w:rsid w:val="00065199"/>
    <w:rsid w:val="00066DE0"/>
    <w:rsid w:val="000707FE"/>
    <w:rsid w:val="00071727"/>
    <w:rsid w:val="00072FC1"/>
    <w:rsid w:val="00074D64"/>
    <w:rsid w:val="00075B66"/>
    <w:rsid w:val="0008614C"/>
    <w:rsid w:val="00092B61"/>
    <w:rsid w:val="00092E41"/>
    <w:rsid w:val="00092F1B"/>
    <w:rsid w:val="00093440"/>
    <w:rsid w:val="0009418C"/>
    <w:rsid w:val="00094B08"/>
    <w:rsid w:val="000961B1"/>
    <w:rsid w:val="00097D16"/>
    <w:rsid w:val="000A1BD4"/>
    <w:rsid w:val="000A1E66"/>
    <w:rsid w:val="000A31CA"/>
    <w:rsid w:val="000A4298"/>
    <w:rsid w:val="000A52BC"/>
    <w:rsid w:val="000A5674"/>
    <w:rsid w:val="000A5E35"/>
    <w:rsid w:val="000A6603"/>
    <w:rsid w:val="000B3292"/>
    <w:rsid w:val="000B3318"/>
    <w:rsid w:val="000B37A6"/>
    <w:rsid w:val="000B4015"/>
    <w:rsid w:val="000B5883"/>
    <w:rsid w:val="000B68AD"/>
    <w:rsid w:val="000B73F1"/>
    <w:rsid w:val="000B7BFF"/>
    <w:rsid w:val="000C181C"/>
    <w:rsid w:val="000C1A5E"/>
    <w:rsid w:val="000C278F"/>
    <w:rsid w:val="000C2AE9"/>
    <w:rsid w:val="000C2DCA"/>
    <w:rsid w:val="000C3D9E"/>
    <w:rsid w:val="000C4456"/>
    <w:rsid w:val="000C52A8"/>
    <w:rsid w:val="000C5418"/>
    <w:rsid w:val="000C6ACA"/>
    <w:rsid w:val="000D0396"/>
    <w:rsid w:val="000D186C"/>
    <w:rsid w:val="000D4174"/>
    <w:rsid w:val="000D41B1"/>
    <w:rsid w:val="000D4920"/>
    <w:rsid w:val="000D4D1E"/>
    <w:rsid w:val="000D6D8A"/>
    <w:rsid w:val="000D7D27"/>
    <w:rsid w:val="000E0B25"/>
    <w:rsid w:val="000E0B99"/>
    <w:rsid w:val="000E1931"/>
    <w:rsid w:val="000E23D5"/>
    <w:rsid w:val="000E2AE3"/>
    <w:rsid w:val="000E3063"/>
    <w:rsid w:val="000E5F25"/>
    <w:rsid w:val="000F093E"/>
    <w:rsid w:val="000F1082"/>
    <w:rsid w:val="000F43C1"/>
    <w:rsid w:val="000F46BB"/>
    <w:rsid w:val="000F49FC"/>
    <w:rsid w:val="000F56AA"/>
    <w:rsid w:val="000F59E6"/>
    <w:rsid w:val="000F5E13"/>
    <w:rsid w:val="000F71DD"/>
    <w:rsid w:val="00101A7C"/>
    <w:rsid w:val="0010284D"/>
    <w:rsid w:val="00104887"/>
    <w:rsid w:val="00105E0F"/>
    <w:rsid w:val="00106901"/>
    <w:rsid w:val="00106D66"/>
    <w:rsid w:val="001103B1"/>
    <w:rsid w:val="001105DB"/>
    <w:rsid w:val="00110EAE"/>
    <w:rsid w:val="00111411"/>
    <w:rsid w:val="00112C16"/>
    <w:rsid w:val="0011357C"/>
    <w:rsid w:val="0011390A"/>
    <w:rsid w:val="00113C9F"/>
    <w:rsid w:val="0011636C"/>
    <w:rsid w:val="0011718F"/>
    <w:rsid w:val="001228E7"/>
    <w:rsid w:val="00122A63"/>
    <w:rsid w:val="00123732"/>
    <w:rsid w:val="00126FDC"/>
    <w:rsid w:val="00130B24"/>
    <w:rsid w:val="00130B59"/>
    <w:rsid w:val="001314E6"/>
    <w:rsid w:val="00133FC9"/>
    <w:rsid w:val="0013446C"/>
    <w:rsid w:val="001364A1"/>
    <w:rsid w:val="00137553"/>
    <w:rsid w:val="001404AC"/>
    <w:rsid w:val="00140571"/>
    <w:rsid w:val="00140B5B"/>
    <w:rsid w:val="00140CBE"/>
    <w:rsid w:val="001410EC"/>
    <w:rsid w:val="00141CB2"/>
    <w:rsid w:val="001429C6"/>
    <w:rsid w:val="001430D9"/>
    <w:rsid w:val="00144453"/>
    <w:rsid w:val="0014782B"/>
    <w:rsid w:val="00147B25"/>
    <w:rsid w:val="0015058B"/>
    <w:rsid w:val="0015182D"/>
    <w:rsid w:val="00151B79"/>
    <w:rsid w:val="00152E0F"/>
    <w:rsid w:val="00153D3C"/>
    <w:rsid w:val="00154565"/>
    <w:rsid w:val="00155B08"/>
    <w:rsid w:val="00155C60"/>
    <w:rsid w:val="00160500"/>
    <w:rsid w:val="0016090F"/>
    <w:rsid w:val="001618B0"/>
    <w:rsid w:val="00162793"/>
    <w:rsid w:val="00162CFD"/>
    <w:rsid w:val="00163264"/>
    <w:rsid w:val="00163320"/>
    <w:rsid w:val="001642F7"/>
    <w:rsid w:val="00164555"/>
    <w:rsid w:val="001657BB"/>
    <w:rsid w:val="00165D50"/>
    <w:rsid w:val="001663CC"/>
    <w:rsid w:val="0016CE55"/>
    <w:rsid w:val="001709E5"/>
    <w:rsid w:val="0017136D"/>
    <w:rsid w:val="00172F51"/>
    <w:rsid w:val="0017383B"/>
    <w:rsid w:val="00173A7B"/>
    <w:rsid w:val="0017424D"/>
    <w:rsid w:val="00174406"/>
    <w:rsid w:val="00174CA1"/>
    <w:rsid w:val="00175F05"/>
    <w:rsid w:val="00176F90"/>
    <w:rsid w:val="00177747"/>
    <w:rsid w:val="00181D60"/>
    <w:rsid w:val="0018240F"/>
    <w:rsid w:val="00182B20"/>
    <w:rsid w:val="00182B60"/>
    <w:rsid w:val="00182BF2"/>
    <w:rsid w:val="00186BB2"/>
    <w:rsid w:val="0018754A"/>
    <w:rsid w:val="0019029D"/>
    <w:rsid w:val="001905B6"/>
    <w:rsid w:val="001908CD"/>
    <w:rsid w:val="0019137B"/>
    <w:rsid w:val="00192877"/>
    <w:rsid w:val="00192AF1"/>
    <w:rsid w:val="0019375C"/>
    <w:rsid w:val="00194973"/>
    <w:rsid w:val="0019544D"/>
    <w:rsid w:val="00195800"/>
    <w:rsid w:val="00196247"/>
    <w:rsid w:val="00196A03"/>
    <w:rsid w:val="00197EF0"/>
    <w:rsid w:val="001A2F6F"/>
    <w:rsid w:val="001A34B9"/>
    <w:rsid w:val="001A4660"/>
    <w:rsid w:val="001A46EB"/>
    <w:rsid w:val="001A4C9E"/>
    <w:rsid w:val="001A5F6D"/>
    <w:rsid w:val="001B0D92"/>
    <w:rsid w:val="001B0E4B"/>
    <w:rsid w:val="001B18B8"/>
    <w:rsid w:val="001B5ADA"/>
    <w:rsid w:val="001B6838"/>
    <w:rsid w:val="001B7E5E"/>
    <w:rsid w:val="001C05FD"/>
    <w:rsid w:val="001C0C4E"/>
    <w:rsid w:val="001C3C2C"/>
    <w:rsid w:val="001C5335"/>
    <w:rsid w:val="001C564E"/>
    <w:rsid w:val="001C5DA2"/>
    <w:rsid w:val="001C6750"/>
    <w:rsid w:val="001C6E90"/>
    <w:rsid w:val="001C9B45"/>
    <w:rsid w:val="001D037B"/>
    <w:rsid w:val="001D08DA"/>
    <w:rsid w:val="001D3511"/>
    <w:rsid w:val="001D36F6"/>
    <w:rsid w:val="001D3D34"/>
    <w:rsid w:val="001D4583"/>
    <w:rsid w:val="001D4FD2"/>
    <w:rsid w:val="001D58E1"/>
    <w:rsid w:val="001D59C7"/>
    <w:rsid w:val="001D7A08"/>
    <w:rsid w:val="001E0E77"/>
    <w:rsid w:val="001E0F62"/>
    <w:rsid w:val="001E0FBA"/>
    <w:rsid w:val="001E13AA"/>
    <w:rsid w:val="001E1841"/>
    <w:rsid w:val="001E18C5"/>
    <w:rsid w:val="001E1C2B"/>
    <w:rsid w:val="001E2EF4"/>
    <w:rsid w:val="001E37F5"/>
    <w:rsid w:val="001E3EB6"/>
    <w:rsid w:val="001E519F"/>
    <w:rsid w:val="001E52A6"/>
    <w:rsid w:val="001E5727"/>
    <w:rsid w:val="001E5BC8"/>
    <w:rsid w:val="001E69CB"/>
    <w:rsid w:val="001F1B62"/>
    <w:rsid w:val="001F25B0"/>
    <w:rsid w:val="001F2B2D"/>
    <w:rsid w:val="001F4606"/>
    <w:rsid w:val="001F4A6C"/>
    <w:rsid w:val="001F5563"/>
    <w:rsid w:val="001F6E91"/>
    <w:rsid w:val="00200662"/>
    <w:rsid w:val="00200A34"/>
    <w:rsid w:val="00201666"/>
    <w:rsid w:val="00201A9F"/>
    <w:rsid w:val="00202FD8"/>
    <w:rsid w:val="002042BE"/>
    <w:rsid w:val="00204FCD"/>
    <w:rsid w:val="0020568A"/>
    <w:rsid w:val="00205ABE"/>
    <w:rsid w:val="00205D6F"/>
    <w:rsid w:val="0020679E"/>
    <w:rsid w:val="00206994"/>
    <w:rsid w:val="0021033B"/>
    <w:rsid w:val="002114AD"/>
    <w:rsid w:val="002119D1"/>
    <w:rsid w:val="002131BA"/>
    <w:rsid w:val="002133D6"/>
    <w:rsid w:val="0021444D"/>
    <w:rsid w:val="00217281"/>
    <w:rsid w:val="00220897"/>
    <w:rsid w:val="00221E08"/>
    <w:rsid w:val="00221E61"/>
    <w:rsid w:val="0022220A"/>
    <w:rsid w:val="00224E10"/>
    <w:rsid w:val="00224F31"/>
    <w:rsid w:val="00225851"/>
    <w:rsid w:val="002262A1"/>
    <w:rsid w:val="00227762"/>
    <w:rsid w:val="00227A85"/>
    <w:rsid w:val="00227BB3"/>
    <w:rsid w:val="002337B8"/>
    <w:rsid w:val="00237AD1"/>
    <w:rsid w:val="00237B33"/>
    <w:rsid w:val="00237ED8"/>
    <w:rsid w:val="002419DC"/>
    <w:rsid w:val="00243D66"/>
    <w:rsid w:val="002440DB"/>
    <w:rsid w:val="00245703"/>
    <w:rsid w:val="00245E3C"/>
    <w:rsid w:val="00245E46"/>
    <w:rsid w:val="00246E2D"/>
    <w:rsid w:val="002471FF"/>
    <w:rsid w:val="002508C0"/>
    <w:rsid w:val="00250B23"/>
    <w:rsid w:val="00250FEF"/>
    <w:rsid w:val="00251430"/>
    <w:rsid w:val="00251449"/>
    <w:rsid w:val="00251943"/>
    <w:rsid w:val="00252FA2"/>
    <w:rsid w:val="00253C82"/>
    <w:rsid w:val="00254105"/>
    <w:rsid w:val="0025459C"/>
    <w:rsid w:val="0025490E"/>
    <w:rsid w:val="00255BC7"/>
    <w:rsid w:val="0025609A"/>
    <w:rsid w:val="00257F64"/>
    <w:rsid w:val="002601D0"/>
    <w:rsid w:val="002603C1"/>
    <w:rsid w:val="002608DD"/>
    <w:rsid w:val="0026145D"/>
    <w:rsid w:val="00261E86"/>
    <w:rsid w:val="00262A27"/>
    <w:rsid w:val="0026343D"/>
    <w:rsid w:val="002635EC"/>
    <w:rsid w:val="00265CB2"/>
    <w:rsid w:val="00265FFE"/>
    <w:rsid w:val="002666EE"/>
    <w:rsid w:val="00272C41"/>
    <w:rsid w:val="00274544"/>
    <w:rsid w:val="00274B5B"/>
    <w:rsid w:val="00275492"/>
    <w:rsid w:val="00276857"/>
    <w:rsid w:val="0027766D"/>
    <w:rsid w:val="00277E1C"/>
    <w:rsid w:val="002802A3"/>
    <w:rsid w:val="0028135B"/>
    <w:rsid w:val="002816CF"/>
    <w:rsid w:val="00281813"/>
    <w:rsid w:val="00283FA7"/>
    <w:rsid w:val="0028419D"/>
    <w:rsid w:val="002852B8"/>
    <w:rsid w:val="00286E9C"/>
    <w:rsid w:val="002915A3"/>
    <w:rsid w:val="0029224D"/>
    <w:rsid w:val="002925F6"/>
    <w:rsid w:val="00293500"/>
    <w:rsid w:val="00293574"/>
    <w:rsid w:val="0029357F"/>
    <w:rsid w:val="0029473B"/>
    <w:rsid w:val="00294EB4"/>
    <w:rsid w:val="002A2A80"/>
    <w:rsid w:val="002A55FA"/>
    <w:rsid w:val="002B100E"/>
    <w:rsid w:val="002B1316"/>
    <w:rsid w:val="002B27AD"/>
    <w:rsid w:val="002B4273"/>
    <w:rsid w:val="002B4997"/>
    <w:rsid w:val="002B4B70"/>
    <w:rsid w:val="002B4DCD"/>
    <w:rsid w:val="002B651A"/>
    <w:rsid w:val="002B68D2"/>
    <w:rsid w:val="002B720E"/>
    <w:rsid w:val="002C008A"/>
    <w:rsid w:val="002C00FC"/>
    <w:rsid w:val="002C0F23"/>
    <w:rsid w:val="002C33CD"/>
    <w:rsid w:val="002C3CEA"/>
    <w:rsid w:val="002C5598"/>
    <w:rsid w:val="002C60E5"/>
    <w:rsid w:val="002C6CD5"/>
    <w:rsid w:val="002C6F04"/>
    <w:rsid w:val="002C6FFD"/>
    <w:rsid w:val="002C7492"/>
    <w:rsid w:val="002C792E"/>
    <w:rsid w:val="002D1949"/>
    <w:rsid w:val="002D3160"/>
    <w:rsid w:val="002D6B10"/>
    <w:rsid w:val="002E0CC3"/>
    <w:rsid w:val="002E2181"/>
    <w:rsid w:val="002E265D"/>
    <w:rsid w:val="002E32CC"/>
    <w:rsid w:val="002E6D75"/>
    <w:rsid w:val="002E7763"/>
    <w:rsid w:val="002E7C76"/>
    <w:rsid w:val="002F29AA"/>
    <w:rsid w:val="002F3899"/>
    <w:rsid w:val="002F4623"/>
    <w:rsid w:val="002F4E5C"/>
    <w:rsid w:val="002F7972"/>
    <w:rsid w:val="002F7DDD"/>
    <w:rsid w:val="00300B8C"/>
    <w:rsid w:val="00300ECE"/>
    <w:rsid w:val="00301BA2"/>
    <w:rsid w:val="00302AC6"/>
    <w:rsid w:val="00302D39"/>
    <w:rsid w:val="00304499"/>
    <w:rsid w:val="00304987"/>
    <w:rsid w:val="00304A9B"/>
    <w:rsid w:val="003069F5"/>
    <w:rsid w:val="00312C6D"/>
    <w:rsid w:val="00315D33"/>
    <w:rsid w:val="00316499"/>
    <w:rsid w:val="00317EB7"/>
    <w:rsid w:val="0032113E"/>
    <w:rsid w:val="00322DEE"/>
    <w:rsid w:val="0032337E"/>
    <w:rsid w:val="00323753"/>
    <w:rsid w:val="00323C35"/>
    <w:rsid w:val="003255F2"/>
    <w:rsid w:val="00325E20"/>
    <w:rsid w:val="00326ABB"/>
    <w:rsid w:val="00327117"/>
    <w:rsid w:val="0033068E"/>
    <w:rsid w:val="0033075F"/>
    <w:rsid w:val="003341FE"/>
    <w:rsid w:val="00335DDA"/>
    <w:rsid w:val="003369D0"/>
    <w:rsid w:val="00337486"/>
    <w:rsid w:val="00337789"/>
    <w:rsid w:val="003405A0"/>
    <w:rsid w:val="00340A67"/>
    <w:rsid w:val="0034164C"/>
    <w:rsid w:val="003429E0"/>
    <w:rsid w:val="00342A64"/>
    <w:rsid w:val="00343F92"/>
    <w:rsid w:val="0034521A"/>
    <w:rsid w:val="00346410"/>
    <w:rsid w:val="00346475"/>
    <w:rsid w:val="003467CE"/>
    <w:rsid w:val="0035066C"/>
    <w:rsid w:val="003517E9"/>
    <w:rsid w:val="00351AC7"/>
    <w:rsid w:val="0035247F"/>
    <w:rsid w:val="00352B70"/>
    <w:rsid w:val="00354168"/>
    <w:rsid w:val="003543BD"/>
    <w:rsid w:val="00354ED8"/>
    <w:rsid w:val="00355340"/>
    <w:rsid w:val="00355BE2"/>
    <w:rsid w:val="00355DCE"/>
    <w:rsid w:val="0035641C"/>
    <w:rsid w:val="003564AE"/>
    <w:rsid w:val="00360FBE"/>
    <w:rsid w:val="00361C1A"/>
    <w:rsid w:val="00361E05"/>
    <w:rsid w:val="00361E3C"/>
    <w:rsid w:val="003641AD"/>
    <w:rsid w:val="00364B94"/>
    <w:rsid w:val="00366DDC"/>
    <w:rsid w:val="003670B1"/>
    <w:rsid w:val="00367498"/>
    <w:rsid w:val="00367727"/>
    <w:rsid w:val="00367B22"/>
    <w:rsid w:val="00370172"/>
    <w:rsid w:val="00371E15"/>
    <w:rsid w:val="00371F34"/>
    <w:rsid w:val="00373A17"/>
    <w:rsid w:val="00373A55"/>
    <w:rsid w:val="00374274"/>
    <w:rsid w:val="00374BEC"/>
    <w:rsid w:val="003775CA"/>
    <w:rsid w:val="00377C5C"/>
    <w:rsid w:val="00380038"/>
    <w:rsid w:val="00380D19"/>
    <w:rsid w:val="0038154D"/>
    <w:rsid w:val="003819C3"/>
    <w:rsid w:val="00382921"/>
    <w:rsid w:val="00382A0F"/>
    <w:rsid w:val="00382AB3"/>
    <w:rsid w:val="00382EB9"/>
    <w:rsid w:val="003831E3"/>
    <w:rsid w:val="003848ED"/>
    <w:rsid w:val="00386A6A"/>
    <w:rsid w:val="00390001"/>
    <w:rsid w:val="0039415B"/>
    <w:rsid w:val="003967B3"/>
    <w:rsid w:val="00397C91"/>
    <w:rsid w:val="003A0F3B"/>
    <w:rsid w:val="003A137B"/>
    <w:rsid w:val="003A1AEE"/>
    <w:rsid w:val="003A237A"/>
    <w:rsid w:val="003A324D"/>
    <w:rsid w:val="003A53FD"/>
    <w:rsid w:val="003A6E2A"/>
    <w:rsid w:val="003A7980"/>
    <w:rsid w:val="003B125F"/>
    <w:rsid w:val="003B20ED"/>
    <w:rsid w:val="003B24A5"/>
    <w:rsid w:val="003B3559"/>
    <w:rsid w:val="003B4CCF"/>
    <w:rsid w:val="003B4E67"/>
    <w:rsid w:val="003B55FD"/>
    <w:rsid w:val="003C035B"/>
    <w:rsid w:val="003C05B1"/>
    <w:rsid w:val="003C235C"/>
    <w:rsid w:val="003C31A5"/>
    <w:rsid w:val="003C31CB"/>
    <w:rsid w:val="003C3255"/>
    <w:rsid w:val="003C4E09"/>
    <w:rsid w:val="003C6483"/>
    <w:rsid w:val="003C7D9D"/>
    <w:rsid w:val="003D15A9"/>
    <w:rsid w:val="003D317F"/>
    <w:rsid w:val="003D4136"/>
    <w:rsid w:val="003D4289"/>
    <w:rsid w:val="003D4D4D"/>
    <w:rsid w:val="003D7E26"/>
    <w:rsid w:val="003E084F"/>
    <w:rsid w:val="003E087E"/>
    <w:rsid w:val="003E2AD1"/>
    <w:rsid w:val="003E64EE"/>
    <w:rsid w:val="003F1429"/>
    <w:rsid w:val="003F2A2C"/>
    <w:rsid w:val="003F4754"/>
    <w:rsid w:val="003F4FC7"/>
    <w:rsid w:val="003F5492"/>
    <w:rsid w:val="003F6334"/>
    <w:rsid w:val="003F6380"/>
    <w:rsid w:val="003F69F4"/>
    <w:rsid w:val="003F6E6E"/>
    <w:rsid w:val="003F7072"/>
    <w:rsid w:val="004001F6"/>
    <w:rsid w:val="00402C81"/>
    <w:rsid w:val="00402E6E"/>
    <w:rsid w:val="00404177"/>
    <w:rsid w:val="004065B2"/>
    <w:rsid w:val="00406A3B"/>
    <w:rsid w:val="00407794"/>
    <w:rsid w:val="00407B79"/>
    <w:rsid w:val="00407BC7"/>
    <w:rsid w:val="00407F57"/>
    <w:rsid w:val="0041120D"/>
    <w:rsid w:val="004113CB"/>
    <w:rsid w:val="004129A8"/>
    <w:rsid w:val="00412BF3"/>
    <w:rsid w:val="00412EF2"/>
    <w:rsid w:val="004131A1"/>
    <w:rsid w:val="00413DCF"/>
    <w:rsid w:val="004144D2"/>
    <w:rsid w:val="00414623"/>
    <w:rsid w:val="004147DB"/>
    <w:rsid w:val="00415C2A"/>
    <w:rsid w:val="00415E00"/>
    <w:rsid w:val="0041626A"/>
    <w:rsid w:val="0041674E"/>
    <w:rsid w:val="0041683D"/>
    <w:rsid w:val="00420DCA"/>
    <w:rsid w:val="00420F42"/>
    <w:rsid w:val="00421714"/>
    <w:rsid w:val="0042333C"/>
    <w:rsid w:val="0042532D"/>
    <w:rsid w:val="00426FE7"/>
    <w:rsid w:val="00430497"/>
    <w:rsid w:val="00431214"/>
    <w:rsid w:val="0043141F"/>
    <w:rsid w:val="00435077"/>
    <w:rsid w:val="00435980"/>
    <w:rsid w:val="00435CDB"/>
    <w:rsid w:val="004364C8"/>
    <w:rsid w:val="00436B44"/>
    <w:rsid w:val="00441D56"/>
    <w:rsid w:val="004429D5"/>
    <w:rsid w:val="0044364E"/>
    <w:rsid w:val="00445336"/>
    <w:rsid w:val="00445EEB"/>
    <w:rsid w:val="00446C38"/>
    <w:rsid w:val="00447B39"/>
    <w:rsid w:val="00447F8E"/>
    <w:rsid w:val="00450934"/>
    <w:rsid w:val="00450BF8"/>
    <w:rsid w:val="00451D10"/>
    <w:rsid w:val="00452215"/>
    <w:rsid w:val="00452E0E"/>
    <w:rsid w:val="00452F3A"/>
    <w:rsid w:val="00454A44"/>
    <w:rsid w:val="00455288"/>
    <w:rsid w:val="0045538E"/>
    <w:rsid w:val="0045546A"/>
    <w:rsid w:val="00455493"/>
    <w:rsid w:val="0045558B"/>
    <w:rsid w:val="00457526"/>
    <w:rsid w:val="00457D10"/>
    <w:rsid w:val="00457E48"/>
    <w:rsid w:val="0046241A"/>
    <w:rsid w:val="00462485"/>
    <w:rsid w:val="00464E97"/>
    <w:rsid w:val="00465FD4"/>
    <w:rsid w:val="00466300"/>
    <w:rsid w:val="004675D7"/>
    <w:rsid w:val="004721C3"/>
    <w:rsid w:val="0047325F"/>
    <w:rsid w:val="00474FF4"/>
    <w:rsid w:val="0047541C"/>
    <w:rsid w:val="0047652E"/>
    <w:rsid w:val="0047766B"/>
    <w:rsid w:val="00477BA7"/>
    <w:rsid w:val="00481D02"/>
    <w:rsid w:val="00481F59"/>
    <w:rsid w:val="0048206B"/>
    <w:rsid w:val="00483105"/>
    <w:rsid w:val="0048362E"/>
    <w:rsid w:val="00483826"/>
    <w:rsid w:val="00484E4C"/>
    <w:rsid w:val="00485A20"/>
    <w:rsid w:val="00490E6F"/>
    <w:rsid w:val="00492D87"/>
    <w:rsid w:val="00492E72"/>
    <w:rsid w:val="00493D53"/>
    <w:rsid w:val="00493FCE"/>
    <w:rsid w:val="00494115"/>
    <w:rsid w:val="00494FF2"/>
    <w:rsid w:val="0049628A"/>
    <w:rsid w:val="00496E3A"/>
    <w:rsid w:val="004971D5"/>
    <w:rsid w:val="00497476"/>
    <w:rsid w:val="00497A09"/>
    <w:rsid w:val="004A1226"/>
    <w:rsid w:val="004A4A84"/>
    <w:rsid w:val="004A51BB"/>
    <w:rsid w:val="004A5EDC"/>
    <w:rsid w:val="004A62ED"/>
    <w:rsid w:val="004A6DF6"/>
    <w:rsid w:val="004A7597"/>
    <w:rsid w:val="004B098A"/>
    <w:rsid w:val="004B09E6"/>
    <w:rsid w:val="004B1277"/>
    <w:rsid w:val="004B15B0"/>
    <w:rsid w:val="004B230B"/>
    <w:rsid w:val="004B3A77"/>
    <w:rsid w:val="004B465E"/>
    <w:rsid w:val="004B49D5"/>
    <w:rsid w:val="004B4A45"/>
    <w:rsid w:val="004B7542"/>
    <w:rsid w:val="004B76D2"/>
    <w:rsid w:val="004B77F8"/>
    <w:rsid w:val="004B7AF0"/>
    <w:rsid w:val="004C037B"/>
    <w:rsid w:val="004C0670"/>
    <w:rsid w:val="004C0795"/>
    <w:rsid w:val="004C11CE"/>
    <w:rsid w:val="004C1316"/>
    <w:rsid w:val="004C17A6"/>
    <w:rsid w:val="004C180E"/>
    <w:rsid w:val="004C3406"/>
    <w:rsid w:val="004C4AC6"/>
    <w:rsid w:val="004C5ADC"/>
    <w:rsid w:val="004C6424"/>
    <w:rsid w:val="004C6A5C"/>
    <w:rsid w:val="004D0208"/>
    <w:rsid w:val="004D0376"/>
    <w:rsid w:val="004D0C4E"/>
    <w:rsid w:val="004D1F68"/>
    <w:rsid w:val="004D27A2"/>
    <w:rsid w:val="004D3E36"/>
    <w:rsid w:val="004D4861"/>
    <w:rsid w:val="004D53C8"/>
    <w:rsid w:val="004D61BA"/>
    <w:rsid w:val="004D61DC"/>
    <w:rsid w:val="004D68C9"/>
    <w:rsid w:val="004D6C37"/>
    <w:rsid w:val="004D7020"/>
    <w:rsid w:val="004D7CA2"/>
    <w:rsid w:val="004D7E2C"/>
    <w:rsid w:val="004E0BF5"/>
    <w:rsid w:val="004E1F4D"/>
    <w:rsid w:val="004E3E18"/>
    <w:rsid w:val="004E5DD8"/>
    <w:rsid w:val="004F174B"/>
    <w:rsid w:val="004F18C1"/>
    <w:rsid w:val="004F2630"/>
    <w:rsid w:val="004F2FB6"/>
    <w:rsid w:val="004F37AC"/>
    <w:rsid w:val="004F4028"/>
    <w:rsid w:val="004F6A1B"/>
    <w:rsid w:val="004F7B63"/>
    <w:rsid w:val="00501333"/>
    <w:rsid w:val="00502EAF"/>
    <w:rsid w:val="005038FB"/>
    <w:rsid w:val="00503E8E"/>
    <w:rsid w:val="005048CA"/>
    <w:rsid w:val="00504A8C"/>
    <w:rsid w:val="005109CB"/>
    <w:rsid w:val="00510E66"/>
    <w:rsid w:val="00510F3A"/>
    <w:rsid w:val="00513F99"/>
    <w:rsid w:val="00514E99"/>
    <w:rsid w:val="0051508B"/>
    <w:rsid w:val="00515300"/>
    <w:rsid w:val="00516AC1"/>
    <w:rsid w:val="005232EF"/>
    <w:rsid w:val="0052516C"/>
    <w:rsid w:val="00525322"/>
    <w:rsid w:val="00525DB2"/>
    <w:rsid w:val="00526778"/>
    <w:rsid w:val="00526C1D"/>
    <w:rsid w:val="00526CB6"/>
    <w:rsid w:val="00527509"/>
    <w:rsid w:val="005312E1"/>
    <w:rsid w:val="0053235C"/>
    <w:rsid w:val="00532F2A"/>
    <w:rsid w:val="00533455"/>
    <w:rsid w:val="0053537E"/>
    <w:rsid w:val="005362A9"/>
    <w:rsid w:val="00537E31"/>
    <w:rsid w:val="0054045F"/>
    <w:rsid w:val="00540E2F"/>
    <w:rsid w:val="00541F0D"/>
    <w:rsid w:val="00542680"/>
    <w:rsid w:val="00544018"/>
    <w:rsid w:val="0054438B"/>
    <w:rsid w:val="00544496"/>
    <w:rsid w:val="00544685"/>
    <w:rsid w:val="00545B87"/>
    <w:rsid w:val="005462C4"/>
    <w:rsid w:val="0054730D"/>
    <w:rsid w:val="005477D5"/>
    <w:rsid w:val="0055009A"/>
    <w:rsid w:val="005507EB"/>
    <w:rsid w:val="00550C3F"/>
    <w:rsid w:val="005518BF"/>
    <w:rsid w:val="005524E8"/>
    <w:rsid w:val="00553199"/>
    <w:rsid w:val="00553486"/>
    <w:rsid w:val="00553915"/>
    <w:rsid w:val="005539E0"/>
    <w:rsid w:val="00554735"/>
    <w:rsid w:val="00554F9E"/>
    <w:rsid w:val="00556B79"/>
    <w:rsid w:val="00557129"/>
    <w:rsid w:val="005600D6"/>
    <w:rsid w:val="00560A01"/>
    <w:rsid w:val="0056268B"/>
    <w:rsid w:val="0056633F"/>
    <w:rsid w:val="00566B2D"/>
    <w:rsid w:val="00567A05"/>
    <w:rsid w:val="00567B3C"/>
    <w:rsid w:val="00570337"/>
    <w:rsid w:val="0057149D"/>
    <w:rsid w:val="00572E3F"/>
    <w:rsid w:val="00573431"/>
    <w:rsid w:val="0057787F"/>
    <w:rsid w:val="00580120"/>
    <w:rsid w:val="00580F01"/>
    <w:rsid w:val="00581EC3"/>
    <w:rsid w:val="005833F2"/>
    <w:rsid w:val="00583891"/>
    <w:rsid w:val="00583996"/>
    <w:rsid w:val="00583B93"/>
    <w:rsid w:val="00585095"/>
    <w:rsid w:val="005850DB"/>
    <w:rsid w:val="00585D38"/>
    <w:rsid w:val="00586660"/>
    <w:rsid w:val="00590C0D"/>
    <w:rsid w:val="00590C24"/>
    <w:rsid w:val="00590CA5"/>
    <w:rsid w:val="00592BF6"/>
    <w:rsid w:val="00592EC1"/>
    <w:rsid w:val="00593CF0"/>
    <w:rsid w:val="00593F50"/>
    <w:rsid w:val="005948DF"/>
    <w:rsid w:val="0059540C"/>
    <w:rsid w:val="0059715F"/>
    <w:rsid w:val="005A0CA0"/>
    <w:rsid w:val="005A3FEE"/>
    <w:rsid w:val="005A5B41"/>
    <w:rsid w:val="005A6B4C"/>
    <w:rsid w:val="005A7522"/>
    <w:rsid w:val="005A7EE5"/>
    <w:rsid w:val="005B0111"/>
    <w:rsid w:val="005B07DD"/>
    <w:rsid w:val="005B0D72"/>
    <w:rsid w:val="005B0FE5"/>
    <w:rsid w:val="005B1935"/>
    <w:rsid w:val="005B29A5"/>
    <w:rsid w:val="005B53CF"/>
    <w:rsid w:val="005B6880"/>
    <w:rsid w:val="005C0A83"/>
    <w:rsid w:val="005C0ABA"/>
    <w:rsid w:val="005C0EC1"/>
    <w:rsid w:val="005C11DB"/>
    <w:rsid w:val="005C1809"/>
    <w:rsid w:val="005C26ED"/>
    <w:rsid w:val="005C36A8"/>
    <w:rsid w:val="005C3B65"/>
    <w:rsid w:val="005C4C73"/>
    <w:rsid w:val="005C51F4"/>
    <w:rsid w:val="005C6A03"/>
    <w:rsid w:val="005C6E81"/>
    <w:rsid w:val="005C743D"/>
    <w:rsid w:val="005D07D4"/>
    <w:rsid w:val="005D0D57"/>
    <w:rsid w:val="005D30B3"/>
    <w:rsid w:val="005D36CE"/>
    <w:rsid w:val="005D5178"/>
    <w:rsid w:val="005E0A1C"/>
    <w:rsid w:val="005E2D74"/>
    <w:rsid w:val="005E2DC2"/>
    <w:rsid w:val="005E4342"/>
    <w:rsid w:val="005E4402"/>
    <w:rsid w:val="005E4E9D"/>
    <w:rsid w:val="005E56BF"/>
    <w:rsid w:val="005E7D28"/>
    <w:rsid w:val="005F053B"/>
    <w:rsid w:val="005F1656"/>
    <w:rsid w:val="005F1692"/>
    <w:rsid w:val="005F1A5F"/>
    <w:rsid w:val="005F34E8"/>
    <w:rsid w:val="005F5214"/>
    <w:rsid w:val="005F5A21"/>
    <w:rsid w:val="005F663F"/>
    <w:rsid w:val="005F71B9"/>
    <w:rsid w:val="005F7FA8"/>
    <w:rsid w:val="006024EA"/>
    <w:rsid w:val="0060426C"/>
    <w:rsid w:val="00605217"/>
    <w:rsid w:val="00607829"/>
    <w:rsid w:val="00607B45"/>
    <w:rsid w:val="00607C5D"/>
    <w:rsid w:val="00610ED7"/>
    <w:rsid w:val="006112E3"/>
    <w:rsid w:val="0061203C"/>
    <w:rsid w:val="006137F2"/>
    <w:rsid w:val="006155B7"/>
    <w:rsid w:val="0061564A"/>
    <w:rsid w:val="0061651B"/>
    <w:rsid w:val="006201D6"/>
    <w:rsid w:val="006205BE"/>
    <w:rsid w:val="006209F9"/>
    <w:rsid w:val="00622F7C"/>
    <w:rsid w:val="006232FE"/>
    <w:rsid w:val="00623729"/>
    <w:rsid w:val="00626163"/>
    <w:rsid w:val="00626FA2"/>
    <w:rsid w:val="00627469"/>
    <w:rsid w:val="006309BA"/>
    <w:rsid w:val="00631FE8"/>
    <w:rsid w:val="006324EC"/>
    <w:rsid w:val="00632992"/>
    <w:rsid w:val="00632DD1"/>
    <w:rsid w:val="00633726"/>
    <w:rsid w:val="00633A2E"/>
    <w:rsid w:val="00634374"/>
    <w:rsid w:val="00636B02"/>
    <w:rsid w:val="00640987"/>
    <w:rsid w:val="00640E7D"/>
    <w:rsid w:val="00642570"/>
    <w:rsid w:val="00642C4C"/>
    <w:rsid w:val="00645733"/>
    <w:rsid w:val="00645A2F"/>
    <w:rsid w:val="00645F45"/>
    <w:rsid w:val="00647B99"/>
    <w:rsid w:val="006521A2"/>
    <w:rsid w:val="00652629"/>
    <w:rsid w:val="00653A4E"/>
    <w:rsid w:val="00654B43"/>
    <w:rsid w:val="00655705"/>
    <w:rsid w:val="0065670B"/>
    <w:rsid w:val="00656C1B"/>
    <w:rsid w:val="00656CE7"/>
    <w:rsid w:val="00656E29"/>
    <w:rsid w:val="00657961"/>
    <w:rsid w:val="0066238B"/>
    <w:rsid w:val="00664211"/>
    <w:rsid w:val="00664E0B"/>
    <w:rsid w:val="00665271"/>
    <w:rsid w:val="006652E0"/>
    <w:rsid w:val="00667920"/>
    <w:rsid w:val="00667C68"/>
    <w:rsid w:val="00674902"/>
    <w:rsid w:val="00674EF1"/>
    <w:rsid w:val="0067597E"/>
    <w:rsid w:val="00675F4E"/>
    <w:rsid w:val="00675FEE"/>
    <w:rsid w:val="006823B9"/>
    <w:rsid w:val="006830BA"/>
    <w:rsid w:val="00683AFC"/>
    <w:rsid w:val="00683F8F"/>
    <w:rsid w:val="00684B4C"/>
    <w:rsid w:val="00684DE8"/>
    <w:rsid w:val="006861AE"/>
    <w:rsid w:val="00687404"/>
    <w:rsid w:val="006875E0"/>
    <w:rsid w:val="00690D71"/>
    <w:rsid w:val="006916F2"/>
    <w:rsid w:val="0069198F"/>
    <w:rsid w:val="00692F6D"/>
    <w:rsid w:val="00693BA0"/>
    <w:rsid w:val="006942F0"/>
    <w:rsid w:val="00695899"/>
    <w:rsid w:val="006972A1"/>
    <w:rsid w:val="00697DA0"/>
    <w:rsid w:val="006A0367"/>
    <w:rsid w:val="006A1664"/>
    <w:rsid w:val="006A2263"/>
    <w:rsid w:val="006A37DF"/>
    <w:rsid w:val="006A39A7"/>
    <w:rsid w:val="006A415F"/>
    <w:rsid w:val="006A48CB"/>
    <w:rsid w:val="006A4B97"/>
    <w:rsid w:val="006A5D9E"/>
    <w:rsid w:val="006A6138"/>
    <w:rsid w:val="006A6279"/>
    <w:rsid w:val="006A65C6"/>
    <w:rsid w:val="006A6B64"/>
    <w:rsid w:val="006A7771"/>
    <w:rsid w:val="006A793B"/>
    <w:rsid w:val="006B1737"/>
    <w:rsid w:val="006B1EDC"/>
    <w:rsid w:val="006B200F"/>
    <w:rsid w:val="006B2530"/>
    <w:rsid w:val="006B58D2"/>
    <w:rsid w:val="006B59DC"/>
    <w:rsid w:val="006B7555"/>
    <w:rsid w:val="006B7965"/>
    <w:rsid w:val="006C1F3B"/>
    <w:rsid w:val="006C361F"/>
    <w:rsid w:val="006C7462"/>
    <w:rsid w:val="006C74D4"/>
    <w:rsid w:val="006C7B0B"/>
    <w:rsid w:val="006D0751"/>
    <w:rsid w:val="006D1B4A"/>
    <w:rsid w:val="006D214B"/>
    <w:rsid w:val="006D4C0D"/>
    <w:rsid w:val="006D4F87"/>
    <w:rsid w:val="006D58B0"/>
    <w:rsid w:val="006D5BC8"/>
    <w:rsid w:val="006D643B"/>
    <w:rsid w:val="006E0322"/>
    <w:rsid w:val="006E112B"/>
    <w:rsid w:val="006E227E"/>
    <w:rsid w:val="006E34E8"/>
    <w:rsid w:val="006E38E6"/>
    <w:rsid w:val="006E3D5F"/>
    <w:rsid w:val="006E425C"/>
    <w:rsid w:val="006E4A13"/>
    <w:rsid w:val="006E51E4"/>
    <w:rsid w:val="006E61B7"/>
    <w:rsid w:val="006E7032"/>
    <w:rsid w:val="006E7EF4"/>
    <w:rsid w:val="006F0225"/>
    <w:rsid w:val="006F1A4D"/>
    <w:rsid w:val="006F2D39"/>
    <w:rsid w:val="006F36EE"/>
    <w:rsid w:val="006F40F5"/>
    <w:rsid w:val="006F57E9"/>
    <w:rsid w:val="00700730"/>
    <w:rsid w:val="00700A87"/>
    <w:rsid w:val="007011F2"/>
    <w:rsid w:val="00702F06"/>
    <w:rsid w:val="00703EB7"/>
    <w:rsid w:val="00704BDF"/>
    <w:rsid w:val="00704FDB"/>
    <w:rsid w:val="007063A0"/>
    <w:rsid w:val="007073DE"/>
    <w:rsid w:val="00707AC6"/>
    <w:rsid w:val="00707F23"/>
    <w:rsid w:val="0071068A"/>
    <w:rsid w:val="00711270"/>
    <w:rsid w:val="007119D2"/>
    <w:rsid w:val="00712376"/>
    <w:rsid w:val="00713315"/>
    <w:rsid w:val="007139F2"/>
    <w:rsid w:val="007156C9"/>
    <w:rsid w:val="00716418"/>
    <w:rsid w:val="00716524"/>
    <w:rsid w:val="00717827"/>
    <w:rsid w:val="007200DD"/>
    <w:rsid w:val="00720607"/>
    <w:rsid w:val="00722EC3"/>
    <w:rsid w:val="00723172"/>
    <w:rsid w:val="00724098"/>
    <w:rsid w:val="00724AD4"/>
    <w:rsid w:val="00725345"/>
    <w:rsid w:val="0072776E"/>
    <w:rsid w:val="0073007A"/>
    <w:rsid w:val="0073025B"/>
    <w:rsid w:val="00730C53"/>
    <w:rsid w:val="00731E05"/>
    <w:rsid w:val="00732398"/>
    <w:rsid w:val="00733942"/>
    <w:rsid w:val="00734869"/>
    <w:rsid w:val="00735A9E"/>
    <w:rsid w:val="0073604C"/>
    <w:rsid w:val="007360E2"/>
    <w:rsid w:val="007373FA"/>
    <w:rsid w:val="0074097F"/>
    <w:rsid w:val="007421A0"/>
    <w:rsid w:val="007421A3"/>
    <w:rsid w:val="007432DA"/>
    <w:rsid w:val="00746BE3"/>
    <w:rsid w:val="00746E15"/>
    <w:rsid w:val="00750505"/>
    <w:rsid w:val="00753219"/>
    <w:rsid w:val="00753684"/>
    <w:rsid w:val="007547AC"/>
    <w:rsid w:val="00754F80"/>
    <w:rsid w:val="0075589F"/>
    <w:rsid w:val="00755B46"/>
    <w:rsid w:val="00755D36"/>
    <w:rsid w:val="00756F62"/>
    <w:rsid w:val="00757822"/>
    <w:rsid w:val="007608F0"/>
    <w:rsid w:val="0076135C"/>
    <w:rsid w:val="00761AF2"/>
    <w:rsid w:val="0076327E"/>
    <w:rsid w:val="00765D53"/>
    <w:rsid w:val="00767B00"/>
    <w:rsid w:val="00767BA1"/>
    <w:rsid w:val="007702C4"/>
    <w:rsid w:val="007718CA"/>
    <w:rsid w:val="00771C31"/>
    <w:rsid w:val="00772C4D"/>
    <w:rsid w:val="0077383C"/>
    <w:rsid w:val="0077447F"/>
    <w:rsid w:val="0077755C"/>
    <w:rsid w:val="007779E4"/>
    <w:rsid w:val="007779E5"/>
    <w:rsid w:val="00780B51"/>
    <w:rsid w:val="00783197"/>
    <w:rsid w:val="007835E4"/>
    <w:rsid w:val="00784F80"/>
    <w:rsid w:val="007854FE"/>
    <w:rsid w:val="00785A38"/>
    <w:rsid w:val="00786FBA"/>
    <w:rsid w:val="00787303"/>
    <w:rsid w:val="007875EE"/>
    <w:rsid w:val="00792DB2"/>
    <w:rsid w:val="007939EA"/>
    <w:rsid w:val="0079636F"/>
    <w:rsid w:val="0079702C"/>
    <w:rsid w:val="0079770F"/>
    <w:rsid w:val="00797CA0"/>
    <w:rsid w:val="007A01B9"/>
    <w:rsid w:val="007A0271"/>
    <w:rsid w:val="007A07F2"/>
    <w:rsid w:val="007A0964"/>
    <w:rsid w:val="007A5561"/>
    <w:rsid w:val="007A6035"/>
    <w:rsid w:val="007A6432"/>
    <w:rsid w:val="007A6AEF"/>
    <w:rsid w:val="007A6BC6"/>
    <w:rsid w:val="007A6F31"/>
    <w:rsid w:val="007B147D"/>
    <w:rsid w:val="007B2343"/>
    <w:rsid w:val="007B2415"/>
    <w:rsid w:val="007B31D2"/>
    <w:rsid w:val="007B31D7"/>
    <w:rsid w:val="007B46A9"/>
    <w:rsid w:val="007B5B57"/>
    <w:rsid w:val="007B625E"/>
    <w:rsid w:val="007B6804"/>
    <w:rsid w:val="007B6C55"/>
    <w:rsid w:val="007C0ECF"/>
    <w:rsid w:val="007C1F5D"/>
    <w:rsid w:val="007C249C"/>
    <w:rsid w:val="007C26D6"/>
    <w:rsid w:val="007C3411"/>
    <w:rsid w:val="007C415F"/>
    <w:rsid w:val="007C4AD9"/>
    <w:rsid w:val="007C6726"/>
    <w:rsid w:val="007C70C8"/>
    <w:rsid w:val="007C7EA8"/>
    <w:rsid w:val="007C7EE2"/>
    <w:rsid w:val="007D04B8"/>
    <w:rsid w:val="007D05FD"/>
    <w:rsid w:val="007D2DDA"/>
    <w:rsid w:val="007D2DED"/>
    <w:rsid w:val="007D369B"/>
    <w:rsid w:val="007D4625"/>
    <w:rsid w:val="007D4904"/>
    <w:rsid w:val="007D4D16"/>
    <w:rsid w:val="007D5A0B"/>
    <w:rsid w:val="007D626D"/>
    <w:rsid w:val="007D6498"/>
    <w:rsid w:val="007D66AB"/>
    <w:rsid w:val="007D7229"/>
    <w:rsid w:val="007D7F09"/>
    <w:rsid w:val="007E01DA"/>
    <w:rsid w:val="007E30E9"/>
    <w:rsid w:val="007E484F"/>
    <w:rsid w:val="007E4C20"/>
    <w:rsid w:val="007E559E"/>
    <w:rsid w:val="007E582B"/>
    <w:rsid w:val="007E6B34"/>
    <w:rsid w:val="007E7195"/>
    <w:rsid w:val="007E74C5"/>
    <w:rsid w:val="007E793D"/>
    <w:rsid w:val="007F171C"/>
    <w:rsid w:val="007F255C"/>
    <w:rsid w:val="007F2E51"/>
    <w:rsid w:val="007F2EE0"/>
    <w:rsid w:val="007F4A35"/>
    <w:rsid w:val="007F57F9"/>
    <w:rsid w:val="007F5FB7"/>
    <w:rsid w:val="007F6281"/>
    <w:rsid w:val="0080043C"/>
    <w:rsid w:val="0080046C"/>
    <w:rsid w:val="008012A6"/>
    <w:rsid w:val="00801E3C"/>
    <w:rsid w:val="00802119"/>
    <w:rsid w:val="008026F9"/>
    <w:rsid w:val="00802EC3"/>
    <w:rsid w:val="00803C34"/>
    <w:rsid w:val="008048A0"/>
    <w:rsid w:val="00804935"/>
    <w:rsid w:val="00805063"/>
    <w:rsid w:val="0080773E"/>
    <w:rsid w:val="008127E4"/>
    <w:rsid w:val="0081434C"/>
    <w:rsid w:val="00815A4D"/>
    <w:rsid w:val="00815AA5"/>
    <w:rsid w:val="00817028"/>
    <w:rsid w:val="00817EA0"/>
    <w:rsid w:val="00820AA2"/>
    <w:rsid w:val="00820FB8"/>
    <w:rsid w:val="00821699"/>
    <w:rsid w:val="0082211C"/>
    <w:rsid w:val="0082249E"/>
    <w:rsid w:val="008243A8"/>
    <w:rsid w:val="00824FC3"/>
    <w:rsid w:val="00825662"/>
    <w:rsid w:val="00826FFE"/>
    <w:rsid w:val="0082789F"/>
    <w:rsid w:val="0083094A"/>
    <w:rsid w:val="00830986"/>
    <w:rsid w:val="00830A7C"/>
    <w:rsid w:val="008320E7"/>
    <w:rsid w:val="00832228"/>
    <w:rsid w:val="0083566E"/>
    <w:rsid w:val="00835839"/>
    <w:rsid w:val="0083646E"/>
    <w:rsid w:val="0083701F"/>
    <w:rsid w:val="00837315"/>
    <w:rsid w:val="00837557"/>
    <w:rsid w:val="00837FB9"/>
    <w:rsid w:val="00840648"/>
    <w:rsid w:val="00840D7B"/>
    <w:rsid w:val="00845849"/>
    <w:rsid w:val="00845DA4"/>
    <w:rsid w:val="00851288"/>
    <w:rsid w:val="00852632"/>
    <w:rsid w:val="0085287D"/>
    <w:rsid w:val="00853FFF"/>
    <w:rsid w:val="00855792"/>
    <w:rsid w:val="00860C9D"/>
    <w:rsid w:val="00861112"/>
    <w:rsid w:val="0086269C"/>
    <w:rsid w:val="00863575"/>
    <w:rsid w:val="00863AA8"/>
    <w:rsid w:val="0086544E"/>
    <w:rsid w:val="00866413"/>
    <w:rsid w:val="00867D15"/>
    <w:rsid w:val="00871F48"/>
    <w:rsid w:val="00875DA9"/>
    <w:rsid w:val="00876A8C"/>
    <w:rsid w:val="00876C47"/>
    <w:rsid w:val="00881FF6"/>
    <w:rsid w:val="008846B6"/>
    <w:rsid w:val="008847C1"/>
    <w:rsid w:val="00885571"/>
    <w:rsid w:val="008866DE"/>
    <w:rsid w:val="0088697B"/>
    <w:rsid w:val="00886AC9"/>
    <w:rsid w:val="00886AEF"/>
    <w:rsid w:val="00886B9B"/>
    <w:rsid w:val="00887044"/>
    <w:rsid w:val="008900A4"/>
    <w:rsid w:val="008935ED"/>
    <w:rsid w:val="00894AF9"/>
    <w:rsid w:val="0089609C"/>
    <w:rsid w:val="0089619A"/>
    <w:rsid w:val="00896CE4"/>
    <w:rsid w:val="008A2CF9"/>
    <w:rsid w:val="008A61F1"/>
    <w:rsid w:val="008B0E22"/>
    <w:rsid w:val="008B2710"/>
    <w:rsid w:val="008B38F7"/>
    <w:rsid w:val="008B5093"/>
    <w:rsid w:val="008C019F"/>
    <w:rsid w:val="008C08E9"/>
    <w:rsid w:val="008C0A5F"/>
    <w:rsid w:val="008C1FD9"/>
    <w:rsid w:val="008C4404"/>
    <w:rsid w:val="008C4D19"/>
    <w:rsid w:val="008C4E1B"/>
    <w:rsid w:val="008C5146"/>
    <w:rsid w:val="008C6271"/>
    <w:rsid w:val="008C6285"/>
    <w:rsid w:val="008C734D"/>
    <w:rsid w:val="008D0F4E"/>
    <w:rsid w:val="008D1630"/>
    <w:rsid w:val="008D2648"/>
    <w:rsid w:val="008D2879"/>
    <w:rsid w:val="008D4FF6"/>
    <w:rsid w:val="008D525C"/>
    <w:rsid w:val="008D73E7"/>
    <w:rsid w:val="008E03EE"/>
    <w:rsid w:val="008E0A3D"/>
    <w:rsid w:val="008E6FB3"/>
    <w:rsid w:val="008F0024"/>
    <w:rsid w:val="008F0972"/>
    <w:rsid w:val="008F16F2"/>
    <w:rsid w:val="008F2A54"/>
    <w:rsid w:val="008F68FF"/>
    <w:rsid w:val="00900CCD"/>
    <w:rsid w:val="00903FDA"/>
    <w:rsid w:val="00905A5C"/>
    <w:rsid w:val="00911E4E"/>
    <w:rsid w:val="009127B0"/>
    <w:rsid w:val="009127EC"/>
    <w:rsid w:val="009135AD"/>
    <w:rsid w:val="0091418F"/>
    <w:rsid w:val="00914BB0"/>
    <w:rsid w:val="00915012"/>
    <w:rsid w:val="00915353"/>
    <w:rsid w:val="00915F37"/>
    <w:rsid w:val="00917414"/>
    <w:rsid w:val="00917428"/>
    <w:rsid w:val="00922042"/>
    <w:rsid w:val="00922ED6"/>
    <w:rsid w:val="00925B3C"/>
    <w:rsid w:val="00926436"/>
    <w:rsid w:val="00930171"/>
    <w:rsid w:val="00930D8C"/>
    <w:rsid w:val="0093255D"/>
    <w:rsid w:val="00933781"/>
    <w:rsid w:val="00933FD8"/>
    <w:rsid w:val="009341B1"/>
    <w:rsid w:val="00934FAE"/>
    <w:rsid w:val="0093508B"/>
    <w:rsid w:val="0093533D"/>
    <w:rsid w:val="00935ECE"/>
    <w:rsid w:val="00937F1A"/>
    <w:rsid w:val="009435DE"/>
    <w:rsid w:val="00944628"/>
    <w:rsid w:val="0094476A"/>
    <w:rsid w:val="00944942"/>
    <w:rsid w:val="00944B07"/>
    <w:rsid w:val="00944BD5"/>
    <w:rsid w:val="00944D42"/>
    <w:rsid w:val="009460D4"/>
    <w:rsid w:val="00950178"/>
    <w:rsid w:val="00952AB4"/>
    <w:rsid w:val="00952F1B"/>
    <w:rsid w:val="00953C6D"/>
    <w:rsid w:val="00954215"/>
    <w:rsid w:val="0095632D"/>
    <w:rsid w:val="0095633F"/>
    <w:rsid w:val="009600EC"/>
    <w:rsid w:val="00960704"/>
    <w:rsid w:val="00960D88"/>
    <w:rsid w:val="00961EEB"/>
    <w:rsid w:val="00962233"/>
    <w:rsid w:val="009625C2"/>
    <w:rsid w:val="00962EED"/>
    <w:rsid w:val="009645C7"/>
    <w:rsid w:val="0096523D"/>
    <w:rsid w:val="00965E80"/>
    <w:rsid w:val="0096645A"/>
    <w:rsid w:val="00970016"/>
    <w:rsid w:val="00971BC9"/>
    <w:rsid w:val="009721FA"/>
    <w:rsid w:val="00972377"/>
    <w:rsid w:val="00975448"/>
    <w:rsid w:val="0097603D"/>
    <w:rsid w:val="00976947"/>
    <w:rsid w:val="00976AA0"/>
    <w:rsid w:val="00980338"/>
    <w:rsid w:val="009818A2"/>
    <w:rsid w:val="0098276D"/>
    <w:rsid w:val="009836E6"/>
    <w:rsid w:val="00983F0F"/>
    <w:rsid w:val="009863EE"/>
    <w:rsid w:val="0098683C"/>
    <w:rsid w:val="00990038"/>
    <w:rsid w:val="009909F5"/>
    <w:rsid w:val="00992DC5"/>
    <w:rsid w:val="00993AE7"/>
    <w:rsid w:val="009943AA"/>
    <w:rsid w:val="00994A9B"/>
    <w:rsid w:val="00994F5B"/>
    <w:rsid w:val="00996147"/>
    <w:rsid w:val="009973ED"/>
    <w:rsid w:val="00997803"/>
    <w:rsid w:val="00997CA4"/>
    <w:rsid w:val="009A1087"/>
    <w:rsid w:val="009A1682"/>
    <w:rsid w:val="009A1957"/>
    <w:rsid w:val="009A1A29"/>
    <w:rsid w:val="009A209F"/>
    <w:rsid w:val="009A24F6"/>
    <w:rsid w:val="009A2AE1"/>
    <w:rsid w:val="009A448C"/>
    <w:rsid w:val="009A6561"/>
    <w:rsid w:val="009A6750"/>
    <w:rsid w:val="009A7CD9"/>
    <w:rsid w:val="009B0256"/>
    <w:rsid w:val="009B14A3"/>
    <w:rsid w:val="009B17CF"/>
    <w:rsid w:val="009B2765"/>
    <w:rsid w:val="009B2B36"/>
    <w:rsid w:val="009B2FCF"/>
    <w:rsid w:val="009B3AD6"/>
    <w:rsid w:val="009B3DAB"/>
    <w:rsid w:val="009B452D"/>
    <w:rsid w:val="009B5A6C"/>
    <w:rsid w:val="009B5F92"/>
    <w:rsid w:val="009B6615"/>
    <w:rsid w:val="009B68AD"/>
    <w:rsid w:val="009B6BBF"/>
    <w:rsid w:val="009B6E63"/>
    <w:rsid w:val="009B763E"/>
    <w:rsid w:val="009B7F2C"/>
    <w:rsid w:val="009C0705"/>
    <w:rsid w:val="009C143B"/>
    <w:rsid w:val="009C268D"/>
    <w:rsid w:val="009C37DB"/>
    <w:rsid w:val="009C398C"/>
    <w:rsid w:val="009C3C23"/>
    <w:rsid w:val="009C6A72"/>
    <w:rsid w:val="009D15D1"/>
    <w:rsid w:val="009D1C09"/>
    <w:rsid w:val="009D2456"/>
    <w:rsid w:val="009D5DF1"/>
    <w:rsid w:val="009D6E59"/>
    <w:rsid w:val="009E2243"/>
    <w:rsid w:val="009E291C"/>
    <w:rsid w:val="009E58AD"/>
    <w:rsid w:val="009F0EB6"/>
    <w:rsid w:val="009F137C"/>
    <w:rsid w:val="009F16FB"/>
    <w:rsid w:val="009F1CFC"/>
    <w:rsid w:val="009F1E0C"/>
    <w:rsid w:val="009F72A3"/>
    <w:rsid w:val="00A00C08"/>
    <w:rsid w:val="00A0277D"/>
    <w:rsid w:val="00A02B42"/>
    <w:rsid w:val="00A02F80"/>
    <w:rsid w:val="00A050E1"/>
    <w:rsid w:val="00A05170"/>
    <w:rsid w:val="00A05AC3"/>
    <w:rsid w:val="00A06812"/>
    <w:rsid w:val="00A06F23"/>
    <w:rsid w:val="00A06FE4"/>
    <w:rsid w:val="00A0753B"/>
    <w:rsid w:val="00A0763A"/>
    <w:rsid w:val="00A1155F"/>
    <w:rsid w:val="00A1194B"/>
    <w:rsid w:val="00A121D7"/>
    <w:rsid w:val="00A12B0F"/>
    <w:rsid w:val="00A142BF"/>
    <w:rsid w:val="00A14E21"/>
    <w:rsid w:val="00A155D7"/>
    <w:rsid w:val="00A16A73"/>
    <w:rsid w:val="00A20783"/>
    <w:rsid w:val="00A208A2"/>
    <w:rsid w:val="00A20979"/>
    <w:rsid w:val="00A21A21"/>
    <w:rsid w:val="00A21E3B"/>
    <w:rsid w:val="00A226FE"/>
    <w:rsid w:val="00A232F2"/>
    <w:rsid w:val="00A23F37"/>
    <w:rsid w:val="00A23F3C"/>
    <w:rsid w:val="00A24213"/>
    <w:rsid w:val="00A25056"/>
    <w:rsid w:val="00A30218"/>
    <w:rsid w:val="00A306ED"/>
    <w:rsid w:val="00A3091D"/>
    <w:rsid w:val="00A31C04"/>
    <w:rsid w:val="00A32704"/>
    <w:rsid w:val="00A330F3"/>
    <w:rsid w:val="00A33E98"/>
    <w:rsid w:val="00A34FAD"/>
    <w:rsid w:val="00A40928"/>
    <w:rsid w:val="00A40F04"/>
    <w:rsid w:val="00A42D95"/>
    <w:rsid w:val="00A43275"/>
    <w:rsid w:val="00A43F08"/>
    <w:rsid w:val="00A4518B"/>
    <w:rsid w:val="00A46822"/>
    <w:rsid w:val="00A471D9"/>
    <w:rsid w:val="00A50A87"/>
    <w:rsid w:val="00A512DE"/>
    <w:rsid w:val="00A53925"/>
    <w:rsid w:val="00A54424"/>
    <w:rsid w:val="00A578FB"/>
    <w:rsid w:val="00A60A4E"/>
    <w:rsid w:val="00A62524"/>
    <w:rsid w:val="00A65E56"/>
    <w:rsid w:val="00A65E8D"/>
    <w:rsid w:val="00A661C4"/>
    <w:rsid w:val="00A66FDD"/>
    <w:rsid w:val="00A71385"/>
    <w:rsid w:val="00A71D82"/>
    <w:rsid w:val="00A737B8"/>
    <w:rsid w:val="00A73B45"/>
    <w:rsid w:val="00A73F09"/>
    <w:rsid w:val="00A74612"/>
    <w:rsid w:val="00A74847"/>
    <w:rsid w:val="00A74E1D"/>
    <w:rsid w:val="00A76618"/>
    <w:rsid w:val="00A76B25"/>
    <w:rsid w:val="00A77833"/>
    <w:rsid w:val="00A80C91"/>
    <w:rsid w:val="00A8172F"/>
    <w:rsid w:val="00A81ADE"/>
    <w:rsid w:val="00A82D1E"/>
    <w:rsid w:val="00A843DC"/>
    <w:rsid w:val="00A85C81"/>
    <w:rsid w:val="00A87619"/>
    <w:rsid w:val="00A8793E"/>
    <w:rsid w:val="00A90211"/>
    <w:rsid w:val="00A907FD"/>
    <w:rsid w:val="00A921F8"/>
    <w:rsid w:val="00A92666"/>
    <w:rsid w:val="00A92947"/>
    <w:rsid w:val="00A9430B"/>
    <w:rsid w:val="00A97062"/>
    <w:rsid w:val="00A97E04"/>
    <w:rsid w:val="00AA21F3"/>
    <w:rsid w:val="00AA2394"/>
    <w:rsid w:val="00AA3B5B"/>
    <w:rsid w:val="00AA3C93"/>
    <w:rsid w:val="00AA44CC"/>
    <w:rsid w:val="00AA5C55"/>
    <w:rsid w:val="00AA60AA"/>
    <w:rsid w:val="00AB0992"/>
    <w:rsid w:val="00AB0E32"/>
    <w:rsid w:val="00AB460B"/>
    <w:rsid w:val="00AB4D3F"/>
    <w:rsid w:val="00AB58BB"/>
    <w:rsid w:val="00AB79C0"/>
    <w:rsid w:val="00AB7A07"/>
    <w:rsid w:val="00AC073E"/>
    <w:rsid w:val="00AC0C3F"/>
    <w:rsid w:val="00AC0C46"/>
    <w:rsid w:val="00AC23DA"/>
    <w:rsid w:val="00AC2C7E"/>
    <w:rsid w:val="00AC3154"/>
    <w:rsid w:val="00AC40C0"/>
    <w:rsid w:val="00AC4A8D"/>
    <w:rsid w:val="00AC4D92"/>
    <w:rsid w:val="00AC4DEE"/>
    <w:rsid w:val="00AC5D87"/>
    <w:rsid w:val="00AC7BC1"/>
    <w:rsid w:val="00AD02C3"/>
    <w:rsid w:val="00AD16D0"/>
    <w:rsid w:val="00AD2C26"/>
    <w:rsid w:val="00AD38CA"/>
    <w:rsid w:val="00AD5720"/>
    <w:rsid w:val="00AD783E"/>
    <w:rsid w:val="00AE2920"/>
    <w:rsid w:val="00AE3E8D"/>
    <w:rsid w:val="00AE469D"/>
    <w:rsid w:val="00AE472B"/>
    <w:rsid w:val="00AE6189"/>
    <w:rsid w:val="00AE6424"/>
    <w:rsid w:val="00AE6728"/>
    <w:rsid w:val="00AF18C2"/>
    <w:rsid w:val="00AF1C42"/>
    <w:rsid w:val="00AF3A17"/>
    <w:rsid w:val="00AF3CD7"/>
    <w:rsid w:val="00AF5690"/>
    <w:rsid w:val="00B0034C"/>
    <w:rsid w:val="00B01AFE"/>
    <w:rsid w:val="00B02C18"/>
    <w:rsid w:val="00B03A4C"/>
    <w:rsid w:val="00B0463C"/>
    <w:rsid w:val="00B06178"/>
    <w:rsid w:val="00B06E40"/>
    <w:rsid w:val="00B07B10"/>
    <w:rsid w:val="00B07EB9"/>
    <w:rsid w:val="00B07EEF"/>
    <w:rsid w:val="00B113B5"/>
    <w:rsid w:val="00B11EAB"/>
    <w:rsid w:val="00B1250E"/>
    <w:rsid w:val="00B12BB6"/>
    <w:rsid w:val="00B13040"/>
    <w:rsid w:val="00B131C5"/>
    <w:rsid w:val="00B1382C"/>
    <w:rsid w:val="00B13B58"/>
    <w:rsid w:val="00B13FB4"/>
    <w:rsid w:val="00B15745"/>
    <w:rsid w:val="00B15901"/>
    <w:rsid w:val="00B15EC3"/>
    <w:rsid w:val="00B20093"/>
    <w:rsid w:val="00B22DA1"/>
    <w:rsid w:val="00B23752"/>
    <w:rsid w:val="00B2563F"/>
    <w:rsid w:val="00B25BC3"/>
    <w:rsid w:val="00B27348"/>
    <w:rsid w:val="00B27416"/>
    <w:rsid w:val="00B274C4"/>
    <w:rsid w:val="00B278FD"/>
    <w:rsid w:val="00B320C9"/>
    <w:rsid w:val="00B321BD"/>
    <w:rsid w:val="00B32D39"/>
    <w:rsid w:val="00B33AF4"/>
    <w:rsid w:val="00B33C7D"/>
    <w:rsid w:val="00B3543A"/>
    <w:rsid w:val="00B36055"/>
    <w:rsid w:val="00B36B7B"/>
    <w:rsid w:val="00B41081"/>
    <w:rsid w:val="00B414B3"/>
    <w:rsid w:val="00B44F4C"/>
    <w:rsid w:val="00B474D4"/>
    <w:rsid w:val="00B476C3"/>
    <w:rsid w:val="00B478DB"/>
    <w:rsid w:val="00B50963"/>
    <w:rsid w:val="00B51088"/>
    <w:rsid w:val="00B52B55"/>
    <w:rsid w:val="00B52C6A"/>
    <w:rsid w:val="00B53170"/>
    <w:rsid w:val="00B560CC"/>
    <w:rsid w:val="00B56EFF"/>
    <w:rsid w:val="00B57E74"/>
    <w:rsid w:val="00B60E42"/>
    <w:rsid w:val="00B6594E"/>
    <w:rsid w:val="00B66408"/>
    <w:rsid w:val="00B7050F"/>
    <w:rsid w:val="00B74093"/>
    <w:rsid w:val="00B74F94"/>
    <w:rsid w:val="00B74FB0"/>
    <w:rsid w:val="00B766D5"/>
    <w:rsid w:val="00B77357"/>
    <w:rsid w:val="00B80898"/>
    <w:rsid w:val="00B82192"/>
    <w:rsid w:val="00B825A1"/>
    <w:rsid w:val="00B825D4"/>
    <w:rsid w:val="00B826BE"/>
    <w:rsid w:val="00B8324D"/>
    <w:rsid w:val="00B83B8E"/>
    <w:rsid w:val="00B906EE"/>
    <w:rsid w:val="00B91512"/>
    <w:rsid w:val="00B92A11"/>
    <w:rsid w:val="00B92B24"/>
    <w:rsid w:val="00B93DD0"/>
    <w:rsid w:val="00B95A9E"/>
    <w:rsid w:val="00B97F04"/>
    <w:rsid w:val="00BA1C37"/>
    <w:rsid w:val="00BA213B"/>
    <w:rsid w:val="00BA49AE"/>
    <w:rsid w:val="00BA5771"/>
    <w:rsid w:val="00BA5F28"/>
    <w:rsid w:val="00BB146C"/>
    <w:rsid w:val="00BB22F2"/>
    <w:rsid w:val="00BB3CA1"/>
    <w:rsid w:val="00BB468F"/>
    <w:rsid w:val="00BB487E"/>
    <w:rsid w:val="00BB5FB1"/>
    <w:rsid w:val="00BB5FFC"/>
    <w:rsid w:val="00BC28B0"/>
    <w:rsid w:val="00BC344F"/>
    <w:rsid w:val="00BC4F14"/>
    <w:rsid w:val="00BC5A80"/>
    <w:rsid w:val="00BD0220"/>
    <w:rsid w:val="00BD1D72"/>
    <w:rsid w:val="00BD2422"/>
    <w:rsid w:val="00BD4A3E"/>
    <w:rsid w:val="00BD4B07"/>
    <w:rsid w:val="00BD518D"/>
    <w:rsid w:val="00BD73AA"/>
    <w:rsid w:val="00BD73EE"/>
    <w:rsid w:val="00BE2369"/>
    <w:rsid w:val="00BE2A35"/>
    <w:rsid w:val="00BE47A8"/>
    <w:rsid w:val="00BE4917"/>
    <w:rsid w:val="00BE4A74"/>
    <w:rsid w:val="00BE5903"/>
    <w:rsid w:val="00BE7253"/>
    <w:rsid w:val="00BE7C6F"/>
    <w:rsid w:val="00BF041D"/>
    <w:rsid w:val="00BF057E"/>
    <w:rsid w:val="00BF090C"/>
    <w:rsid w:val="00BF14D2"/>
    <w:rsid w:val="00BF1C95"/>
    <w:rsid w:val="00BF2A3E"/>
    <w:rsid w:val="00BF2EB9"/>
    <w:rsid w:val="00BF4228"/>
    <w:rsid w:val="00BF4564"/>
    <w:rsid w:val="00BF4954"/>
    <w:rsid w:val="00BF6649"/>
    <w:rsid w:val="00BF744A"/>
    <w:rsid w:val="00C010B4"/>
    <w:rsid w:val="00C02A97"/>
    <w:rsid w:val="00C02ABB"/>
    <w:rsid w:val="00C02E98"/>
    <w:rsid w:val="00C03DE7"/>
    <w:rsid w:val="00C042D3"/>
    <w:rsid w:val="00C04800"/>
    <w:rsid w:val="00C05142"/>
    <w:rsid w:val="00C060F8"/>
    <w:rsid w:val="00C0616C"/>
    <w:rsid w:val="00C069A4"/>
    <w:rsid w:val="00C07766"/>
    <w:rsid w:val="00C10E65"/>
    <w:rsid w:val="00C1275D"/>
    <w:rsid w:val="00C12798"/>
    <w:rsid w:val="00C13294"/>
    <w:rsid w:val="00C144E1"/>
    <w:rsid w:val="00C148E8"/>
    <w:rsid w:val="00C15A08"/>
    <w:rsid w:val="00C15AE3"/>
    <w:rsid w:val="00C16599"/>
    <w:rsid w:val="00C1749F"/>
    <w:rsid w:val="00C17A7A"/>
    <w:rsid w:val="00C20D13"/>
    <w:rsid w:val="00C2199E"/>
    <w:rsid w:val="00C2348F"/>
    <w:rsid w:val="00C249A9"/>
    <w:rsid w:val="00C24B1C"/>
    <w:rsid w:val="00C251D9"/>
    <w:rsid w:val="00C26A7A"/>
    <w:rsid w:val="00C27014"/>
    <w:rsid w:val="00C30956"/>
    <w:rsid w:val="00C30E7C"/>
    <w:rsid w:val="00C32013"/>
    <w:rsid w:val="00C32373"/>
    <w:rsid w:val="00C32DEA"/>
    <w:rsid w:val="00C33D5F"/>
    <w:rsid w:val="00C345ED"/>
    <w:rsid w:val="00C34DBB"/>
    <w:rsid w:val="00C34E1A"/>
    <w:rsid w:val="00C35103"/>
    <w:rsid w:val="00C35305"/>
    <w:rsid w:val="00C366B0"/>
    <w:rsid w:val="00C3696F"/>
    <w:rsid w:val="00C376A6"/>
    <w:rsid w:val="00C40EEF"/>
    <w:rsid w:val="00C41662"/>
    <w:rsid w:val="00C41C7C"/>
    <w:rsid w:val="00C42B60"/>
    <w:rsid w:val="00C42EDD"/>
    <w:rsid w:val="00C43CE5"/>
    <w:rsid w:val="00C478DE"/>
    <w:rsid w:val="00C47F39"/>
    <w:rsid w:val="00C510CB"/>
    <w:rsid w:val="00C515BC"/>
    <w:rsid w:val="00C51C64"/>
    <w:rsid w:val="00C53510"/>
    <w:rsid w:val="00C538F0"/>
    <w:rsid w:val="00C53E2A"/>
    <w:rsid w:val="00C5424B"/>
    <w:rsid w:val="00C5432F"/>
    <w:rsid w:val="00C55829"/>
    <w:rsid w:val="00C5719F"/>
    <w:rsid w:val="00C63146"/>
    <w:rsid w:val="00C63940"/>
    <w:rsid w:val="00C66E06"/>
    <w:rsid w:val="00C70094"/>
    <w:rsid w:val="00C71D75"/>
    <w:rsid w:val="00C72BB9"/>
    <w:rsid w:val="00C73E57"/>
    <w:rsid w:val="00C749F9"/>
    <w:rsid w:val="00C751BA"/>
    <w:rsid w:val="00C81975"/>
    <w:rsid w:val="00C82EBC"/>
    <w:rsid w:val="00C85A4A"/>
    <w:rsid w:val="00C86588"/>
    <w:rsid w:val="00C87966"/>
    <w:rsid w:val="00C92788"/>
    <w:rsid w:val="00C92CBF"/>
    <w:rsid w:val="00C93EED"/>
    <w:rsid w:val="00C93F28"/>
    <w:rsid w:val="00C94549"/>
    <w:rsid w:val="00C96C2C"/>
    <w:rsid w:val="00CA0694"/>
    <w:rsid w:val="00CA0B4D"/>
    <w:rsid w:val="00CA1D4C"/>
    <w:rsid w:val="00CA4148"/>
    <w:rsid w:val="00CA4593"/>
    <w:rsid w:val="00CA47D8"/>
    <w:rsid w:val="00CA5D4C"/>
    <w:rsid w:val="00CA643D"/>
    <w:rsid w:val="00CA675A"/>
    <w:rsid w:val="00CA7301"/>
    <w:rsid w:val="00CB186E"/>
    <w:rsid w:val="00CB1ED7"/>
    <w:rsid w:val="00CB3A38"/>
    <w:rsid w:val="00CB462A"/>
    <w:rsid w:val="00CB4E49"/>
    <w:rsid w:val="00CB621D"/>
    <w:rsid w:val="00CB7768"/>
    <w:rsid w:val="00CC00C5"/>
    <w:rsid w:val="00CC0B1B"/>
    <w:rsid w:val="00CC19C8"/>
    <w:rsid w:val="00CC1A25"/>
    <w:rsid w:val="00CC2879"/>
    <w:rsid w:val="00CC3046"/>
    <w:rsid w:val="00CC3F34"/>
    <w:rsid w:val="00CC3F6F"/>
    <w:rsid w:val="00CC40CB"/>
    <w:rsid w:val="00CC475C"/>
    <w:rsid w:val="00CC4A71"/>
    <w:rsid w:val="00CC4CF0"/>
    <w:rsid w:val="00CC6041"/>
    <w:rsid w:val="00CC6145"/>
    <w:rsid w:val="00CD0713"/>
    <w:rsid w:val="00CD15D9"/>
    <w:rsid w:val="00CD24F4"/>
    <w:rsid w:val="00CD27B1"/>
    <w:rsid w:val="00CD34CB"/>
    <w:rsid w:val="00CD351F"/>
    <w:rsid w:val="00CD60FB"/>
    <w:rsid w:val="00CD6E84"/>
    <w:rsid w:val="00CD7350"/>
    <w:rsid w:val="00CE0F61"/>
    <w:rsid w:val="00CE1683"/>
    <w:rsid w:val="00CE4451"/>
    <w:rsid w:val="00CE5E29"/>
    <w:rsid w:val="00CE6746"/>
    <w:rsid w:val="00CE68F0"/>
    <w:rsid w:val="00CF01E6"/>
    <w:rsid w:val="00CF0EAD"/>
    <w:rsid w:val="00CF1FA0"/>
    <w:rsid w:val="00CF2E05"/>
    <w:rsid w:val="00CF3E49"/>
    <w:rsid w:val="00CF66DB"/>
    <w:rsid w:val="00CF6C97"/>
    <w:rsid w:val="00D001B6"/>
    <w:rsid w:val="00D00201"/>
    <w:rsid w:val="00D00261"/>
    <w:rsid w:val="00D00592"/>
    <w:rsid w:val="00D00CF5"/>
    <w:rsid w:val="00D01117"/>
    <w:rsid w:val="00D018D3"/>
    <w:rsid w:val="00D021A0"/>
    <w:rsid w:val="00D039E0"/>
    <w:rsid w:val="00D04179"/>
    <w:rsid w:val="00D06258"/>
    <w:rsid w:val="00D06854"/>
    <w:rsid w:val="00D10FCD"/>
    <w:rsid w:val="00D11488"/>
    <w:rsid w:val="00D11867"/>
    <w:rsid w:val="00D12699"/>
    <w:rsid w:val="00D1567B"/>
    <w:rsid w:val="00D1590E"/>
    <w:rsid w:val="00D15E13"/>
    <w:rsid w:val="00D160BF"/>
    <w:rsid w:val="00D162F2"/>
    <w:rsid w:val="00D2257B"/>
    <w:rsid w:val="00D23534"/>
    <w:rsid w:val="00D24FC6"/>
    <w:rsid w:val="00D25021"/>
    <w:rsid w:val="00D26CEA"/>
    <w:rsid w:val="00D2758D"/>
    <w:rsid w:val="00D27EFC"/>
    <w:rsid w:val="00D27F10"/>
    <w:rsid w:val="00D318F0"/>
    <w:rsid w:val="00D32652"/>
    <w:rsid w:val="00D3322E"/>
    <w:rsid w:val="00D3355D"/>
    <w:rsid w:val="00D35E4C"/>
    <w:rsid w:val="00D371B5"/>
    <w:rsid w:val="00D37C1D"/>
    <w:rsid w:val="00D417AE"/>
    <w:rsid w:val="00D4412C"/>
    <w:rsid w:val="00D46D26"/>
    <w:rsid w:val="00D47024"/>
    <w:rsid w:val="00D47C7B"/>
    <w:rsid w:val="00D505A3"/>
    <w:rsid w:val="00D524E3"/>
    <w:rsid w:val="00D53B3D"/>
    <w:rsid w:val="00D54095"/>
    <w:rsid w:val="00D54127"/>
    <w:rsid w:val="00D55975"/>
    <w:rsid w:val="00D55C17"/>
    <w:rsid w:val="00D55EC3"/>
    <w:rsid w:val="00D57E9A"/>
    <w:rsid w:val="00D60B6B"/>
    <w:rsid w:val="00D60BB2"/>
    <w:rsid w:val="00D61600"/>
    <w:rsid w:val="00D6192F"/>
    <w:rsid w:val="00D62E75"/>
    <w:rsid w:val="00D6332D"/>
    <w:rsid w:val="00D63550"/>
    <w:rsid w:val="00D64477"/>
    <w:rsid w:val="00D64BB4"/>
    <w:rsid w:val="00D65FB6"/>
    <w:rsid w:val="00D663B3"/>
    <w:rsid w:val="00D66F91"/>
    <w:rsid w:val="00D67769"/>
    <w:rsid w:val="00D677F2"/>
    <w:rsid w:val="00D679C7"/>
    <w:rsid w:val="00D67A46"/>
    <w:rsid w:val="00D67AB8"/>
    <w:rsid w:val="00D70C64"/>
    <w:rsid w:val="00D72463"/>
    <w:rsid w:val="00D744E2"/>
    <w:rsid w:val="00D75805"/>
    <w:rsid w:val="00D815A0"/>
    <w:rsid w:val="00D81AA5"/>
    <w:rsid w:val="00D82617"/>
    <w:rsid w:val="00D834E5"/>
    <w:rsid w:val="00D83889"/>
    <w:rsid w:val="00D83CC4"/>
    <w:rsid w:val="00D84E45"/>
    <w:rsid w:val="00D87689"/>
    <w:rsid w:val="00D87988"/>
    <w:rsid w:val="00D90504"/>
    <w:rsid w:val="00D909F6"/>
    <w:rsid w:val="00D9262F"/>
    <w:rsid w:val="00D92E1C"/>
    <w:rsid w:val="00D9322D"/>
    <w:rsid w:val="00D937A1"/>
    <w:rsid w:val="00D937C7"/>
    <w:rsid w:val="00D953F0"/>
    <w:rsid w:val="00D95BAF"/>
    <w:rsid w:val="00D95C05"/>
    <w:rsid w:val="00D95D31"/>
    <w:rsid w:val="00D95E54"/>
    <w:rsid w:val="00D95F48"/>
    <w:rsid w:val="00D96C12"/>
    <w:rsid w:val="00D96D9B"/>
    <w:rsid w:val="00DA0125"/>
    <w:rsid w:val="00DA1B65"/>
    <w:rsid w:val="00DA1B8D"/>
    <w:rsid w:val="00DA1B94"/>
    <w:rsid w:val="00DA2E1E"/>
    <w:rsid w:val="00DA3CB2"/>
    <w:rsid w:val="00DA60B3"/>
    <w:rsid w:val="00DA6F57"/>
    <w:rsid w:val="00DA75E5"/>
    <w:rsid w:val="00DA77CA"/>
    <w:rsid w:val="00DA7B46"/>
    <w:rsid w:val="00DB03D3"/>
    <w:rsid w:val="00DB059C"/>
    <w:rsid w:val="00DB2004"/>
    <w:rsid w:val="00DB5257"/>
    <w:rsid w:val="00DB6D87"/>
    <w:rsid w:val="00DB7DA0"/>
    <w:rsid w:val="00DC059C"/>
    <w:rsid w:val="00DC2412"/>
    <w:rsid w:val="00DC48F5"/>
    <w:rsid w:val="00DC6278"/>
    <w:rsid w:val="00DD20FA"/>
    <w:rsid w:val="00DD238D"/>
    <w:rsid w:val="00DD3258"/>
    <w:rsid w:val="00DD48E7"/>
    <w:rsid w:val="00DD5AE6"/>
    <w:rsid w:val="00DD6BC3"/>
    <w:rsid w:val="00DD6FC0"/>
    <w:rsid w:val="00DE0E98"/>
    <w:rsid w:val="00DE1D4F"/>
    <w:rsid w:val="00DE3B69"/>
    <w:rsid w:val="00DE41E4"/>
    <w:rsid w:val="00DE4D20"/>
    <w:rsid w:val="00DE6B68"/>
    <w:rsid w:val="00DE77C8"/>
    <w:rsid w:val="00DF00CD"/>
    <w:rsid w:val="00DF3460"/>
    <w:rsid w:val="00DF3E43"/>
    <w:rsid w:val="00DF5401"/>
    <w:rsid w:val="00DF5A04"/>
    <w:rsid w:val="00DF5F79"/>
    <w:rsid w:val="00DF6795"/>
    <w:rsid w:val="00DF6B8C"/>
    <w:rsid w:val="00DF6D2E"/>
    <w:rsid w:val="00DF75B2"/>
    <w:rsid w:val="00DF7B3B"/>
    <w:rsid w:val="00E00094"/>
    <w:rsid w:val="00E00681"/>
    <w:rsid w:val="00E01938"/>
    <w:rsid w:val="00E02EE6"/>
    <w:rsid w:val="00E065D9"/>
    <w:rsid w:val="00E066CF"/>
    <w:rsid w:val="00E073EB"/>
    <w:rsid w:val="00E07598"/>
    <w:rsid w:val="00E07631"/>
    <w:rsid w:val="00E103E5"/>
    <w:rsid w:val="00E11E25"/>
    <w:rsid w:val="00E120A7"/>
    <w:rsid w:val="00E13491"/>
    <w:rsid w:val="00E13B57"/>
    <w:rsid w:val="00E14326"/>
    <w:rsid w:val="00E144D1"/>
    <w:rsid w:val="00E14714"/>
    <w:rsid w:val="00E14AC7"/>
    <w:rsid w:val="00E1560C"/>
    <w:rsid w:val="00E1565A"/>
    <w:rsid w:val="00E173B6"/>
    <w:rsid w:val="00E1751B"/>
    <w:rsid w:val="00E2215B"/>
    <w:rsid w:val="00E22A85"/>
    <w:rsid w:val="00E22CBD"/>
    <w:rsid w:val="00E2437A"/>
    <w:rsid w:val="00E254AC"/>
    <w:rsid w:val="00E25B17"/>
    <w:rsid w:val="00E268B2"/>
    <w:rsid w:val="00E27821"/>
    <w:rsid w:val="00E31C77"/>
    <w:rsid w:val="00E332DA"/>
    <w:rsid w:val="00E335F3"/>
    <w:rsid w:val="00E33668"/>
    <w:rsid w:val="00E425A8"/>
    <w:rsid w:val="00E43B4C"/>
    <w:rsid w:val="00E44E1E"/>
    <w:rsid w:val="00E46127"/>
    <w:rsid w:val="00E465D5"/>
    <w:rsid w:val="00E468AE"/>
    <w:rsid w:val="00E50D8A"/>
    <w:rsid w:val="00E52E01"/>
    <w:rsid w:val="00E53578"/>
    <w:rsid w:val="00E53651"/>
    <w:rsid w:val="00E53B6C"/>
    <w:rsid w:val="00E54046"/>
    <w:rsid w:val="00E54893"/>
    <w:rsid w:val="00E56394"/>
    <w:rsid w:val="00E573F9"/>
    <w:rsid w:val="00E61715"/>
    <w:rsid w:val="00E61D8D"/>
    <w:rsid w:val="00E6318E"/>
    <w:rsid w:val="00E64F6D"/>
    <w:rsid w:val="00E65E00"/>
    <w:rsid w:val="00E66C2C"/>
    <w:rsid w:val="00E705EF"/>
    <w:rsid w:val="00E71807"/>
    <w:rsid w:val="00E7232E"/>
    <w:rsid w:val="00E74843"/>
    <w:rsid w:val="00E74E61"/>
    <w:rsid w:val="00E7620D"/>
    <w:rsid w:val="00E76CAE"/>
    <w:rsid w:val="00E805C9"/>
    <w:rsid w:val="00E8345F"/>
    <w:rsid w:val="00E85DE5"/>
    <w:rsid w:val="00E86682"/>
    <w:rsid w:val="00E869E2"/>
    <w:rsid w:val="00E8739A"/>
    <w:rsid w:val="00E873DE"/>
    <w:rsid w:val="00E87E1D"/>
    <w:rsid w:val="00E90238"/>
    <w:rsid w:val="00E90543"/>
    <w:rsid w:val="00E908CB"/>
    <w:rsid w:val="00E9090A"/>
    <w:rsid w:val="00E91023"/>
    <w:rsid w:val="00E911A6"/>
    <w:rsid w:val="00E9137E"/>
    <w:rsid w:val="00E91ACE"/>
    <w:rsid w:val="00E91CD3"/>
    <w:rsid w:val="00E92461"/>
    <w:rsid w:val="00E92A69"/>
    <w:rsid w:val="00E9446E"/>
    <w:rsid w:val="00E94619"/>
    <w:rsid w:val="00E94A37"/>
    <w:rsid w:val="00E956F8"/>
    <w:rsid w:val="00E96200"/>
    <w:rsid w:val="00E96FAC"/>
    <w:rsid w:val="00EA0381"/>
    <w:rsid w:val="00EA1615"/>
    <w:rsid w:val="00EA2710"/>
    <w:rsid w:val="00EA4472"/>
    <w:rsid w:val="00EA55DE"/>
    <w:rsid w:val="00EA7307"/>
    <w:rsid w:val="00EA74F6"/>
    <w:rsid w:val="00EB0F3D"/>
    <w:rsid w:val="00EB113A"/>
    <w:rsid w:val="00EB1196"/>
    <w:rsid w:val="00EB19CB"/>
    <w:rsid w:val="00EB1C50"/>
    <w:rsid w:val="00EB2607"/>
    <w:rsid w:val="00EB271A"/>
    <w:rsid w:val="00EB37A4"/>
    <w:rsid w:val="00EB4080"/>
    <w:rsid w:val="00EB4196"/>
    <w:rsid w:val="00EB4344"/>
    <w:rsid w:val="00EB463B"/>
    <w:rsid w:val="00EB6207"/>
    <w:rsid w:val="00EB639C"/>
    <w:rsid w:val="00EB6950"/>
    <w:rsid w:val="00EC135C"/>
    <w:rsid w:val="00EC1C5D"/>
    <w:rsid w:val="00EC2C33"/>
    <w:rsid w:val="00EC2D4D"/>
    <w:rsid w:val="00EC59CB"/>
    <w:rsid w:val="00EC62E2"/>
    <w:rsid w:val="00EC6BAF"/>
    <w:rsid w:val="00EC740F"/>
    <w:rsid w:val="00EC7827"/>
    <w:rsid w:val="00EC7F34"/>
    <w:rsid w:val="00ED004A"/>
    <w:rsid w:val="00ED2135"/>
    <w:rsid w:val="00ED2422"/>
    <w:rsid w:val="00ED24C1"/>
    <w:rsid w:val="00ED26E3"/>
    <w:rsid w:val="00ED2C4E"/>
    <w:rsid w:val="00ED2EA2"/>
    <w:rsid w:val="00ED396E"/>
    <w:rsid w:val="00ED424C"/>
    <w:rsid w:val="00ED730F"/>
    <w:rsid w:val="00EE0584"/>
    <w:rsid w:val="00EE269A"/>
    <w:rsid w:val="00EE3144"/>
    <w:rsid w:val="00EE7A55"/>
    <w:rsid w:val="00EE7CE6"/>
    <w:rsid w:val="00EF0FA0"/>
    <w:rsid w:val="00EF1444"/>
    <w:rsid w:val="00EF214C"/>
    <w:rsid w:val="00EF2BA7"/>
    <w:rsid w:val="00EF2EC2"/>
    <w:rsid w:val="00EF3577"/>
    <w:rsid w:val="00EF40D7"/>
    <w:rsid w:val="00EF4200"/>
    <w:rsid w:val="00EF4CE0"/>
    <w:rsid w:val="00EF54B1"/>
    <w:rsid w:val="00EF5534"/>
    <w:rsid w:val="00EF572B"/>
    <w:rsid w:val="00EF7406"/>
    <w:rsid w:val="00EF7A69"/>
    <w:rsid w:val="00F001B9"/>
    <w:rsid w:val="00F01F4D"/>
    <w:rsid w:val="00F05311"/>
    <w:rsid w:val="00F05663"/>
    <w:rsid w:val="00F05CFF"/>
    <w:rsid w:val="00F06A77"/>
    <w:rsid w:val="00F06BDB"/>
    <w:rsid w:val="00F07532"/>
    <w:rsid w:val="00F07BBC"/>
    <w:rsid w:val="00F10E7A"/>
    <w:rsid w:val="00F12678"/>
    <w:rsid w:val="00F12B44"/>
    <w:rsid w:val="00F13568"/>
    <w:rsid w:val="00F139FE"/>
    <w:rsid w:val="00F165B3"/>
    <w:rsid w:val="00F1697F"/>
    <w:rsid w:val="00F171EA"/>
    <w:rsid w:val="00F21B6E"/>
    <w:rsid w:val="00F21CF8"/>
    <w:rsid w:val="00F22F37"/>
    <w:rsid w:val="00F240FB"/>
    <w:rsid w:val="00F254A4"/>
    <w:rsid w:val="00F255F4"/>
    <w:rsid w:val="00F257BD"/>
    <w:rsid w:val="00F268E1"/>
    <w:rsid w:val="00F26B21"/>
    <w:rsid w:val="00F30B77"/>
    <w:rsid w:val="00F31637"/>
    <w:rsid w:val="00F32C87"/>
    <w:rsid w:val="00F332AB"/>
    <w:rsid w:val="00F33F48"/>
    <w:rsid w:val="00F348C3"/>
    <w:rsid w:val="00F34B68"/>
    <w:rsid w:val="00F36D46"/>
    <w:rsid w:val="00F401D8"/>
    <w:rsid w:val="00F40436"/>
    <w:rsid w:val="00F40EB9"/>
    <w:rsid w:val="00F415BE"/>
    <w:rsid w:val="00F416D1"/>
    <w:rsid w:val="00F417E5"/>
    <w:rsid w:val="00F42AAE"/>
    <w:rsid w:val="00F43384"/>
    <w:rsid w:val="00F443B5"/>
    <w:rsid w:val="00F445E3"/>
    <w:rsid w:val="00F44977"/>
    <w:rsid w:val="00F45646"/>
    <w:rsid w:val="00F461AE"/>
    <w:rsid w:val="00F478A8"/>
    <w:rsid w:val="00F505E8"/>
    <w:rsid w:val="00F52C89"/>
    <w:rsid w:val="00F538C9"/>
    <w:rsid w:val="00F55101"/>
    <w:rsid w:val="00F56426"/>
    <w:rsid w:val="00F57BA2"/>
    <w:rsid w:val="00F601EC"/>
    <w:rsid w:val="00F64B02"/>
    <w:rsid w:val="00F70857"/>
    <w:rsid w:val="00F70A7A"/>
    <w:rsid w:val="00F710ED"/>
    <w:rsid w:val="00F74B34"/>
    <w:rsid w:val="00F75044"/>
    <w:rsid w:val="00F757BD"/>
    <w:rsid w:val="00F7693F"/>
    <w:rsid w:val="00F76DED"/>
    <w:rsid w:val="00F77D43"/>
    <w:rsid w:val="00F81D5B"/>
    <w:rsid w:val="00F826B4"/>
    <w:rsid w:val="00F84279"/>
    <w:rsid w:val="00F860CA"/>
    <w:rsid w:val="00F91EFF"/>
    <w:rsid w:val="00F92FCA"/>
    <w:rsid w:val="00F930CA"/>
    <w:rsid w:val="00F9440C"/>
    <w:rsid w:val="00F969AC"/>
    <w:rsid w:val="00F974DD"/>
    <w:rsid w:val="00FA33B8"/>
    <w:rsid w:val="00FA3DCE"/>
    <w:rsid w:val="00FA4F26"/>
    <w:rsid w:val="00FA6A5B"/>
    <w:rsid w:val="00FB170F"/>
    <w:rsid w:val="00FB1CD4"/>
    <w:rsid w:val="00FB2A93"/>
    <w:rsid w:val="00FB66EE"/>
    <w:rsid w:val="00FB7EBE"/>
    <w:rsid w:val="00FC04A7"/>
    <w:rsid w:val="00FC3033"/>
    <w:rsid w:val="00FC51CB"/>
    <w:rsid w:val="00FC6962"/>
    <w:rsid w:val="00FCB9F9"/>
    <w:rsid w:val="00FD063C"/>
    <w:rsid w:val="00FD0C1F"/>
    <w:rsid w:val="00FD230B"/>
    <w:rsid w:val="00FD3D13"/>
    <w:rsid w:val="00FD4122"/>
    <w:rsid w:val="00FD5CC9"/>
    <w:rsid w:val="00FD6781"/>
    <w:rsid w:val="00FD7137"/>
    <w:rsid w:val="00FD79F5"/>
    <w:rsid w:val="00FE05E9"/>
    <w:rsid w:val="00FE0CB0"/>
    <w:rsid w:val="00FE0F69"/>
    <w:rsid w:val="00FE18F6"/>
    <w:rsid w:val="00FE1BE9"/>
    <w:rsid w:val="00FE22D8"/>
    <w:rsid w:val="00FE2739"/>
    <w:rsid w:val="00FE2EA3"/>
    <w:rsid w:val="00FE3C17"/>
    <w:rsid w:val="00FE49A0"/>
    <w:rsid w:val="00FE5BA1"/>
    <w:rsid w:val="00FE61EB"/>
    <w:rsid w:val="00FE6775"/>
    <w:rsid w:val="00FE6B06"/>
    <w:rsid w:val="00FE764A"/>
    <w:rsid w:val="00FE7DB1"/>
    <w:rsid w:val="00FF2852"/>
    <w:rsid w:val="00FF3B05"/>
    <w:rsid w:val="00FF405C"/>
    <w:rsid w:val="00FF5084"/>
    <w:rsid w:val="00FF771A"/>
    <w:rsid w:val="00FF7FBB"/>
    <w:rsid w:val="010047E9"/>
    <w:rsid w:val="0133C4DC"/>
    <w:rsid w:val="01397DD3"/>
    <w:rsid w:val="015ACC4A"/>
    <w:rsid w:val="0187AD94"/>
    <w:rsid w:val="01EC11B2"/>
    <w:rsid w:val="0218A112"/>
    <w:rsid w:val="029885C7"/>
    <w:rsid w:val="02B573C6"/>
    <w:rsid w:val="02CF59E7"/>
    <w:rsid w:val="02D54E34"/>
    <w:rsid w:val="0300E716"/>
    <w:rsid w:val="03045BDA"/>
    <w:rsid w:val="0437E8AB"/>
    <w:rsid w:val="04405187"/>
    <w:rsid w:val="04436217"/>
    <w:rsid w:val="046B2A48"/>
    <w:rsid w:val="04790C1B"/>
    <w:rsid w:val="048B2121"/>
    <w:rsid w:val="04A023F1"/>
    <w:rsid w:val="04BEEBF7"/>
    <w:rsid w:val="04D10B8D"/>
    <w:rsid w:val="04D8E5B4"/>
    <w:rsid w:val="04E5B7AE"/>
    <w:rsid w:val="050399AB"/>
    <w:rsid w:val="055041D4"/>
    <w:rsid w:val="055FCB62"/>
    <w:rsid w:val="058844C9"/>
    <w:rsid w:val="05A3D6D8"/>
    <w:rsid w:val="06758981"/>
    <w:rsid w:val="06B74886"/>
    <w:rsid w:val="070379EB"/>
    <w:rsid w:val="075996C9"/>
    <w:rsid w:val="077B02D9"/>
    <w:rsid w:val="0783289A"/>
    <w:rsid w:val="078A4F17"/>
    <w:rsid w:val="07A2CB0A"/>
    <w:rsid w:val="084300DF"/>
    <w:rsid w:val="086A2D99"/>
    <w:rsid w:val="08F73CFF"/>
    <w:rsid w:val="09073456"/>
    <w:rsid w:val="0921C552"/>
    <w:rsid w:val="0926C64E"/>
    <w:rsid w:val="09517192"/>
    <w:rsid w:val="09E3126C"/>
    <w:rsid w:val="09F1439D"/>
    <w:rsid w:val="0A0BEC5B"/>
    <w:rsid w:val="0A13AE14"/>
    <w:rsid w:val="0A2E7B8D"/>
    <w:rsid w:val="0A2F2045"/>
    <w:rsid w:val="0A66B8E0"/>
    <w:rsid w:val="0AC55A6E"/>
    <w:rsid w:val="0ADA6BCC"/>
    <w:rsid w:val="0AFD489C"/>
    <w:rsid w:val="0B1B92EF"/>
    <w:rsid w:val="0BE64DF4"/>
    <w:rsid w:val="0C383393"/>
    <w:rsid w:val="0C53EDBD"/>
    <w:rsid w:val="0C638542"/>
    <w:rsid w:val="0C7DD8BB"/>
    <w:rsid w:val="0C841E00"/>
    <w:rsid w:val="0CA5B48A"/>
    <w:rsid w:val="0CDC2900"/>
    <w:rsid w:val="0CF0C97A"/>
    <w:rsid w:val="0CF58333"/>
    <w:rsid w:val="0D04CA70"/>
    <w:rsid w:val="0D215AF7"/>
    <w:rsid w:val="0D4094B7"/>
    <w:rsid w:val="0D4D7D79"/>
    <w:rsid w:val="0D60B2DA"/>
    <w:rsid w:val="0D809378"/>
    <w:rsid w:val="0DA2254D"/>
    <w:rsid w:val="0E004F31"/>
    <w:rsid w:val="0E043971"/>
    <w:rsid w:val="0E1FEE61"/>
    <w:rsid w:val="0E2C2B75"/>
    <w:rsid w:val="0E4F0F52"/>
    <w:rsid w:val="0E8C99DB"/>
    <w:rsid w:val="0EAA0E46"/>
    <w:rsid w:val="0EBBB5D2"/>
    <w:rsid w:val="0EDC6518"/>
    <w:rsid w:val="0F0A2D94"/>
    <w:rsid w:val="0F32413D"/>
    <w:rsid w:val="0F5A76E5"/>
    <w:rsid w:val="0FBBBEC2"/>
    <w:rsid w:val="0FC66D8E"/>
    <w:rsid w:val="1098AF83"/>
    <w:rsid w:val="10A63BA3"/>
    <w:rsid w:val="10BAC83F"/>
    <w:rsid w:val="10D15C97"/>
    <w:rsid w:val="10DE7421"/>
    <w:rsid w:val="10F855D9"/>
    <w:rsid w:val="114CF408"/>
    <w:rsid w:val="11778988"/>
    <w:rsid w:val="1217A81D"/>
    <w:rsid w:val="1235F77C"/>
    <w:rsid w:val="1294263A"/>
    <w:rsid w:val="12CF0623"/>
    <w:rsid w:val="13797ABA"/>
    <w:rsid w:val="1382C7CF"/>
    <w:rsid w:val="13F4FEA5"/>
    <w:rsid w:val="13F60814"/>
    <w:rsid w:val="14400757"/>
    <w:rsid w:val="148F2FE5"/>
    <w:rsid w:val="14DE2667"/>
    <w:rsid w:val="15009518"/>
    <w:rsid w:val="1572B7E4"/>
    <w:rsid w:val="15EC9DB0"/>
    <w:rsid w:val="16056996"/>
    <w:rsid w:val="160E3D2D"/>
    <w:rsid w:val="1644FDF1"/>
    <w:rsid w:val="1647CC42"/>
    <w:rsid w:val="167AAD8B"/>
    <w:rsid w:val="169EC1DD"/>
    <w:rsid w:val="16AD4848"/>
    <w:rsid w:val="16EA8F33"/>
    <w:rsid w:val="172CEFD5"/>
    <w:rsid w:val="172FDF36"/>
    <w:rsid w:val="1742E5B7"/>
    <w:rsid w:val="1755F046"/>
    <w:rsid w:val="17759A1D"/>
    <w:rsid w:val="17D97AE5"/>
    <w:rsid w:val="17F21CB3"/>
    <w:rsid w:val="188E912A"/>
    <w:rsid w:val="18960633"/>
    <w:rsid w:val="18A5F3E6"/>
    <w:rsid w:val="194243BD"/>
    <w:rsid w:val="1945DDEF"/>
    <w:rsid w:val="198706A7"/>
    <w:rsid w:val="198DED14"/>
    <w:rsid w:val="1A40BEAF"/>
    <w:rsid w:val="1A5E647D"/>
    <w:rsid w:val="1A677FF8"/>
    <w:rsid w:val="1A74D4EB"/>
    <w:rsid w:val="1A91A67E"/>
    <w:rsid w:val="1AA1620D"/>
    <w:rsid w:val="1AC2B6E4"/>
    <w:rsid w:val="1B3092E0"/>
    <w:rsid w:val="1B91A944"/>
    <w:rsid w:val="1BFBDC42"/>
    <w:rsid w:val="1C02D467"/>
    <w:rsid w:val="1C0F9844"/>
    <w:rsid w:val="1C8A07EE"/>
    <w:rsid w:val="1CB04D4B"/>
    <w:rsid w:val="1CB7CA97"/>
    <w:rsid w:val="1D0CEC42"/>
    <w:rsid w:val="1D2B0B1A"/>
    <w:rsid w:val="1D9F20BA"/>
    <w:rsid w:val="1DA93233"/>
    <w:rsid w:val="1DB240CD"/>
    <w:rsid w:val="1DCDC140"/>
    <w:rsid w:val="1DF57320"/>
    <w:rsid w:val="1DF8D113"/>
    <w:rsid w:val="1E3C67CB"/>
    <w:rsid w:val="1E539AF8"/>
    <w:rsid w:val="1EAAC1B6"/>
    <w:rsid w:val="1EC94A06"/>
    <w:rsid w:val="1EF0A8EA"/>
    <w:rsid w:val="1F035B81"/>
    <w:rsid w:val="1F3AF11B"/>
    <w:rsid w:val="1F68AC33"/>
    <w:rsid w:val="1FEF6B59"/>
    <w:rsid w:val="1FF937F7"/>
    <w:rsid w:val="2015A3CA"/>
    <w:rsid w:val="20274D06"/>
    <w:rsid w:val="203C1C48"/>
    <w:rsid w:val="205748E7"/>
    <w:rsid w:val="20883CC1"/>
    <w:rsid w:val="208ED2D4"/>
    <w:rsid w:val="20D6458A"/>
    <w:rsid w:val="213D4C17"/>
    <w:rsid w:val="213EA90D"/>
    <w:rsid w:val="2147786B"/>
    <w:rsid w:val="216401B1"/>
    <w:rsid w:val="2174088D"/>
    <w:rsid w:val="217A18FA"/>
    <w:rsid w:val="217C17F6"/>
    <w:rsid w:val="219FD5B4"/>
    <w:rsid w:val="21C31D67"/>
    <w:rsid w:val="21D15845"/>
    <w:rsid w:val="2265F20E"/>
    <w:rsid w:val="22710E7C"/>
    <w:rsid w:val="22CDE4FD"/>
    <w:rsid w:val="22E9621E"/>
    <w:rsid w:val="2302F743"/>
    <w:rsid w:val="23147329"/>
    <w:rsid w:val="235EEDC8"/>
    <w:rsid w:val="2373BD0A"/>
    <w:rsid w:val="23DDC202"/>
    <w:rsid w:val="240DE64C"/>
    <w:rsid w:val="24363F1B"/>
    <w:rsid w:val="243EBCD7"/>
    <w:rsid w:val="24566E9B"/>
    <w:rsid w:val="249EC7A4"/>
    <w:rsid w:val="24DA06FD"/>
    <w:rsid w:val="251ED6C2"/>
    <w:rsid w:val="252AAE06"/>
    <w:rsid w:val="25D8D325"/>
    <w:rsid w:val="261002FB"/>
    <w:rsid w:val="263A9805"/>
    <w:rsid w:val="26BA76C9"/>
    <w:rsid w:val="2737E2A4"/>
    <w:rsid w:val="274E7508"/>
    <w:rsid w:val="27D66866"/>
    <w:rsid w:val="27F6098E"/>
    <w:rsid w:val="281A499F"/>
    <w:rsid w:val="281A7773"/>
    <w:rsid w:val="284CCC74"/>
    <w:rsid w:val="28E1576F"/>
    <w:rsid w:val="294ED15F"/>
    <w:rsid w:val="2970ECAC"/>
    <w:rsid w:val="2992B584"/>
    <w:rsid w:val="2A03516C"/>
    <w:rsid w:val="2A30E974"/>
    <w:rsid w:val="2A34356A"/>
    <w:rsid w:val="2A535F68"/>
    <w:rsid w:val="2A74E444"/>
    <w:rsid w:val="2A7D27D0"/>
    <w:rsid w:val="2AA5809F"/>
    <w:rsid w:val="2AD48D46"/>
    <w:rsid w:val="2ADFB93D"/>
    <w:rsid w:val="2AE0E468"/>
    <w:rsid w:val="2B1D1929"/>
    <w:rsid w:val="2B56EBB3"/>
    <w:rsid w:val="2BA1539C"/>
    <w:rsid w:val="2BA3DAFD"/>
    <w:rsid w:val="2C10B4A5"/>
    <w:rsid w:val="2C18F831"/>
    <w:rsid w:val="2C3EAB38"/>
    <w:rsid w:val="2C6726D2"/>
    <w:rsid w:val="2C72CC73"/>
    <w:rsid w:val="2CA9D989"/>
    <w:rsid w:val="2CBF3010"/>
    <w:rsid w:val="2D5D43AC"/>
    <w:rsid w:val="2D9274B1"/>
    <w:rsid w:val="2DB4C892"/>
    <w:rsid w:val="2DC8ECF0"/>
    <w:rsid w:val="2DDE5C22"/>
    <w:rsid w:val="2E18852A"/>
    <w:rsid w:val="2E6A2369"/>
    <w:rsid w:val="2E6ACDF9"/>
    <w:rsid w:val="2EC8F6CE"/>
    <w:rsid w:val="2EFC47BB"/>
    <w:rsid w:val="2F129C82"/>
    <w:rsid w:val="2F395CA6"/>
    <w:rsid w:val="30157D58"/>
    <w:rsid w:val="30B7EC2F"/>
    <w:rsid w:val="30F4D2CC"/>
    <w:rsid w:val="312D75F6"/>
    <w:rsid w:val="31717202"/>
    <w:rsid w:val="31A023B6"/>
    <w:rsid w:val="31B14DB9"/>
    <w:rsid w:val="31D37964"/>
    <w:rsid w:val="320ABC00"/>
    <w:rsid w:val="32A70D3F"/>
    <w:rsid w:val="32C97C79"/>
    <w:rsid w:val="32D232E4"/>
    <w:rsid w:val="3308B318"/>
    <w:rsid w:val="338F9BC0"/>
    <w:rsid w:val="340A2FB6"/>
    <w:rsid w:val="345650D7"/>
    <w:rsid w:val="34586319"/>
    <w:rsid w:val="345F982E"/>
    <w:rsid w:val="34648390"/>
    <w:rsid w:val="346E0345"/>
    <w:rsid w:val="348D733F"/>
    <w:rsid w:val="34D3329F"/>
    <w:rsid w:val="3508001E"/>
    <w:rsid w:val="350CBE05"/>
    <w:rsid w:val="3523DB60"/>
    <w:rsid w:val="354187D7"/>
    <w:rsid w:val="356B7172"/>
    <w:rsid w:val="35B062F6"/>
    <w:rsid w:val="35CEA46E"/>
    <w:rsid w:val="35DA95F5"/>
    <w:rsid w:val="35DC4594"/>
    <w:rsid w:val="35F6E475"/>
    <w:rsid w:val="35FA6B00"/>
    <w:rsid w:val="362C2E51"/>
    <w:rsid w:val="365A3FBE"/>
    <w:rsid w:val="366718E9"/>
    <w:rsid w:val="36762AE7"/>
    <w:rsid w:val="36945801"/>
    <w:rsid w:val="36CF9272"/>
    <w:rsid w:val="36D3F05E"/>
    <w:rsid w:val="36DF8429"/>
    <w:rsid w:val="36ED6850"/>
    <w:rsid w:val="370F50E0"/>
    <w:rsid w:val="37209153"/>
    <w:rsid w:val="3728AEBA"/>
    <w:rsid w:val="372BEE23"/>
    <w:rsid w:val="38096ACA"/>
    <w:rsid w:val="38177E73"/>
    <w:rsid w:val="383B6F72"/>
    <w:rsid w:val="387B548A"/>
    <w:rsid w:val="38A31234"/>
    <w:rsid w:val="38A57014"/>
    <w:rsid w:val="38DA18DE"/>
    <w:rsid w:val="3902BBF1"/>
    <w:rsid w:val="39424BD1"/>
    <w:rsid w:val="3984CF34"/>
    <w:rsid w:val="39A40E9A"/>
    <w:rsid w:val="39C01D38"/>
    <w:rsid w:val="39D73FD3"/>
    <w:rsid w:val="39F0583D"/>
    <w:rsid w:val="3A04CDB1"/>
    <w:rsid w:val="3A2DBDA3"/>
    <w:rsid w:val="3A7F6031"/>
    <w:rsid w:val="3AE5F6E4"/>
    <w:rsid w:val="3AFD438D"/>
    <w:rsid w:val="3B1EB3ED"/>
    <w:rsid w:val="3B59C2FF"/>
    <w:rsid w:val="3BC98E04"/>
    <w:rsid w:val="3BCDBAF6"/>
    <w:rsid w:val="3C061A4A"/>
    <w:rsid w:val="3C17D8FD"/>
    <w:rsid w:val="3CC5E279"/>
    <w:rsid w:val="3D1332A0"/>
    <w:rsid w:val="3D224121"/>
    <w:rsid w:val="3DB362C4"/>
    <w:rsid w:val="3DED5217"/>
    <w:rsid w:val="3E07EB14"/>
    <w:rsid w:val="3E1F4CC3"/>
    <w:rsid w:val="3E5533D5"/>
    <w:rsid w:val="3E6E6BFD"/>
    <w:rsid w:val="3E764F88"/>
    <w:rsid w:val="3ECDDFC1"/>
    <w:rsid w:val="3ED27AE7"/>
    <w:rsid w:val="3F20B9BC"/>
    <w:rsid w:val="3F3F58F3"/>
    <w:rsid w:val="3F6085AC"/>
    <w:rsid w:val="3F6AB15B"/>
    <w:rsid w:val="3FAC4E78"/>
    <w:rsid w:val="3FB18D55"/>
    <w:rsid w:val="3FBB1D24"/>
    <w:rsid w:val="3FE6C6E4"/>
    <w:rsid w:val="4013D0FA"/>
    <w:rsid w:val="403284F4"/>
    <w:rsid w:val="40415753"/>
    <w:rsid w:val="40DB2954"/>
    <w:rsid w:val="41158AC0"/>
    <w:rsid w:val="4134F20D"/>
    <w:rsid w:val="415E1F0D"/>
    <w:rsid w:val="417AD466"/>
    <w:rsid w:val="418529AE"/>
    <w:rsid w:val="41A2EE78"/>
    <w:rsid w:val="41BEAABB"/>
    <w:rsid w:val="41CE5555"/>
    <w:rsid w:val="4262B91E"/>
    <w:rsid w:val="42A10265"/>
    <w:rsid w:val="42B87841"/>
    <w:rsid w:val="42C2A190"/>
    <w:rsid w:val="42C84E1D"/>
    <w:rsid w:val="4307AC99"/>
    <w:rsid w:val="43247BE0"/>
    <w:rsid w:val="436B28C5"/>
    <w:rsid w:val="437BFDCD"/>
    <w:rsid w:val="43922D43"/>
    <w:rsid w:val="43CD517D"/>
    <w:rsid w:val="43F899D8"/>
    <w:rsid w:val="4465339D"/>
    <w:rsid w:val="4471E50C"/>
    <w:rsid w:val="4495BFCF"/>
    <w:rsid w:val="4499D0B7"/>
    <w:rsid w:val="44B1D3DA"/>
    <w:rsid w:val="44C1D54F"/>
    <w:rsid w:val="4578850E"/>
    <w:rsid w:val="457C98C5"/>
    <w:rsid w:val="457DEB02"/>
    <w:rsid w:val="45D61549"/>
    <w:rsid w:val="45E9D35B"/>
    <w:rsid w:val="462D4F04"/>
    <w:rsid w:val="468E4051"/>
    <w:rsid w:val="472BA1B1"/>
    <w:rsid w:val="4738D487"/>
    <w:rsid w:val="475FE1C8"/>
    <w:rsid w:val="478ED663"/>
    <w:rsid w:val="47ADAD6A"/>
    <w:rsid w:val="47AE0E69"/>
    <w:rsid w:val="484C6938"/>
    <w:rsid w:val="48853981"/>
    <w:rsid w:val="48998D29"/>
    <w:rsid w:val="48B025D0"/>
    <w:rsid w:val="48E83B5A"/>
    <w:rsid w:val="48F956FE"/>
    <w:rsid w:val="491F2509"/>
    <w:rsid w:val="495B3007"/>
    <w:rsid w:val="49659188"/>
    <w:rsid w:val="49853B47"/>
    <w:rsid w:val="4990B4B3"/>
    <w:rsid w:val="49AF56D1"/>
    <w:rsid w:val="49D48B53"/>
    <w:rsid w:val="4A28B313"/>
    <w:rsid w:val="4A791AF1"/>
    <w:rsid w:val="4A93FA8F"/>
    <w:rsid w:val="4A95F98B"/>
    <w:rsid w:val="4AB9C58C"/>
    <w:rsid w:val="4B33142D"/>
    <w:rsid w:val="4B448574"/>
    <w:rsid w:val="4B66A79F"/>
    <w:rsid w:val="4B69ED1E"/>
    <w:rsid w:val="4B705BB4"/>
    <w:rsid w:val="4B8409FA"/>
    <w:rsid w:val="4BE7C692"/>
    <w:rsid w:val="4C31C9EC"/>
    <w:rsid w:val="4C5E7F59"/>
    <w:rsid w:val="4C742DAE"/>
    <w:rsid w:val="4C7EC993"/>
    <w:rsid w:val="4C8C8488"/>
    <w:rsid w:val="4CBA1E1A"/>
    <w:rsid w:val="4CF01DA6"/>
    <w:rsid w:val="4CFC6793"/>
    <w:rsid w:val="4D0C2C15"/>
    <w:rsid w:val="4D1FDA5B"/>
    <w:rsid w:val="4D799F6D"/>
    <w:rsid w:val="4D836FB5"/>
    <w:rsid w:val="4D9B6EEB"/>
    <w:rsid w:val="4DA2703C"/>
    <w:rsid w:val="4DCD9A4D"/>
    <w:rsid w:val="4E1B2FCA"/>
    <w:rsid w:val="4E2854E9"/>
    <w:rsid w:val="4E3D192C"/>
    <w:rsid w:val="4E3F840D"/>
    <w:rsid w:val="4E9837F4"/>
    <w:rsid w:val="4EA646F7"/>
    <w:rsid w:val="4ED5D9D0"/>
    <w:rsid w:val="4F1F6754"/>
    <w:rsid w:val="4F74C52D"/>
    <w:rsid w:val="5003CF81"/>
    <w:rsid w:val="5022903E"/>
    <w:rsid w:val="50549466"/>
    <w:rsid w:val="507DAB11"/>
    <w:rsid w:val="508E851B"/>
    <w:rsid w:val="50C729DB"/>
    <w:rsid w:val="51033C13"/>
    <w:rsid w:val="515D9D26"/>
    <w:rsid w:val="51846C11"/>
    <w:rsid w:val="51B2F757"/>
    <w:rsid w:val="51CA9EBF"/>
    <w:rsid w:val="51D9711E"/>
    <w:rsid w:val="522A557C"/>
    <w:rsid w:val="52690159"/>
    <w:rsid w:val="527D389B"/>
    <w:rsid w:val="52C92B4F"/>
    <w:rsid w:val="52C9747C"/>
    <w:rsid w:val="52F76539"/>
    <w:rsid w:val="531F688F"/>
    <w:rsid w:val="5321DDD3"/>
    <w:rsid w:val="533414C9"/>
    <w:rsid w:val="533D2C3E"/>
    <w:rsid w:val="536DAFF6"/>
    <w:rsid w:val="53B54BD3"/>
    <w:rsid w:val="53C55C28"/>
    <w:rsid w:val="53F6DE2B"/>
    <w:rsid w:val="5416C423"/>
    <w:rsid w:val="5457BDDE"/>
    <w:rsid w:val="5464FBB0"/>
    <w:rsid w:val="548D4C0C"/>
    <w:rsid w:val="54B2F572"/>
    <w:rsid w:val="55006205"/>
    <w:rsid w:val="550D993C"/>
    <w:rsid w:val="551700D7"/>
    <w:rsid w:val="55511C34"/>
    <w:rsid w:val="555B3295"/>
    <w:rsid w:val="55707DFB"/>
    <w:rsid w:val="557A7691"/>
    <w:rsid w:val="55F38E3F"/>
    <w:rsid w:val="5600CC11"/>
    <w:rsid w:val="566BB58B"/>
    <w:rsid w:val="567A3EE8"/>
    <w:rsid w:val="56A95A46"/>
    <w:rsid w:val="56E3CE6B"/>
    <w:rsid w:val="56ECEC95"/>
    <w:rsid w:val="570C4E5C"/>
    <w:rsid w:val="5731E33A"/>
    <w:rsid w:val="5750A160"/>
    <w:rsid w:val="5812F5A2"/>
    <w:rsid w:val="582789C3"/>
    <w:rsid w:val="583CF20D"/>
    <w:rsid w:val="5851522B"/>
    <w:rsid w:val="58783AF6"/>
    <w:rsid w:val="58CFD37E"/>
    <w:rsid w:val="5902EE5C"/>
    <w:rsid w:val="592B2F01"/>
    <w:rsid w:val="59AEC603"/>
    <w:rsid w:val="59C35A24"/>
    <w:rsid w:val="59CD1D6F"/>
    <w:rsid w:val="59DC8281"/>
    <w:rsid w:val="59DD9DB4"/>
    <w:rsid w:val="5A492DFB"/>
    <w:rsid w:val="5A52BDCA"/>
    <w:rsid w:val="5AC3728C"/>
    <w:rsid w:val="5AFEB5E1"/>
    <w:rsid w:val="5B04A356"/>
    <w:rsid w:val="5B1FAB49"/>
    <w:rsid w:val="5B5F2A85"/>
    <w:rsid w:val="5B96FDCE"/>
    <w:rsid w:val="5BA8AA1D"/>
    <w:rsid w:val="5BBA24EF"/>
    <w:rsid w:val="5BCA7419"/>
    <w:rsid w:val="5BD5530B"/>
    <w:rsid w:val="5BF17E87"/>
    <w:rsid w:val="5C32FCA2"/>
    <w:rsid w:val="5C465070"/>
    <w:rsid w:val="5C47EF5F"/>
    <w:rsid w:val="5C63681D"/>
    <w:rsid w:val="5C738B9B"/>
    <w:rsid w:val="5CB65B80"/>
    <w:rsid w:val="5CCE6A31"/>
    <w:rsid w:val="5CFAFAE6"/>
    <w:rsid w:val="5D05A9B2"/>
    <w:rsid w:val="5D66447A"/>
    <w:rsid w:val="5D8D4EE8"/>
    <w:rsid w:val="5DCF4951"/>
    <w:rsid w:val="5DFF387E"/>
    <w:rsid w:val="5E4B2A33"/>
    <w:rsid w:val="5E733834"/>
    <w:rsid w:val="5ED19438"/>
    <w:rsid w:val="5EFFB4FC"/>
    <w:rsid w:val="5F0504D8"/>
    <w:rsid w:val="5F2B9ABC"/>
    <w:rsid w:val="5F798ADB"/>
    <w:rsid w:val="5F89F92C"/>
    <w:rsid w:val="5F9B08DF"/>
    <w:rsid w:val="5FA26339"/>
    <w:rsid w:val="5FC7D915"/>
    <w:rsid w:val="603BB1AA"/>
    <w:rsid w:val="60517E42"/>
    <w:rsid w:val="605C99EF"/>
    <w:rsid w:val="6094AE3C"/>
    <w:rsid w:val="60C1E3BD"/>
    <w:rsid w:val="60C23A81"/>
    <w:rsid w:val="60F9CC7E"/>
    <w:rsid w:val="6175739B"/>
    <w:rsid w:val="61A9C772"/>
    <w:rsid w:val="61C3D0EE"/>
    <w:rsid w:val="61F3FA73"/>
    <w:rsid w:val="621F3A11"/>
    <w:rsid w:val="622A48BD"/>
    <w:rsid w:val="6239B59D"/>
    <w:rsid w:val="6239B6D6"/>
    <w:rsid w:val="6240B363"/>
    <w:rsid w:val="6250DB83"/>
    <w:rsid w:val="639352CF"/>
    <w:rsid w:val="63CE7468"/>
    <w:rsid w:val="645C06D9"/>
    <w:rsid w:val="646D87E9"/>
    <w:rsid w:val="64925D3F"/>
    <w:rsid w:val="64A60A33"/>
    <w:rsid w:val="64A8330E"/>
    <w:rsid w:val="6515A0C4"/>
    <w:rsid w:val="6526DFB6"/>
    <w:rsid w:val="652B9B35"/>
    <w:rsid w:val="652F2330"/>
    <w:rsid w:val="6538ABA8"/>
    <w:rsid w:val="6589770A"/>
    <w:rsid w:val="65F2C54D"/>
    <w:rsid w:val="66119F8F"/>
    <w:rsid w:val="666ACCEF"/>
    <w:rsid w:val="67187479"/>
    <w:rsid w:val="6796242B"/>
    <w:rsid w:val="67B05A2D"/>
    <w:rsid w:val="67B77B01"/>
    <w:rsid w:val="67FE5085"/>
    <w:rsid w:val="68EA0DC5"/>
    <w:rsid w:val="68FBC67C"/>
    <w:rsid w:val="691764D0"/>
    <w:rsid w:val="6920D838"/>
    <w:rsid w:val="695C6897"/>
    <w:rsid w:val="697BA431"/>
    <w:rsid w:val="69C8F9F0"/>
    <w:rsid w:val="69FACC65"/>
    <w:rsid w:val="6A292B33"/>
    <w:rsid w:val="6A6E2B08"/>
    <w:rsid w:val="6A70CF1A"/>
    <w:rsid w:val="6A7F6873"/>
    <w:rsid w:val="6A990CDB"/>
    <w:rsid w:val="6A9FE0BB"/>
    <w:rsid w:val="6AAA9E46"/>
    <w:rsid w:val="6B0DA0D1"/>
    <w:rsid w:val="6B56DE0F"/>
    <w:rsid w:val="6B57A66E"/>
    <w:rsid w:val="6B754E4F"/>
    <w:rsid w:val="6BDF9031"/>
    <w:rsid w:val="6BEE6F32"/>
    <w:rsid w:val="6C030FAC"/>
    <w:rsid w:val="6C23FFCE"/>
    <w:rsid w:val="6C2A2C2D"/>
    <w:rsid w:val="6C5B2F6F"/>
    <w:rsid w:val="6C8100C7"/>
    <w:rsid w:val="6C924721"/>
    <w:rsid w:val="6CE36232"/>
    <w:rsid w:val="6D111EB0"/>
    <w:rsid w:val="6D2D5395"/>
    <w:rsid w:val="6D2E8BFD"/>
    <w:rsid w:val="6D3BC459"/>
    <w:rsid w:val="6D3C6ABC"/>
    <w:rsid w:val="6D766F1B"/>
    <w:rsid w:val="6D77DF48"/>
    <w:rsid w:val="6D98FA4B"/>
    <w:rsid w:val="6DCBB56F"/>
    <w:rsid w:val="6E305642"/>
    <w:rsid w:val="6E43ECE9"/>
    <w:rsid w:val="6E702C70"/>
    <w:rsid w:val="6ED3D0C2"/>
    <w:rsid w:val="6F4FF616"/>
    <w:rsid w:val="6F92D031"/>
    <w:rsid w:val="6F970272"/>
    <w:rsid w:val="6F9C8977"/>
    <w:rsid w:val="6FAD07F3"/>
    <w:rsid w:val="6FB1520F"/>
    <w:rsid w:val="7036BF87"/>
    <w:rsid w:val="705B5BC4"/>
    <w:rsid w:val="707AD21D"/>
    <w:rsid w:val="70E0109E"/>
    <w:rsid w:val="71004908"/>
    <w:rsid w:val="717ECB3D"/>
    <w:rsid w:val="7191308D"/>
    <w:rsid w:val="71EAE573"/>
    <w:rsid w:val="725DE28C"/>
    <w:rsid w:val="727BF99C"/>
    <w:rsid w:val="72B3AE2F"/>
    <w:rsid w:val="72C41EBD"/>
    <w:rsid w:val="72E8964A"/>
    <w:rsid w:val="73EA99F0"/>
    <w:rsid w:val="73F5EF6C"/>
    <w:rsid w:val="742F7FDC"/>
    <w:rsid w:val="7434D51C"/>
    <w:rsid w:val="744F7E90"/>
    <w:rsid w:val="746D44EC"/>
    <w:rsid w:val="7495A803"/>
    <w:rsid w:val="74982C6C"/>
    <w:rsid w:val="74A3753D"/>
    <w:rsid w:val="74AD1C01"/>
    <w:rsid w:val="74AF398B"/>
    <w:rsid w:val="74AF3D6E"/>
    <w:rsid w:val="74C53906"/>
    <w:rsid w:val="74EB0F80"/>
    <w:rsid w:val="74F5A0E0"/>
    <w:rsid w:val="751D7F8F"/>
    <w:rsid w:val="755BF4FB"/>
    <w:rsid w:val="75BA0751"/>
    <w:rsid w:val="75CB6EEC"/>
    <w:rsid w:val="760EBAB0"/>
    <w:rsid w:val="76161A60"/>
    <w:rsid w:val="766E23A2"/>
    <w:rsid w:val="76CACAEE"/>
    <w:rsid w:val="7706BECF"/>
    <w:rsid w:val="771A629C"/>
    <w:rsid w:val="7739CD0C"/>
    <w:rsid w:val="7749F082"/>
    <w:rsid w:val="7759589E"/>
    <w:rsid w:val="7778369E"/>
    <w:rsid w:val="77BC63F4"/>
    <w:rsid w:val="77C676ED"/>
    <w:rsid w:val="77ED131E"/>
    <w:rsid w:val="77FDE520"/>
    <w:rsid w:val="7837925F"/>
    <w:rsid w:val="78992165"/>
    <w:rsid w:val="78ADB378"/>
    <w:rsid w:val="78B3C9DD"/>
    <w:rsid w:val="78DD53CD"/>
    <w:rsid w:val="78F1B9A5"/>
    <w:rsid w:val="79251E56"/>
    <w:rsid w:val="796D5665"/>
    <w:rsid w:val="799C5EDD"/>
    <w:rsid w:val="79C2AAF4"/>
    <w:rsid w:val="79D8507B"/>
    <w:rsid w:val="79ECF423"/>
    <w:rsid w:val="7A2C1536"/>
    <w:rsid w:val="7A32A985"/>
    <w:rsid w:val="7A38E95F"/>
    <w:rsid w:val="7A4F9A3E"/>
    <w:rsid w:val="7A79242E"/>
    <w:rsid w:val="7ABC3746"/>
    <w:rsid w:val="7AEE33FB"/>
    <w:rsid w:val="7B1C5D85"/>
    <w:rsid w:val="7B342655"/>
    <w:rsid w:val="7BD21178"/>
    <w:rsid w:val="7BEB6A9F"/>
    <w:rsid w:val="7BF8D5A3"/>
    <w:rsid w:val="7C4C499A"/>
    <w:rsid w:val="7C92C639"/>
    <w:rsid w:val="7C954F2E"/>
    <w:rsid w:val="7CB166EC"/>
    <w:rsid w:val="7CCEDD22"/>
    <w:rsid w:val="7CE3147D"/>
    <w:rsid w:val="7CE48B8C"/>
    <w:rsid w:val="7D6A69A7"/>
    <w:rsid w:val="7D86D0F3"/>
    <w:rsid w:val="7DA452E3"/>
    <w:rsid w:val="7DA7FDC4"/>
    <w:rsid w:val="7DF6B48F"/>
    <w:rsid w:val="7E2BEF94"/>
    <w:rsid w:val="7E52A603"/>
    <w:rsid w:val="7E95B479"/>
    <w:rsid w:val="7ECD667B"/>
    <w:rsid w:val="7F1FA5BB"/>
    <w:rsid w:val="7F239011"/>
    <w:rsid w:val="7F312AC7"/>
    <w:rsid w:val="7F4F15C2"/>
    <w:rsid w:val="7FC0EE59"/>
    <w:rsid w:val="7FE8A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ECD667B"/>
  <w15:chartTrackingRefBased/>
  <w15:docId w15:val="{CF123935-7550-4880-A3AA-927F278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F1B"/>
  </w:style>
  <w:style w:type="paragraph" w:styleId="Heading2">
    <w:name w:val="heading 2"/>
    <w:basedOn w:val="Normal"/>
    <w:next w:val="Normal"/>
    <w:link w:val="Heading2Char"/>
    <w:uiPriority w:val="9"/>
    <w:unhideWhenUsed/>
    <w:qFormat/>
    <w:rsid w:val="002471FF"/>
    <w:pPr>
      <w:keepNext/>
      <w:keepLines/>
      <w:numPr>
        <w:numId w:val="5"/>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2471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imesNewRoman">
    <w:name w:val="Normal Times New Roman"/>
    <w:basedOn w:val="Normal"/>
    <w:link w:val="NormalTimesNewRomanChar"/>
    <w:qFormat/>
    <w:rsid w:val="74982C6C"/>
    <w:pPr>
      <w:jc w:val="both"/>
    </w:pPr>
    <w:rPr>
      <w:rFonts w:ascii="Times New Roman" w:eastAsia="Times New Roman" w:hAnsi="Times New Roman" w:cs="Times New Roman"/>
      <w:sz w:val="24"/>
      <w:szCs w:val="24"/>
    </w:rPr>
  </w:style>
  <w:style w:type="paragraph" w:customStyle="1" w:styleId="Style1">
    <w:name w:val="Style1"/>
    <w:basedOn w:val="Normal"/>
    <w:link w:val="Style1Char"/>
    <w:qFormat/>
    <w:rsid w:val="74982C6C"/>
    <w:pPr>
      <w:keepNext/>
      <w:numPr>
        <w:numId w:val="3"/>
      </w:numPr>
      <w:spacing w:before="240" w:after="0"/>
      <w:outlineLvl w:val="0"/>
    </w:pPr>
    <w:rPr>
      <w:rFonts w:ascii="Times New Roman" w:eastAsia="Times New Roman" w:hAnsi="Times New Roman" w:cs="Times New Roman"/>
      <w:b/>
      <w:bCs/>
      <w:sz w:val="24"/>
      <w:szCs w:val="24"/>
    </w:rPr>
  </w:style>
  <w:style w:type="character" w:customStyle="1" w:styleId="Style1Char">
    <w:name w:val="Style1 Char"/>
    <w:basedOn w:val="DefaultParagraphFont"/>
    <w:link w:val="Style1"/>
    <w:rsid w:val="74982C6C"/>
    <w:rPr>
      <w:rFonts w:ascii="Times New Roman" w:eastAsia="Times New Roman" w:hAnsi="Times New Roman" w:cs="Times New Roman"/>
      <w:b/>
      <w:bCs/>
      <w:sz w:val="24"/>
      <w:szCs w:val="24"/>
    </w:rPr>
  </w:style>
  <w:style w:type="character" w:customStyle="1" w:styleId="NormalTimesNewRomanChar">
    <w:name w:val="Normal Times New Roman Char"/>
    <w:basedOn w:val="DefaultParagraphFont"/>
    <w:link w:val="NormalTimesNewRoman"/>
    <w:rsid w:val="74982C6C"/>
    <w:rPr>
      <w:rFonts w:ascii="Times New Roman" w:eastAsia="Times New Roman" w:hAnsi="Times New Roman" w:cs="Times New Roman"/>
      <w:noProof w:val="0"/>
      <w:sz w:val="24"/>
      <w:szCs w:val="24"/>
      <w:lang w:val="en-US"/>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A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F7B3B"/>
    <w:rPr>
      <w:b/>
      <w:bCs/>
    </w:rPr>
  </w:style>
  <w:style w:type="character" w:customStyle="1" w:styleId="CommentSubjectChar">
    <w:name w:val="Comment Subject Char"/>
    <w:basedOn w:val="CommentTextChar"/>
    <w:link w:val="CommentSubject"/>
    <w:uiPriority w:val="99"/>
    <w:semiHidden/>
    <w:rsid w:val="00DF7B3B"/>
    <w:rPr>
      <w:b/>
      <w:bCs/>
      <w:sz w:val="20"/>
      <w:szCs w:val="20"/>
    </w:rPr>
  </w:style>
  <w:style w:type="character" w:customStyle="1" w:styleId="Heading2Char">
    <w:name w:val="Heading 2 Char"/>
    <w:basedOn w:val="DefaultParagraphFont"/>
    <w:link w:val="Heading2"/>
    <w:uiPriority w:val="9"/>
    <w:rsid w:val="002471FF"/>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2471FF"/>
    <w:pPr>
      <w:spacing w:after="100"/>
      <w:ind w:left="220"/>
    </w:pPr>
  </w:style>
  <w:style w:type="character" w:customStyle="1" w:styleId="Heading3Char">
    <w:name w:val="Heading 3 Char"/>
    <w:basedOn w:val="DefaultParagraphFont"/>
    <w:link w:val="Heading3"/>
    <w:uiPriority w:val="9"/>
    <w:rsid w:val="002471FF"/>
    <w:rPr>
      <w:rFonts w:asciiTheme="majorHAnsi" w:eastAsiaTheme="majorEastAsia" w:hAnsiTheme="majorHAnsi" w:cstheme="majorBidi"/>
      <w:color w:val="1F3763" w:themeColor="accent1" w:themeShade="7F"/>
      <w:sz w:val="24"/>
      <w:szCs w:val="24"/>
    </w:rPr>
  </w:style>
  <w:style w:type="table" w:customStyle="1" w:styleId="EnergyReportTable">
    <w:name w:val="Energy Report Table"/>
    <w:basedOn w:val="TableNormal"/>
    <w:uiPriority w:val="99"/>
    <w:qFormat/>
    <w:rsid w:val="00361E3C"/>
    <w:pPr>
      <w:spacing w:before="40" w:after="40" w:line="240" w:lineRule="auto"/>
    </w:pPr>
    <w:rPr>
      <w:rFonts w:ascii="Arial" w:eastAsia="Times New Roman" w:hAnsi="Arial" w:cs="Times New Roman"/>
      <w:sz w:val="20"/>
      <w:szCs w:val="20"/>
    </w:rPr>
    <w:tblPr>
      <w:tblStyleRowBandSize w:val="1"/>
      <w:jc w:val="center"/>
      <w:tblBorders>
        <w:bottom w:val="single" w:sz="8" w:space="0" w:color="555759"/>
        <w:insideH w:val="single" w:sz="4" w:space="0" w:color="DCDDDE"/>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hAnsi="Roboto"/>
        <w:b/>
      </w:rPr>
      <w:tblPr/>
      <w:tcPr>
        <w:tcBorders>
          <w:top w:val="double" w:sz="4" w:space="0" w:color="545759"/>
          <w:bottom w:val="single" w:sz="4" w:space="0" w:color="545759"/>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table" w:styleId="ListTable6Colorful-Accent3">
    <w:name w:val="List Table 6 Colorful Accent 3"/>
    <w:basedOn w:val="TableNormal"/>
    <w:uiPriority w:val="51"/>
    <w:rsid w:val="00361E3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361E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nhideWhenUsed/>
    <w:qFormat/>
    <w:rsid w:val="007E484F"/>
    <w:pPr>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7E484F"/>
    <w:rPr>
      <w:rFonts w:ascii="Arial" w:eastAsia="Times New Roman" w:hAnsi="Arial" w:cs="Times New Roman"/>
      <w:szCs w:val="20"/>
    </w:rPr>
  </w:style>
  <w:style w:type="table" w:styleId="GridTable4">
    <w:name w:val="Grid Table 4"/>
    <w:basedOn w:val="TableNormal"/>
    <w:uiPriority w:val="49"/>
    <w:rsid w:val="006261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261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5">
    <w:name w:val="Plain Table 5"/>
    <w:basedOn w:val="TableNormal"/>
    <w:uiPriority w:val="45"/>
    <w:rsid w:val="00245E3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B73F1"/>
    <w:pPr>
      <w:spacing w:after="0" w:line="240" w:lineRule="auto"/>
    </w:pPr>
  </w:style>
  <w:style w:type="character" w:customStyle="1" w:styleId="Marker">
    <w:name w:val="Marker"/>
    <w:basedOn w:val="DefaultParagraphFont"/>
    <w:rsid w:val="00CD6E84"/>
    <w:rPr>
      <w:color w:val="0000FF"/>
      <w:shd w:val="clear" w:color="auto" w:fill="auto"/>
    </w:rPr>
  </w:style>
  <w:style w:type="paragraph" w:customStyle="1" w:styleId="Pagedecouverture">
    <w:name w:val="Page de couverture"/>
    <w:basedOn w:val="Normal"/>
    <w:next w:val="Normal"/>
    <w:rsid w:val="00CD6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D6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6E84"/>
    <w:rPr>
      <w:rFonts w:ascii="Times New Roman" w:hAnsi="Times New Roman" w:cs="Times New Roman"/>
      <w:sz w:val="24"/>
    </w:rPr>
  </w:style>
  <w:style w:type="paragraph" w:customStyle="1" w:styleId="FooterSensitivity">
    <w:name w:val="Footer Sensitivity"/>
    <w:basedOn w:val="Normal"/>
    <w:link w:val="FooterSensitivityChar"/>
    <w:rsid w:val="00CD6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6E84"/>
    <w:rPr>
      <w:rFonts w:ascii="Times New Roman" w:hAnsi="Times New Roman" w:cs="Times New Roman"/>
      <w:b/>
      <w:sz w:val="32"/>
    </w:rPr>
  </w:style>
  <w:style w:type="paragraph" w:customStyle="1" w:styleId="HeaderCoverPage">
    <w:name w:val="Header Cover Page"/>
    <w:basedOn w:val="Normal"/>
    <w:link w:val="HeaderCoverPageChar"/>
    <w:rsid w:val="00CD6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6E84"/>
    <w:rPr>
      <w:rFonts w:ascii="Times New Roman" w:hAnsi="Times New Roman" w:cs="Times New Roman"/>
      <w:sz w:val="24"/>
    </w:rPr>
  </w:style>
  <w:style w:type="paragraph" w:customStyle="1" w:styleId="HeaderSensitivity">
    <w:name w:val="Header Sensitivity"/>
    <w:basedOn w:val="Normal"/>
    <w:link w:val="HeaderSensitivityChar"/>
    <w:rsid w:val="00CD6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6E84"/>
    <w:rPr>
      <w:rFonts w:ascii="Times New Roman" w:hAnsi="Times New Roman" w:cs="Times New Roman"/>
      <w:b/>
      <w:sz w:val="32"/>
    </w:rPr>
  </w:style>
  <w:style w:type="paragraph" w:customStyle="1" w:styleId="HeaderSensitivityRight">
    <w:name w:val="Header Sensitivity Right"/>
    <w:basedOn w:val="Normal"/>
    <w:link w:val="HeaderSensitivityRightChar"/>
    <w:rsid w:val="00CD6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6E84"/>
    <w:rPr>
      <w:rFonts w:ascii="Times New Roman" w:hAnsi="Times New Roman" w:cs="Times New Roman"/>
      <w:sz w:val="28"/>
    </w:rPr>
  </w:style>
  <w:style w:type="table" w:customStyle="1" w:styleId="ESIReport2">
    <w:name w:val="ESI Report 2"/>
    <w:basedOn w:val="TableNormal"/>
    <w:uiPriority w:val="99"/>
    <w:rsid w:val="00BB5FB1"/>
    <w:pPr>
      <w:spacing w:before="40" w:after="40" w:line="240" w:lineRule="auto"/>
    </w:pPr>
    <w:rPr>
      <w:rFonts w:ascii="Arial" w:eastAsia="Times New Roman" w:hAnsi="Arial" w:cs="Times New Roman"/>
      <w:sz w:val="20"/>
      <w:szCs w:val="20"/>
    </w:rPr>
    <w:tblPr>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rPr>
      <w:jc w:val="center"/>
    </w:trPr>
    <w:tcPr>
      <w:vAlign w:val="center"/>
    </w:tcPr>
    <w:tblStylePr w:type="firstRow">
      <w:rPr>
        <w:b/>
        <w:color w:val="auto"/>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93D500"/>
      </w:tcPr>
    </w:tblStylePr>
    <w:tblStylePr w:type="lastRow">
      <w:rPr>
        <w:b/>
      </w:rPr>
      <w:tblPr/>
      <w:tcPr>
        <w:tcBorders>
          <w:top w:val="double" w:sz="4" w:space="0" w:color="7F7F7F"/>
          <w:left w:val="single" w:sz="4" w:space="0" w:color="7F7F7F"/>
          <w:bottom w:val="single" w:sz="8" w:space="0" w:color="7F7F7F"/>
          <w:right w:val="single" w:sz="4" w:space="0" w:color="7F7F7F"/>
          <w:insideH w:val="nil"/>
          <w:insideV w:val="single" w:sz="4" w:space="0" w:color="7F7F7F"/>
          <w:tl2br w:val="nil"/>
          <w:tr2bl w:val="nil"/>
        </w:tcBorders>
      </w:tcPr>
    </w:tblStylePr>
  </w:style>
  <w:style w:type="paragraph" w:customStyle="1" w:styleId="paragraph">
    <w:name w:val="paragraph"/>
    <w:basedOn w:val="Normal"/>
    <w:rsid w:val="009909F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9909F5"/>
  </w:style>
  <w:style w:type="character" w:customStyle="1" w:styleId="eop">
    <w:name w:val="eop"/>
    <w:basedOn w:val="DefaultParagraphFont"/>
    <w:rsid w:val="009909F5"/>
  </w:style>
  <w:style w:type="paragraph" w:customStyle="1" w:styleId="Languesfaisantfoi">
    <w:name w:val="Langues faisant foi"/>
    <w:basedOn w:val="Normal"/>
    <w:next w:val="Normal"/>
    <w:rsid w:val="007718C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718C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718CA"/>
    <w:pPr>
      <w:spacing w:after="0"/>
    </w:pPr>
  </w:style>
  <w:style w:type="paragraph" w:customStyle="1" w:styleId="IntrtEEEPagedecouverture">
    <w:name w:val="Intérêt EEE (Page de couverture)"/>
    <w:basedOn w:val="IntrtEEE"/>
    <w:next w:val="Normal"/>
    <w:rsid w:val="007718CA"/>
  </w:style>
  <w:style w:type="character" w:customStyle="1" w:styleId="UnresolvedMention1">
    <w:name w:val="Unresolved Mention1"/>
    <w:basedOn w:val="DefaultParagraphFont"/>
    <w:uiPriority w:val="99"/>
    <w:semiHidden/>
    <w:unhideWhenUsed/>
    <w:rsid w:val="007F57F9"/>
    <w:rPr>
      <w:color w:val="605E5C"/>
      <w:shd w:val="clear" w:color="auto" w:fill="E1DFDD"/>
    </w:rPr>
  </w:style>
  <w:style w:type="table" w:customStyle="1" w:styleId="EnergyReportTable1">
    <w:name w:val="Energy Report Table1"/>
    <w:basedOn w:val="TableNormal"/>
    <w:uiPriority w:val="99"/>
    <w:qFormat/>
    <w:rsid w:val="00F165B3"/>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2">
    <w:name w:val="Energy Report Table2"/>
    <w:basedOn w:val="TableNormal"/>
    <w:uiPriority w:val="99"/>
    <w:qFormat/>
    <w:rsid w:val="005D36CE"/>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3">
    <w:name w:val="Energy Report Table3"/>
    <w:basedOn w:val="TableNormal"/>
    <w:uiPriority w:val="99"/>
    <w:qFormat/>
    <w:rsid w:val="004B76D2"/>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character" w:customStyle="1" w:styleId="Mention1">
    <w:name w:val="Mention1"/>
    <w:basedOn w:val="DefaultParagraphFont"/>
    <w:uiPriority w:val="99"/>
    <w:unhideWhenUsed/>
    <w:rsid w:val="00A471D9"/>
    <w:rPr>
      <w:color w:val="2B579A"/>
      <w:shd w:val="clear" w:color="auto" w:fill="E1DFDD"/>
    </w:rPr>
  </w:style>
  <w:style w:type="paragraph" w:styleId="NormalWeb">
    <w:name w:val="Normal (Web)"/>
    <w:basedOn w:val="Normal"/>
    <w:uiPriority w:val="99"/>
    <w:semiHidden/>
    <w:unhideWhenUsed/>
    <w:rsid w:val="00481F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3122">
      <w:bodyDiv w:val="1"/>
      <w:marLeft w:val="0"/>
      <w:marRight w:val="0"/>
      <w:marTop w:val="0"/>
      <w:marBottom w:val="0"/>
      <w:divBdr>
        <w:top w:val="none" w:sz="0" w:space="0" w:color="auto"/>
        <w:left w:val="none" w:sz="0" w:space="0" w:color="auto"/>
        <w:bottom w:val="none" w:sz="0" w:space="0" w:color="auto"/>
        <w:right w:val="none" w:sz="0" w:space="0" w:color="auto"/>
      </w:divBdr>
      <w:divsChild>
        <w:div w:id="31199418">
          <w:marLeft w:val="0"/>
          <w:marRight w:val="0"/>
          <w:marTop w:val="0"/>
          <w:marBottom w:val="0"/>
          <w:divBdr>
            <w:top w:val="none" w:sz="0" w:space="0" w:color="auto"/>
            <w:left w:val="none" w:sz="0" w:space="0" w:color="auto"/>
            <w:bottom w:val="none" w:sz="0" w:space="0" w:color="auto"/>
            <w:right w:val="none" w:sz="0" w:space="0" w:color="auto"/>
          </w:divBdr>
          <w:divsChild>
            <w:div w:id="2084835849">
              <w:marLeft w:val="0"/>
              <w:marRight w:val="0"/>
              <w:marTop w:val="0"/>
              <w:marBottom w:val="0"/>
              <w:divBdr>
                <w:top w:val="none" w:sz="0" w:space="0" w:color="auto"/>
                <w:left w:val="none" w:sz="0" w:space="0" w:color="auto"/>
                <w:bottom w:val="none" w:sz="0" w:space="0" w:color="auto"/>
                <w:right w:val="none" w:sz="0" w:space="0" w:color="auto"/>
              </w:divBdr>
            </w:div>
          </w:divsChild>
        </w:div>
        <w:div w:id="45836125">
          <w:marLeft w:val="0"/>
          <w:marRight w:val="0"/>
          <w:marTop w:val="0"/>
          <w:marBottom w:val="0"/>
          <w:divBdr>
            <w:top w:val="none" w:sz="0" w:space="0" w:color="auto"/>
            <w:left w:val="none" w:sz="0" w:space="0" w:color="auto"/>
            <w:bottom w:val="none" w:sz="0" w:space="0" w:color="auto"/>
            <w:right w:val="none" w:sz="0" w:space="0" w:color="auto"/>
          </w:divBdr>
          <w:divsChild>
            <w:div w:id="1413041224">
              <w:marLeft w:val="0"/>
              <w:marRight w:val="0"/>
              <w:marTop w:val="0"/>
              <w:marBottom w:val="0"/>
              <w:divBdr>
                <w:top w:val="none" w:sz="0" w:space="0" w:color="auto"/>
                <w:left w:val="none" w:sz="0" w:space="0" w:color="auto"/>
                <w:bottom w:val="none" w:sz="0" w:space="0" w:color="auto"/>
                <w:right w:val="none" w:sz="0" w:space="0" w:color="auto"/>
              </w:divBdr>
            </w:div>
          </w:divsChild>
        </w:div>
        <w:div w:id="61801059">
          <w:marLeft w:val="0"/>
          <w:marRight w:val="0"/>
          <w:marTop w:val="0"/>
          <w:marBottom w:val="0"/>
          <w:divBdr>
            <w:top w:val="none" w:sz="0" w:space="0" w:color="auto"/>
            <w:left w:val="none" w:sz="0" w:space="0" w:color="auto"/>
            <w:bottom w:val="none" w:sz="0" w:space="0" w:color="auto"/>
            <w:right w:val="none" w:sz="0" w:space="0" w:color="auto"/>
          </w:divBdr>
          <w:divsChild>
            <w:div w:id="833033254">
              <w:marLeft w:val="0"/>
              <w:marRight w:val="0"/>
              <w:marTop w:val="0"/>
              <w:marBottom w:val="0"/>
              <w:divBdr>
                <w:top w:val="none" w:sz="0" w:space="0" w:color="auto"/>
                <w:left w:val="none" w:sz="0" w:space="0" w:color="auto"/>
                <w:bottom w:val="none" w:sz="0" w:space="0" w:color="auto"/>
                <w:right w:val="none" w:sz="0" w:space="0" w:color="auto"/>
              </w:divBdr>
            </w:div>
          </w:divsChild>
        </w:div>
        <w:div w:id="79181745">
          <w:marLeft w:val="0"/>
          <w:marRight w:val="0"/>
          <w:marTop w:val="0"/>
          <w:marBottom w:val="0"/>
          <w:divBdr>
            <w:top w:val="none" w:sz="0" w:space="0" w:color="auto"/>
            <w:left w:val="none" w:sz="0" w:space="0" w:color="auto"/>
            <w:bottom w:val="none" w:sz="0" w:space="0" w:color="auto"/>
            <w:right w:val="none" w:sz="0" w:space="0" w:color="auto"/>
          </w:divBdr>
          <w:divsChild>
            <w:div w:id="1891377928">
              <w:marLeft w:val="0"/>
              <w:marRight w:val="0"/>
              <w:marTop w:val="0"/>
              <w:marBottom w:val="0"/>
              <w:divBdr>
                <w:top w:val="none" w:sz="0" w:space="0" w:color="auto"/>
                <w:left w:val="none" w:sz="0" w:space="0" w:color="auto"/>
                <w:bottom w:val="none" w:sz="0" w:space="0" w:color="auto"/>
                <w:right w:val="none" w:sz="0" w:space="0" w:color="auto"/>
              </w:divBdr>
            </w:div>
          </w:divsChild>
        </w:div>
        <w:div w:id="80377046">
          <w:marLeft w:val="0"/>
          <w:marRight w:val="0"/>
          <w:marTop w:val="0"/>
          <w:marBottom w:val="0"/>
          <w:divBdr>
            <w:top w:val="none" w:sz="0" w:space="0" w:color="auto"/>
            <w:left w:val="none" w:sz="0" w:space="0" w:color="auto"/>
            <w:bottom w:val="none" w:sz="0" w:space="0" w:color="auto"/>
            <w:right w:val="none" w:sz="0" w:space="0" w:color="auto"/>
          </w:divBdr>
          <w:divsChild>
            <w:div w:id="348289590">
              <w:marLeft w:val="0"/>
              <w:marRight w:val="0"/>
              <w:marTop w:val="0"/>
              <w:marBottom w:val="0"/>
              <w:divBdr>
                <w:top w:val="none" w:sz="0" w:space="0" w:color="auto"/>
                <w:left w:val="none" w:sz="0" w:space="0" w:color="auto"/>
                <w:bottom w:val="none" w:sz="0" w:space="0" w:color="auto"/>
                <w:right w:val="none" w:sz="0" w:space="0" w:color="auto"/>
              </w:divBdr>
            </w:div>
          </w:divsChild>
        </w:div>
        <w:div w:id="91515408">
          <w:marLeft w:val="0"/>
          <w:marRight w:val="0"/>
          <w:marTop w:val="0"/>
          <w:marBottom w:val="0"/>
          <w:divBdr>
            <w:top w:val="none" w:sz="0" w:space="0" w:color="auto"/>
            <w:left w:val="none" w:sz="0" w:space="0" w:color="auto"/>
            <w:bottom w:val="none" w:sz="0" w:space="0" w:color="auto"/>
            <w:right w:val="none" w:sz="0" w:space="0" w:color="auto"/>
          </w:divBdr>
          <w:divsChild>
            <w:div w:id="593053818">
              <w:marLeft w:val="0"/>
              <w:marRight w:val="0"/>
              <w:marTop w:val="0"/>
              <w:marBottom w:val="0"/>
              <w:divBdr>
                <w:top w:val="none" w:sz="0" w:space="0" w:color="auto"/>
                <w:left w:val="none" w:sz="0" w:space="0" w:color="auto"/>
                <w:bottom w:val="none" w:sz="0" w:space="0" w:color="auto"/>
                <w:right w:val="none" w:sz="0" w:space="0" w:color="auto"/>
              </w:divBdr>
            </w:div>
          </w:divsChild>
        </w:div>
        <w:div w:id="92943687">
          <w:marLeft w:val="0"/>
          <w:marRight w:val="0"/>
          <w:marTop w:val="0"/>
          <w:marBottom w:val="0"/>
          <w:divBdr>
            <w:top w:val="none" w:sz="0" w:space="0" w:color="auto"/>
            <w:left w:val="none" w:sz="0" w:space="0" w:color="auto"/>
            <w:bottom w:val="none" w:sz="0" w:space="0" w:color="auto"/>
            <w:right w:val="none" w:sz="0" w:space="0" w:color="auto"/>
          </w:divBdr>
          <w:divsChild>
            <w:div w:id="1693022653">
              <w:marLeft w:val="0"/>
              <w:marRight w:val="0"/>
              <w:marTop w:val="0"/>
              <w:marBottom w:val="0"/>
              <w:divBdr>
                <w:top w:val="none" w:sz="0" w:space="0" w:color="auto"/>
                <w:left w:val="none" w:sz="0" w:space="0" w:color="auto"/>
                <w:bottom w:val="none" w:sz="0" w:space="0" w:color="auto"/>
                <w:right w:val="none" w:sz="0" w:space="0" w:color="auto"/>
              </w:divBdr>
            </w:div>
          </w:divsChild>
        </w:div>
        <w:div w:id="103618458">
          <w:marLeft w:val="0"/>
          <w:marRight w:val="0"/>
          <w:marTop w:val="0"/>
          <w:marBottom w:val="0"/>
          <w:divBdr>
            <w:top w:val="none" w:sz="0" w:space="0" w:color="auto"/>
            <w:left w:val="none" w:sz="0" w:space="0" w:color="auto"/>
            <w:bottom w:val="none" w:sz="0" w:space="0" w:color="auto"/>
            <w:right w:val="none" w:sz="0" w:space="0" w:color="auto"/>
          </w:divBdr>
          <w:divsChild>
            <w:div w:id="578446443">
              <w:marLeft w:val="0"/>
              <w:marRight w:val="0"/>
              <w:marTop w:val="0"/>
              <w:marBottom w:val="0"/>
              <w:divBdr>
                <w:top w:val="none" w:sz="0" w:space="0" w:color="auto"/>
                <w:left w:val="none" w:sz="0" w:space="0" w:color="auto"/>
                <w:bottom w:val="none" w:sz="0" w:space="0" w:color="auto"/>
                <w:right w:val="none" w:sz="0" w:space="0" w:color="auto"/>
              </w:divBdr>
            </w:div>
          </w:divsChild>
        </w:div>
        <w:div w:id="111485793">
          <w:marLeft w:val="0"/>
          <w:marRight w:val="0"/>
          <w:marTop w:val="0"/>
          <w:marBottom w:val="0"/>
          <w:divBdr>
            <w:top w:val="none" w:sz="0" w:space="0" w:color="auto"/>
            <w:left w:val="none" w:sz="0" w:space="0" w:color="auto"/>
            <w:bottom w:val="none" w:sz="0" w:space="0" w:color="auto"/>
            <w:right w:val="none" w:sz="0" w:space="0" w:color="auto"/>
          </w:divBdr>
          <w:divsChild>
            <w:div w:id="1870408887">
              <w:marLeft w:val="0"/>
              <w:marRight w:val="0"/>
              <w:marTop w:val="0"/>
              <w:marBottom w:val="0"/>
              <w:divBdr>
                <w:top w:val="none" w:sz="0" w:space="0" w:color="auto"/>
                <w:left w:val="none" w:sz="0" w:space="0" w:color="auto"/>
                <w:bottom w:val="none" w:sz="0" w:space="0" w:color="auto"/>
                <w:right w:val="none" w:sz="0" w:space="0" w:color="auto"/>
              </w:divBdr>
            </w:div>
          </w:divsChild>
        </w:div>
        <w:div w:id="139078630">
          <w:marLeft w:val="0"/>
          <w:marRight w:val="0"/>
          <w:marTop w:val="0"/>
          <w:marBottom w:val="0"/>
          <w:divBdr>
            <w:top w:val="none" w:sz="0" w:space="0" w:color="auto"/>
            <w:left w:val="none" w:sz="0" w:space="0" w:color="auto"/>
            <w:bottom w:val="none" w:sz="0" w:space="0" w:color="auto"/>
            <w:right w:val="none" w:sz="0" w:space="0" w:color="auto"/>
          </w:divBdr>
          <w:divsChild>
            <w:div w:id="1125467204">
              <w:marLeft w:val="0"/>
              <w:marRight w:val="0"/>
              <w:marTop w:val="0"/>
              <w:marBottom w:val="0"/>
              <w:divBdr>
                <w:top w:val="none" w:sz="0" w:space="0" w:color="auto"/>
                <w:left w:val="none" w:sz="0" w:space="0" w:color="auto"/>
                <w:bottom w:val="none" w:sz="0" w:space="0" w:color="auto"/>
                <w:right w:val="none" w:sz="0" w:space="0" w:color="auto"/>
              </w:divBdr>
            </w:div>
          </w:divsChild>
        </w:div>
        <w:div w:id="146869359">
          <w:marLeft w:val="0"/>
          <w:marRight w:val="0"/>
          <w:marTop w:val="0"/>
          <w:marBottom w:val="0"/>
          <w:divBdr>
            <w:top w:val="none" w:sz="0" w:space="0" w:color="auto"/>
            <w:left w:val="none" w:sz="0" w:space="0" w:color="auto"/>
            <w:bottom w:val="none" w:sz="0" w:space="0" w:color="auto"/>
            <w:right w:val="none" w:sz="0" w:space="0" w:color="auto"/>
          </w:divBdr>
          <w:divsChild>
            <w:div w:id="1091463132">
              <w:marLeft w:val="0"/>
              <w:marRight w:val="0"/>
              <w:marTop w:val="0"/>
              <w:marBottom w:val="0"/>
              <w:divBdr>
                <w:top w:val="none" w:sz="0" w:space="0" w:color="auto"/>
                <w:left w:val="none" w:sz="0" w:space="0" w:color="auto"/>
                <w:bottom w:val="none" w:sz="0" w:space="0" w:color="auto"/>
                <w:right w:val="none" w:sz="0" w:space="0" w:color="auto"/>
              </w:divBdr>
            </w:div>
          </w:divsChild>
        </w:div>
        <w:div w:id="211045574">
          <w:marLeft w:val="0"/>
          <w:marRight w:val="0"/>
          <w:marTop w:val="0"/>
          <w:marBottom w:val="0"/>
          <w:divBdr>
            <w:top w:val="none" w:sz="0" w:space="0" w:color="auto"/>
            <w:left w:val="none" w:sz="0" w:space="0" w:color="auto"/>
            <w:bottom w:val="none" w:sz="0" w:space="0" w:color="auto"/>
            <w:right w:val="none" w:sz="0" w:space="0" w:color="auto"/>
          </w:divBdr>
          <w:divsChild>
            <w:div w:id="696856166">
              <w:marLeft w:val="0"/>
              <w:marRight w:val="0"/>
              <w:marTop w:val="0"/>
              <w:marBottom w:val="0"/>
              <w:divBdr>
                <w:top w:val="none" w:sz="0" w:space="0" w:color="auto"/>
                <w:left w:val="none" w:sz="0" w:space="0" w:color="auto"/>
                <w:bottom w:val="none" w:sz="0" w:space="0" w:color="auto"/>
                <w:right w:val="none" w:sz="0" w:space="0" w:color="auto"/>
              </w:divBdr>
            </w:div>
          </w:divsChild>
        </w:div>
        <w:div w:id="238058730">
          <w:marLeft w:val="0"/>
          <w:marRight w:val="0"/>
          <w:marTop w:val="0"/>
          <w:marBottom w:val="0"/>
          <w:divBdr>
            <w:top w:val="none" w:sz="0" w:space="0" w:color="auto"/>
            <w:left w:val="none" w:sz="0" w:space="0" w:color="auto"/>
            <w:bottom w:val="none" w:sz="0" w:space="0" w:color="auto"/>
            <w:right w:val="none" w:sz="0" w:space="0" w:color="auto"/>
          </w:divBdr>
          <w:divsChild>
            <w:div w:id="992875905">
              <w:marLeft w:val="0"/>
              <w:marRight w:val="0"/>
              <w:marTop w:val="0"/>
              <w:marBottom w:val="0"/>
              <w:divBdr>
                <w:top w:val="none" w:sz="0" w:space="0" w:color="auto"/>
                <w:left w:val="none" w:sz="0" w:space="0" w:color="auto"/>
                <w:bottom w:val="none" w:sz="0" w:space="0" w:color="auto"/>
                <w:right w:val="none" w:sz="0" w:space="0" w:color="auto"/>
              </w:divBdr>
            </w:div>
          </w:divsChild>
        </w:div>
        <w:div w:id="443812835">
          <w:marLeft w:val="0"/>
          <w:marRight w:val="0"/>
          <w:marTop w:val="0"/>
          <w:marBottom w:val="0"/>
          <w:divBdr>
            <w:top w:val="none" w:sz="0" w:space="0" w:color="auto"/>
            <w:left w:val="none" w:sz="0" w:space="0" w:color="auto"/>
            <w:bottom w:val="none" w:sz="0" w:space="0" w:color="auto"/>
            <w:right w:val="none" w:sz="0" w:space="0" w:color="auto"/>
          </w:divBdr>
          <w:divsChild>
            <w:div w:id="1364670502">
              <w:marLeft w:val="0"/>
              <w:marRight w:val="0"/>
              <w:marTop w:val="0"/>
              <w:marBottom w:val="0"/>
              <w:divBdr>
                <w:top w:val="none" w:sz="0" w:space="0" w:color="auto"/>
                <w:left w:val="none" w:sz="0" w:space="0" w:color="auto"/>
                <w:bottom w:val="none" w:sz="0" w:space="0" w:color="auto"/>
                <w:right w:val="none" w:sz="0" w:space="0" w:color="auto"/>
              </w:divBdr>
            </w:div>
          </w:divsChild>
        </w:div>
        <w:div w:id="499542172">
          <w:marLeft w:val="0"/>
          <w:marRight w:val="0"/>
          <w:marTop w:val="0"/>
          <w:marBottom w:val="0"/>
          <w:divBdr>
            <w:top w:val="none" w:sz="0" w:space="0" w:color="auto"/>
            <w:left w:val="none" w:sz="0" w:space="0" w:color="auto"/>
            <w:bottom w:val="none" w:sz="0" w:space="0" w:color="auto"/>
            <w:right w:val="none" w:sz="0" w:space="0" w:color="auto"/>
          </w:divBdr>
          <w:divsChild>
            <w:div w:id="1167524154">
              <w:marLeft w:val="0"/>
              <w:marRight w:val="0"/>
              <w:marTop w:val="0"/>
              <w:marBottom w:val="0"/>
              <w:divBdr>
                <w:top w:val="none" w:sz="0" w:space="0" w:color="auto"/>
                <w:left w:val="none" w:sz="0" w:space="0" w:color="auto"/>
                <w:bottom w:val="none" w:sz="0" w:space="0" w:color="auto"/>
                <w:right w:val="none" w:sz="0" w:space="0" w:color="auto"/>
              </w:divBdr>
            </w:div>
          </w:divsChild>
        </w:div>
        <w:div w:id="639112366">
          <w:marLeft w:val="0"/>
          <w:marRight w:val="0"/>
          <w:marTop w:val="0"/>
          <w:marBottom w:val="0"/>
          <w:divBdr>
            <w:top w:val="none" w:sz="0" w:space="0" w:color="auto"/>
            <w:left w:val="none" w:sz="0" w:space="0" w:color="auto"/>
            <w:bottom w:val="none" w:sz="0" w:space="0" w:color="auto"/>
            <w:right w:val="none" w:sz="0" w:space="0" w:color="auto"/>
          </w:divBdr>
          <w:divsChild>
            <w:div w:id="486479621">
              <w:marLeft w:val="0"/>
              <w:marRight w:val="0"/>
              <w:marTop w:val="0"/>
              <w:marBottom w:val="0"/>
              <w:divBdr>
                <w:top w:val="none" w:sz="0" w:space="0" w:color="auto"/>
                <w:left w:val="none" w:sz="0" w:space="0" w:color="auto"/>
                <w:bottom w:val="none" w:sz="0" w:space="0" w:color="auto"/>
                <w:right w:val="none" w:sz="0" w:space="0" w:color="auto"/>
              </w:divBdr>
            </w:div>
          </w:divsChild>
        </w:div>
        <w:div w:id="700861209">
          <w:marLeft w:val="0"/>
          <w:marRight w:val="0"/>
          <w:marTop w:val="0"/>
          <w:marBottom w:val="0"/>
          <w:divBdr>
            <w:top w:val="none" w:sz="0" w:space="0" w:color="auto"/>
            <w:left w:val="none" w:sz="0" w:space="0" w:color="auto"/>
            <w:bottom w:val="none" w:sz="0" w:space="0" w:color="auto"/>
            <w:right w:val="none" w:sz="0" w:space="0" w:color="auto"/>
          </w:divBdr>
          <w:divsChild>
            <w:div w:id="30766159">
              <w:marLeft w:val="0"/>
              <w:marRight w:val="0"/>
              <w:marTop w:val="0"/>
              <w:marBottom w:val="0"/>
              <w:divBdr>
                <w:top w:val="none" w:sz="0" w:space="0" w:color="auto"/>
                <w:left w:val="none" w:sz="0" w:space="0" w:color="auto"/>
                <w:bottom w:val="none" w:sz="0" w:space="0" w:color="auto"/>
                <w:right w:val="none" w:sz="0" w:space="0" w:color="auto"/>
              </w:divBdr>
            </w:div>
          </w:divsChild>
        </w:div>
        <w:div w:id="705981568">
          <w:marLeft w:val="0"/>
          <w:marRight w:val="0"/>
          <w:marTop w:val="0"/>
          <w:marBottom w:val="0"/>
          <w:divBdr>
            <w:top w:val="none" w:sz="0" w:space="0" w:color="auto"/>
            <w:left w:val="none" w:sz="0" w:space="0" w:color="auto"/>
            <w:bottom w:val="none" w:sz="0" w:space="0" w:color="auto"/>
            <w:right w:val="none" w:sz="0" w:space="0" w:color="auto"/>
          </w:divBdr>
          <w:divsChild>
            <w:div w:id="468599213">
              <w:marLeft w:val="0"/>
              <w:marRight w:val="0"/>
              <w:marTop w:val="0"/>
              <w:marBottom w:val="0"/>
              <w:divBdr>
                <w:top w:val="none" w:sz="0" w:space="0" w:color="auto"/>
                <w:left w:val="none" w:sz="0" w:space="0" w:color="auto"/>
                <w:bottom w:val="none" w:sz="0" w:space="0" w:color="auto"/>
                <w:right w:val="none" w:sz="0" w:space="0" w:color="auto"/>
              </w:divBdr>
            </w:div>
          </w:divsChild>
        </w:div>
        <w:div w:id="706838441">
          <w:marLeft w:val="0"/>
          <w:marRight w:val="0"/>
          <w:marTop w:val="0"/>
          <w:marBottom w:val="0"/>
          <w:divBdr>
            <w:top w:val="none" w:sz="0" w:space="0" w:color="auto"/>
            <w:left w:val="none" w:sz="0" w:space="0" w:color="auto"/>
            <w:bottom w:val="none" w:sz="0" w:space="0" w:color="auto"/>
            <w:right w:val="none" w:sz="0" w:space="0" w:color="auto"/>
          </w:divBdr>
          <w:divsChild>
            <w:div w:id="1370763382">
              <w:marLeft w:val="0"/>
              <w:marRight w:val="0"/>
              <w:marTop w:val="0"/>
              <w:marBottom w:val="0"/>
              <w:divBdr>
                <w:top w:val="none" w:sz="0" w:space="0" w:color="auto"/>
                <w:left w:val="none" w:sz="0" w:space="0" w:color="auto"/>
                <w:bottom w:val="none" w:sz="0" w:space="0" w:color="auto"/>
                <w:right w:val="none" w:sz="0" w:space="0" w:color="auto"/>
              </w:divBdr>
            </w:div>
          </w:divsChild>
        </w:div>
        <w:div w:id="707876730">
          <w:marLeft w:val="0"/>
          <w:marRight w:val="0"/>
          <w:marTop w:val="0"/>
          <w:marBottom w:val="0"/>
          <w:divBdr>
            <w:top w:val="none" w:sz="0" w:space="0" w:color="auto"/>
            <w:left w:val="none" w:sz="0" w:space="0" w:color="auto"/>
            <w:bottom w:val="none" w:sz="0" w:space="0" w:color="auto"/>
            <w:right w:val="none" w:sz="0" w:space="0" w:color="auto"/>
          </w:divBdr>
          <w:divsChild>
            <w:div w:id="72436976">
              <w:marLeft w:val="0"/>
              <w:marRight w:val="0"/>
              <w:marTop w:val="0"/>
              <w:marBottom w:val="0"/>
              <w:divBdr>
                <w:top w:val="none" w:sz="0" w:space="0" w:color="auto"/>
                <w:left w:val="none" w:sz="0" w:space="0" w:color="auto"/>
                <w:bottom w:val="none" w:sz="0" w:space="0" w:color="auto"/>
                <w:right w:val="none" w:sz="0" w:space="0" w:color="auto"/>
              </w:divBdr>
            </w:div>
          </w:divsChild>
        </w:div>
        <w:div w:id="738870957">
          <w:marLeft w:val="0"/>
          <w:marRight w:val="0"/>
          <w:marTop w:val="0"/>
          <w:marBottom w:val="0"/>
          <w:divBdr>
            <w:top w:val="none" w:sz="0" w:space="0" w:color="auto"/>
            <w:left w:val="none" w:sz="0" w:space="0" w:color="auto"/>
            <w:bottom w:val="none" w:sz="0" w:space="0" w:color="auto"/>
            <w:right w:val="none" w:sz="0" w:space="0" w:color="auto"/>
          </w:divBdr>
          <w:divsChild>
            <w:div w:id="1551962451">
              <w:marLeft w:val="0"/>
              <w:marRight w:val="0"/>
              <w:marTop w:val="0"/>
              <w:marBottom w:val="0"/>
              <w:divBdr>
                <w:top w:val="none" w:sz="0" w:space="0" w:color="auto"/>
                <w:left w:val="none" w:sz="0" w:space="0" w:color="auto"/>
                <w:bottom w:val="none" w:sz="0" w:space="0" w:color="auto"/>
                <w:right w:val="none" w:sz="0" w:space="0" w:color="auto"/>
              </w:divBdr>
            </w:div>
          </w:divsChild>
        </w:div>
        <w:div w:id="755975174">
          <w:marLeft w:val="0"/>
          <w:marRight w:val="0"/>
          <w:marTop w:val="0"/>
          <w:marBottom w:val="0"/>
          <w:divBdr>
            <w:top w:val="none" w:sz="0" w:space="0" w:color="auto"/>
            <w:left w:val="none" w:sz="0" w:space="0" w:color="auto"/>
            <w:bottom w:val="none" w:sz="0" w:space="0" w:color="auto"/>
            <w:right w:val="none" w:sz="0" w:space="0" w:color="auto"/>
          </w:divBdr>
          <w:divsChild>
            <w:div w:id="1947734258">
              <w:marLeft w:val="0"/>
              <w:marRight w:val="0"/>
              <w:marTop w:val="0"/>
              <w:marBottom w:val="0"/>
              <w:divBdr>
                <w:top w:val="none" w:sz="0" w:space="0" w:color="auto"/>
                <w:left w:val="none" w:sz="0" w:space="0" w:color="auto"/>
                <w:bottom w:val="none" w:sz="0" w:space="0" w:color="auto"/>
                <w:right w:val="none" w:sz="0" w:space="0" w:color="auto"/>
              </w:divBdr>
            </w:div>
          </w:divsChild>
        </w:div>
        <w:div w:id="765076208">
          <w:marLeft w:val="0"/>
          <w:marRight w:val="0"/>
          <w:marTop w:val="0"/>
          <w:marBottom w:val="0"/>
          <w:divBdr>
            <w:top w:val="none" w:sz="0" w:space="0" w:color="auto"/>
            <w:left w:val="none" w:sz="0" w:space="0" w:color="auto"/>
            <w:bottom w:val="none" w:sz="0" w:space="0" w:color="auto"/>
            <w:right w:val="none" w:sz="0" w:space="0" w:color="auto"/>
          </w:divBdr>
          <w:divsChild>
            <w:div w:id="80413070">
              <w:marLeft w:val="0"/>
              <w:marRight w:val="0"/>
              <w:marTop w:val="0"/>
              <w:marBottom w:val="0"/>
              <w:divBdr>
                <w:top w:val="none" w:sz="0" w:space="0" w:color="auto"/>
                <w:left w:val="none" w:sz="0" w:space="0" w:color="auto"/>
                <w:bottom w:val="none" w:sz="0" w:space="0" w:color="auto"/>
                <w:right w:val="none" w:sz="0" w:space="0" w:color="auto"/>
              </w:divBdr>
            </w:div>
          </w:divsChild>
        </w:div>
        <w:div w:id="813912181">
          <w:marLeft w:val="0"/>
          <w:marRight w:val="0"/>
          <w:marTop w:val="0"/>
          <w:marBottom w:val="0"/>
          <w:divBdr>
            <w:top w:val="none" w:sz="0" w:space="0" w:color="auto"/>
            <w:left w:val="none" w:sz="0" w:space="0" w:color="auto"/>
            <w:bottom w:val="none" w:sz="0" w:space="0" w:color="auto"/>
            <w:right w:val="none" w:sz="0" w:space="0" w:color="auto"/>
          </w:divBdr>
          <w:divsChild>
            <w:div w:id="2128349139">
              <w:marLeft w:val="0"/>
              <w:marRight w:val="0"/>
              <w:marTop w:val="0"/>
              <w:marBottom w:val="0"/>
              <w:divBdr>
                <w:top w:val="none" w:sz="0" w:space="0" w:color="auto"/>
                <w:left w:val="none" w:sz="0" w:space="0" w:color="auto"/>
                <w:bottom w:val="none" w:sz="0" w:space="0" w:color="auto"/>
                <w:right w:val="none" w:sz="0" w:space="0" w:color="auto"/>
              </w:divBdr>
            </w:div>
          </w:divsChild>
        </w:div>
        <w:div w:id="958027284">
          <w:marLeft w:val="0"/>
          <w:marRight w:val="0"/>
          <w:marTop w:val="0"/>
          <w:marBottom w:val="0"/>
          <w:divBdr>
            <w:top w:val="none" w:sz="0" w:space="0" w:color="auto"/>
            <w:left w:val="none" w:sz="0" w:space="0" w:color="auto"/>
            <w:bottom w:val="none" w:sz="0" w:space="0" w:color="auto"/>
            <w:right w:val="none" w:sz="0" w:space="0" w:color="auto"/>
          </w:divBdr>
          <w:divsChild>
            <w:div w:id="1934244189">
              <w:marLeft w:val="0"/>
              <w:marRight w:val="0"/>
              <w:marTop w:val="0"/>
              <w:marBottom w:val="0"/>
              <w:divBdr>
                <w:top w:val="none" w:sz="0" w:space="0" w:color="auto"/>
                <w:left w:val="none" w:sz="0" w:space="0" w:color="auto"/>
                <w:bottom w:val="none" w:sz="0" w:space="0" w:color="auto"/>
                <w:right w:val="none" w:sz="0" w:space="0" w:color="auto"/>
              </w:divBdr>
            </w:div>
          </w:divsChild>
        </w:div>
        <w:div w:id="1033337036">
          <w:marLeft w:val="0"/>
          <w:marRight w:val="0"/>
          <w:marTop w:val="0"/>
          <w:marBottom w:val="0"/>
          <w:divBdr>
            <w:top w:val="none" w:sz="0" w:space="0" w:color="auto"/>
            <w:left w:val="none" w:sz="0" w:space="0" w:color="auto"/>
            <w:bottom w:val="none" w:sz="0" w:space="0" w:color="auto"/>
            <w:right w:val="none" w:sz="0" w:space="0" w:color="auto"/>
          </w:divBdr>
          <w:divsChild>
            <w:div w:id="26491443">
              <w:marLeft w:val="0"/>
              <w:marRight w:val="0"/>
              <w:marTop w:val="0"/>
              <w:marBottom w:val="0"/>
              <w:divBdr>
                <w:top w:val="none" w:sz="0" w:space="0" w:color="auto"/>
                <w:left w:val="none" w:sz="0" w:space="0" w:color="auto"/>
                <w:bottom w:val="none" w:sz="0" w:space="0" w:color="auto"/>
                <w:right w:val="none" w:sz="0" w:space="0" w:color="auto"/>
              </w:divBdr>
            </w:div>
          </w:divsChild>
        </w:div>
        <w:div w:id="1035235848">
          <w:marLeft w:val="0"/>
          <w:marRight w:val="0"/>
          <w:marTop w:val="0"/>
          <w:marBottom w:val="0"/>
          <w:divBdr>
            <w:top w:val="none" w:sz="0" w:space="0" w:color="auto"/>
            <w:left w:val="none" w:sz="0" w:space="0" w:color="auto"/>
            <w:bottom w:val="none" w:sz="0" w:space="0" w:color="auto"/>
            <w:right w:val="none" w:sz="0" w:space="0" w:color="auto"/>
          </w:divBdr>
          <w:divsChild>
            <w:div w:id="1988513799">
              <w:marLeft w:val="0"/>
              <w:marRight w:val="0"/>
              <w:marTop w:val="0"/>
              <w:marBottom w:val="0"/>
              <w:divBdr>
                <w:top w:val="none" w:sz="0" w:space="0" w:color="auto"/>
                <w:left w:val="none" w:sz="0" w:space="0" w:color="auto"/>
                <w:bottom w:val="none" w:sz="0" w:space="0" w:color="auto"/>
                <w:right w:val="none" w:sz="0" w:space="0" w:color="auto"/>
              </w:divBdr>
            </w:div>
          </w:divsChild>
        </w:div>
        <w:div w:id="1193687525">
          <w:marLeft w:val="0"/>
          <w:marRight w:val="0"/>
          <w:marTop w:val="0"/>
          <w:marBottom w:val="0"/>
          <w:divBdr>
            <w:top w:val="none" w:sz="0" w:space="0" w:color="auto"/>
            <w:left w:val="none" w:sz="0" w:space="0" w:color="auto"/>
            <w:bottom w:val="none" w:sz="0" w:space="0" w:color="auto"/>
            <w:right w:val="none" w:sz="0" w:space="0" w:color="auto"/>
          </w:divBdr>
          <w:divsChild>
            <w:div w:id="583689812">
              <w:marLeft w:val="0"/>
              <w:marRight w:val="0"/>
              <w:marTop w:val="0"/>
              <w:marBottom w:val="0"/>
              <w:divBdr>
                <w:top w:val="none" w:sz="0" w:space="0" w:color="auto"/>
                <w:left w:val="none" w:sz="0" w:space="0" w:color="auto"/>
                <w:bottom w:val="none" w:sz="0" w:space="0" w:color="auto"/>
                <w:right w:val="none" w:sz="0" w:space="0" w:color="auto"/>
              </w:divBdr>
            </w:div>
          </w:divsChild>
        </w:div>
        <w:div w:id="1221672396">
          <w:marLeft w:val="0"/>
          <w:marRight w:val="0"/>
          <w:marTop w:val="0"/>
          <w:marBottom w:val="0"/>
          <w:divBdr>
            <w:top w:val="none" w:sz="0" w:space="0" w:color="auto"/>
            <w:left w:val="none" w:sz="0" w:space="0" w:color="auto"/>
            <w:bottom w:val="none" w:sz="0" w:space="0" w:color="auto"/>
            <w:right w:val="none" w:sz="0" w:space="0" w:color="auto"/>
          </w:divBdr>
          <w:divsChild>
            <w:div w:id="1915623104">
              <w:marLeft w:val="0"/>
              <w:marRight w:val="0"/>
              <w:marTop w:val="0"/>
              <w:marBottom w:val="0"/>
              <w:divBdr>
                <w:top w:val="none" w:sz="0" w:space="0" w:color="auto"/>
                <w:left w:val="none" w:sz="0" w:space="0" w:color="auto"/>
                <w:bottom w:val="none" w:sz="0" w:space="0" w:color="auto"/>
                <w:right w:val="none" w:sz="0" w:space="0" w:color="auto"/>
              </w:divBdr>
            </w:div>
          </w:divsChild>
        </w:div>
        <w:div w:id="1254120100">
          <w:marLeft w:val="0"/>
          <w:marRight w:val="0"/>
          <w:marTop w:val="0"/>
          <w:marBottom w:val="0"/>
          <w:divBdr>
            <w:top w:val="none" w:sz="0" w:space="0" w:color="auto"/>
            <w:left w:val="none" w:sz="0" w:space="0" w:color="auto"/>
            <w:bottom w:val="none" w:sz="0" w:space="0" w:color="auto"/>
            <w:right w:val="none" w:sz="0" w:space="0" w:color="auto"/>
          </w:divBdr>
          <w:divsChild>
            <w:div w:id="575940679">
              <w:marLeft w:val="0"/>
              <w:marRight w:val="0"/>
              <w:marTop w:val="0"/>
              <w:marBottom w:val="0"/>
              <w:divBdr>
                <w:top w:val="none" w:sz="0" w:space="0" w:color="auto"/>
                <w:left w:val="none" w:sz="0" w:space="0" w:color="auto"/>
                <w:bottom w:val="none" w:sz="0" w:space="0" w:color="auto"/>
                <w:right w:val="none" w:sz="0" w:space="0" w:color="auto"/>
              </w:divBdr>
            </w:div>
          </w:divsChild>
        </w:div>
        <w:div w:id="1285842381">
          <w:marLeft w:val="0"/>
          <w:marRight w:val="0"/>
          <w:marTop w:val="0"/>
          <w:marBottom w:val="0"/>
          <w:divBdr>
            <w:top w:val="none" w:sz="0" w:space="0" w:color="auto"/>
            <w:left w:val="none" w:sz="0" w:space="0" w:color="auto"/>
            <w:bottom w:val="none" w:sz="0" w:space="0" w:color="auto"/>
            <w:right w:val="none" w:sz="0" w:space="0" w:color="auto"/>
          </w:divBdr>
          <w:divsChild>
            <w:div w:id="42825535">
              <w:marLeft w:val="0"/>
              <w:marRight w:val="0"/>
              <w:marTop w:val="0"/>
              <w:marBottom w:val="0"/>
              <w:divBdr>
                <w:top w:val="none" w:sz="0" w:space="0" w:color="auto"/>
                <w:left w:val="none" w:sz="0" w:space="0" w:color="auto"/>
                <w:bottom w:val="none" w:sz="0" w:space="0" w:color="auto"/>
                <w:right w:val="none" w:sz="0" w:space="0" w:color="auto"/>
              </w:divBdr>
            </w:div>
          </w:divsChild>
        </w:div>
        <w:div w:id="1287467920">
          <w:marLeft w:val="0"/>
          <w:marRight w:val="0"/>
          <w:marTop w:val="0"/>
          <w:marBottom w:val="0"/>
          <w:divBdr>
            <w:top w:val="none" w:sz="0" w:space="0" w:color="auto"/>
            <w:left w:val="none" w:sz="0" w:space="0" w:color="auto"/>
            <w:bottom w:val="none" w:sz="0" w:space="0" w:color="auto"/>
            <w:right w:val="none" w:sz="0" w:space="0" w:color="auto"/>
          </w:divBdr>
          <w:divsChild>
            <w:div w:id="798186314">
              <w:marLeft w:val="0"/>
              <w:marRight w:val="0"/>
              <w:marTop w:val="0"/>
              <w:marBottom w:val="0"/>
              <w:divBdr>
                <w:top w:val="none" w:sz="0" w:space="0" w:color="auto"/>
                <w:left w:val="none" w:sz="0" w:space="0" w:color="auto"/>
                <w:bottom w:val="none" w:sz="0" w:space="0" w:color="auto"/>
                <w:right w:val="none" w:sz="0" w:space="0" w:color="auto"/>
              </w:divBdr>
            </w:div>
          </w:divsChild>
        </w:div>
        <w:div w:id="1340622483">
          <w:marLeft w:val="0"/>
          <w:marRight w:val="0"/>
          <w:marTop w:val="0"/>
          <w:marBottom w:val="0"/>
          <w:divBdr>
            <w:top w:val="none" w:sz="0" w:space="0" w:color="auto"/>
            <w:left w:val="none" w:sz="0" w:space="0" w:color="auto"/>
            <w:bottom w:val="none" w:sz="0" w:space="0" w:color="auto"/>
            <w:right w:val="none" w:sz="0" w:space="0" w:color="auto"/>
          </w:divBdr>
          <w:divsChild>
            <w:div w:id="33389872">
              <w:marLeft w:val="0"/>
              <w:marRight w:val="0"/>
              <w:marTop w:val="0"/>
              <w:marBottom w:val="0"/>
              <w:divBdr>
                <w:top w:val="none" w:sz="0" w:space="0" w:color="auto"/>
                <w:left w:val="none" w:sz="0" w:space="0" w:color="auto"/>
                <w:bottom w:val="none" w:sz="0" w:space="0" w:color="auto"/>
                <w:right w:val="none" w:sz="0" w:space="0" w:color="auto"/>
              </w:divBdr>
            </w:div>
          </w:divsChild>
        </w:div>
        <w:div w:id="1349602248">
          <w:marLeft w:val="0"/>
          <w:marRight w:val="0"/>
          <w:marTop w:val="0"/>
          <w:marBottom w:val="0"/>
          <w:divBdr>
            <w:top w:val="none" w:sz="0" w:space="0" w:color="auto"/>
            <w:left w:val="none" w:sz="0" w:space="0" w:color="auto"/>
            <w:bottom w:val="none" w:sz="0" w:space="0" w:color="auto"/>
            <w:right w:val="none" w:sz="0" w:space="0" w:color="auto"/>
          </w:divBdr>
          <w:divsChild>
            <w:div w:id="633607685">
              <w:marLeft w:val="0"/>
              <w:marRight w:val="0"/>
              <w:marTop w:val="0"/>
              <w:marBottom w:val="0"/>
              <w:divBdr>
                <w:top w:val="none" w:sz="0" w:space="0" w:color="auto"/>
                <w:left w:val="none" w:sz="0" w:space="0" w:color="auto"/>
                <w:bottom w:val="none" w:sz="0" w:space="0" w:color="auto"/>
                <w:right w:val="none" w:sz="0" w:space="0" w:color="auto"/>
              </w:divBdr>
            </w:div>
          </w:divsChild>
        </w:div>
        <w:div w:id="1350840374">
          <w:marLeft w:val="0"/>
          <w:marRight w:val="0"/>
          <w:marTop w:val="0"/>
          <w:marBottom w:val="0"/>
          <w:divBdr>
            <w:top w:val="none" w:sz="0" w:space="0" w:color="auto"/>
            <w:left w:val="none" w:sz="0" w:space="0" w:color="auto"/>
            <w:bottom w:val="none" w:sz="0" w:space="0" w:color="auto"/>
            <w:right w:val="none" w:sz="0" w:space="0" w:color="auto"/>
          </w:divBdr>
          <w:divsChild>
            <w:div w:id="124129366">
              <w:marLeft w:val="0"/>
              <w:marRight w:val="0"/>
              <w:marTop w:val="0"/>
              <w:marBottom w:val="0"/>
              <w:divBdr>
                <w:top w:val="none" w:sz="0" w:space="0" w:color="auto"/>
                <w:left w:val="none" w:sz="0" w:space="0" w:color="auto"/>
                <w:bottom w:val="none" w:sz="0" w:space="0" w:color="auto"/>
                <w:right w:val="none" w:sz="0" w:space="0" w:color="auto"/>
              </w:divBdr>
            </w:div>
          </w:divsChild>
        </w:div>
        <w:div w:id="1419908064">
          <w:marLeft w:val="0"/>
          <w:marRight w:val="0"/>
          <w:marTop w:val="0"/>
          <w:marBottom w:val="0"/>
          <w:divBdr>
            <w:top w:val="none" w:sz="0" w:space="0" w:color="auto"/>
            <w:left w:val="none" w:sz="0" w:space="0" w:color="auto"/>
            <w:bottom w:val="none" w:sz="0" w:space="0" w:color="auto"/>
            <w:right w:val="none" w:sz="0" w:space="0" w:color="auto"/>
          </w:divBdr>
          <w:divsChild>
            <w:div w:id="1998608876">
              <w:marLeft w:val="0"/>
              <w:marRight w:val="0"/>
              <w:marTop w:val="0"/>
              <w:marBottom w:val="0"/>
              <w:divBdr>
                <w:top w:val="none" w:sz="0" w:space="0" w:color="auto"/>
                <w:left w:val="none" w:sz="0" w:space="0" w:color="auto"/>
                <w:bottom w:val="none" w:sz="0" w:space="0" w:color="auto"/>
                <w:right w:val="none" w:sz="0" w:space="0" w:color="auto"/>
              </w:divBdr>
            </w:div>
          </w:divsChild>
        </w:div>
        <w:div w:id="1422331078">
          <w:marLeft w:val="0"/>
          <w:marRight w:val="0"/>
          <w:marTop w:val="0"/>
          <w:marBottom w:val="0"/>
          <w:divBdr>
            <w:top w:val="none" w:sz="0" w:space="0" w:color="auto"/>
            <w:left w:val="none" w:sz="0" w:space="0" w:color="auto"/>
            <w:bottom w:val="none" w:sz="0" w:space="0" w:color="auto"/>
            <w:right w:val="none" w:sz="0" w:space="0" w:color="auto"/>
          </w:divBdr>
          <w:divsChild>
            <w:div w:id="1517957773">
              <w:marLeft w:val="0"/>
              <w:marRight w:val="0"/>
              <w:marTop w:val="0"/>
              <w:marBottom w:val="0"/>
              <w:divBdr>
                <w:top w:val="none" w:sz="0" w:space="0" w:color="auto"/>
                <w:left w:val="none" w:sz="0" w:space="0" w:color="auto"/>
                <w:bottom w:val="none" w:sz="0" w:space="0" w:color="auto"/>
                <w:right w:val="none" w:sz="0" w:space="0" w:color="auto"/>
              </w:divBdr>
            </w:div>
          </w:divsChild>
        </w:div>
        <w:div w:id="1438600744">
          <w:marLeft w:val="0"/>
          <w:marRight w:val="0"/>
          <w:marTop w:val="0"/>
          <w:marBottom w:val="0"/>
          <w:divBdr>
            <w:top w:val="none" w:sz="0" w:space="0" w:color="auto"/>
            <w:left w:val="none" w:sz="0" w:space="0" w:color="auto"/>
            <w:bottom w:val="none" w:sz="0" w:space="0" w:color="auto"/>
            <w:right w:val="none" w:sz="0" w:space="0" w:color="auto"/>
          </w:divBdr>
          <w:divsChild>
            <w:div w:id="754933665">
              <w:marLeft w:val="0"/>
              <w:marRight w:val="0"/>
              <w:marTop w:val="0"/>
              <w:marBottom w:val="0"/>
              <w:divBdr>
                <w:top w:val="none" w:sz="0" w:space="0" w:color="auto"/>
                <w:left w:val="none" w:sz="0" w:space="0" w:color="auto"/>
                <w:bottom w:val="none" w:sz="0" w:space="0" w:color="auto"/>
                <w:right w:val="none" w:sz="0" w:space="0" w:color="auto"/>
              </w:divBdr>
            </w:div>
          </w:divsChild>
        </w:div>
        <w:div w:id="1439716619">
          <w:marLeft w:val="0"/>
          <w:marRight w:val="0"/>
          <w:marTop w:val="0"/>
          <w:marBottom w:val="0"/>
          <w:divBdr>
            <w:top w:val="none" w:sz="0" w:space="0" w:color="auto"/>
            <w:left w:val="none" w:sz="0" w:space="0" w:color="auto"/>
            <w:bottom w:val="none" w:sz="0" w:space="0" w:color="auto"/>
            <w:right w:val="none" w:sz="0" w:space="0" w:color="auto"/>
          </w:divBdr>
          <w:divsChild>
            <w:div w:id="95753483">
              <w:marLeft w:val="0"/>
              <w:marRight w:val="0"/>
              <w:marTop w:val="0"/>
              <w:marBottom w:val="0"/>
              <w:divBdr>
                <w:top w:val="none" w:sz="0" w:space="0" w:color="auto"/>
                <w:left w:val="none" w:sz="0" w:space="0" w:color="auto"/>
                <w:bottom w:val="none" w:sz="0" w:space="0" w:color="auto"/>
                <w:right w:val="none" w:sz="0" w:space="0" w:color="auto"/>
              </w:divBdr>
            </w:div>
          </w:divsChild>
        </w:div>
        <w:div w:id="1446268561">
          <w:marLeft w:val="0"/>
          <w:marRight w:val="0"/>
          <w:marTop w:val="0"/>
          <w:marBottom w:val="0"/>
          <w:divBdr>
            <w:top w:val="none" w:sz="0" w:space="0" w:color="auto"/>
            <w:left w:val="none" w:sz="0" w:space="0" w:color="auto"/>
            <w:bottom w:val="none" w:sz="0" w:space="0" w:color="auto"/>
            <w:right w:val="none" w:sz="0" w:space="0" w:color="auto"/>
          </w:divBdr>
          <w:divsChild>
            <w:div w:id="1174764441">
              <w:marLeft w:val="0"/>
              <w:marRight w:val="0"/>
              <w:marTop w:val="0"/>
              <w:marBottom w:val="0"/>
              <w:divBdr>
                <w:top w:val="none" w:sz="0" w:space="0" w:color="auto"/>
                <w:left w:val="none" w:sz="0" w:space="0" w:color="auto"/>
                <w:bottom w:val="none" w:sz="0" w:space="0" w:color="auto"/>
                <w:right w:val="none" w:sz="0" w:space="0" w:color="auto"/>
              </w:divBdr>
            </w:div>
          </w:divsChild>
        </w:div>
        <w:div w:id="1476727357">
          <w:marLeft w:val="0"/>
          <w:marRight w:val="0"/>
          <w:marTop w:val="0"/>
          <w:marBottom w:val="0"/>
          <w:divBdr>
            <w:top w:val="none" w:sz="0" w:space="0" w:color="auto"/>
            <w:left w:val="none" w:sz="0" w:space="0" w:color="auto"/>
            <w:bottom w:val="none" w:sz="0" w:space="0" w:color="auto"/>
            <w:right w:val="none" w:sz="0" w:space="0" w:color="auto"/>
          </w:divBdr>
          <w:divsChild>
            <w:div w:id="1233926640">
              <w:marLeft w:val="0"/>
              <w:marRight w:val="0"/>
              <w:marTop w:val="0"/>
              <w:marBottom w:val="0"/>
              <w:divBdr>
                <w:top w:val="none" w:sz="0" w:space="0" w:color="auto"/>
                <w:left w:val="none" w:sz="0" w:space="0" w:color="auto"/>
                <w:bottom w:val="none" w:sz="0" w:space="0" w:color="auto"/>
                <w:right w:val="none" w:sz="0" w:space="0" w:color="auto"/>
              </w:divBdr>
            </w:div>
          </w:divsChild>
        </w:div>
        <w:div w:id="1581988474">
          <w:marLeft w:val="0"/>
          <w:marRight w:val="0"/>
          <w:marTop w:val="0"/>
          <w:marBottom w:val="0"/>
          <w:divBdr>
            <w:top w:val="none" w:sz="0" w:space="0" w:color="auto"/>
            <w:left w:val="none" w:sz="0" w:space="0" w:color="auto"/>
            <w:bottom w:val="none" w:sz="0" w:space="0" w:color="auto"/>
            <w:right w:val="none" w:sz="0" w:space="0" w:color="auto"/>
          </w:divBdr>
          <w:divsChild>
            <w:div w:id="1329093981">
              <w:marLeft w:val="0"/>
              <w:marRight w:val="0"/>
              <w:marTop w:val="0"/>
              <w:marBottom w:val="0"/>
              <w:divBdr>
                <w:top w:val="none" w:sz="0" w:space="0" w:color="auto"/>
                <w:left w:val="none" w:sz="0" w:space="0" w:color="auto"/>
                <w:bottom w:val="none" w:sz="0" w:space="0" w:color="auto"/>
                <w:right w:val="none" w:sz="0" w:space="0" w:color="auto"/>
              </w:divBdr>
            </w:div>
          </w:divsChild>
        </w:div>
        <w:div w:id="1592349384">
          <w:marLeft w:val="0"/>
          <w:marRight w:val="0"/>
          <w:marTop w:val="0"/>
          <w:marBottom w:val="0"/>
          <w:divBdr>
            <w:top w:val="none" w:sz="0" w:space="0" w:color="auto"/>
            <w:left w:val="none" w:sz="0" w:space="0" w:color="auto"/>
            <w:bottom w:val="none" w:sz="0" w:space="0" w:color="auto"/>
            <w:right w:val="none" w:sz="0" w:space="0" w:color="auto"/>
          </w:divBdr>
          <w:divsChild>
            <w:div w:id="245304593">
              <w:marLeft w:val="0"/>
              <w:marRight w:val="0"/>
              <w:marTop w:val="0"/>
              <w:marBottom w:val="0"/>
              <w:divBdr>
                <w:top w:val="none" w:sz="0" w:space="0" w:color="auto"/>
                <w:left w:val="none" w:sz="0" w:space="0" w:color="auto"/>
                <w:bottom w:val="none" w:sz="0" w:space="0" w:color="auto"/>
                <w:right w:val="none" w:sz="0" w:space="0" w:color="auto"/>
              </w:divBdr>
            </w:div>
          </w:divsChild>
        </w:div>
        <w:div w:id="1604611441">
          <w:marLeft w:val="0"/>
          <w:marRight w:val="0"/>
          <w:marTop w:val="0"/>
          <w:marBottom w:val="0"/>
          <w:divBdr>
            <w:top w:val="none" w:sz="0" w:space="0" w:color="auto"/>
            <w:left w:val="none" w:sz="0" w:space="0" w:color="auto"/>
            <w:bottom w:val="none" w:sz="0" w:space="0" w:color="auto"/>
            <w:right w:val="none" w:sz="0" w:space="0" w:color="auto"/>
          </w:divBdr>
          <w:divsChild>
            <w:div w:id="1861313305">
              <w:marLeft w:val="0"/>
              <w:marRight w:val="0"/>
              <w:marTop w:val="0"/>
              <w:marBottom w:val="0"/>
              <w:divBdr>
                <w:top w:val="none" w:sz="0" w:space="0" w:color="auto"/>
                <w:left w:val="none" w:sz="0" w:space="0" w:color="auto"/>
                <w:bottom w:val="none" w:sz="0" w:space="0" w:color="auto"/>
                <w:right w:val="none" w:sz="0" w:space="0" w:color="auto"/>
              </w:divBdr>
            </w:div>
          </w:divsChild>
        </w:div>
        <w:div w:id="1702826772">
          <w:marLeft w:val="0"/>
          <w:marRight w:val="0"/>
          <w:marTop w:val="0"/>
          <w:marBottom w:val="0"/>
          <w:divBdr>
            <w:top w:val="none" w:sz="0" w:space="0" w:color="auto"/>
            <w:left w:val="none" w:sz="0" w:space="0" w:color="auto"/>
            <w:bottom w:val="none" w:sz="0" w:space="0" w:color="auto"/>
            <w:right w:val="none" w:sz="0" w:space="0" w:color="auto"/>
          </w:divBdr>
          <w:divsChild>
            <w:div w:id="1399130525">
              <w:marLeft w:val="0"/>
              <w:marRight w:val="0"/>
              <w:marTop w:val="0"/>
              <w:marBottom w:val="0"/>
              <w:divBdr>
                <w:top w:val="none" w:sz="0" w:space="0" w:color="auto"/>
                <w:left w:val="none" w:sz="0" w:space="0" w:color="auto"/>
                <w:bottom w:val="none" w:sz="0" w:space="0" w:color="auto"/>
                <w:right w:val="none" w:sz="0" w:space="0" w:color="auto"/>
              </w:divBdr>
            </w:div>
          </w:divsChild>
        </w:div>
        <w:div w:id="1756512318">
          <w:marLeft w:val="0"/>
          <w:marRight w:val="0"/>
          <w:marTop w:val="0"/>
          <w:marBottom w:val="0"/>
          <w:divBdr>
            <w:top w:val="none" w:sz="0" w:space="0" w:color="auto"/>
            <w:left w:val="none" w:sz="0" w:space="0" w:color="auto"/>
            <w:bottom w:val="none" w:sz="0" w:space="0" w:color="auto"/>
            <w:right w:val="none" w:sz="0" w:space="0" w:color="auto"/>
          </w:divBdr>
          <w:divsChild>
            <w:div w:id="1797674877">
              <w:marLeft w:val="0"/>
              <w:marRight w:val="0"/>
              <w:marTop w:val="0"/>
              <w:marBottom w:val="0"/>
              <w:divBdr>
                <w:top w:val="none" w:sz="0" w:space="0" w:color="auto"/>
                <w:left w:val="none" w:sz="0" w:space="0" w:color="auto"/>
                <w:bottom w:val="none" w:sz="0" w:space="0" w:color="auto"/>
                <w:right w:val="none" w:sz="0" w:space="0" w:color="auto"/>
              </w:divBdr>
            </w:div>
          </w:divsChild>
        </w:div>
        <w:div w:id="1821919292">
          <w:marLeft w:val="0"/>
          <w:marRight w:val="0"/>
          <w:marTop w:val="0"/>
          <w:marBottom w:val="0"/>
          <w:divBdr>
            <w:top w:val="none" w:sz="0" w:space="0" w:color="auto"/>
            <w:left w:val="none" w:sz="0" w:space="0" w:color="auto"/>
            <w:bottom w:val="none" w:sz="0" w:space="0" w:color="auto"/>
            <w:right w:val="none" w:sz="0" w:space="0" w:color="auto"/>
          </w:divBdr>
          <w:divsChild>
            <w:div w:id="670985453">
              <w:marLeft w:val="0"/>
              <w:marRight w:val="0"/>
              <w:marTop w:val="0"/>
              <w:marBottom w:val="0"/>
              <w:divBdr>
                <w:top w:val="none" w:sz="0" w:space="0" w:color="auto"/>
                <w:left w:val="none" w:sz="0" w:space="0" w:color="auto"/>
                <w:bottom w:val="none" w:sz="0" w:space="0" w:color="auto"/>
                <w:right w:val="none" w:sz="0" w:space="0" w:color="auto"/>
              </w:divBdr>
            </w:div>
          </w:divsChild>
        </w:div>
        <w:div w:id="1861702258">
          <w:marLeft w:val="0"/>
          <w:marRight w:val="0"/>
          <w:marTop w:val="0"/>
          <w:marBottom w:val="0"/>
          <w:divBdr>
            <w:top w:val="none" w:sz="0" w:space="0" w:color="auto"/>
            <w:left w:val="none" w:sz="0" w:space="0" w:color="auto"/>
            <w:bottom w:val="none" w:sz="0" w:space="0" w:color="auto"/>
            <w:right w:val="none" w:sz="0" w:space="0" w:color="auto"/>
          </w:divBdr>
          <w:divsChild>
            <w:div w:id="975138987">
              <w:marLeft w:val="0"/>
              <w:marRight w:val="0"/>
              <w:marTop w:val="0"/>
              <w:marBottom w:val="0"/>
              <w:divBdr>
                <w:top w:val="none" w:sz="0" w:space="0" w:color="auto"/>
                <w:left w:val="none" w:sz="0" w:space="0" w:color="auto"/>
                <w:bottom w:val="none" w:sz="0" w:space="0" w:color="auto"/>
                <w:right w:val="none" w:sz="0" w:space="0" w:color="auto"/>
              </w:divBdr>
            </w:div>
          </w:divsChild>
        </w:div>
        <w:div w:id="1861777580">
          <w:marLeft w:val="0"/>
          <w:marRight w:val="0"/>
          <w:marTop w:val="0"/>
          <w:marBottom w:val="0"/>
          <w:divBdr>
            <w:top w:val="none" w:sz="0" w:space="0" w:color="auto"/>
            <w:left w:val="none" w:sz="0" w:space="0" w:color="auto"/>
            <w:bottom w:val="none" w:sz="0" w:space="0" w:color="auto"/>
            <w:right w:val="none" w:sz="0" w:space="0" w:color="auto"/>
          </w:divBdr>
          <w:divsChild>
            <w:div w:id="493256539">
              <w:marLeft w:val="0"/>
              <w:marRight w:val="0"/>
              <w:marTop w:val="0"/>
              <w:marBottom w:val="0"/>
              <w:divBdr>
                <w:top w:val="none" w:sz="0" w:space="0" w:color="auto"/>
                <w:left w:val="none" w:sz="0" w:space="0" w:color="auto"/>
                <w:bottom w:val="none" w:sz="0" w:space="0" w:color="auto"/>
                <w:right w:val="none" w:sz="0" w:space="0" w:color="auto"/>
              </w:divBdr>
            </w:div>
          </w:divsChild>
        </w:div>
        <w:div w:id="1924946936">
          <w:marLeft w:val="0"/>
          <w:marRight w:val="0"/>
          <w:marTop w:val="0"/>
          <w:marBottom w:val="0"/>
          <w:divBdr>
            <w:top w:val="none" w:sz="0" w:space="0" w:color="auto"/>
            <w:left w:val="none" w:sz="0" w:space="0" w:color="auto"/>
            <w:bottom w:val="none" w:sz="0" w:space="0" w:color="auto"/>
            <w:right w:val="none" w:sz="0" w:space="0" w:color="auto"/>
          </w:divBdr>
          <w:divsChild>
            <w:div w:id="1914968099">
              <w:marLeft w:val="0"/>
              <w:marRight w:val="0"/>
              <w:marTop w:val="0"/>
              <w:marBottom w:val="0"/>
              <w:divBdr>
                <w:top w:val="none" w:sz="0" w:space="0" w:color="auto"/>
                <w:left w:val="none" w:sz="0" w:space="0" w:color="auto"/>
                <w:bottom w:val="none" w:sz="0" w:space="0" w:color="auto"/>
                <w:right w:val="none" w:sz="0" w:space="0" w:color="auto"/>
              </w:divBdr>
            </w:div>
          </w:divsChild>
        </w:div>
        <w:div w:id="1948734963">
          <w:marLeft w:val="0"/>
          <w:marRight w:val="0"/>
          <w:marTop w:val="0"/>
          <w:marBottom w:val="0"/>
          <w:divBdr>
            <w:top w:val="none" w:sz="0" w:space="0" w:color="auto"/>
            <w:left w:val="none" w:sz="0" w:space="0" w:color="auto"/>
            <w:bottom w:val="none" w:sz="0" w:space="0" w:color="auto"/>
            <w:right w:val="none" w:sz="0" w:space="0" w:color="auto"/>
          </w:divBdr>
          <w:divsChild>
            <w:div w:id="1406107256">
              <w:marLeft w:val="0"/>
              <w:marRight w:val="0"/>
              <w:marTop w:val="0"/>
              <w:marBottom w:val="0"/>
              <w:divBdr>
                <w:top w:val="none" w:sz="0" w:space="0" w:color="auto"/>
                <w:left w:val="none" w:sz="0" w:space="0" w:color="auto"/>
                <w:bottom w:val="none" w:sz="0" w:space="0" w:color="auto"/>
                <w:right w:val="none" w:sz="0" w:space="0" w:color="auto"/>
              </w:divBdr>
            </w:div>
          </w:divsChild>
        </w:div>
        <w:div w:id="2053460441">
          <w:marLeft w:val="0"/>
          <w:marRight w:val="0"/>
          <w:marTop w:val="0"/>
          <w:marBottom w:val="0"/>
          <w:divBdr>
            <w:top w:val="none" w:sz="0" w:space="0" w:color="auto"/>
            <w:left w:val="none" w:sz="0" w:space="0" w:color="auto"/>
            <w:bottom w:val="none" w:sz="0" w:space="0" w:color="auto"/>
            <w:right w:val="none" w:sz="0" w:space="0" w:color="auto"/>
          </w:divBdr>
          <w:divsChild>
            <w:div w:id="1581600243">
              <w:marLeft w:val="0"/>
              <w:marRight w:val="0"/>
              <w:marTop w:val="0"/>
              <w:marBottom w:val="0"/>
              <w:divBdr>
                <w:top w:val="none" w:sz="0" w:space="0" w:color="auto"/>
                <w:left w:val="none" w:sz="0" w:space="0" w:color="auto"/>
                <w:bottom w:val="none" w:sz="0" w:space="0" w:color="auto"/>
                <w:right w:val="none" w:sz="0" w:space="0" w:color="auto"/>
              </w:divBdr>
            </w:div>
          </w:divsChild>
        </w:div>
        <w:div w:id="2060274759">
          <w:marLeft w:val="0"/>
          <w:marRight w:val="0"/>
          <w:marTop w:val="0"/>
          <w:marBottom w:val="0"/>
          <w:divBdr>
            <w:top w:val="none" w:sz="0" w:space="0" w:color="auto"/>
            <w:left w:val="none" w:sz="0" w:space="0" w:color="auto"/>
            <w:bottom w:val="none" w:sz="0" w:space="0" w:color="auto"/>
            <w:right w:val="none" w:sz="0" w:space="0" w:color="auto"/>
          </w:divBdr>
          <w:divsChild>
            <w:div w:id="376778602">
              <w:marLeft w:val="0"/>
              <w:marRight w:val="0"/>
              <w:marTop w:val="0"/>
              <w:marBottom w:val="0"/>
              <w:divBdr>
                <w:top w:val="none" w:sz="0" w:space="0" w:color="auto"/>
                <w:left w:val="none" w:sz="0" w:space="0" w:color="auto"/>
                <w:bottom w:val="none" w:sz="0" w:space="0" w:color="auto"/>
                <w:right w:val="none" w:sz="0" w:space="0" w:color="auto"/>
              </w:divBdr>
            </w:div>
          </w:divsChild>
        </w:div>
        <w:div w:id="2124374065">
          <w:marLeft w:val="0"/>
          <w:marRight w:val="0"/>
          <w:marTop w:val="0"/>
          <w:marBottom w:val="0"/>
          <w:divBdr>
            <w:top w:val="none" w:sz="0" w:space="0" w:color="auto"/>
            <w:left w:val="none" w:sz="0" w:space="0" w:color="auto"/>
            <w:bottom w:val="none" w:sz="0" w:space="0" w:color="auto"/>
            <w:right w:val="none" w:sz="0" w:space="0" w:color="auto"/>
          </w:divBdr>
          <w:divsChild>
            <w:div w:id="19421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8473">
      <w:bodyDiv w:val="1"/>
      <w:marLeft w:val="0"/>
      <w:marRight w:val="0"/>
      <w:marTop w:val="0"/>
      <w:marBottom w:val="0"/>
      <w:divBdr>
        <w:top w:val="none" w:sz="0" w:space="0" w:color="auto"/>
        <w:left w:val="none" w:sz="0" w:space="0" w:color="auto"/>
        <w:bottom w:val="none" w:sz="0" w:space="0" w:color="auto"/>
        <w:right w:val="none" w:sz="0" w:space="0" w:color="auto"/>
      </w:divBdr>
    </w:div>
    <w:div w:id="132331904">
      <w:bodyDiv w:val="1"/>
      <w:marLeft w:val="0"/>
      <w:marRight w:val="0"/>
      <w:marTop w:val="0"/>
      <w:marBottom w:val="0"/>
      <w:divBdr>
        <w:top w:val="none" w:sz="0" w:space="0" w:color="auto"/>
        <w:left w:val="none" w:sz="0" w:space="0" w:color="auto"/>
        <w:bottom w:val="none" w:sz="0" w:space="0" w:color="auto"/>
        <w:right w:val="none" w:sz="0" w:space="0" w:color="auto"/>
      </w:divBdr>
    </w:div>
    <w:div w:id="174536125">
      <w:bodyDiv w:val="1"/>
      <w:marLeft w:val="0"/>
      <w:marRight w:val="0"/>
      <w:marTop w:val="0"/>
      <w:marBottom w:val="0"/>
      <w:divBdr>
        <w:top w:val="none" w:sz="0" w:space="0" w:color="auto"/>
        <w:left w:val="none" w:sz="0" w:space="0" w:color="auto"/>
        <w:bottom w:val="none" w:sz="0" w:space="0" w:color="auto"/>
        <w:right w:val="none" w:sz="0" w:space="0" w:color="auto"/>
      </w:divBdr>
    </w:div>
    <w:div w:id="214318195">
      <w:bodyDiv w:val="1"/>
      <w:marLeft w:val="0"/>
      <w:marRight w:val="0"/>
      <w:marTop w:val="0"/>
      <w:marBottom w:val="0"/>
      <w:divBdr>
        <w:top w:val="none" w:sz="0" w:space="0" w:color="auto"/>
        <w:left w:val="none" w:sz="0" w:space="0" w:color="auto"/>
        <w:bottom w:val="none" w:sz="0" w:space="0" w:color="auto"/>
        <w:right w:val="none" w:sz="0" w:space="0" w:color="auto"/>
      </w:divBdr>
    </w:div>
    <w:div w:id="365714362">
      <w:bodyDiv w:val="1"/>
      <w:marLeft w:val="0"/>
      <w:marRight w:val="0"/>
      <w:marTop w:val="0"/>
      <w:marBottom w:val="0"/>
      <w:divBdr>
        <w:top w:val="none" w:sz="0" w:space="0" w:color="auto"/>
        <w:left w:val="none" w:sz="0" w:space="0" w:color="auto"/>
        <w:bottom w:val="none" w:sz="0" w:space="0" w:color="auto"/>
        <w:right w:val="none" w:sz="0" w:space="0" w:color="auto"/>
      </w:divBdr>
    </w:div>
    <w:div w:id="365764703">
      <w:bodyDiv w:val="1"/>
      <w:marLeft w:val="0"/>
      <w:marRight w:val="0"/>
      <w:marTop w:val="0"/>
      <w:marBottom w:val="0"/>
      <w:divBdr>
        <w:top w:val="none" w:sz="0" w:space="0" w:color="auto"/>
        <w:left w:val="none" w:sz="0" w:space="0" w:color="auto"/>
        <w:bottom w:val="none" w:sz="0" w:space="0" w:color="auto"/>
        <w:right w:val="none" w:sz="0" w:space="0" w:color="auto"/>
      </w:divBdr>
    </w:div>
    <w:div w:id="402796607">
      <w:bodyDiv w:val="1"/>
      <w:marLeft w:val="0"/>
      <w:marRight w:val="0"/>
      <w:marTop w:val="0"/>
      <w:marBottom w:val="0"/>
      <w:divBdr>
        <w:top w:val="none" w:sz="0" w:space="0" w:color="auto"/>
        <w:left w:val="none" w:sz="0" w:space="0" w:color="auto"/>
        <w:bottom w:val="none" w:sz="0" w:space="0" w:color="auto"/>
        <w:right w:val="none" w:sz="0" w:space="0" w:color="auto"/>
      </w:divBdr>
    </w:div>
    <w:div w:id="411244397">
      <w:bodyDiv w:val="1"/>
      <w:marLeft w:val="0"/>
      <w:marRight w:val="0"/>
      <w:marTop w:val="0"/>
      <w:marBottom w:val="0"/>
      <w:divBdr>
        <w:top w:val="none" w:sz="0" w:space="0" w:color="auto"/>
        <w:left w:val="none" w:sz="0" w:space="0" w:color="auto"/>
        <w:bottom w:val="none" w:sz="0" w:space="0" w:color="auto"/>
        <w:right w:val="none" w:sz="0" w:space="0" w:color="auto"/>
      </w:divBdr>
    </w:div>
    <w:div w:id="854002003">
      <w:bodyDiv w:val="1"/>
      <w:marLeft w:val="0"/>
      <w:marRight w:val="0"/>
      <w:marTop w:val="0"/>
      <w:marBottom w:val="0"/>
      <w:divBdr>
        <w:top w:val="none" w:sz="0" w:space="0" w:color="auto"/>
        <w:left w:val="none" w:sz="0" w:space="0" w:color="auto"/>
        <w:bottom w:val="none" w:sz="0" w:space="0" w:color="auto"/>
        <w:right w:val="none" w:sz="0" w:space="0" w:color="auto"/>
      </w:divBdr>
    </w:div>
    <w:div w:id="924614201">
      <w:bodyDiv w:val="1"/>
      <w:marLeft w:val="0"/>
      <w:marRight w:val="0"/>
      <w:marTop w:val="0"/>
      <w:marBottom w:val="0"/>
      <w:divBdr>
        <w:top w:val="none" w:sz="0" w:space="0" w:color="auto"/>
        <w:left w:val="none" w:sz="0" w:space="0" w:color="auto"/>
        <w:bottom w:val="none" w:sz="0" w:space="0" w:color="auto"/>
        <w:right w:val="none" w:sz="0" w:space="0" w:color="auto"/>
      </w:divBdr>
    </w:div>
    <w:div w:id="1012295271">
      <w:bodyDiv w:val="1"/>
      <w:marLeft w:val="0"/>
      <w:marRight w:val="0"/>
      <w:marTop w:val="0"/>
      <w:marBottom w:val="0"/>
      <w:divBdr>
        <w:top w:val="none" w:sz="0" w:space="0" w:color="auto"/>
        <w:left w:val="none" w:sz="0" w:space="0" w:color="auto"/>
        <w:bottom w:val="none" w:sz="0" w:space="0" w:color="auto"/>
        <w:right w:val="none" w:sz="0" w:space="0" w:color="auto"/>
      </w:divBdr>
    </w:div>
    <w:div w:id="11222635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76847594">
      <w:bodyDiv w:val="1"/>
      <w:marLeft w:val="0"/>
      <w:marRight w:val="0"/>
      <w:marTop w:val="0"/>
      <w:marBottom w:val="0"/>
      <w:divBdr>
        <w:top w:val="none" w:sz="0" w:space="0" w:color="auto"/>
        <w:left w:val="none" w:sz="0" w:space="0" w:color="auto"/>
        <w:bottom w:val="none" w:sz="0" w:space="0" w:color="auto"/>
        <w:right w:val="none" w:sz="0" w:space="0" w:color="auto"/>
      </w:divBdr>
    </w:div>
    <w:div w:id="1234507636">
      <w:bodyDiv w:val="1"/>
      <w:marLeft w:val="0"/>
      <w:marRight w:val="0"/>
      <w:marTop w:val="0"/>
      <w:marBottom w:val="0"/>
      <w:divBdr>
        <w:top w:val="none" w:sz="0" w:space="0" w:color="auto"/>
        <w:left w:val="none" w:sz="0" w:space="0" w:color="auto"/>
        <w:bottom w:val="none" w:sz="0" w:space="0" w:color="auto"/>
        <w:right w:val="none" w:sz="0" w:space="0" w:color="auto"/>
      </w:divBdr>
    </w:div>
    <w:div w:id="1605188288">
      <w:bodyDiv w:val="1"/>
      <w:marLeft w:val="0"/>
      <w:marRight w:val="0"/>
      <w:marTop w:val="0"/>
      <w:marBottom w:val="0"/>
      <w:divBdr>
        <w:top w:val="none" w:sz="0" w:space="0" w:color="auto"/>
        <w:left w:val="none" w:sz="0" w:space="0" w:color="auto"/>
        <w:bottom w:val="none" w:sz="0" w:space="0" w:color="auto"/>
        <w:right w:val="none" w:sz="0" w:space="0" w:color="auto"/>
      </w:divBdr>
    </w:div>
    <w:div w:id="1688631080">
      <w:bodyDiv w:val="1"/>
      <w:marLeft w:val="0"/>
      <w:marRight w:val="0"/>
      <w:marTop w:val="0"/>
      <w:marBottom w:val="0"/>
      <w:divBdr>
        <w:top w:val="none" w:sz="0" w:space="0" w:color="auto"/>
        <w:left w:val="none" w:sz="0" w:space="0" w:color="auto"/>
        <w:bottom w:val="none" w:sz="0" w:space="0" w:color="auto"/>
        <w:right w:val="none" w:sz="0" w:space="0" w:color="auto"/>
      </w:divBdr>
    </w:div>
    <w:div w:id="1780176198">
      <w:bodyDiv w:val="1"/>
      <w:marLeft w:val="0"/>
      <w:marRight w:val="0"/>
      <w:marTop w:val="0"/>
      <w:marBottom w:val="0"/>
      <w:divBdr>
        <w:top w:val="none" w:sz="0" w:space="0" w:color="auto"/>
        <w:left w:val="none" w:sz="0" w:space="0" w:color="auto"/>
        <w:bottom w:val="none" w:sz="0" w:space="0" w:color="auto"/>
        <w:right w:val="none" w:sz="0" w:space="0" w:color="auto"/>
      </w:divBdr>
    </w:div>
    <w:div w:id="1903100586">
      <w:bodyDiv w:val="1"/>
      <w:marLeft w:val="0"/>
      <w:marRight w:val="0"/>
      <w:marTop w:val="0"/>
      <w:marBottom w:val="0"/>
      <w:divBdr>
        <w:top w:val="none" w:sz="0" w:space="0" w:color="auto"/>
        <w:left w:val="none" w:sz="0" w:space="0" w:color="auto"/>
        <w:bottom w:val="none" w:sz="0" w:space="0" w:color="auto"/>
        <w:right w:val="none" w:sz="0" w:space="0" w:color="auto"/>
      </w:divBdr>
    </w:div>
    <w:div w:id="1984314312">
      <w:bodyDiv w:val="1"/>
      <w:marLeft w:val="0"/>
      <w:marRight w:val="0"/>
      <w:marTop w:val="0"/>
      <w:marBottom w:val="0"/>
      <w:divBdr>
        <w:top w:val="none" w:sz="0" w:space="0" w:color="auto"/>
        <w:left w:val="none" w:sz="0" w:space="0" w:color="auto"/>
        <w:bottom w:val="none" w:sz="0" w:space="0" w:color="auto"/>
        <w:right w:val="none" w:sz="0" w:space="0" w:color="auto"/>
      </w:divBdr>
      <w:divsChild>
        <w:div w:id="20713301">
          <w:marLeft w:val="0"/>
          <w:marRight w:val="0"/>
          <w:marTop w:val="0"/>
          <w:marBottom w:val="0"/>
          <w:divBdr>
            <w:top w:val="none" w:sz="0" w:space="0" w:color="auto"/>
            <w:left w:val="none" w:sz="0" w:space="0" w:color="auto"/>
            <w:bottom w:val="none" w:sz="0" w:space="0" w:color="auto"/>
            <w:right w:val="none" w:sz="0" w:space="0" w:color="auto"/>
          </w:divBdr>
          <w:divsChild>
            <w:div w:id="724910188">
              <w:marLeft w:val="0"/>
              <w:marRight w:val="0"/>
              <w:marTop w:val="0"/>
              <w:marBottom w:val="0"/>
              <w:divBdr>
                <w:top w:val="none" w:sz="0" w:space="0" w:color="auto"/>
                <w:left w:val="none" w:sz="0" w:space="0" w:color="auto"/>
                <w:bottom w:val="none" w:sz="0" w:space="0" w:color="auto"/>
                <w:right w:val="none" w:sz="0" w:space="0" w:color="auto"/>
              </w:divBdr>
            </w:div>
          </w:divsChild>
        </w:div>
        <w:div w:id="76826114">
          <w:marLeft w:val="0"/>
          <w:marRight w:val="0"/>
          <w:marTop w:val="0"/>
          <w:marBottom w:val="0"/>
          <w:divBdr>
            <w:top w:val="none" w:sz="0" w:space="0" w:color="auto"/>
            <w:left w:val="none" w:sz="0" w:space="0" w:color="auto"/>
            <w:bottom w:val="none" w:sz="0" w:space="0" w:color="auto"/>
            <w:right w:val="none" w:sz="0" w:space="0" w:color="auto"/>
          </w:divBdr>
          <w:divsChild>
            <w:div w:id="980962883">
              <w:marLeft w:val="0"/>
              <w:marRight w:val="0"/>
              <w:marTop w:val="0"/>
              <w:marBottom w:val="0"/>
              <w:divBdr>
                <w:top w:val="none" w:sz="0" w:space="0" w:color="auto"/>
                <w:left w:val="none" w:sz="0" w:space="0" w:color="auto"/>
                <w:bottom w:val="none" w:sz="0" w:space="0" w:color="auto"/>
                <w:right w:val="none" w:sz="0" w:space="0" w:color="auto"/>
              </w:divBdr>
            </w:div>
          </w:divsChild>
        </w:div>
        <w:div w:id="80103190">
          <w:marLeft w:val="0"/>
          <w:marRight w:val="0"/>
          <w:marTop w:val="0"/>
          <w:marBottom w:val="0"/>
          <w:divBdr>
            <w:top w:val="none" w:sz="0" w:space="0" w:color="auto"/>
            <w:left w:val="none" w:sz="0" w:space="0" w:color="auto"/>
            <w:bottom w:val="none" w:sz="0" w:space="0" w:color="auto"/>
            <w:right w:val="none" w:sz="0" w:space="0" w:color="auto"/>
          </w:divBdr>
          <w:divsChild>
            <w:div w:id="330645118">
              <w:marLeft w:val="0"/>
              <w:marRight w:val="0"/>
              <w:marTop w:val="0"/>
              <w:marBottom w:val="0"/>
              <w:divBdr>
                <w:top w:val="none" w:sz="0" w:space="0" w:color="auto"/>
                <w:left w:val="none" w:sz="0" w:space="0" w:color="auto"/>
                <w:bottom w:val="none" w:sz="0" w:space="0" w:color="auto"/>
                <w:right w:val="none" w:sz="0" w:space="0" w:color="auto"/>
              </w:divBdr>
            </w:div>
          </w:divsChild>
        </w:div>
        <w:div w:id="89662993">
          <w:marLeft w:val="0"/>
          <w:marRight w:val="0"/>
          <w:marTop w:val="0"/>
          <w:marBottom w:val="0"/>
          <w:divBdr>
            <w:top w:val="none" w:sz="0" w:space="0" w:color="auto"/>
            <w:left w:val="none" w:sz="0" w:space="0" w:color="auto"/>
            <w:bottom w:val="none" w:sz="0" w:space="0" w:color="auto"/>
            <w:right w:val="none" w:sz="0" w:space="0" w:color="auto"/>
          </w:divBdr>
          <w:divsChild>
            <w:div w:id="1807046342">
              <w:marLeft w:val="0"/>
              <w:marRight w:val="0"/>
              <w:marTop w:val="0"/>
              <w:marBottom w:val="0"/>
              <w:divBdr>
                <w:top w:val="none" w:sz="0" w:space="0" w:color="auto"/>
                <w:left w:val="none" w:sz="0" w:space="0" w:color="auto"/>
                <w:bottom w:val="none" w:sz="0" w:space="0" w:color="auto"/>
                <w:right w:val="none" w:sz="0" w:space="0" w:color="auto"/>
              </w:divBdr>
            </w:div>
          </w:divsChild>
        </w:div>
        <w:div w:id="249896248">
          <w:marLeft w:val="0"/>
          <w:marRight w:val="0"/>
          <w:marTop w:val="0"/>
          <w:marBottom w:val="0"/>
          <w:divBdr>
            <w:top w:val="none" w:sz="0" w:space="0" w:color="auto"/>
            <w:left w:val="none" w:sz="0" w:space="0" w:color="auto"/>
            <w:bottom w:val="none" w:sz="0" w:space="0" w:color="auto"/>
            <w:right w:val="none" w:sz="0" w:space="0" w:color="auto"/>
          </w:divBdr>
          <w:divsChild>
            <w:div w:id="1869220862">
              <w:marLeft w:val="0"/>
              <w:marRight w:val="0"/>
              <w:marTop w:val="0"/>
              <w:marBottom w:val="0"/>
              <w:divBdr>
                <w:top w:val="none" w:sz="0" w:space="0" w:color="auto"/>
                <w:left w:val="none" w:sz="0" w:space="0" w:color="auto"/>
                <w:bottom w:val="none" w:sz="0" w:space="0" w:color="auto"/>
                <w:right w:val="none" w:sz="0" w:space="0" w:color="auto"/>
              </w:divBdr>
            </w:div>
          </w:divsChild>
        </w:div>
        <w:div w:id="328676045">
          <w:marLeft w:val="0"/>
          <w:marRight w:val="0"/>
          <w:marTop w:val="0"/>
          <w:marBottom w:val="0"/>
          <w:divBdr>
            <w:top w:val="none" w:sz="0" w:space="0" w:color="auto"/>
            <w:left w:val="none" w:sz="0" w:space="0" w:color="auto"/>
            <w:bottom w:val="none" w:sz="0" w:space="0" w:color="auto"/>
            <w:right w:val="none" w:sz="0" w:space="0" w:color="auto"/>
          </w:divBdr>
          <w:divsChild>
            <w:div w:id="183639946">
              <w:marLeft w:val="0"/>
              <w:marRight w:val="0"/>
              <w:marTop w:val="0"/>
              <w:marBottom w:val="0"/>
              <w:divBdr>
                <w:top w:val="none" w:sz="0" w:space="0" w:color="auto"/>
                <w:left w:val="none" w:sz="0" w:space="0" w:color="auto"/>
                <w:bottom w:val="none" w:sz="0" w:space="0" w:color="auto"/>
                <w:right w:val="none" w:sz="0" w:space="0" w:color="auto"/>
              </w:divBdr>
            </w:div>
          </w:divsChild>
        </w:div>
        <w:div w:id="345596134">
          <w:marLeft w:val="0"/>
          <w:marRight w:val="0"/>
          <w:marTop w:val="0"/>
          <w:marBottom w:val="0"/>
          <w:divBdr>
            <w:top w:val="none" w:sz="0" w:space="0" w:color="auto"/>
            <w:left w:val="none" w:sz="0" w:space="0" w:color="auto"/>
            <w:bottom w:val="none" w:sz="0" w:space="0" w:color="auto"/>
            <w:right w:val="none" w:sz="0" w:space="0" w:color="auto"/>
          </w:divBdr>
          <w:divsChild>
            <w:div w:id="896014408">
              <w:marLeft w:val="0"/>
              <w:marRight w:val="0"/>
              <w:marTop w:val="0"/>
              <w:marBottom w:val="0"/>
              <w:divBdr>
                <w:top w:val="none" w:sz="0" w:space="0" w:color="auto"/>
                <w:left w:val="none" w:sz="0" w:space="0" w:color="auto"/>
                <w:bottom w:val="none" w:sz="0" w:space="0" w:color="auto"/>
                <w:right w:val="none" w:sz="0" w:space="0" w:color="auto"/>
              </w:divBdr>
            </w:div>
          </w:divsChild>
        </w:div>
        <w:div w:id="348795357">
          <w:marLeft w:val="0"/>
          <w:marRight w:val="0"/>
          <w:marTop w:val="0"/>
          <w:marBottom w:val="0"/>
          <w:divBdr>
            <w:top w:val="none" w:sz="0" w:space="0" w:color="auto"/>
            <w:left w:val="none" w:sz="0" w:space="0" w:color="auto"/>
            <w:bottom w:val="none" w:sz="0" w:space="0" w:color="auto"/>
            <w:right w:val="none" w:sz="0" w:space="0" w:color="auto"/>
          </w:divBdr>
          <w:divsChild>
            <w:div w:id="789056677">
              <w:marLeft w:val="0"/>
              <w:marRight w:val="0"/>
              <w:marTop w:val="0"/>
              <w:marBottom w:val="0"/>
              <w:divBdr>
                <w:top w:val="none" w:sz="0" w:space="0" w:color="auto"/>
                <w:left w:val="none" w:sz="0" w:space="0" w:color="auto"/>
                <w:bottom w:val="none" w:sz="0" w:space="0" w:color="auto"/>
                <w:right w:val="none" w:sz="0" w:space="0" w:color="auto"/>
              </w:divBdr>
            </w:div>
          </w:divsChild>
        </w:div>
        <w:div w:id="454251189">
          <w:marLeft w:val="0"/>
          <w:marRight w:val="0"/>
          <w:marTop w:val="0"/>
          <w:marBottom w:val="0"/>
          <w:divBdr>
            <w:top w:val="none" w:sz="0" w:space="0" w:color="auto"/>
            <w:left w:val="none" w:sz="0" w:space="0" w:color="auto"/>
            <w:bottom w:val="none" w:sz="0" w:space="0" w:color="auto"/>
            <w:right w:val="none" w:sz="0" w:space="0" w:color="auto"/>
          </w:divBdr>
          <w:divsChild>
            <w:div w:id="1307853516">
              <w:marLeft w:val="0"/>
              <w:marRight w:val="0"/>
              <w:marTop w:val="0"/>
              <w:marBottom w:val="0"/>
              <w:divBdr>
                <w:top w:val="none" w:sz="0" w:space="0" w:color="auto"/>
                <w:left w:val="none" w:sz="0" w:space="0" w:color="auto"/>
                <w:bottom w:val="none" w:sz="0" w:space="0" w:color="auto"/>
                <w:right w:val="none" w:sz="0" w:space="0" w:color="auto"/>
              </w:divBdr>
            </w:div>
          </w:divsChild>
        </w:div>
        <w:div w:id="525824763">
          <w:marLeft w:val="0"/>
          <w:marRight w:val="0"/>
          <w:marTop w:val="0"/>
          <w:marBottom w:val="0"/>
          <w:divBdr>
            <w:top w:val="none" w:sz="0" w:space="0" w:color="auto"/>
            <w:left w:val="none" w:sz="0" w:space="0" w:color="auto"/>
            <w:bottom w:val="none" w:sz="0" w:space="0" w:color="auto"/>
            <w:right w:val="none" w:sz="0" w:space="0" w:color="auto"/>
          </w:divBdr>
          <w:divsChild>
            <w:div w:id="1336567262">
              <w:marLeft w:val="0"/>
              <w:marRight w:val="0"/>
              <w:marTop w:val="0"/>
              <w:marBottom w:val="0"/>
              <w:divBdr>
                <w:top w:val="none" w:sz="0" w:space="0" w:color="auto"/>
                <w:left w:val="none" w:sz="0" w:space="0" w:color="auto"/>
                <w:bottom w:val="none" w:sz="0" w:space="0" w:color="auto"/>
                <w:right w:val="none" w:sz="0" w:space="0" w:color="auto"/>
              </w:divBdr>
            </w:div>
          </w:divsChild>
        </w:div>
        <w:div w:id="540048063">
          <w:marLeft w:val="0"/>
          <w:marRight w:val="0"/>
          <w:marTop w:val="0"/>
          <w:marBottom w:val="0"/>
          <w:divBdr>
            <w:top w:val="none" w:sz="0" w:space="0" w:color="auto"/>
            <w:left w:val="none" w:sz="0" w:space="0" w:color="auto"/>
            <w:bottom w:val="none" w:sz="0" w:space="0" w:color="auto"/>
            <w:right w:val="none" w:sz="0" w:space="0" w:color="auto"/>
          </w:divBdr>
          <w:divsChild>
            <w:div w:id="26493841">
              <w:marLeft w:val="0"/>
              <w:marRight w:val="0"/>
              <w:marTop w:val="0"/>
              <w:marBottom w:val="0"/>
              <w:divBdr>
                <w:top w:val="none" w:sz="0" w:space="0" w:color="auto"/>
                <w:left w:val="none" w:sz="0" w:space="0" w:color="auto"/>
                <w:bottom w:val="none" w:sz="0" w:space="0" w:color="auto"/>
                <w:right w:val="none" w:sz="0" w:space="0" w:color="auto"/>
              </w:divBdr>
            </w:div>
          </w:divsChild>
        </w:div>
        <w:div w:id="613100182">
          <w:marLeft w:val="0"/>
          <w:marRight w:val="0"/>
          <w:marTop w:val="0"/>
          <w:marBottom w:val="0"/>
          <w:divBdr>
            <w:top w:val="none" w:sz="0" w:space="0" w:color="auto"/>
            <w:left w:val="none" w:sz="0" w:space="0" w:color="auto"/>
            <w:bottom w:val="none" w:sz="0" w:space="0" w:color="auto"/>
            <w:right w:val="none" w:sz="0" w:space="0" w:color="auto"/>
          </w:divBdr>
          <w:divsChild>
            <w:div w:id="1146357124">
              <w:marLeft w:val="0"/>
              <w:marRight w:val="0"/>
              <w:marTop w:val="0"/>
              <w:marBottom w:val="0"/>
              <w:divBdr>
                <w:top w:val="none" w:sz="0" w:space="0" w:color="auto"/>
                <w:left w:val="none" w:sz="0" w:space="0" w:color="auto"/>
                <w:bottom w:val="none" w:sz="0" w:space="0" w:color="auto"/>
                <w:right w:val="none" w:sz="0" w:space="0" w:color="auto"/>
              </w:divBdr>
            </w:div>
          </w:divsChild>
        </w:div>
        <w:div w:id="662586475">
          <w:marLeft w:val="0"/>
          <w:marRight w:val="0"/>
          <w:marTop w:val="0"/>
          <w:marBottom w:val="0"/>
          <w:divBdr>
            <w:top w:val="none" w:sz="0" w:space="0" w:color="auto"/>
            <w:left w:val="none" w:sz="0" w:space="0" w:color="auto"/>
            <w:bottom w:val="none" w:sz="0" w:space="0" w:color="auto"/>
            <w:right w:val="none" w:sz="0" w:space="0" w:color="auto"/>
          </w:divBdr>
          <w:divsChild>
            <w:div w:id="2072339868">
              <w:marLeft w:val="0"/>
              <w:marRight w:val="0"/>
              <w:marTop w:val="0"/>
              <w:marBottom w:val="0"/>
              <w:divBdr>
                <w:top w:val="none" w:sz="0" w:space="0" w:color="auto"/>
                <w:left w:val="none" w:sz="0" w:space="0" w:color="auto"/>
                <w:bottom w:val="none" w:sz="0" w:space="0" w:color="auto"/>
                <w:right w:val="none" w:sz="0" w:space="0" w:color="auto"/>
              </w:divBdr>
            </w:div>
          </w:divsChild>
        </w:div>
        <w:div w:id="665212412">
          <w:marLeft w:val="0"/>
          <w:marRight w:val="0"/>
          <w:marTop w:val="0"/>
          <w:marBottom w:val="0"/>
          <w:divBdr>
            <w:top w:val="none" w:sz="0" w:space="0" w:color="auto"/>
            <w:left w:val="none" w:sz="0" w:space="0" w:color="auto"/>
            <w:bottom w:val="none" w:sz="0" w:space="0" w:color="auto"/>
            <w:right w:val="none" w:sz="0" w:space="0" w:color="auto"/>
          </w:divBdr>
          <w:divsChild>
            <w:div w:id="423498367">
              <w:marLeft w:val="0"/>
              <w:marRight w:val="0"/>
              <w:marTop w:val="0"/>
              <w:marBottom w:val="0"/>
              <w:divBdr>
                <w:top w:val="none" w:sz="0" w:space="0" w:color="auto"/>
                <w:left w:val="none" w:sz="0" w:space="0" w:color="auto"/>
                <w:bottom w:val="none" w:sz="0" w:space="0" w:color="auto"/>
                <w:right w:val="none" w:sz="0" w:space="0" w:color="auto"/>
              </w:divBdr>
            </w:div>
          </w:divsChild>
        </w:div>
        <w:div w:id="686293388">
          <w:marLeft w:val="0"/>
          <w:marRight w:val="0"/>
          <w:marTop w:val="0"/>
          <w:marBottom w:val="0"/>
          <w:divBdr>
            <w:top w:val="none" w:sz="0" w:space="0" w:color="auto"/>
            <w:left w:val="none" w:sz="0" w:space="0" w:color="auto"/>
            <w:bottom w:val="none" w:sz="0" w:space="0" w:color="auto"/>
            <w:right w:val="none" w:sz="0" w:space="0" w:color="auto"/>
          </w:divBdr>
          <w:divsChild>
            <w:div w:id="598492866">
              <w:marLeft w:val="0"/>
              <w:marRight w:val="0"/>
              <w:marTop w:val="0"/>
              <w:marBottom w:val="0"/>
              <w:divBdr>
                <w:top w:val="none" w:sz="0" w:space="0" w:color="auto"/>
                <w:left w:val="none" w:sz="0" w:space="0" w:color="auto"/>
                <w:bottom w:val="none" w:sz="0" w:space="0" w:color="auto"/>
                <w:right w:val="none" w:sz="0" w:space="0" w:color="auto"/>
              </w:divBdr>
            </w:div>
          </w:divsChild>
        </w:div>
        <w:div w:id="732893906">
          <w:marLeft w:val="0"/>
          <w:marRight w:val="0"/>
          <w:marTop w:val="0"/>
          <w:marBottom w:val="0"/>
          <w:divBdr>
            <w:top w:val="none" w:sz="0" w:space="0" w:color="auto"/>
            <w:left w:val="none" w:sz="0" w:space="0" w:color="auto"/>
            <w:bottom w:val="none" w:sz="0" w:space="0" w:color="auto"/>
            <w:right w:val="none" w:sz="0" w:space="0" w:color="auto"/>
          </w:divBdr>
          <w:divsChild>
            <w:div w:id="1432630387">
              <w:marLeft w:val="0"/>
              <w:marRight w:val="0"/>
              <w:marTop w:val="0"/>
              <w:marBottom w:val="0"/>
              <w:divBdr>
                <w:top w:val="none" w:sz="0" w:space="0" w:color="auto"/>
                <w:left w:val="none" w:sz="0" w:space="0" w:color="auto"/>
                <w:bottom w:val="none" w:sz="0" w:space="0" w:color="auto"/>
                <w:right w:val="none" w:sz="0" w:space="0" w:color="auto"/>
              </w:divBdr>
            </w:div>
          </w:divsChild>
        </w:div>
        <w:div w:id="868570496">
          <w:marLeft w:val="0"/>
          <w:marRight w:val="0"/>
          <w:marTop w:val="0"/>
          <w:marBottom w:val="0"/>
          <w:divBdr>
            <w:top w:val="none" w:sz="0" w:space="0" w:color="auto"/>
            <w:left w:val="none" w:sz="0" w:space="0" w:color="auto"/>
            <w:bottom w:val="none" w:sz="0" w:space="0" w:color="auto"/>
            <w:right w:val="none" w:sz="0" w:space="0" w:color="auto"/>
          </w:divBdr>
          <w:divsChild>
            <w:div w:id="2124300687">
              <w:marLeft w:val="0"/>
              <w:marRight w:val="0"/>
              <w:marTop w:val="0"/>
              <w:marBottom w:val="0"/>
              <w:divBdr>
                <w:top w:val="none" w:sz="0" w:space="0" w:color="auto"/>
                <w:left w:val="none" w:sz="0" w:space="0" w:color="auto"/>
                <w:bottom w:val="none" w:sz="0" w:space="0" w:color="auto"/>
                <w:right w:val="none" w:sz="0" w:space="0" w:color="auto"/>
              </w:divBdr>
            </w:div>
          </w:divsChild>
        </w:div>
        <w:div w:id="916355443">
          <w:marLeft w:val="0"/>
          <w:marRight w:val="0"/>
          <w:marTop w:val="0"/>
          <w:marBottom w:val="0"/>
          <w:divBdr>
            <w:top w:val="none" w:sz="0" w:space="0" w:color="auto"/>
            <w:left w:val="none" w:sz="0" w:space="0" w:color="auto"/>
            <w:bottom w:val="none" w:sz="0" w:space="0" w:color="auto"/>
            <w:right w:val="none" w:sz="0" w:space="0" w:color="auto"/>
          </w:divBdr>
          <w:divsChild>
            <w:div w:id="910651204">
              <w:marLeft w:val="0"/>
              <w:marRight w:val="0"/>
              <w:marTop w:val="0"/>
              <w:marBottom w:val="0"/>
              <w:divBdr>
                <w:top w:val="none" w:sz="0" w:space="0" w:color="auto"/>
                <w:left w:val="none" w:sz="0" w:space="0" w:color="auto"/>
                <w:bottom w:val="none" w:sz="0" w:space="0" w:color="auto"/>
                <w:right w:val="none" w:sz="0" w:space="0" w:color="auto"/>
              </w:divBdr>
            </w:div>
          </w:divsChild>
        </w:div>
        <w:div w:id="936862607">
          <w:marLeft w:val="0"/>
          <w:marRight w:val="0"/>
          <w:marTop w:val="0"/>
          <w:marBottom w:val="0"/>
          <w:divBdr>
            <w:top w:val="none" w:sz="0" w:space="0" w:color="auto"/>
            <w:left w:val="none" w:sz="0" w:space="0" w:color="auto"/>
            <w:bottom w:val="none" w:sz="0" w:space="0" w:color="auto"/>
            <w:right w:val="none" w:sz="0" w:space="0" w:color="auto"/>
          </w:divBdr>
          <w:divsChild>
            <w:div w:id="1150900348">
              <w:marLeft w:val="0"/>
              <w:marRight w:val="0"/>
              <w:marTop w:val="0"/>
              <w:marBottom w:val="0"/>
              <w:divBdr>
                <w:top w:val="none" w:sz="0" w:space="0" w:color="auto"/>
                <w:left w:val="none" w:sz="0" w:space="0" w:color="auto"/>
                <w:bottom w:val="none" w:sz="0" w:space="0" w:color="auto"/>
                <w:right w:val="none" w:sz="0" w:space="0" w:color="auto"/>
              </w:divBdr>
            </w:div>
          </w:divsChild>
        </w:div>
        <w:div w:id="963852046">
          <w:marLeft w:val="0"/>
          <w:marRight w:val="0"/>
          <w:marTop w:val="0"/>
          <w:marBottom w:val="0"/>
          <w:divBdr>
            <w:top w:val="none" w:sz="0" w:space="0" w:color="auto"/>
            <w:left w:val="none" w:sz="0" w:space="0" w:color="auto"/>
            <w:bottom w:val="none" w:sz="0" w:space="0" w:color="auto"/>
            <w:right w:val="none" w:sz="0" w:space="0" w:color="auto"/>
          </w:divBdr>
          <w:divsChild>
            <w:div w:id="2058891035">
              <w:marLeft w:val="0"/>
              <w:marRight w:val="0"/>
              <w:marTop w:val="0"/>
              <w:marBottom w:val="0"/>
              <w:divBdr>
                <w:top w:val="none" w:sz="0" w:space="0" w:color="auto"/>
                <w:left w:val="none" w:sz="0" w:space="0" w:color="auto"/>
                <w:bottom w:val="none" w:sz="0" w:space="0" w:color="auto"/>
                <w:right w:val="none" w:sz="0" w:space="0" w:color="auto"/>
              </w:divBdr>
            </w:div>
          </w:divsChild>
        </w:div>
        <w:div w:id="1012102595">
          <w:marLeft w:val="0"/>
          <w:marRight w:val="0"/>
          <w:marTop w:val="0"/>
          <w:marBottom w:val="0"/>
          <w:divBdr>
            <w:top w:val="none" w:sz="0" w:space="0" w:color="auto"/>
            <w:left w:val="none" w:sz="0" w:space="0" w:color="auto"/>
            <w:bottom w:val="none" w:sz="0" w:space="0" w:color="auto"/>
            <w:right w:val="none" w:sz="0" w:space="0" w:color="auto"/>
          </w:divBdr>
          <w:divsChild>
            <w:div w:id="247037075">
              <w:marLeft w:val="0"/>
              <w:marRight w:val="0"/>
              <w:marTop w:val="0"/>
              <w:marBottom w:val="0"/>
              <w:divBdr>
                <w:top w:val="none" w:sz="0" w:space="0" w:color="auto"/>
                <w:left w:val="none" w:sz="0" w:space="0" w:color="auto"/>
                <w:bottom w:val="none" w:sz="0" w:space="0" w:color="auto"/>
                <w:right w:val="none" w:sz="0" w:space="0" w:color="auto"/>
              </w:divBdr>
            </w:div>
          </w:divsChild>
        </w:div>
        <w:div w:id="1018120158">
          <w:marLeft w:val="0"/>
          <w:marRight w:val="0"/>
          <w:marTop w:val="0"/>
          <w:marBottom w:val="0"/>
          <w:divBdr>
            <w:top w:val="none" w:sz="0" w:space="0" w:color="auto"/>
            <w:left w:val="none" w:sz="0" w:space="0" w:color="auto"/>
            <w:bottom w:val="none" w:sz="0" w:space="0" w:color="auto"/>
            <w:right w:val="none" w:sz="0" w:space="0" w:color="auto"/>
          </w:divBdr>
          <w:divsChild>
            <w:div w:id="1540971731">
              <w:marLeft w:val="0"/>
              <w:marRight w:val="0"/>
              <w:marTop w:val="0"/>
              <w:marBottom w:val="0"/>
              <w:divBdr>
                <w:top w:val="none" w:sz="0" w:space="0" w:color="auto"/>
                <w:left w:val="none" w:sz="0" w:space="0" w:color="auto"/>
                <w:bottom w:val="none" w:sz="0" w:space="0" w:color="auto"/>
                <w:right w:val="none" w:sz="0" w:space="0" w:color="auto"/>
              </w:divBdr>
            </w:div>
          </w:divsChild>
        </w:div>
        <w:div w:id="1028532033">
          <w:marLeft w:val="0"/>
          <w:marRight w:val="0"/>
          <w:marTop w:val="0"/>
          <w:marBottom w:val="0"/>
          <w:divBdr>
            <w:top w:val="none" w:sz="0" w:space="0" w:color="auto"/>
            <w:left w:val="none" w:sz="0" w:space="0" w:color="auto"/>
            <w:bottom w:val="none" w:sz="0" w:space="0" w:color="auto"/>
            <w:right w:val="none" w:sz="0" w:space="0" w:color="auto"/>
          </w:divBdr>
          <w:divsChild>
            <w:div w:id="1404372430">
              <w:marLeft w:val="0"/>
              <w:marRight w:val="0"/>
              <w:marTop w:val="0"/>
              <w:marBottom w:val="0"/>
              <w:divBdr>
                <w:top w:val="none" w:sz="0" w:space="0" w:color="auto"/>
                <w:left w:val="none" w:sz="0" w:space="0" w:color="auto"/>
                <w:bottom w:val="none" w:sz="0" w:space="0" w:color="auto"/>
                <w:right w:val="none" w:sz="0" w:space="0" w:color="auto"/>
              </w:divBdr>
            </w:div>
          </w:divsChild>
        </w:div>
        <w:div w:id="1069498085">
          <w:marLeft w:val="0"/>
          <w:marRight w:val="0"/>
          <w:marTop w:val="0"/>
          <w:marBottom w:val="0"/>
          <w:divBdr>
            <w:top w:val="none" w:sz="0" w:space="0" w:color="auto"/>
            <w:left w:val="none" w:sz="0" w:space="0" w:color="auto"/>
            <w:bottom w:val="none" w:sz="0" w:space="0" w:color="auto"/>
            <w:right w:val="none" w:sz="0" w:space="0" w:color="auto"/>
          </w:divBdr>
          <w:divsChild>
            <w:div w:id="1541362482">
              <w:marLeft w:val="0"/>
              <w:marRight w:val="0"/>
              <w:marTop w:val="0"/>
              <w:marBottom w:val="0"/>
              <w:divBdr>
                <w:top w:val="none" w:sz="0" w:space="0" w:color="auto"/>
                <w:left w:val="none" w:sz="0" w:space="0" w:color="auto"/>
                <w:bottom w:val="none" w:sz="0" w:space="0" w:color="auto"/>
                <w:right w:val="none" w:sz="0" w:space="0" w:color="auto"/>
              </w:divBdr>
            </w:div>
          </w:divsChild>
        </w:div>
        <w:div w:id="1077097826">
          <w:marLeft w:val="0"/>
          <w:marRight w:val="0"/>
          <w:marTop w:val="0"/>
          <w:marBottom w:val="0"/>
          <w:divBdr>
            <w:top w:val="none" w:sz="0" w:space="0" w:color="auto"/>
            <w:left w:val="none" w:sz="0" w:space="0" w:color="auto"/>
            <w:bottom w:val="none" w:sz="0" w:space="0" w:color="auto"/>
            <w:right w:val="none" w:sz="0" w:space="0" w:color="auto"/>
          </w:divBdr>
          <w:divsChild>
            <w:div w:id="1319770095">
              <w:marLeft w:val="0"/>
              <w:marRight w:val="0"/>
              <w:marTop w:val="0"/>
              <w:marBottom w:val="0"/>
              <w:divBdr>
                <w:top w:val="none" w:sz="0" w:space="0" w:color="auto"/>
                <w:left w:val="none" w:sz="0" w:space="0" w:color="auto"/>
                <w:bottom w:val="none" w:sz="0" w:space="0" w:color="auto"/>
                <w:right w:val="none" w:sz="0" w:space="0" w:color="auto"/>
              </w:divBdr>
            </w:div>
          </w:divsChild>
        </w:div>
        <w:div w:id="1089275136">
          <w:marLeft w:val="0"/>
          <w:marRight w:val="0"/>
          <w:marTop w:val="0"/>
          <w:marBottom w:val="0"/>
          <w:divBdr>
            <w:top w:val="none" w:sz="0" w:space="0" w:color="auto"/>
            <w:left w:val="none" w:sz="0" w:space="0" w:color="auto"/>
            <w:bottom w:val="none" w:sz="0" w:space="0" w:color="auto"/>
            <w:right w:val="none" w:sz="0" w:space="0" w:color="auto"/>
          </w:divBdr>
          <w:divsChild>
            <w:div w:id="1781291596">
              <w:marLeft w:val="0"/>
              <w:marRight w:val="0"/>
              <w:marTop w:val="0"/>
              <w:marBottom w:val="0"/>
              <w:divBdr>
                <w:top w:val="none" w:sz="0" w:space="0" w:color="auto"/>
                <w:left w:val="none" w:sz="0" w:space="0" w:color="auto"/>
                <w:bottom w:val="none" w:sz="0" w:space="0" w:color="auto"/>
                <w:right w:val="none" w:sz="0" w:space="0" w:color="auto"/>
              </w:divBdr>
            </w:div>
          </w:divsChild>
        </w:div>
        <w:div w:id="1103650886">
          <w:marLeft w:val="0"/>
          <w:marRight w:val="0"/>
          <w:marTop w:val="0"/>
          <w:marBottom w:val="0"/>
          <w:divBdr>
            <w:top w:val="none" w:sz="0" w:space="0" w:color="auto"/>
            <w:left w:val="none" w:sz="0" w:space="0" w:color="auto"/>
            <w:bottom w:val="none" w:sz="0" w:space="0" w:color="auto"/>
            <w:right w:val="none" w:sz="0" w:space="0" w:color="auto"/>
          </w:divBdr>
          <w:divsChild>
            <w:div w:id="1043793095">
              <w:marLeft w:val="0"/>
              <w:marRight w:val="0"/>
              <w:marTop w:val="0"/>
              <w:marBottom w:val="0"/>
              <w:divBdr>
                <w:top w:val="none" w:sz="0" w:space="0" w:color="auto"/>
                <w:left w:val="none" w:sz="0" w:space="0" w:color="auto"/>
                <w:bottom w:val="none" w:sz="0" w:space="0" w:color="auto"/>
                <w:right w:val="none" w:sz="0" w:space="0" w:color="auto"/>
              </w:divBdr>
            </w:div>
          </w:divsChild>
        </w:div>
        <w:div w:id="1136794820">
          <w:marLeft w:val="0"/>
          <w:marRight w:val="0"/>
          <w:marTop w:val="0"/>
          <w:marBottom w:val="0"/>
          <w:divBdr>
            <w:top w:val="none" w:sz="0" w:space="0" w:color="auto"/>
            <w:left w:val="none" w:sz="0" w:space="0" w:color="auto"/>
            <w:bottom w:val="none" w:sz="0" w:space="0" w:color="auto"/>
            <w:right w:val="none" w:sz="0" w:space="0" w:color="auto"/>
          </w:divBdr>
          <w:divsChild>
            <w:div w:id="850337579">
              <w:marLeft w:val="0"/>
              <w:marRight w:val="0"/>
              <w:marTop w:val="0"/>
              <w:marBottom w:val="0"/>
              <w:divBdr>
                <w:top w:val="none" w:sz="0" w:space="0" w:color="auto"/>
                <w:left w:val="none" w:sz="0" w:space="0" w:color="auto"/>
                <w:bottom w:val="none" w:sz="0" w:space="0" w:color="auto"/>
                <w:right w:val="none" w:sz="0" w:space="0" w:color="auto"/>
              </w:divBdr>
            </w:div>
          </w:divsChild>
        </w:div>
        <w:div w:id="1188518246">
          <w:marLeft w:val="0"/>
          <w:marRight w:val="0"/>
          <w:marTop w:val="0"/>
          <w:marBottom w:val="0"/>
          <w:divBdr>
            <w:top w:val="none" w:sz="0" w:space="0" w:color="auto"/>
            <w:left w:val="none" w:sz="0" w:space="0" w:color="auto"/>
            <w:bottom w:val="none" w:sz="0" w:space="0" w:color="auto"/>
            <w:right w:val="none" w:sz="0" w:space="0" w:color="auto"/>
          </w:divBdr>
          <w:divsChild>
            <w:div w:id="285696159">
              <w:marLeft w:val="0"/>
              <w:marRight w:val="0"/>
              <w:marTop w:val="0"/>
              <w:marBottom w:val="0"/>
              <w:divBdr>
                <w:top w:val="none" w:sz="0" w:space="0" w:color="auto"/>
                <w:left w:val="none" w:sz="0" w:space="0" w:color="auto"/>
                <w:bottom w:val="none" w:sz="0" w:space="0" w:color="auto"/>
                <w:right w:val="none" w:sz="0" w:space="0" w:color="auto"/>
              </w:divBdr>
            </w:div>
          </w:divsChild>
        </w:div>
        <w:div w:id="1228879416">
          <w:marLeft w:val="0"/>
          <w:marRight w:val="0"/>
          <w:marTop w:val="0"/>
          <w:marBottom w:val="0"/>
          <w:divBdr>
            <w:top w:val="none" w:sz="0" w:space="0" w:color="auto"/>
            <w:left w:val="none" w:sz="0" w:space="0" w:color="auto"/>
            <w:bottom w:val="none" w:sz="0" w:space="0" w:color="auto"/>
            <w:right w:val="none" w:sz="0" w:space="0" w:color="auto"/>
          </w:divBdr>
          <w:divsChild>
            <w:div w:id="1871068600">
              <w:marLeft w:val="0"/>
              <w:marRight w:val="0"/>
              <w:marTop w:val="0"/>
              <w:marBottom w:val="0"/>
              <w:divBdr>
                <w:top w:val="none" w:sz="0" w:space="0" w:color="auto"/>
                <w:left w:val="none" w:sz="0" w:space="0" w:color="auto"/>
                <w:bottom w:val="none" w:sz="0" w:space="0" w:color="auto"/>
                <w:right w:val="none" w:sz="0" w:space="0" w:color="auto"/>
              </w:divBdr>
            </w:div>
          </w:divsChild>
        </w:div>
        <w:div w:id="1242980539">
          <w:marLeft w:val="0"/>
          <w:marRight w:val="0"/>
          <w:marTop w:val="0"/>
          <w:marBottom w:val="0"/>
          <w:divBdr>
            <w:top w:val="none" w:sz="0" w:space="0" w:color="auto"/>
            <w:left w:val="none" w:sz="0" w:space="0" w:color="auto"/>
            <w:bottom w:val="none" w:sz="0" w:space="0" w:color="auto"/>
            <w:right w:val="none" w:sz="0" w:space="0" w:color="auto"/>
          </w:divBdr>
          <w:divsChild>
            <w:div w:id="533810166">
              <w:marLeft w:val="0"/>
              <w:marRight w:val="0"/>
              <w:marTop w:val="0"/>
              <w:marBottom w:val="0"/>
              <w:divBdr>
                <w:top w:val="none" w:sz="0" w:space="0" w:color="auto"/>
                <w:left w:val="none" w:sz="0" w:space="0" w:color="auto"/>
                <w:bottom w:val="none" w:sz="0" w:space="0" w:color="auto"/>
                <w:right w:val="none" w:sz="0" w:space="0" w:color="auto"/>
              </w:divBdr>
            </w:div>
          </w:divsChild>
        </w:div>
        <w:div w:id="1245071013">
          <w:marLeft w:val="0"/>
          <w:marRight w:val="0"/>
          <w:marTop w:val="0"/>
          <w:marBottom w:val="0"/>
          <w:divBdr>
            <w:top w:val="none" w:sz="0" w:space="0" w:color="auto"/>
            <w:left w:val="none" w:sz="0" w:space="0" w:color="auto"/>
            <w:bottom w:val="none" w:sz="0" w:space="0" w:color="auto"/>
            <w:right w:val="none" w:sz="0" w:space="0" w:color="auto"/>
          </w:divBdr>
          <w:divsChild>
            <w:div w:id="1973899235">
              <w:marLeft w:val="0"/>
              <w:marRight w:val="0"/>
              <w:marTop w:val="0"/>
              <w:marBottom w:val="0"/>
              <w:divBdr>
                <w:top w:val="none" w:sz="0" w:space="0" w:color="auto"/>
                <w:left w:val="none" w:sz="0" w:space="0" w:color="auto"/>
                <w:bottom w:val="none" w:sz="0" w:space="0" w:color="auto"/>
                <w:right w:val="none" w:sz="0" w:space="0" w:color="auto"/>
              </w:divBdr>
            </w:div>
          </w:divsChild>
        </w:div>
        <w:div w:id="1314675813">
          <w:marLeft w:val="0"/>
          <w:marRight w:val="0"/>
          <w:marTop w:val="0"/>
          <w:marBottom w:val="0"/>
          <w:divBdr>
            <w:top w:val="none" w:sz="0" w:space="0" w:color="auto"/>
            <w:left w:val="none" w:sz="0" w:space="0" w:color="auto"/>
            <w:bottom w:val="none" w:sz="0" w:space="0" w:color="auto"/>
            <w:right w:val="none" w:sz="0" w:space="0" w:color="auto"/>
          </w:divBdr>
          <w:divsChild>
            <w:div w:id="615451674">
              <w:marLeft w:val="0"/>
              <w:marRight w:val="0"/>
              <w:marTop w:val="0"/>
              <w:marBottom w:val="0"/>
              <w:divBdr>
                <w:top w:val="none" w:sz="0" w:space="0" w:color="auto"/>
                <w:left w:val="none" w:sz="0" w:space="0" w:color="auto"/>
                <w:bottom w:val="none" w:sz="0" w:space="0" w:color="auto"/>
                <w:right w:val="none" w:sz="0" w:space="0" w:color="auto"/>
              </w:divBdr>
            </w:div>
          </w:divsChild>
        </w:div>
        <w:div w:id="1390421621">
          <w:marLeft w:val="0"/>
          <w:marRight w:val="0"/>
          <w:marTop w:val="0"/>
          <w:marBottom w:val="0"/>
          <w:divBdr>
            <w:top w:val="none" w:sz="0" w:space="0" w:color="auto"/>
            <w:left w:val="none" w:sz="0" w:space="0" w:color="auto"/>
            <w:bottom w:val="none" w:sz="0" w:space="0" w:color="auto"/>
            <w:right w:val="none" w:sz="0" w:space="0" w:color="auto"/>
          </w:divBdr>
          <w:divsChild>
            <w:div w:id="1803495312">
              <w:marLeft w:val="0"/>
              <w:marRight w:val="0"/>
              <w:marTop w:val="0"/>
              <w:marBottom w:val="0"/>
              <w:divBdr>
                <w:top w:val="none" w:sz="0" w:space="0" w:color="auto"/>
                <w:left w:val="none" w:sz="0" w:space="0" w:color="auto"/>
                <w:bottom w:val="none" w:sz="0" w:space="0" w:color="auto"/>
                <w:right w:val="none" w:sz="0" w:space="0" w:color="auto"/>
              </w:divBdr>
            </w:div>
          </w:divsChild>
        </w:div>
        <w:div w:id="1488786538">
          <w:marLeft w:val="0"/>
          <w:marRight w:val="0"/>
          <w:marTop w:val="0"/>
          <w:marBottom w:val="0"/>
          <w:divBdr>
            <w:top w:val="none" w:sz="0" w:space="0" w:color="auto"/>
            <w:left w:val="none" w:sz="0" w:space="0" w:color="auto"/>
            <w:bottom w:val="none" w:sz="0" w:space="0" w:color="auto"/>
            <w:right w:val="none" w:sz="0" w:space="0" w:color="auto"/>
          </w:divBdr>
          <w:divsChild>
            <w:div w:id="1242637207">
              <w:marLeft w:val="0"/>
              <w:marRight w:val="0"/>
              <w:marTop w:val="0"/>
              <w:marBottom w:val="0"/>
              <w:divBdr>
                <w:top w:val="none" w:sz="0" w:space="0" w:color="auto"/>
                <w:left w:val="none" w:sz="0" w:space="0" w:color="auto"/>
                <w:bottom w:val="none" w:sz="0" w:space="0" w:color="auto"/>
                <w:right w:val="none" w:sz="0" w:space="0" w:color="auto"/>
              </w:divBdr>
            </w:div>
          </w:divsChild>
        </w:div>
        <w:div w:id="1499930586">
          <w:marLeft w:val="0"/>
          <w:marRight w:val="0"/>
          <w:marTop w:val="0"/>
          <w:marBottom w:val="0"/>
          <w:divBdr>
            <w:top w:val="none" w:sz="0" w:space="0" w:color="auto"/>
            <w:left w:val="none" w:sz="0" w:space="0" w:color="auto"/>
            <w:bottom w:val="none" w:sz="0" w:space="0" w:color="auto"/>
            <w:right w:val="none" w:sz="0" w:space="0" w:color="auto"/>
          </w:divBdr>
          <w:divsChild>
            <w:div w:id="1344549864">
              <w:marLeft w:val="0"/>
              <w:marRight w:val="0"/>
              <w:marTop w:val="0"/>
              <w:marBottom w:val="0"/>
              <w:divBdr>
                <w:top w:val="none" w:sz="0" w:space="0" w:color="auto"/>
                <w:left w:val="none" w:sz="0" w:space="0" w:color="auto"/>
                <w:bottom w:val="none" w:sz="0" w:space="0" w:color="auto"/>
                <w:right w:val="none" w:sz="0" w:space="0" w:color="auto"/>
              </w:divBdr>
            </w:div>
          </w:divsChild>
        </w:div>
        <w:div w:id="1502430883">
          <w:marLeft w:val="0"/>
          <w:marRight w:val="0"/>
          <w:marTop w:val="0"/>
          <w:marBottom w:val="0"/>
          <w:divBdr>
            <w:top w:val="none" w:sz="0" w:space="0" w:color="auto"/>
            <w:left w:val="none" w:sz="0" w:space="0" w:color="auto"/>
            <w:bottom w:val="none" w:sz="0" w:space="0" w:color="auto"/>
            <w:right w:val="none" w:sz="0" w:space="0" w:color="auto"/>
          </w:divBdr>
          <w:divsChild>
            <w:div w:id="1702320293">
              <w:marLeft w:val="0"/>
              <w:marRight w:val="0"/>
              <w:marTop w:val="0"/>
              <w:marBottom w:val="0"/>
              <w:divBdr>
                <w:top w:val="none" w:sz="0" w:space="0" w:color="auto"/>
                <w:left w:val="none" w:sz="0" w:space="0" w:color="auto"/>
                <w:bottom w:val="none" w:sz="0" w:space="0" w:color="auto"/>
                <w:right w:val="none" w:sz="0" w:space="0" w:color="auto"/>
              </w:divBdr>
            </w:div>
          </w:divsChild>
        </w:div>
        <w:div w:id="1523396497">
          <w:marLeft w:val="0"/>
          <w:marRight w:val="0"/>
          <w:marTop w:val="0"/>
          <w:marBottom w:val="0"/>
          <w:divBdr>
            <w:top w:val="none" w:sz="0" w:space="0" w:color="auto"/>
            <w:left w:val="none" w:sz="0" w:space="0" w:color="auto"/>
            <w:bottom w:val="none" w:sz="0" w:space="0" w:color="auto"/>
            <w:right w:val="none" w:sz="0" w:space="0" w:color="auto"/>
          </w:divBdr>
          <w:divsChild>
            <w:div w:id="1957977804">
              <w:marLeft w:val="0"/>
              <w:marRight w:val="0"/>
              <w:marTop w:val="0"/>
              <w:marBottom w:val="0"/>
              <w:divBdr>
                <w:top w:val="none" w:sz="0" w:space="0" w:color="auto"/>
                <w:left w:val="none" w:sz="0" w:space="0" w:color="auto"/>
                <w:bottom w:val="none" w:sz="0" w:space="0" w:color="auto"/>
                <w:right w:val="none" w:sz="0" w:space="0" w:color="auto"/>
              </w:divBdr>
            </w:div>
          </w:divsChild>
        </w:div>
        <w:div w:id="1524660791">
          <w:marLeft w:val="0"/>
          <w:marRight w:val="0"/>
          <w:marTop w:val="0"/>
          <w:marBottom w:val="0"/>
          <w:divBdr>
            <w:top w:val="none" w:sz="0" w:space="0" w:color="auto"/>
            <w:left w:val="none" w:sz="0" w:space="0" w:color="auto"/>
            <w:bottom w:val="none" w:sz="0" w:space="0" w:color="auto"/>
            <w:right w:val="none" w:sz="0" w:space="0" w:color="auto"/>
          </w:divBdr>
          <w:divsChild>
            <w:div w:id="1982268055">
              <w:marLeft w:val="0"/>
              <w:marRight w:val="0"/>
              <w:marTop w:val="0"/>
              <w:marBottom w:val="0"/>
              <w:divBdr>
                <w:top w:val="none" w:sz="0" w:space="0" w:color="auto"/>
                <w:left w:val="none" w:sz="0" w:space="0" w:color="auto"/>
                <w:bottom w:val="none" w:sz="0" w:space="0" w:color="auto"/>
                <w:right w:val="none" w:sz="0" w:space="0" w:color="auto"/>
              </w:divBdr>
            </w:div>
          </w:divsChild>
        </w:div>
        <w:div w:id="1570265641">
          <w:marLeft w:val="0"/>
          <w:marRight w:val="0"/>
          <w:marTop w:val="0"/>
          <w:marBottom w:val="0"/>
          <w:divBdr>
            <w:top w:val="none" w:sz="0" w:space="0" w:color="auto"/>
            <w:left w:val="none" w:sz="0" w:space="0" w:color="auto"/>
            <w:bottom w:val="none" w:sz="0" w:space="0" w:color="auto"/>
            <w:right w:val="none" w:sz="0" w:space="0" w:color="auto"/>
          </w:divBdr>
          <w:divsChild>
            <w:div w:id="1159611980">
              <w:marLeft w:val="0"/>
              <w:marRight w:val="0"/>
              <w:marTop w:val="0"/>
              <w:marBottom w:val="0"/>
              <w:divBdr>
                <w:top w:val="none" w:sz="0" w:space="0" w:color="auto"/>
                <w:left w:val="none" w:sz="0" w:space="0" w:color="auto"/>
                <w:bottom w:val="none" w:sz="0" w:space="0" w:color="auto"/>
                <w:right w:val="none" w:sz="0" w:space="0" w:color="auto"/>
              </w:divBdr>
            </w:div>
          </w:divsChild>
        </w:div>
        <w:div w:id="1587035221">
          <w:marLeft w:val="0"/>
          <w:marRight w:val="0"/>
          <w:marTop w:val="0"/>
          <w:marBottom w:val="0"/>
          <w:divBdr>
            <w:top w:val="none" w:sz="0" w:space="0" w:color="auto"/>
            <w:left w:val="none" w:sz="0" w:space="0" w:color="auto"/>
            <w:bottom w:val="none" w:sz="0" w:space="0" w:color="auto"/>
            <w:right w:val="none" w:sz="0" w:space="0" w:color="auto"/>
          </w:divBdr>
          <w:divsChild>
            <w:div w:id="1075053270">
              <w:marLeft w:val="0"/>
              <w:marRight w:val="0"/>
              <w:marTop w:val="0"/>
              <w:marBottom w:val="0"/>
              <w:divBdr>
                <w:top w:val="none" w:sz="0" w:space="0" w:color="auto"/>
                <w:left w:val="none" w:sz="0" w:space="0" w:color="auto"/>
                <w:bottom w:val="none" w:sz="0" w:space="0" w:color="auto"/>
                <w:right w:val="none" w:sz="0" w:space="0" w:color="auto"/>
              </w:divBdr>
            </w:div>
          </w:divsChild>
        </w:div>
        <w:div w:id="1618023590">
          <w:marLeft w:val="0"/>
          <w:marRight w:val="0"/>
          <w:marTop w:val="0"/>
          <w:marBottom w:val="0"/>
          <w:divBdr>
            <w:top w:val="none" w:sz="0" w:space="0" w:color="auto"/>
            <w:left w:val="none" w:sz="0" w:space="0" w:color="auto"/>
            <w:bottom w:val="none" w:sz="0" w:space="0" w:color="auto"/>
            <w:right w:val="none" w:sz="0" w:space="0" w:color="auto"/>
          </w:divBdr>
          <w:divsChild>
            <w:div w:id="1862433359">
              <w:marLeft w:val="0"/>
              <w:marRight w:val="0"/>
              <w:marTop w:val="0"/>
              <w:marBottom w:val="0"/>
              <w:divBdr>
                <w:top w:val="none" w:sz="0" w:space="0" w:color="auto"/>
                <w:left w:val="none" w:sz="0" w:space="0" w:color="auto"/>
                <w:bottom w:val="none" w:sz="0" w:space="0" w:color="auto"/>
                <w:right w:val="none" w:sz="0" w:space="0" w:color="auto"/>
              </w:divBdr>
            </w:div>
          </w:divsChild>
        </w:div>
        <w:div w:id="1618633664">
          <w:marLeft w:val="0"/>
          <w:marRight w:val="0"/>
          <w:marTop w:val="0"/>
          <w:marBottom w:val="0"/>
          <w:divBdr>
            <w:top w:val="none" w:sz="0" w:space="0" w:color="auto"/>
            <w:left w:val="none" w:sz="0" w:space="0" w:color="auto"/>
            <w:bottom w:val="none" w:sz="0" w:space="0" w:color="auto"/>
            <w:right w:val="none" w:sz="0" w:space="0" w:color="auto"/>
          </w:divBdr>
          <w:divsChild>
            <w:div w:id="1530412389">
              <w:marLeft w:val="0"/>
              <w:marRight w:val="0"/>
              <w:marTop w:val="0"/>
              <w:marBottom w:val="0"/>
              <w:divBdr>
                <w:top w:val="none" w:sz="0" w:space="0" w:color="auto"/>
                <w:left w:val="none" w:sz="0" w:space="0" w:color="auto"/>
                <w:bottom w:val="none" w:sz="0" w:space="0" w:color="auto"/>
                <w:right w:val="none" w:sz="0" w:space="0" w:color="auto"/>
              </w:divBdr>
            </w:div>
          </w:divsChild>
        </w:div>
        <w:div w:id="1698508165">
          <w:marLeft w:val="0"/>
          <w:marRight w:val="0"/>
          <w:marTop w:val="0"/>
          <w:marBottom w:val="0"/>
          <w:divBdr>
            <w:top w:val="none" w:sz="0" w:space="0" w:color="auto"/>
            <w:left w:val="none" w:sz="0" w:space="0" w:color="auto"/>
            <w:bottom w:val="none" w:sz="0" w:space="0" w:color="auto"/>
            <w:right w:val="none" w:sz="0" w:space="0" w:color="auto"/>
          </w:divBdr>
          <w:divsChild>
            <w:div w:id="1289968415">
              <w:marLeft w:val="0"/>
              <w:marRight w:val="0"/>
              <w:marTop w:val="0"/>
              <w:marBottom w:val="0"/>
              <w:divBdr>
                <w:top w:val="none" w:sz="0" w:space="0" w:color="auto"/>
                <w:left w:val="none" w:sz="0" w:space="0" w:color="auto"/>
                <w:bottom w:val="none" w:sz="0" w:space="0" w:color="auto"/>
                <w:right w:val="none" w:sz="0" w:space="0" w:color="auto"/>
              </w:divBdr>
            </w:div>
          </w:divsChild>
        </w:div>
        <w:div w:id="1703435165">
          <w:marLeft w:val="0"/>
          <w:marRight w:val="0"/>
          <w:marTop w:val="0"/>
          <w:marBottom w:val="0"/>
          <w:divBdr>
            <w:top w:val="none" w:sz="0" w:space="0" w:color="auto"/>
            <w:left w:val="none" w:sz="0" w:space="0" w:color="auto"/>
            <w:bottom w:val="none" w:sz="0" w:space="0" w:color="auto"/>
            <w:right w:val="none" w:sz="0" w:space="0" w:color="auto"/>
          </w:divBdr>
          <w:divsChild>
            <w:div w:id="759568305">
              <w:marLeft w:val="0"/>
              <w:marRight w:val="0"/>
              <w:marTop w:val="0"/>
              <w:marBottom w:val="0"/>
              <w:divBdr>
                <w:top w:val="none" w:sz="0" w:space="0" w:color="auto"/>
                <w:left w:val="none" w:sz="0" w:space="0" w:color="auto"/>
                <w:bottom w:val="none" w:sz="0" w:space="0" w:color="auto"/>
                <w:right w:val="none" w:sz="0" w:space="0" w:color="auto"/>
              </w:divBdr>
            </w:div>
          </w:divsChild>
        </w:div>
        <w:div w:id="1742799063">
          <w:marLeft w:val="0"/>
          <w:marRight w:val="0"/>
          <w:marTop w:val="0"/>
          <w:marBottom w:val="0"/>
          <w:divBdr>
            <w:top w:val="none" w:sz="0" w:space="0" w:color="auto"/>
            <w:left w:val="none" w:sz="0" w:space="0" w:color="auto"/>
            <w:bottom w:val="none" w:sz="0" w:space="0" w:color="auto"/>
            <w:right w:val="none" w:sz="0" w:space="0" w:color="auto"/>
          </w:divBdr>
          <w:divsChild>
            <w:div w:id="1131971">
              <w:marLeft w:val="0"/>
              <w:marRight w:val="0"/>
              <w:marTop w:val="0"/>
              <w:marBottom w:val="0"/>
              <w:divBdr>
                <w:top w:val="none" w:sz="0" w:space="0" w:color="auto"/>
                <w:left w:val="none" w:sz="0" w:space="0" w:color="auto"/>
                <w:bottom w:val="none" w:sz="0" w:space="0" w:color="auto"/>
                <w:right w:val="none" w:sz="0" w:space="0" w:color="auto"/>
              </w:divBdr>
            </w:div>
          </w:divsChild>
        </w:div>
        <w:div w:id="1790707410">
          <w:marLeft w:val="0"/>
          <w:marRight w:val="0"/>
          <w:marTop w:val="0"/>
          <w:marBottom w:val="0"/>
          <w:divBdr>
            <w:top w:val="none" w:sz="0" w:space="0" w:color="auto"/>
            <w:left w:val="none" w:sz="0" w:space="0" w:color="auto"/>
            <w:bottom w:val="none" w:sz="0" w:space="0" w:color="auto"/>
            <w:right w:val="none" w:sz="0" w:space="0" w:color="auto"/>
          </w:divBdr>
          <w:divsChild>
            <w:div w:id="1410344615">
              <w:marLeft w:val="0"/>
              <w:marRight w:val="0"/>
              <w:marTop w:val="0"/>
              <w:marBottom w:val="0"/>
              <w:divBdr>
                <w:top w:val="none" w:sz="0" w:space="0" w:color="auto"/>
                <w:left w:val="none" w:sz="0" w:space="0" w:color="auto"/>
                <w:bottom w:val="none" w:sz="0" w:space="0" w:color="auto"/>
                <w:right w:val="none" w:sz="0" w:space="0" w:color="auto"/>
              </w:divBdr>
            </w:div>
          </w:divsChild>
        </w:div>
        <w:div w:id="1819033249">
          <w:marLeft w:val="0"/>
          <w:marRight w:val="0"/>
          <w:marTop w:val="0"/>
          <w:marBottom w:val="0"/>
          <w:divBdr>
            <w:top w:val="none" w:sz="0" w:space="0" w:color="auto"/>
            <w:left w:val="none" w:sz="0" w:space="0" w:color="auto"/>
            <w:bottom w:val="none" w:sz="0" w:space="0" w:color="auto"/>
            <w:right w:val="none" w:sz="0" w:space="0" w:color="auto"/>
          </w:divBdr>
          <w:divsChild>
            <w:div w:id="621301832">
              <w:marLeft w:val="0"/>
              <w:marRight w:val="0"/>
              <w:marTop w:val="0"/>
              <w:marBottom w:val="0"/>
              <w:divBdr>
                <w:top w:val="none" w:sz="0" w:space="0" w:color="auto"/>
                <w:left w:val="none" w:sz="0" w:space="0" w:color="auto"/>
                <w:bottom w:val="none" w:sz="0" w:space="0" w:color="auto"/>
                <w:right w:val="none" w:sz="0" w:space="0" w:color="auto"/>
              </w:divBdr>
            </w:div>
          </w:divsChild>
        </w:div>
        <w:div w:id="1920410222">
          <w:marLeft w:val="0"/>
          <w:marRight w:val="0"/>
          <w:marTop w:val="0"/>
          <w:marBottom w:val="0"/>
          <w:divBdr>
            <w:top w:val="none" w:sz="0" w:space="0" w:color="auto"/>
            <w:left w:val="none" w:sz="0" w:space="0" w:color="auto"/>
            <w:bottom w:val="none" w:sz="0" w:space="0" w:color="auto"/>
            <w:right w:val="none" w:sz="0" w:space="0" w:color="auto"/>
          </w:divBdr>
          <w:divsChild>
            <w:div w:id="1405831546">
              <w:marLeft w:val="0"/>
              <w:marRight w:val="0"/>
              <w:marTop w:val="0"/>
              <w:marBottom w:val="0"/>
              <w:divBdr>
                <w:top w:val="none" w:sz="0" w:space="0" w:color="auto"/>
                <w:left w:val="none" w:sz="0" w:space="0" w:color="auto"/>
                <w:bottom w:val="none" w:sz="0" w:space="0" w:color="auto"/>
                <w:right w:val="none" w:sz="0" w:space="0" w:color="auto"/>
              </w:divBdr>
            </w:div>
          </w:divsChild>
        </w:div>
        <w:div w:id="2010592970">
          <w:marLeft w:val="0"/>
          <w:marRight w:val="0"/>
          <w:marTop w:val="0"/>
          <w:marBottom w:val="0"/>
          <w:divBdr>
            <w:top w:val="none" w:sz="0" w:space="0" w:color="auto"/>
            <w:left w:val="none" w:sz="0" w:space="0" w:color="auto"/>
            <w:bottom w:val="none" w:sz="0" w:space="0" w:color="auto"/>
            <w:right w:val="none" w:sz="0" w:space="0" w:color="auto"/>
          </w:divBdr>
          <w:divsChild>
            <w:div w:id="312105263">
              <w:marLeft w:val="0"/>
              <w:marRight w:val="0"/>
              <w:marTop w:val="0"/>
              <w:marBottom w:val="0"/>
              <w:divBdr>
                <w:top w:val="none" w:sz="0" w:space="0" w:color="auto"/>
                <w:left w:val="none" w:sz="0" w:space="0" w:color="auto"/>
                <w:bottom w:val="none" w:sz="0" w:space="0" w:color="auto"/>
                <w:right w:val="none" w:sz="0" w:space="0" w:color="auto"/>
              </w:divBdr>
            </w:div>
          </w:divsChild>
        </w:div>
        <w:div w:id="2012365418">
          <w:marLeft w:val="0"/>
          <w:marRight w:val="0"/>
          <w:marTop w:val="0"/>
          <w:marBottom w:val="0"/>
          <w:divBdr>
            <w:top w:val="none" w:sz="0" w:space="0" w:color="auto"/>
            <w:left w:val="none" w:sz="0" w:space="0" w:color="auto"/>
            <w:bottom w:val="none" w:sz="0" w:space="0" w:color="auto"/>
            <w:right w:val="none" w:sz="0" w:space="0" w:color="auto"/>
          </w:divBdr>
          <w:divsChild>
            <w:div w:id="32656406">
              <w:marLeft w:val="0"/>
              <w:marRight w:val="0"/>
              <w:marTop w:val="0"/>
              <w:marBottom w:val="0"/>
              <w:divBdr>
                <w:top w:val="none" w:sz="0" w:space="0" w:color="auto"/>
                <w:left w:val="none" w:sz="0" w:space="0" w:color="auto"/>
                <w:bottom w:val="none" w:sz="0" w:space="0" w:color="auto"/>
                <w:right w:val="none" w:sz="0" w:space="0" w:color="auto"/>
              </w:divBdr>
            </w:div>
          </w:divsChild>
        </w:div>
        <w:div w:id="2031295855">
          <w:marLeft w:val="0"/>
          <w:marRight w:val="0"/>
          <w:marTop w:val="0"/>
          <w:marBottom w:val="0"/>
          <w:divBdr>
            <w:top w:val="none" w:sz="0" w:space="0" w:color="auto"/>
            <w:left w:val="none" w:sz="0" w:space="0" w:color="auto"/>
            <w:bottom w:val="none" w:sz="0" w:space="0" w:color="auto"/>
            <w:right w:val="none" w:sz="0" w:space="0" w:color="auto"/>
          </w:divBdr>
          <w:divsChild>
            <w:div w:id="916986298">
              <w:marLeft w:val="0"/>
              <w:marRight w:val="0"/>
              <w:marTop w:val="0"/>
              <w:marBottom w:val="0"/>
              <w:divBdr>
                <w:top w:val="none" w:sz="0" w:space="0" w:color="auto"/>
                <w:left w:val="none" w:sz="0" w:space="0" w:color="auto"/>
                <w:bottom w:val="none" w:sz="0" w:space="0" w:color="auto"/>
                <w:right w:val="none" w:sz="0" w:space="0" w:color="auto"/>
              </w:divBdr>
            </w:div>
          </w:divsChild>
        </w:div>
        <w:div w:id="2099521308">
          <w:marLeft w:val="0"/>
          <w:marRight w:val="0"/>
          <w:marTop w:val="0"/>
          <w:marBottom w:val="0"/>
          <w:divBdr>
            <w:top w:val="none" w:sz="0" w:space="0" w:color="auto"/>
            <w:left w:val="none" w:sz="0" w:space="0" w:color="auto"/>
            <w:bottom w:val="none" w:sz="0" w:space="0" w:color="auto"/>
            <w:right w:val="none" w:sz="0" w:space="0" w:color="auto"/>
          </w:divBdr>
          <w:divsChild>
            <w:div w:id="1667511163">
              <w:marLeft w:val="0"/>
              <w:marRight w:val="0"/>
              <w:marTop w:val="0"/>
              <w:marBottom w:val="0"/>
              <w:divBdr>
                <w:top w:val="none" w:sz="0" w:space="0" w:color="auto"/>
                <w:left w:val="none" w:sz="0" w:space="0" w:color="auto"/>
                <w:bottom w:val="none" w:sz="0" w:space="0" w:color="auto"/>
                <w:right w:val="none" w:sz="0" w:space="0" w:color="auto"/>
              </w:divBdr>
            </w:div>
          </w:divsChild>
        </w:div>
        <w:div w:id="2146851217">
          <w:marLeft w:val="0"/>
          <w:marRight w:val="0"/>
          <w:marTop w:val="0"/>
          <w:marBottom w:val="0"/>
          <w:divBdr>
            <w:top w:val="none" w:sz="0" w:space="0" w:color="auto"/>
            <w:left w:val="none" w:sz="0" w:space="0" w:color="auto"/>
            <w:bottom w:val="none" w:sz="0" w:space="0" w:color="auto"/>
            <w:right w:val="none" w:sz="0" w:space="0" w:color="auto"/>
          </w:divBdr>
          <w:divsChild>
            <w:div w:id="20489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6054">
      <w:bodyDiv w:val="1"/>
      <w:marLeft w:val="0"/>
      <w:marRight w:val="0"/>
      <w:marTop w:val="0"/>
      <w:marBottom w:val="0"/>
      <w:divBdr>
        <w:top w:val="none" w:sz="0" w:space="0" w:color="auto"/>
        <w:left w:val="none" w:sz="0" w:space="0" w:color="auto"/>
        <w:bottom w:val="none" w:sz="0" w:space="0" w:color="auto"/>
        <w:right w:val="none" w:sz="0" w:space="0" w:color="auto"/>
      </w:divBdr>
    </w:div>
    <w:div w:id="207037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8/1748-9326/ac4dc6" TargetMode="External"/><Relationship Id="rId2" Type="http://schemas.openxmlformats.org/officeDocument/2006/relationships/hyperlink" Target="http://data.europa.eu/eli/dir/2023/2413/oj" TargetMode="External"/><Relationship Id="rId1" Type="http://schemas.openxmlformats.org/officeDocument/2006/relationships/hyperlink" Target="http://data.europa.eu/eli/dir/2018/2001/oj" TargetMode="External"/><Relationship Id="rId5" Type="http://schemas.openxmlformats.org/officeDocument/2006/relationships/hyperlink" Target="https://doi.org/10.3390/land9100397" TargetMode="External"/><Relationship Id="rId4" Type="http://schemas.openxmlformats.org/officeDocument/2006/relationships/hyperlink" Target="https://doi.org/10.3390/land12030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4" ma:contentTypeDescription="Create a new document." ma:contentTypeScope="" ma:versionID="65e9f4479c57b41e3d892e5dd9a8df17">
  <xsd:schema xmlns:xsd="http://www.w3.org/2001/XMLSchema" xmlns:xs="http://www.w3.org/2001/XMLSchema" xmlns:p="http://schemas.microsoft.com/office/2006/metadata/properties" xmlns:ns2="43eb9028-f615-416e-ab95-1f973838ac88" targetNamespace="http://schemas.microsoft.com/office/2006/metadata/properties" ma:root="true" ma:fieldsID="e1ffaba0c8aad635a05b0e0ffd522ae6" ns2:_="">
    <xsd:import namespace="43eb9028-f615-416e-ab95-1f973838ac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CON20</b:Tag>
    <b:SourceType>InternetSite</b:SourceType>
    <b:Guid>{273E1EE0-5756-429B-9454-452A81CDAADC}</b:Guid>
    <b:Author>
      <b:Author>
        <b:NameList>
          <b:Person>
            <b:Last>CONAB</b:Last>
          </b:Person>
        </b:NameList>
      </b:Author>
    </b:Author>
    <b:Title>Historical yield data series</b:Title>
    <b:Year>2022</b:Year>
    <b:YearAccessed>2020</b:YearAccessed>
    <b:MonthAccessed>June</b:MonthAccessed>
    <b:URL>https://www.conab.gov.br/info-agro/safras/serie-historica-das-safras?start=20</b:URL>
    <b:RefOrder>3</b:RefOrder>
  </b:Source>
  <b:Source>
    <b:Tag>Sta20</b:Tag>
    <b:SourceType>DocumentFromInternetSite</b:SourceType>
    <b:Guid>{316B6474-F200-47E8-B95C-83D4168A9704}</b:Guid>
    <b:Title>Statistics Indonesia</b:Title>
    <b:Author>
      <b:Author>
        <b:Corporate>Statistics Indonesia</b:Corporate>
      </b:Author>
    </b:Author>
    <b:YearAccessed>2020</b:YearAccessed>
    <b:MonthAccessed>June</b:MonthAccessed>
    <b:DayAccessed>06</b:DayAccessed>
    <b:URL>https://www.bps.go.id/subject/54/perkebunan.html#subjekViewTab4</b:URL>
    <b:Year>2022</b:Year>
    <b:RefOrder>6</b:RefOrder>
  </b:Source>
  <b:Source>
    <b:Tag>Mal20</b:Tag>
    <b:SourceType>DocumentFromInternetSite</b:SourceType>
    <b:Guid>{D94A437D-954A-4C6D-A4FC-47FE68079383}</b:Guid>
    <b:Author>
      <b:Author>
        <b:Corporate>Malaysian Palm Oil Board</b:Corporate>
      </b:Author>
    </b:Author>
    <b:Title>Malaysian Palm Oil Board (MPOB)</b:Title>
    <b:YearAccessed>2020</b:YearAccessed>
    <b:MonthAccessed>June</b:MonthAccessed>
    <b:DayAccessed>06</b:DayAccessed>
    <b:URL>http://bepi.mpob.gov.my/index.php/en/?option=com_content&amp;view=category&amp;id=115</b:URL>
    <b:Year>2022</b:Year>
    <b:RefOrder>7</b:RefOrder>
  </b:Source>
  <b:Source>
    <b:Tag>Gun13</b:Tag>
    <b:SourceType>JournalArticle</b:SourceType>
    <b:Guid>{B1DC75AB-4542-4C39-B152-C8DB082EC98D}</b:Guid>
    <b:Author>
      <b:Author>
        <b:NameList>
          <b:Person>
            <b:Last>Gunarso</b:Last>
            <b:First>P.</b:First>
          </b:Person>
          <b:Person>
            <b:Last>Hartoyo</b:Last>
            <b:First>M.</b:First>
          </b:Person>
          <b:Person>
            <b:Last>Agus</b:Last>
            <b:First>F.</b:First>
          </b:Person>
          <b:Person>
            <b:Last>Killeen</b:Last>
            <b:First>T.</b:First>
          </b:Person>
        </b:NameList>
      </b:Author>
    </b:Author>
    <b:Title>Oil palm and land use change in Indonesia, Malaysia and Papua New Guinea Reports from the Technical Panels of the 2nd greenhouse gas working Group of the Roundtable on Sustainable Palm Oil (RSPO), Roundtable on Sustainable Palm Oil Kuala Lumpur</b:Title>
    <b:Year>2013</b:Year>
    <b:Pages>29-64</b:Pages>
    <b:RefOrder>8</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279351-40EC-4B9A-9F4C-B722DF7947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A53716-AC6F-4D0E-9932-37AA919F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E55AFA-480F-4104-AC44-A1F4B03AEF5D}">
  <ds:schemaRefs>
    <ds:schemaRef ds:uri="http://schemas.openxmlformats.org/officeDocument/2006/bibliography"/>
  </ds:schemaRefs>
</ds:datastoreItem>
</file>

<file path=customXml/itemProps4.xml><?xml version="1.0" encoding="utf-8"?>
<ds:datastoreItem xmlns:ds="http://schemas.openxmlformats.org/officeDocument/2006/customXml" ds:itemID="{3561CB9B-3A56-4FDC-911F-D50CE9A515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11</Pages>
  <Words>3913</Words>
  <Characters>21133</Characters>
  <Application>Microsoft Office Word</Application>
  <DocSecurity>0</DocSecurity>
  <Lines>556</Lines>
  <Paragraphs>305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16</cp:revision>
  <dcterms:created xsi:type="dcterms:W3CDTF">2026-03-18T15:14:00Z</dcterms:created>
  <dcterms:modified xsi:type="dcterms:W3CDTF">2026-06-22T12:30:00Z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2022-09-19T14:11:07Z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d7543c63-420e-4d3b-ad80-aaeb9e02c837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CP-008</vt:lpwstr>
  </property>
  <property fmtid="{D5CDD505-2E9C-101B-9397-08002B2CF9AE}" pid="14" name="Last edited using">
    <vt:lpwstr>LW 9.2, Build 20250828</vt:lpwstr>
  </property>
  <property fmtid="{D5CDD505-2E9C-101B-9397-08002B2CF9AE}" pid="15" name="Created using">
    <vt:lpwstr>LW 8.1, Build 20220902</vt:lpwstr>
  </property>
  <property fmtid="{D5CDD505-2E9C-101B-9397-08002B2CF9AE}" pid="16" name="ContentTypeId">
    <vt:lpwstr>0x0101001C23373B94E5924D9AB8E247F07DDCE5</vt:lpwstr>
  </property>
</Properties>
</file>