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D94299" w14:textId="7C2CE938" w:rsidR="00070A89" w:rsidRDefault="002E20B9" w:rsidP="002E20B9">
      <w:pPr>
        <w:pStyle w:val="Pagedecouverture"/>
        <w:rPr>
          <w:noProof/>
        </w:rPr>
      </w:pPr>
      <w:bookmarkStart w:id="0" w:name="_Toc185346390"/>
      <w:bookmarkStart w:id="1" w:name="_Toc185346852"/>
      <w:bookmarkStart w:id="2" w:name="_Toc185348721"/>
      <w:bookmarkStart w:id="3" w:name="LW_BM_COVERPAGE"/>
      <w:r>
        <w:rPr>
          <w:noProof/>
        </w:rPr>
        <w:pict w14:anchorId="01617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C5BF86E-1188-4A0A-8E9D-73C026A27A89" style="width:455.15pt;height:354.4pt">
            <v:imagedata r:id="rId8" o:title=""/>
          </v:shape>
        </w:pict>
      </w:r>
    </w:p>
    <w:bookmarkEnd w:id="3"/>
    <w:p w14:paraId="7FDCC0BE" w14:textId="77777777" w:rsidR="00070A89" w:rsidRDefault="00070A89">
      <w:pPr>
        <w:pStyle w:val="Pagedecouverture"/>
        <w:rPr>
          <w:noProof/>
        </w:rPr>
        <w:sectPr w:rsidR="00070A89" w:rsidSect="002E20B9">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52DB3F12" w14:textId="77777777" w:rsidR="00070A89" w:rsidRDefault="006C2002">
      <w:pPr>
        <w:pStyle w:val="Heading1"/>
        <w:spacing w:before="480"/>
        <w:ind w:hanging="431"/>
      </w:pPr>
      <w:bookmarkStart w:id="4" w:name="_Toc189995480"/>
      <w:bookmarkStart w:id="5" w:name="_GoBack"/>
      <w:bookmarkEnd w:id="0"/>
      <w:bookmarkEnd w:id="1"/>
      <w:bookmarkEnd w:id="2"/>
      <w:bookmarkEnd w:id="5"/>
      <w:r>
        <w:lastRenderedPageBreak/>
        <w:t>Introduction</w:t>
      </w:r>
      <w:bookmarkEnd w:id="4"/>
    </w:p>
    <w:p w14:paraId="400F6DBB" w14:textId="77777777" w:rsidR="00070A89" w:rsidRDefault="006C2002">
      <w:pPr>
        <w:rPr>
          <w:noProof/>
          <w:color w:val="000000" w:themeColor="text1"/>
        </w:rPr>
      </w:pPr>
      <w:bookmarkStart w:id="6" w:name="_Hlk225948932"/>
      <w:r>
        <w:rPr>
          <w:noProof/>
          <w:color w:val="000000" w:themeColor="text1"/>
        </w:rPr>
        <w:t xml:space="preserve">Pour la deuxième fois en moins de cinq ans, le danger lié à la </w:t>
      </w:r>
      <w:r>
        <w:rPr>
          <w:b/>
          <w:noProof/>
          <w:color w:val="000000" w:themeColor="text1"/>
        </w:rPr>
        <w:t>dépendance de l’Europe à l’égard des importations de combustibles fossiles</w:t>
      </w:r>
      <w:r>
        <w:rPr>
          <w:noProof/>
          <w:color w:val="000000" w:themeColor="text1"/>
        </w:rPr>
        <w:t xml:space="preserve"> n’est que trop évident. </w:t>
      </w:r>
      <w:bookmarkStart w:id="7" w:name="_Hlk227304778"/>
      <w:r>
        <w:rPr>
          <w:noProof/>
          <w:color w:val="000000" w:themeColor="text1"/>
        </w:rPr>
        <w:t>Les combustibles fossiles importés représentent plus de la moitié (57 %)</w:t>
      </w:r>
      <w:r>
        <w:rPr>
          <w:rStyle w:val="FootnoteReference"/>
          <w:noProof/>
          <w:color w:val="000000" w:themeColor="text1"/>
        </w:rPr>
        <w:footnoteReference w:id="2"/>
      </w:r>
      <w:r>
        <w:rPr>
          <w:noProof/>
          <w:color w:val="000000" w:themeColor="text1"/>
        </w:rPr>
        <w:t xml:space="preserve"> de l’énergie consommée en Europe. C’est une vulnérabilité qui nous coûte cher. En 2025, l’UE a importé pour plus de 340 milliards d’EUR de combustibles fossiles</w:t>
      </w:r>
      <w:r>
        <w:rPr>
          <w:rStyle w:val="FootnoteReference"/>
          <w:noProof/>
          <w:color w:val="000000" w:themeColor="text1"/>
        </w:rPr>
        <w:footnoteReference w:id="3"/>
      </w:r>
      <w:r>
        <w:rPr>
          <w:noProof/>
          <w:color w:val="000000" w:themeColor="text1"/>
        </w:rPr>
        <w:t xml:space="preserve">. </w:t>
      </w:r>
      <w:bookmarkStart w:id="8" w:name="_Hlk227304881"/>
      <w:bookmarkEnd w:id="7"/>
      <w:r>
        <w:rPr>
          <w:noProof/>
          <w:color w:val="000000" w:themeColor="text1"/>
        </w:rPr>
        <w:t>Depuis le début du conflit au Moyen-Orient en mars 2026 et la fermeture du détroit d’Ormuz, le prix de nos importations de combustibles fossiles</w:t>
      </w:r>
      <w:r>
        <w:rPr>
          <w:rStyle w:val="FootnoteReference"/>
          <w:noProof/>
          <w:color w:val="000000" w:themeColor="text1"/>
        </w:rPr>
        <w:footnoteReference w:id="4"/>
      </w:r>
      <w:r>
        <w:rPr>
          <w:noProof/>
          <w:color w:val="000000" w:themeColor="text1"/>
        </w:rPr>
        <w:t xml:space="preserve"> a augmenté de 24 milliards d’EUR. </w:t>
      </w:r>
      <w:bookmarkEnd w:id="8"/>
      <w:r>
        <w:rPr>
          <w:noProof/>
        </w:rPr>
        <w:t>En outre, les effets possibles sur la croissance du PIB et l’inflation</w:t>
      </w:r>
      <w:r>
        <w:rPr>
          <w:rStyle w:val="FootnoteReference"/>
          <w:noProof/>
        </w:rPr>
        <w:footnoteReference w:id="5"/>
      </w:r>
      <w:r>
        <w:rPr>
          <w:noProof/>
        </w:rPr>
        <w:t xml:space="preserve"> sont considérables.</w:t>
      </w:r>
      <w:r>
        <w:rPr>
          <w:noProof/>
          <w:color w:val="000000" w:themeColor="text1"/>
        </w:rPr>
        <w:t xml:space="preserve"> La situation au Moyen-Orient reste instable et il est difficile de savoir pour combien de temps, mais une chose est certaine: elle aura, pendant plusieurs mois au moins, des répercussions qui, bien loin d’être limitées au secteur de l’énergie, toucheront aussi les domaines économique et social ainsi que l’emploi. </w:t>
      </w:r>
    </w:p>
    <w:p w14:paraId="2AF170C2" w14:textId="77777777" w:rsidR="00070A89" w:rsidRDefault="006C2002">
      <w:pPr>
        <w:rPr>
          <w:noProof/>
          <w:color w:val="000000" w:themeColor="text1"/>
        </w:rPr>
      </w:pPr>
      <w:r>
        <w:rPr>
          <w:noProof/>
          <w:color w:val="000000" w:themeColor="text1"/>
        </w:rPr>
        <w:t xml:space="preserve">La hausse des prix est la conséquence immédiate du conflit. Il n’y a pas de menace immédiate pour la sécurité de l’approvisionnement, bien que les stocks de certains combustibles soient limités. L’UE est en train de réduire la part des combustibles fossiles dans la production d’électricité, mais le gaz et le pétrole restent prédominants dans les secteurs du chauffage, de l’industrie et des transports et constituent un intrant essentiel pour certaines chaînes de valeur industrielles (par exemple, les produits chimiques, les plastiques et les engrais). Cela expose les ménages et les entreprises européens, notamment les PME et les industries à forte intensité énergétique et les travailleurs qu’elles emploient, aux flambées mondiales des prix. Dans la situation actuelle, nous devons prendre </w:t>
      </w:r>
      <w:r>
        <w:rPr>
          <w:b/>
          <w:noProof/>
          <w:color w:val="000000" w:themeColor="text1"/>
        </w:rPr>
        <w:t>en temps voulu</w:t>
      </w:r>
      <w:r>
        <w:rPr>
          <w:noProof/>
          <w:color w:val="000000" w:themeColor="text1"/>
        </w:rPr>
        <w:t xml:space="preserve"> des </w:t>
      </w:r>
      <w:r>
        <w:rPr>
          <w:b/>
          <w:noProof/>
          <w:color w:val="000000" w:themeColor="text1"/>
        </w:rPr>
        <w:t>mesures ciblées et temporaires</w:t>
      </w:r>
      <w:r>
        <w:rPr>
          <w:noProof/>
          <w:color w:val="000000" w:themeColor="text1"/>
        </w:rPr>
        <w:t xml:space="preserve"> pour protéger les consommateurs les plus vulnérables, accélérer notre transition vers une énergie propre et l’électrification et préserver la compétitivité de l’industrie européenne.</w:t>
      </w:r>
    </w:p>
    <w:p w14:paraId="0B7F8371" w14:textId="77777777" w:rsidR="00070A89" w:rsidRDefault="006C2002">
      <w:pPr>
        <w:rPr>
          <w:noProof/>
          <w:color w:val="000000" w:themeColor="text1"/>
        </w:rPr>
      </w:pPr>
      <w:r>
        <w:rPr>
          <w:noProof/>
          <w:color w:val="000000" w:themeColor="text1"/>
        </w:rPr>
        <w:t>Ces dernières années, l’UE a considérablement accéléré la transition énergétique vers un système efficace, flexible et interconnecté, fondé sur des sources d</w:t>
      </w:r>
      <w:r>
        <w:rPr>
          <w:b/>
          <w:noProof/>
          <w:color w:val="000000" w:themeColor="text1"/>
        </w:rPr>
        <w:t>’énergie locales, propres et abondantes</w:t>
      </w:r>
      <w:r>
        <w:rPr>
          <w:noProof/>
          <w:color w:val="000000" w:themeColor="text1"/>
        </w:rPr>
        <w:t>. De nombreux États membres récoltent déjà les fruits de progrès rapides en matière de transition énergétique, ce qui montre que cet objectif est réalisable et qu’il apporte des avantages évidents aux citoyens et aux entreprises. Par exemple, les États membres dans lesquels la part des énergies propres (notamment les énergies renouvelables et l’énergie nucléaire) dans le bouquet électrique est élevée et qui disposent d’un système électrique flexible bénéficiant d’une capacité de réseau et de stockage suffisante ont généralement des prix de l’électricité inférieurs à la moyenne de l’UE et sont actuellement moins touchés par la crise énergétique en cours.</w:t>
      </w:r>
    </w:p>
    <w:p w14:paraId="35E24C09" w14:textId="77777777" w:rsidR="00070A89" w:rsidRDefault="006C2002">
      <w:pPr>
        <w:rPr>
          <w:noProof/>
          <w:color w:val="000000" w:themeColor="text1"/>
        </w:rPr>
      </w:pPr>
      <w:r>
        <w:rPr>
          <w:noProof/>
          <w:color w:val="000000" w:themeColor="text1"/>
        </w:rPr>
        <w:t>Cela nous rappelle avec insistance combien il est nécessaire d’</w:t>
      </w:r>
      <w:r>
        <w:rPr>
          <w:b/>
          <w:noProof/>
          <w:color w:val="000000" w:themeColor="text1"/>
        </w:rPr>
        <w:t>accélérer l’électrification, l’intensification de la production locale d’énergie propre et la transition énergétique.</w:t>
      </w:r>
      <w:r>
        <w:rPr>
          <w:noProof/>
          <w:color w:val="000000" w:themeColor="text1"/>
        </w:rPr>
        <w:t xml:space="preserve"> En fonction des choix que nous faisons aujourd’hui, nous aborderons la prochaine crise en position de faiblesse ou en position de force. La transition vers un système énergétique propre, abondant, utilisant des sources locales, sûr, résilient dans le domaine de l’eau et abordable n’a jamais été uniquement une nécessité pour le climat et l’environnement; c’est aussi un impératif socio-économique et dans les domaines de la compétitivité et de la sécurité. Ces objectifs stratégiques se renforcent et se complètent mutuellement et peuvent être atteints en tirant pleinement parti de toutes les technologies propres disponibles tout en veillant à la neutralité technologique.</w:t>
      </w:r>
      <w:r>
        <w:rPr>
          <w:noProof/>
        </w:rPr>
        <w:t xml:space="preserve"> C’est pourquoi, loin d’affaiblir les objectifs à plus long terme consistant à augmenter la production locale d’énergie propre, à parvenir à un système énergétique de l’UE décarboné et résilient et à accroître les capacités de production européennes pour éviter de créer de nouvelles dépendances stratégiques, les mesures d’aide à court terme doivent au contraire les renforcer.</w:t>
      </w:r>
    </w:p>
    <w:p w14:paraId="458BC1C5" w14:textId="77777777" w:rsidR="00070A89" w:rsidRDefault="006C2002">
      <w:pPr>
        <w:rPr>
          <w:noProof/>
          <w:color w:val="000000" w:themeColor="text1"/>
        </w:rPr>
      </w:pPr>
      <w:r>
        <w:rPr>
          <w:noProof/>
          <w:color w:val="000000" w:themeColor="text1"/>
        </w:rPr>
        <w:t xml:space="preserve">Pour réaliser ces objectifs, il faudra faire preuve d’une détermination sans faille, </w:t>
      </w:r>
      <w:r>
        <w:rPr>
          <w:b/>
          <w:noProof/>
          <w:color w:val="000000" w:themeColor="text1"/>
        </w:rPr>
        <w:t>intensifier la coordination</w:t>
      </w:r>
      <w:r>
        <w:rPr>
          <w:noProof/>
          <w:color w:val="000000" w:themeColor="text1"/>
        </w:rPr>
        <w:t xml:space="preserve"> et accroître les investissements, mais les avantages liés à l’accélération de la transition vers une énergie propre l’emportent nettement sur les coûts qu’elle représente. Tout retard d’investissement dans la transition énergétique risque d’entraîner des coûts plus élevés pour la société. </w:t>
      </w:r>
    </w:p>
    <w:p w14:paraId="1D958DDE" w14:textId="77777777" w:rsidR="00070A89" w:rsidRDefault="006C2002">
      <w:pPr>
        <w:rPr>
          <w:noProof/>
        </w:rPr>
      </w:pPr>
      <w:r>
        <w:rPr>
          <w:noProof/>
          <w:color w:val="000000" w:themeColor="text1"/>
        </w:rPr>
        <w:t xml:space="preserve">La crise actuelle revêt une dimension mondiale très marquée. Pour atténuer les effets de la tension sur les marchés mondiaux, l’UE peut compter sur le poids considérable qu’elle représente en tant qu’acheteur et sur la valeur de son marché unique, source de </w:t>
      </w:r>
      <w:r>
        <w:rPr>
          <w:b/>
          <w:noProof/>
          <w:color w:val="000000" w:themeColor="text1"/>
        </w:rPr>
        <w:t>force et de solidarité</w:t>
      </w:r>
      <w:r>
        <w:rPr>
          <w:noProof/>
          <w:color w:val="000000" w:themeColor="text1"/>
        </w:rPr>
        <w:t>, en particulier en temps de crise.</w:t>
      </w:r>
    </w:p>
    <w:p w14:paraId="0D703553" w14:textId="77777777" w:rsidR="00070A89" w:rsidRDefault="006C2002">
      <w:pPr>
        <w:spacing w:after="120" w:afterAutospacing="0"/>
        <w:rPr>
          <w:noProof/>
          <w:color w:val="000000" w:themeColor="text1"/>
        </w:rPr>
      </w:pPr>
      <w:r>
        <w:rPr>
          <w:noProof/>
          <w:color w:val="000000" w:themeColor="text1"/>
        </w:rPr>
        <w:t xml:space="preserve">Ce plan est une des composantes de la </w:t>
      </w:r>
      <w:r>
        <w:rPr>
          <w:b/>
          <w:noProof/>
          <w:color w:val="000000" w:themeColor="text1"/>
        </w:rPr>
        <w:t>réponse dynamique de la Commission</w:t>
      </w:r>
      <w:r>
        <w:rPr>
          <w:noProof/>
          <w:color w:val="000000" w:themeColor="text1"/>
        </w:rPr>
        <w:t>, qui évoluera en fonction de la situation. La Commission assurera un suivi étroit de ces mesures et en envisagera d’autres si la situation se détériore. Le plan se compose de cinq domaines d’action clés qui visent à aider les États membres à mettre en place des mesures de soutien à court terme ciblant les consommateurs, en particulier ceux qui sont les plus immédiatement touchés. Il propose également des moyens d’action pour progresser plus rapidement vers un système énergétique plus résilient à moyen et à long terme:</w:t>
      </w:r>
    </w:p>
    <w:p w14:paraId="24BA630E" w14:textId="77777777" w:rsidR="00070A89" w:rsidRDefault="006C2002">
      <w:pPr>
        <w:pStyle w:val="ListParagraph"/>
        <w:numPr>
          <w:ilvl w:val="0"/>
          <w:numId w:val="25"/>
        </w:numPr>
        <w:spacing w:before="0" w:beforeAutospacing="0"/>
        <w:ind w:left="714" w:hanging="357"/>
        <w:rPr>
          <w:noProof/>
          <w:color w:val="000000" w:themeColor="text1"/>
        </w:rPr>
      </w:pPr>
      <w:r>
        <w:rPr>
          <w:noProof/>
          <w:color w:val="000000" w:themeColor="text1"/>
        </w:rPr>
        <w:t>améliorer la coordination entre les États membres et avec les partenaires internationaux;</w:t>
      </w:r>
    </w:p>
    <w:p w14:paraId="1D76E8E1" w14:textId="77777777" w:rsidR="00070A89" w:rsidRDefault="006C2002">
      <w:pPr>
        <w:pStyle w:val="ListParagraph"/>
        <w:numPr>
          <w:ilvl w:val="0"/>
          <w:numId w:val="25"/>
        </w:numPr>
        <w:rPr>
          <w:noProof/>
          <w:color w:val="000000" w:themeColor="text1"/>
        </w:rPr>
      </w:pPr>
      <w:r>
        <w:rPr>
          <w:noProof/>
        </w:rPr>
        <w:t>aider les États membres à protéger les consommateurs, y compris l’industrie, contre les fortes hausses de prix, tout en les aidant dans la transition énergétique;</w:t>
      </w:r>
    </w:p>
    <w:p w14:paraId="75D0BC94" w14:textId="77777777" w:rsidR="00070A89" w:rsidRDefault="006C2002">
      <w:pPr>
        <w:pStyle w:val="ListParagraph"/>
        <w:numPr>
          <w:ilvl w:val="0"/>
          <w:numId w:val="25"/>
        </w:numPr>
        <w:rPr>
          <w:noProof/>
          <w:color w:val="000000" w:themeColor="text1"/>
        </w:rPr>
      </w:pPr>
      <w:r>
        <w:rPr>
          <w:noProof/>
          <w:color w:val="000000" w:themeColor="text1"/>
        </w:rPr>
        <w:t>accélérer la transition vers l’électrification et une énergie propre produite localement;</w:t>
      </w:r>
    </w:p>
    <w:p w14:paraId="63DF667C" w14:textId="77777777" w:rsidR="00070A89" w:rsidRDefault="006C2002">
      <w:pPr>
        <w:pStyle w:val="ListParagraph"/>
        <w:numPr>
          <w:ilvl w:val="0"/>
          <w:numId w:val="25"/>
        </w:numPr>
        <w:rPr>
          <w:noProof/>
          <w:color w:val="000000" w:themeColor="text1"/>
        </w:rPr>
      </w:pPr>
      <w:r>
        <w:rPr>
          <w:noProof/>
          <w:color w:val="000000" w:themeColor="text1"/>
        </w:rPr>
        <w:t>renforcer notre système énergétique; et</w:t>
      </w:r>
    </w:p>
    <w:p w14:paraId="0C6B9278" w14:textId="77777777" w:rsidR="00070A89" w:rsidRDefault="006C2002">
      <w:pPr>
        <w:pStyle w:val="ListParagraph"/>
        <w:numPr>
          <w:ilvl w:val="0"/>
          <w:numId w:val="25"/>
        </w:numPr>
        <w:rPr>
          <w:noProof/>
        </w:rPr>
      </w:pPr>
      <w:r>
        <w:rPr>
          <w:noProof/>
          <w:color w:val="000000" w:themeColor="text1"/>
        </w:rPr>
        <w:t>stimuler l’investissement en mobilisant des fonds tant publics que privés pour la transition énergétique.</w:t>
      </w:r>
    </w:p>
    <w:p w14:paraId="15DEBCE5" w14:textId="77777777" w:rsidR="00070A89" w:rsidRDefault="006C2002">
      <w:pPr>
        <w:pStyle w:val="Heading1"/>
        <w:spacing w:before="480"/>
        <w:ind w:hanging="431"/>
      </w:pPr>
      <w:r>
        <w:t xml:space="preserve">Action immédiate procurant des avantages rapides </w:t>
      </w:r>
      <w:bookmarkStart w:id="9" w:name="_Hlk226801762"/>
    </w:p>
    <w:bookmarkEnd w:id="6"/>
    <w:bookmarkEnd w:id="9"/>
    <w:p w14:paraId="1D01529E" w14:textId="77777777" w:rsidR="00070A89" w:rsidRDefault="006C2002">
      <w:pPr>
        <w:pStyle w:val="ListParagraph"/>
        <w:keepNext/>
        <w:numPr>
          <w:ilvl w:val="1"/>
          <w:numId w:val="17"/>
        </w:numPr>
        <w:spacing w:before="360" w:beforeAutospacing="0" w:after="240" w:afterAutospacing="0" w:line="278" w:lineRule="auto"/>
        <w:ind w:left="856" w:hanging="646"/>
        <w:jc w:val="left"/>
        <w:rPr>
          <w:b/>
          <w:bCs/>
          <w:noProof/>
        </w:rPr>
      </w:pPr>
      <w:r>
        <w:rPr>
          <w:b/>
          <w:noProof/>
        </w:rPr>
        <w:t>Les avantages d’une meilleure coordination au niveau de l’UE</w:t>
      </w:r>
    </w:p>
    <w:p w14:paraId="56CB3E6E" w14:textId="77777777" w:rsidR="00070A89" w:rsidRDefault="006C2002">
      <w:pPr>
        <w:spacing w:before="0" w:beforeAutospacing="0" w:after="120" w:afterAutospacing="0"/>
        <w:rPr>
          <w:noProof/>
          <w:color w:val="000000" w:themeColor="text1"/>
        </w:rPr>
      </w:pPr>
      <w:r>
        <w:rPr>
          <w:noProof/>
        </w:rPr>
        <w:t>Les avantages d’un renforcement de la coordination au niveau de l’UE ne sont plus à démontrer</w:t>
      </w:r>
      <w:bookmarkStart w:id="10" w:name="_Hlk227304979"/>
      <w:r>
        <w:rPr>
          <w:noProof/>
        </w:rPr>
        <w:t>.</w:t>
      </w:r>
      <w:r>
        <w:rPr>
          <w:noProof/>
          <w:color w:val="000000" w:themeColor="text1"/>
        </w:rPr>
        <w:t xml:space="preserve"> Les actions conjointes menées dans le cadre du plan REPowerEU à la suite de l’agression en Ukraine se sont révélées capitales pour permettre à l’UE de réduire sa demande de gaz de 18 % (entre août 2022 et mars 2023)</w:t>
      </w:r>
      <w:r>
        <w:rPr>
          <w:rStyle w:val="FootnoteReference"/>
          <w:noProof/>
          <w:color w:val="000000" w:themeColor="text1"/>
        </w:rPr>
        <w:footnoteReference w:id="6"/>
      </w:r>
      <w:r>
        <w:rPr>
          <w:noProof/>
          <w:color w:val="000000" w:themeColor="text1"/>
        </w:rPr>
        <w:t xml:space="preserve">, en atténuant les pressions immédiates et en contribuant à la stabilité à long terme. </w:t>
      </w:r>
      <w:r>
        <w:rPr>
          <w:noProof/>
        </w:rPr>
        <w:t xml:space="preserve">La plateforme énergétique de l’UE </w:t>
      </w:r>
      <w:r>
        <w:rPr>
          <w:rStyle w:val="FootnoteReference"/>
          <w:noProof/>
        </w:rPr>
        <w:footnoteReference w:id="7"/>
      </w:r>
      <w:r>
        <w:rPr>
          <w:noProof/>
        </w:rPr>
        <w:t xml:space="preserve"> a permis d’agréger 90 milliards de m³ de demande de gaz à l’échelle européenne. Elle reliait les acheteurs et les fournisseurs et a permis une mise en correspondance de 77 milliards de m³.</w:t>
      </w:r>
    </w:p>
    <w:bookmarkEnd w:id="10"/>
    <w:p w14:paraId="4E26E34B" w14:textId="77777777" w:rsidR="00070A89" w:rsidRDefault="006C2002">
      <w:pPr>
        <w:spacing w:before="0" w:beforeAutospacing="0" w:after="120" w:afterAutospacing="0"/>
        <w:rPr>
          <w:noProof/>
          <w:color w:val="000000" w:themeColor="text1"/>
        </w:rPr>
      </w:pPr>
      <w:r>
        <w:rPr>
          <w:noProof/>
          <w:color w:val="000000" w:themeColor="text1"/>
        </w:rPr>
        <w:t xml:space="preserve">La coordination renforcée au niveau de l’UE concernera en premier lieu le </w:t>
      </w:r>
      <w:r>
        <w:rPr>
          <w:b/>
          <w:noProof/>
          <w:color w:val="000000" w:themeColor="text1"/>
        </w:rPr>
        <w:t>remplissage des installations de stockage de gaz</w:t>
      </w:r>
      <w:r>
        <w:rPr>
          <w:noProof/>
          <w:color w:val="000000" w:themeColor="text1"/>
        </w:rPr>
        <w:t xml:space="preserve"> et le recours à la flexibilité en matière de règles de remplissage, </w:t>
      </w:r>
      <w:r>
        <w:rPr>
          <w:b/>
          <w:noProof/>
          <w:color w:val="000000" w:themeColor="text1"/>
        </w:rPr>
        <w:t>la mise en circulation de stocks pétroliers</w:t>
      </w:r>
      <w:r>
        <w:rPr>
          <w:noProof/>
          <w:color w:val="000000" w:themeColor="text1"/>
        </w:rPr>
        <w:t xml:space="preserve">, l’adoption de </w:t>
      </w:r>
      <w:r>
        <w:rPr>
          <w:b/>
          <w:noProof/>
          <w:color w:val="000000" w:themeColor="text1"/>
        </w:rPr>
        <w:t>mesures d’urgence nationales</w:t>
      </w:r>
      <w:r>
        <w:rPr>
          <w:noProof/>
          <w:color w:val="000000" w:themeColor="text1"/>
        </w:rPr>
        <w:t xml:space="preserve"> et des mesures visant à </w:t>
      </w:r>
      <w:r>
        <w:rPr>
          <w:b/>
          <w:noProof/>
          <w:color w:val="000000" w:themeColor="text1"/>
        </w:rPr>
        <w:t>garantir la disponibilité de carburant d’aviation et de gazole</w:t>
      </w:r>
      <w:r>
        <w:rPr>
          <w:noProof/>
          <w:color w:val="000000" w:themeColor="text1"/>
        </w:rPr>
        <w:t xml:space="preserve">, notamment en </w:t>
      </w:r>
      <w:r>
        <w:rPr>
          <w:b/>
          <w:noProof/>
          <w:color w:val="000000" w:themeColor="text1"/>
        </w:rPr>
        <w:t>optimisant les capacités de production des raffineries</w:t>
      </w:r>
      <w:r>
        <w:rPr>
          <w:noProof/>
          <w:color w:val="000000" w:themeColor="text1"/>
        </w:rPr>
        <w:t xml:space="preserve">. </w:t>
      </w:r>
    </w:p>
    <w:p w14:paraId="44EA8C36" w14:textId="77777777" w:rsidR="00070A89" w:rsidRDefault="006C2002">
      <w:pPr>
        <w:spacing w:before="0" w:beforeAutospacing="0" w:after="120" w:afterAutospacing="0"/>
        <w:rPr>
          <w:noProof/>
          <w:color w:val="000000" w:themeColor="text1"/>
        </w:rPr>
      </w:pPr>
      <w:r>
        <w:rPr>
          <w:noProof/>
          <w:color w:val="000000" w:themeColor="text1"/>
        </w:rPr>
        <w:t>Les pénuries de carburant d’aviation peuvent avoir des conséquences non négligeables sur le transport aérien, telles que des annulations de vols, en particulier à l’approche de la haute saison aéronautique estivale. La nature transfrontière du transport aérien exige une coordination européenne pour préserver le bon fonctionnement du marché unique et garantir la continuité de l’approvisionnement dans l’ensemble de l’UE. Il convient d’envisager d’autres sources d’approvisionnement et d’autres types de carburants importés</w:t>
      </w:r>
      <w:r>
        <w:rPr>
          <w:rStyle w:val="FootnoteReference"/>
          <w:noProof/>
        </w:rPr>
        <w:footnoteReference w:id="8"/>
      </w:r>
      <w:r>
        <w:rPr>
          <w:noProof/>
          <w:color w:val="000000" w:themeColor="text1"/>
        </w:rPr>
        <w:t xml:space="preserve">. </w:t>
      </w:r>
    </w:p>
    <w:p w14:paraId="7511D6E5" w14:textId="77777777" w:rsidR="00070A89" w:rsidRDefault="006C2002">
      <w:pPr>
        <w:spacing w:before="0" w:beforeAutospacing="0" w:after="120" w:afterAutospacing="0"/>
        <w:rPr>
          <w:noProof/>
          <w:color w:val="000000" w:themeColor="text1"/>
        </w:rPr>
      </w:pPr>
      <w:r>
        <w:rPr>
          <w:noProof/>
          <w:color w:val="000000" w:themeColor="text1"/>
        </w:rPr>
        <w:t>La hausse des prix du gazole et des coûts des combustibles de soute fait augmenter les prix du fret et exerce une forte pression sur les secteurs du transport routier, du transport maritime à courte distance et de la navigation intérieure, ainsi que sur la pêche et l’agriculture.</w:t>
      </w:r>
    </w:p>
    <w:p w14:paraId="486E02E1" w14:textId="77777777" w:rsidR="00070A89" w:rsidRDefault="006C2002">
      <w:pPr>
        <w:spacing w:before="0" w:beforeAutospacing="0" w:after="120" w:afterAutospacing="0"/>
        <w:rPr>
          <w:noProof/>
          <w:color w:val="000000" w:themeColor="text1"/>
        </w:rPr>
      </w:pPr>
      <w:bookmarkStart w:id="11" w:name="_Hlk227305014"/>
      <w:r>
        <w:rPr>
          <w:noProof/>
          <w:color w:val="000000" w:themeColor="text1"/>
        </w:rPr>
        <w:t>Il faut maximiser la disponibilité et la capacité opérationnelle du secteur européen du raffinage du pétrole pour répondre à la demande actuelle, en particulier pour les carburants d’aviation, étant donné que quelque 40 % des carburants d’aviation consommés dans l’Union sont importés et que, sur la totalité de ces importations, la moitié environ passe par le détroit d’Ormuz</w:t>
      </w:r>
      <w:r>
        <w:rPr>
          <w:rStyle w:val="FootnoteReference"/>
          <w:noProof/>
          <w:color w:val="000000" w:themeColor="text1"/>
        </w:rPr>
        <w:footnoteReference w:id="9"/>
      </w:r>
      <w:r>
        <w:rPr>
          <w:noProof/>
          <w:color w:val="000000" w:themeColor="text1"/>
        </w:rPr>
        <w:t xml:space="preserve">. </w:t>
      </w:r>
      <w:bookmarkEnd w:id="11"/>
      <w:r>
        <w:rPr>
          <w:noProof/>
          <w:color w:val="000000" w:themeColor="text1"/>
        </w:rPr>
        <w:t>Les capacités de raffinage de l’UE sont caractérisées par une concentration géographique dans certaines régions</w:t>
      </w:r>
      <w:r>
        <w:rPr>
          <w:rStyle w:val="FootnoteReference"/>
          <w:noProof/>
          <w:color w:val="000000" w:themeColor="text1"/>
        </w:rPr>
        <w:footnoteReference w:id="10"/>
      </w:r>
      <w:r>
        <w:rPr>
          <w:noProof/>
          <w:color w:val="000000" w:themeColor="text1"/>
        </w:rPr>
        <w:t xml:space="preserve"> et les autres sources d’approvisionnement en produits pétroliers raffinés sont limitées. De ce fait, il est nécessaire d’assurer un suivi coordonné et éventuellement d’engager une action collective pour maximiser la production européenne de raffinage existante, notamment par la mise à disposition coordonnée et rapide de stocks de sécurité.</w:t>
      </w:r>
    </w:p>
    <w:p w14:paraId="3F715CF6" w14:textId="77777777" w:rsidR="00070A89" w:rsidRDefault="006C2002">
      <w:pPr>
        <w:spacing w:before="0" w:beforeAutospacing="0" w:after="120" w:afterAutospacing="0"/>
        <w:rPr>
          <w:noProof/>
          <w:color w:val="000000" w:themeColor="text1"/>
        </w:rPr>
      </w:pPr>
      <w:bookmarkStart w:id="12" w:name="_Hlk227306078"/>
      <w:r>
        <w:rPr>
          <w:noProof/>
          <w:color w:val="000000" w:themeColor="text1"/>
        </w:rPr>
        <w:t>La coordination des actions est également essentielle pour renforcer les infrastructures militaires pour carburants, en particulier pour l’importation, le traitement, le stockage et la distribution des approvisionnements en carburant d’aviation.</w:t>
      </w:r>
    </w:p>
    <w:bookmarkEnd w:id="12"/>
    <w:p w14:paraId="7B08206E" w14:textId="77777777" w:rsidR="00070A89" w:rsidRDefault="006C2002">
      <w:pPr>
        <w:spacing w:before="0" w:beforeAutospacing="0" w:after="120" w:afterAutospacing="0"/>
        <w:rPr>
          <w:noProof/>
          <w:color w:val="000000" w:themeColor="text1"/>
        </w:rPr>
      </w:pPr>
      <w:r>
        <w:rPr>
          <w:noProof/>
        </w:rPr>
        <w:t>Enfin, l’action extérieure menée par l’UE pour réduire la dépendance à l’égard des combustibles fossiles à l’échelle mondiale</w:t>
      </w:r>
      <w:r>
        <w:rPr>
          <w:rStyle w:val="FootnoteReference"/>
          <w:noProof/>
          <w:lang w:val="en-US"/>
        </w:rPr>
        <w:footnoteReference w:id="11"/>
      </w:r>
      <w:r>
        <w:rPr>
          <w:noProof/>
        </w:rPr>
        <w:t xml:space="preserve"> peut contribuer davantage à rendre l’UE moins vulnérable aux chocs sur les prix de l’énergie, à renforcer sa sécurité et sa résilience et à promouvoir la compétitivité de l’Europe en matière de technologies propres. La coordination et la coopération avec les parties contractantes de la Communauté de l’énergie, en particulier, soutiendront la résilience de nos marchés de l’énergie interconnectés</w:t>
      </w:r>
      <w:r>
        <w:rPr>
          <w:rStyle w:val="FootnoteReference"/>
          <w:noProof/>
          <w:color w:val="000000" w:themeColor="text1"/>
        </w:rPr>
        <w:footnoteReference w:id="12"/>
      </w:r>
      <w:r>
        <w:rPr>
          <w:noProof/>
        </w:rPr>
        <w:t>.</w:t>
      </w:r>
    </w:p>
    <w:p w14:paraId="01D11EB7" w14:textId="77777777" w:rsidR="00070A89" w:rsidRDefault="006C2002">
      <w:pPr>
        <w:spacing w:before="0" w:beforeAutospacing="0" w:after="360" w:afterAutospacing="0"/>
        <w:rPr>
          <w:noProof/>
          <w:color w:val="000000" w:themeColor="text1"/>
        </w:rPr>
      </w:pPr>
      <w:r>
        <w:rPr>
          <w:noProof/>
          <w:color w:val="000000" w:themeColor="text1"/>
        </w:rPr>
        <w:t xml:space="preserve">Compte tenu de leur incidence sur les relations extérieures de l’UE, les actions proposées dans la présente communication seront menées de concert avec le Service européen pour l’action extérieure, dans le cadre de l’exercice de ses fonctions. </w:t>
      </w:r>
    </w:p>
    <w:p w14:paraId="4E94049B" w14:textId="77777777" w:rsidR="00070A89" w:rsidRDefault="006C2002">
      <w:pPr>
        <w:keepNext/>
        <w:pBdr>
          <w:top w:val="single" w:sz="4" w:space="1" w:color="auto"/>
          <w:left w:val="single" w:sz="4" w:space="4" w:color="auto"/>
          <w:bottom w:val="single" w:sz="4" w:space="1" w:color="auto"/>
          <w:right w:val="single" w:sz="4" w:space="4" w:color="auto"/>
        </w:pBdr>
        <w:spacing w:before="0" w:beforeAutospacing="0" w:afterAutospacing="0" w:line="254" w:lineRule="auto"/>
        <w:rPr>
          <w:noProof/>
        </w:rPr>
      </w:pPr>
      <w:r>
        <w:rPr>
          <w:b/>
          <w:i/>
          <w:noProof/>
          <w:sz w:val="22"/>
        </w:rPr>
        <w:t>Action immédiate de la Commission pour renforcer la coordination au niveau de l’UE:</w:t>
      </w:r>
    </w:p>
    <w:p w14:paraId="1F819C02" w14:textId="77777777" w:rsidR="00070A89" w:rsidRDefault="006C2002">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ind w:left="357" w:hanging="357"/>
        <w:jc w:val="left"/>
        <w:rPr>
          <w:i/>
          <w:iCs/>
          <w:noProof/>
          <w:sz w:val="22"/>
          <w:szCs w:val="22"/>
        </w:rPr>
      </w:pPr>
      <w:r>
        <w:rPr>
          <w:noProof/>
          <w:sz w:val="22"/>
        </w:rPr>
        <w:t>[À partir d’</w:t>
      </w:r>
      <w:r>
        <w:rPr>
          <w:b/>
          <w:noProof/>
          <w:sz w:val="22"/>
        </w:rPr>
        <w:t>avril 2026</w:t>
      </w:r>
      <w:r>
        <w:rPr>
          <w:noProof/>
          <w:sz w:val="22"/>
        </w:rPr>
        <w:t xml:space="preserve">] </w:t>
      </w:r>
      <w:r>
        <w:rPr>
          <w:b/>
          <w:i/>
          <w:noProof/>
          <w:sz w:val="22"/>
        </w:rPr>
        <w:t>La Commission facilitera la coordination des mesures nationales relatives au remplissage des installations de stockage de gaz</w:t>
      </w:r>
      <w:r>
        <w:rPr>
          <w:i/>
          <w:noProof/>
          <w:sz w:val="22"/>
        </w:rPr>
        <w:t xml:space="preserve"> (par exemple, en surveillant étroitement et en coordonnant avec les États membres le calendrier des achats par les acteurs du marché afin d’éviter les flambées de prix dues à une augmentation des achats simultanés) </w:t>
      </w:r>
      <w:r>
        <w:rPr>
          <w:b/>
          <w:i/>
          <w:noProof/>
          <w:sz w:val="22"/>
        </w:rPr>
        <w:t>et à l’éventuelle mise en circulation de stocks pétroliers</w:t>
      </w:r>
      <w:r>
        <w:rPr>
          <w:i/>
          <w:noProof/>
          <w:sz w:val="22"/>
        </w:rPr>
        <w:t xml:space="preserve">, y compris de carburants d’aviation et de gazole (pour laquelle la Commission fournira des analyses de scénarios et coordonnera le calendrier et les volumes par région et pour l’UE). Cela aura lieu, respectivement, au sein du groupe de coordination pour le gaz et du groupe de coordination pour le pétrole. </w:t>
      </w:r>
    </w:p>
    <w:p w14:paraId="4A4AC035" w14:textId="77777777" w:rsidR="00070A89" w:rsidRDefault="006C2002">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jc w:val="left"/>
        <w:rPr>
          <w:i/>
          <w:iCs/>
          <w:noProof/>
          <w:sz w:val="22"/>
          <w:szCs w:val="22"/>
        </w:rPr>
      </w:pPr>
      <w:r>
        <w:rPr>
          <w:noProof/>
          <w:sz w:val="22"/>
        </w:rPr>
        <w:t>[À partir d’</w:t>
      </w:r>
      <w:r>
        <w:rPr>
          <w:b/>
          <w:noProof/>
          <w:sz w:val="22"/>
        </w:rPr>
        <w:t>avril 2026</w:t>
      </w:r>
      <w:r>
        <w:rPr>
          <w:noProof/>
          <w:sz w:val="22"/>
        </w:rPr>
        <w:t xml:space="preserve">], </w:t>
      </w:r>
      <w:r>
        <w:rPr>
          <w:i/>
          <w:noProof/>
          <w:sz w:val="22"/>
        </w:rPr>
        <w:t>les États membres sont encouragés à avoir recours à la flexibilité en matière de remplissage des installations de stockage de gaz (jusqu’à 10 %)</w:t>
      </w:r>
      <w:r>
        <w:rPr>
          <w:noProof/>
          <w:sz w:val="22"/>
        </w:rPr>
        <w:t>.</w:t>
      </w:r>
      <w:r>
        <w:rPr>
          <w:i/>
          <w:noProof/>
          <w:sz w:val="22"/>
        </w:rPr>
        <w:t xml:space="preserve"> La</w:t>
      </w:r>
      <w:r>
        <w:rPr>
          <w:b/>
          <w:i/>
          <w:noProof/>
          <w:sz w:val="22"/>
        </w:rPr>
        <w:t xml:space="preserve"> Commission est prête à évaluer une nouvelle augmentation de l’écart maximum autorisé</w:t>
      </w:r>
      <w:r>
        <w:rPr>
          <w:i/>
          <w:noProof/>
          <w:sz w:val="22"/>
        </w:rPr>
        <w:t xml:space="preserve"> (jusqu’à 5 % supplémentaires) au titre du règlement actualisé de l’UE sur le stockage de gaz.</w:t>
      </w:r>
    </w:p>
    <w:p w14:paraId="30BC9609" w14:textId="77777777" w:rsidR="00070A89" w:rsidRDefault="006C2002">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jc w:val="left"/>
        <w:rPr>
          <w:i/>
          <w:iCs/>
          <w:noProof/>
          <w:sz w:val="22"/>
          <w:szCs w:val="22"/>
        </w:rPr>
      </w:pPr>
      <w:r>
        <w:rPr>
          <w:noProof/>
          <w:sz w:val="22"/>
        </w:rPr>
        <w:t>[À partir d’</w:t>
      </w:r>
      <w:r>
        <w:rPr>
          <w:b/>
          <w:noProof/>
          <w:sz w:val="22"/>
        </w:rPr>
        <w:t>avril 2026</w:t>
      </w:r>
      <w:r>
        <w:rPr>
          <w:noProof/>
          <w:sz w:val="22"/>
        </w:rPr>
        <w:t xml:space="preserve">] </w:t>
      </w:r>
      <w:r>
        <w:rPr>
          <w:b/>
          <w:i/>
          <w:noProof/>
          <w:sz w:val="22"/>
        </w:rPr>
        <w:t>La Commission facilitera les contacts entre l’UE et les fournisseurs de pétrole et de gaz de pays partenaires</w:t>
      </w:r>
      <w:r>
        <w:rPr>
          <w:i/>
          <w:noProof/>
          <w:sz w:val="22"/>
        </w:rPr>
        <w:t xml:space="preserve"> ayant des profils similaires en matière d’importation d’énergie afin d’améliorer le fonctionnement et la transparence des marchés mondiaux de l’énergie, notamment en </w:t>
      </w:r>
      <w:r>
        <w:rPr>
          <w:b/>
          <w:i/>
          <w:noProof/>
          <w:sz w:val="22"/>
        </w:rPr>
        <w:t>mobilisant pleinement la plateforme de l’UE pour l’énergie et les matières premières</w:t>
      </w:r>
      <w:r>
        <w:rPr>
          <w:rStyle w:val="FootnoteReference"/>
          <w:noProof/>
          <w:sz w:val="22"/>
          <w:szCs w:val="22"/>
        </w:rPr>
        <w:footnoteReference w:id="13"/>
      </w:r>
      <w:r>
        <w:rPr>
          <w:b/>
          <w:i/>
          <w:noProof/>
          <w:sz w:val="22"/>
        </w:rPr>
        <w:t xml:space="preserve"> </w:t>
      </w:r>
      <w:r>
        <w:rPr>
          <w:i/>
          <w:noProof/>
          <w:sz w:val="22"/>
        </w:rPr>
        <w:t>pour dialoguer avec l’industrie</w:t>
      </w:r>
      <w:r>
        <w:rPr>
          <w:b/>
          <w:i/>
          <w:noProof/>
          <w:sz w:val="22"/>
        </w:rPr>
        <w:t>.</w:t>
      </w:r>
      <w:r>
        <w:rPr>
          <w:i/>
          <w:noProof/>
          <w:sz w:val="22"/>
        </w:rPr>
        <w:t xml:space="preserve"> La Commission s’efforcera d’intensifier la coopération internationale en vue d’accroître l’approvisionnement en provenance de pays tiers et par l’intermédiaire du réseau d’accords commerciaux de l’UE.</w:t>
      </w:r>
    </w:p>
    <w:p w14:paraId="4DD49682" w14:textId="77777777" w:rsidR="00070A89" w:rsidRDefault="006C2002">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ind w:left="357" w:hanging="357"/>
        <w:jc w:val="left"/>
        <w:rPr>
          <w:i/>
          <w:iCs/>
          <w:noProof/>
          <w:sz w:val="22"/>
          <w:szCs w:val="22"/>
        </w:rPr>
      </w:pPr>
      <w:r>
        <w:rPr>
          <w:noProof/>
          <w:sz w:val="22"/>
        </w:rPr>
        <w:t>[</w:t>
      </w:r>
      <w:r>
        <w:rPr>
          <w:b/>
          <w:noProof/>
          <w:sz w:val="22"/>
        </w:rPr>
        <w:t>Mai 2026</w:t>
      </w:r>
      <w:r>
        <w:rPr>
          <w:noProof/>
          <w:sz w:val="22"/>
        </w:rPr>
        <w:t xml:space="preserve">] </w:t>
      </w:r>
      <w:r>
        <w:rPr>
          <w:b/>
          <w:i/>
          <w:noProof/>
          <w:sz w:val="22"/>
        </w:rPr>
        <w:t>La Commission établira une cartographie des capacités de raffinage existantes en Europe, évaluera les besoins et élaborera des mesures</w:t>
      </w:r>
      <w:r>
        <w:rPr>
          <w:i/>
          <w:noProof/>
          <w:sz w:val="22"/>
        </w:rPr>
        <w:t xml:space="preserve"> visant à faire en sorte que la capacité de raffinage de l’Union soit suffisante et totalement utilisée pour garantir un approvisionnement résilient pour toute la gamme des produits pétroliers pendant cette crise, ainsi que pour accroître la production locale de biocarburants durables dans l’UE.</w:t>
      </w:r>
    </w:p>
    <w:p w14:paraId="6F9EDEC0" w14:textId="77777777" w:rsidR="00070A89" w:rsidRDefault="006C2002">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ind w:left="357" w:hanging="357"/>
        <w:jc w:val="left"/>
        <w:rPr>
          <w:i/>
          <w:iCs/>
          <w:noProof/>
          <w:sz w:val="22"/>
          <w:szCs w:val="22"/>
        </w:rPr>
      </w:pPr>
      <w:r>
        <w:rPr>
          <w:noProof/>
        </w:rPr>
        <w:t xml:space="preserve">[À partir de </w:t>
      </w:r>
      <w:r>
        <w:rPr>
          <w:b/>
          <w:noProof/>
        </w:rPr>
        <w:t>mai 2026</w:t>
      </w:r>
      <w:r>
        <w:rPr>
          <w:noProof/>
        </w:rPr>
        <w:t>]</w:t>
      </w:r>
      <w:r>
        <w:rPr>
          <w:i/>
          <w:noProof/>
        </w:rPr>
        <w:t xml:space="preserve"> La Commission créera un </w:t>
      </w:r>
      <w:r>
        <w:rPr>
          <w:b/>
          <w:i/>
          <w:noProof/>
        </w:rPr>
        <w:t xml:space="preserve">observatoire des carburants chargé d’établir une cartographie des approvisionnements en carburants pertinents pour le secteur des transports </w:t>
      </w:r>
      <w:r>
        <w:rPr>
          <w:i/>
          <w:noProof/>
        </w:rPr>
        <w:t>(produits dans l’UE, importés et exportés)</w:t>
      </w:r>
      <w:r>
        <w:rPr>
          <w:noProof/>
        </w:rPr>
        <w:t xml:space="preserve"> </w:t>
      </w:r>
      <w:r>
        <w:rPr>
          <w:b/>
          <w:i/>
          <w:noProof/>
        </w:rPr>
        <w:t>et des réserves disponibles</w:t>
      </w:r>
      <w:r>
        <w:rPr>
          <w:i/>
          <w:noProof/>
        </w:rPr>
        <w:t xml:space="preserve"> dans l’UE, y compris, pour autant que la Commission dispose de ces informations, des capacités de raffinage et des réserves de carburant militaires.</w:t>
      </w:r>
      <w:r>
        <w:rPr>
          <w:i/>
          <w:noProof/>
          <w:sz w:val="22"/>
        </w:rPr>
        <w:t xml:space="preserve"> Dans un premier temps, la Commission coordonnera avec les États membres, les fournisseurs de carburant et le secteur de l’aviation (aéroports et compagnies aériennes) l</w:t>
      </w:r>
      <w:r>
        <w:rPr>
          <w:b/>
          <w:i/>
          <w:noProof/>
          <w:sz w:val="22"/>
        </w:rPr>
        <w:t>’approvisionnement en carburant d’aviation de substitution</w:t>
      </w:r>
      <w:r>
        <w:rPr>
          <w:i/>
          <w:noProof/>
          <w:sz w:val="22"/>
        </w:rPr>
        <w:t xml:space="preserve"> et proposera des mesures </w:t>
      </w:r>
      <w:r>
        <w:rPr>
          <w:b/>
          <w:i/>
          <w:noProof/>
          <w:sz w:val="22"/>
        </w:rPr>
        <w:t>visant à optimiser sa répartition</w:t>
      </w:r>
      <w:r>
        <w:rPr>
          <w:i/>
          <w:noProof/>
          <w:sz w:val="22"/>
        </w:rPr>
        <w:t xml:space="preserve"> entre les États membres afin qu’il soit disponible dans toutes les régions et tous les aéroports. La Commission évaluera la nécessité de réviser les règles de l’UE relatives aux stocks stratégiques afin d’y inclure des exigences spécifiques applicables au carburant d’aviation. </w:t>
      </w:r>
    </w:p>
    <w:p w14:paraId="3CD470AC" w14:textId="77777777" w:rsidR="00070A89" w:rsidRDefault="006C2002">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ind w:left="357" w:hanging="357"/>
        <w:jc w:val="left"/>
        <w:rPr>
          <w:i/>
          <w:iCs/>
          <w:noProof/>
          <w:sz w:val="22"/>
          <w:szCs w:val="22"/>
        </w:rPr>
      </w:pPr>
      <w:r>
        <w:rPr>
          <w:noProof/>
          <w:sz w:val="22"/>
        </w:rPr>
        <w:t xml:space="preserve">[À partir de </w:t>
      </w:r>
      <w:r>
        <w:rPr>
          <w:b/>
          <w:noProof/>
          <w:sz w:val="22"/>
        </w:rPr>
        <w:t>mai 2026</w:t>
      </w:r>
      <w:r>
        <w:rPr>
          <w:noProof/>
          <w:sz w:val="22"/>
        </w:rPr>
        <w:t>]</w:t>
      </w:r>
      <w:r>
        <w:rPr>
          <w:i/>
          <w:noProof/>
          <w:sz w:val="22"/>
        </w:rPr>
        <w:t xml:space="preserve"> La Commission publiera des orientations</w:t>
      </w:r>
      <w:r>
        <w:rPr>
          <w:b/>
          <w:i/>
          <w:noProof/>
          <w:sz w:val="22"/>
        </w:rPr>
        <w:t xml:space="preserve"> précisant les possibilités de flexibilité qu’offre actuellement</w:t>
      </w:r>
      <w:r>
        <w:rPr>
          <w:i/>
          <w:noProof/>
          <w:sz w:val="22"/>
        </w:rPr>
        <w:t xml:space="preserve"> le cadre législatif de l’UE pour l’aviation, notamment en ce qui concerne les règles relatives aux créneaux aéroportuaires, à la lutte contre le suremport, aux obligations de service public et à l’utilisation d’autres carburants importés,</w:t>
      </w:r>
      <w:r>
        <w:rPr>
          <w:b/>
          <w:i/>
          <w:noProof/>
          <w:sz w:val="22"/>
        </w:rPr>
        <w:t xml:space="preserve"> afin de faire face aux conséquences d’éventuelles pénuries de carburant sur les opérations de transport aérien</w:t>
      </w:r>
      <w:r>
        <w:rPr>
          <w:i/>
          <w:noProof/>
          <w:sz w:val="22"/>
        </w:rPr>
        <w:t xml:space="preserve">, en veillant à préserver le bon fonctionnement du marché unique et à garantir la connectivité aérienne essentielle. </w:t>
      </w:r>
      <w:r>
        <w:rPr>
          <w:b/>
          <w:i/>
          <w:noProof/>
          <w:sz w:val="22"/>
        </w:rPr>
        <w:t>Si la situation s’aggrave</w:t>
      </w:r>
      <w:r>
        <w:rPr>
          <w:i/>
          <w:noProof/>
          <w:sz w:val="22"/>
        </w:rPr>
        <w:t xml:space="preserve"> et que les possibilités de flexibilité existantes ne suffisent plus, </w:t>
      </w:r>
      <w:r>
        <w:rPr>
          <w:b/>
          <w:i/>
          <w:noProof/>
          <w:sz w:val="22"/>
        </w:rPr>
        <w:t xml:space="preserve">la Commission proposera, </w:t>
      </w:r>
      <w:r>
        <w:rPr>
          <w:i/>
          <w:noProof/>
          <w:sz w:val="22"/>
        </w:rPr>
        <w:t>lorsque cela se justifie,</w:t>
      </w:r>
      <w:r>
        <w:rPr>
          <w:b/>
          <w:i/>
          <w:noProof/>
          <w:sz w:val="22"/>
        </w:rPr>
        <w:t xml:space="preserve"> des modifications temporaires du cadre législatif applicable de l’UE</w:t>
      </w:r>
      <w:r>
        <w:rPr>
          <w:i/>
          <w:noProof/>
          <w:sz w:val="22"/>
        </w:rPr>
        <w:t>.</w:t>
      </w:r>
    </w:p>
    <w:p w14:paraId="3CF35951" w14:textId="77777777" w:rsidR="00070A89" w:rsidRDefault="006C2002">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ind w:left="357" w:hanging="357"/>
        <w:jc w:val="left"/>
        <w:rPr>
          <w:noProof/>
        </w:rPr>
      </w:pPr>
      <w:r>
        <w:rPr>
          <w:noProof/>
          <w:sz w:val="22"/>
        </w:rPr>
        <w:t>[</w:t>
      </w:r>
      <w:r>
        <w:rPr>
          <w:b/>
          <w:noProof/>
          <w:sz w:val="22"/>
        </w:rPr>
        <w:t>2026</w:t>
      </w:r>
      <w:r>
        <w:rPr>
          <w:noProof/>
          <w:sz w:val="22"/>
        </w:rPr>
        <w:t xml:space="preserve">] </w:t>
      </w:r>
      <w:r>
        <w:rPr>
          <w:i/>
          <w:noProof/>
          <w:sz w:val="22"/>
        </w:rPr>
        <w:t>La Commission</w:t>
      </w:r>
      <w:r>
        <w:rPr>
          <w:b/>
          <w:i/>
          <w:noProof/>
          <w:sz w:val="22"/>
        </w:rPr>
        <w:t xml:space="preserve"> entamera le processus de révision de la directive sur les stocks de pétrole</w:t>
      </w:r>
      <w:r>
        <w:rPr>
          <w:i/>
          <w:noProof/>
          <w:sz w:val="22"/>
        </w:rPr>
        <w:t xml:space="preserve"> afin de remédier aux faiblesses mises en évidence par la crise actuelle et examinera, entre autres, s’il y a lieu de prévoir des exigences spécifiques applicables aux stocks pour différents produits pétroliers</w:t>
      </w:r>
      <w:r>
        <w:rPr>
          <w:noProof/>
          <w:sz w:val="22"/>
        </w:rPr>
        <w:t>.</w:t>
      </w:r>
      <w:r>
        <w:rPr>
          <w:i/>
          <w:noProof/>
          <w:sz w:val="22"/>
        </w:rPr>
        <w:t xml:space="preserve"> </w:t>
      </w:r>
    </w:p>
    <w:p w14:paraId="5EB6424E" w14:textId="77777777" w:rsidR="00070A89" w:rsidRDefault="006C2002">
      <w:pPr>
        <w:pStyle w:val="ListParagraph"/>
        <w:keepNext/>
        <w:numPr>
          <w:ilvl w:val="1"/>
          <w:numId w:val="17"/>
        </w:numPr>
        <w:spacing w:before="360" w:beforeAutospacing="0" w:after="240" w:afterAutospacing="0" w:line="278" w:lineRule="auto"/>
        <w:ind w:left="856" w:hanging="646"/>
        <w:jc w:val="left"/>
        <w:rPr>
          <w:b/>
          <w:bCs/>
          <w:noProof/>
        </w:rPr>
      </w:pPr>
      <w:r>
        <w:rPr>
          <w:b/>
          <w:noProof/>
        </w:rPr>
        <w:t>Protéger les consommateurs et l’industrie contre les fortes hausses de prix</w:t>
      </w:r>
    </w:p>
    <w:p w14:paraId="111A87ED" w14:textId="77777777" w:rsidR="00070A89" w:rsidRDefault="006C2002">
      <w:pPr>
        <w:rPr>
          <w:noProof/>
        </w:rPr>
      </w:pPr>
      <w:r>
        <w:rPr>
          <w:noProof/>
        </w:rPr>
        <w:t>Les ménages et l’industrie attendent, de la part des États membres et de l’UE, des mesures qui les protègent contre des augmentations de prix d’une ampleur inattendue. Le budget des ménages est de plus en plus restreint à mesure que le revenu disponible s’amenuise sous l’effet de la hausse des coûts de l’énergie. Cela est déjà perceptible aujourd’hui lorsque les consommateurs font le plein de leur véhicule</w:t>
      </w:r>
      <w:r>
        <w:rPr>
          <w:rStyle w:val="FootnoteReference"/>
          <w:noProof/>
        </w:rPr>
        <w:footnoteReference w:id="14"/>
      </w:r>
      <w:r>
        <w:rPr>
          <w:noProof/>
        </w:rPr>
        <w:t xml:space="preserve">. En outre, étant donné qu’environ deux tiers du gaz naturel consommé dans l’UE sont utilisés dans les bâtiments et l’industrie, les flambées des prix du gaz entraîneront également des difficultés pour de nombreux consommateurs lorsque ces hausses de prix seront répercutées sur leurs factures énergétiques et, à terme, sur d’autres types de dépenses, telles que les prix des denrées alimentaires. À l’heure actuelle, de nombreux ménages peuvent encore bénéficier des conditions fixées dans les contrats de gaz et d’électricité qu’ils ont conclus avant le début du conflit au Moyen-Orient. Cela pourrait changer à l’échéance de leurs contrats de fourniture. Tous les consommateurs en situation de vulnérabilité sont particulièrement exposés à ce risque. </w:t>
      </w:r>
    </w:p>
    <w:p w14:paraId="41DD3D8E" w14:textId="77777777" w:rsidR="00070A89" w:rsidRDefault="006C2002">
      <w:pPr>
        <w:rPr>
          <w:noProof/>
        </w:rPr>
      </w:pPr>
      <w:r>
        <w:rPr>
          <w:noProof/>
        </w:rPr>
        <w:t xml:space="preserve">Compte tenu de la pression persistante et récurrente sur les importations de combustibles fossiles et de la volatilité persistante des prix de l’énergie, </w:t>
      </w:r>
      <w:r>
        <w:rPr>
          <w:b/>
          <w:noProof/>
        </w:rPr>
        <w:t>il faut immédiatement adopter des mesures de soutien, mais elles doivent être ciblées, opportunes et temporaires,</w:t>
      </w:r>
      <w:r>
        <w:rPr>
          <w:noProof/>
        </w:rPr>
        <w:t xml:space="preserve"> et liées à des solutions à long terme (voir exemples à l’annexe II). Ces mesures devraient préserver les incitations à réduire la demande d’énergie et être cohérentes avec les engagements pris par les États membres au titre du cadre budgétaire de l’UE. </w:t>
      </w:r>
    </w:p>
    <w:p w14:paraId="5F8F3BBD" w14:textId="77777777" w:rsidR="00070A89" w:rsidRDefault="006C2002">
      <w:pPr>
        <w:rPr>
          <w:noProof/>
        </w:rPr>
      </w:pPr>
      <w:r>
        <w:rPr>
          <w:noProof/>
        </w:rPr>
        <w:t>Le cadre législatif de l’UE et les initiatives politiques de la Commission, y compris le train de mesures sur l’énergie citoyenne</w:t>
      </w:r>
      <w:r>
        <w:rPr>
          <w:rStyle w:val="FootnoteReference"/>
          <w:noProof/>
        </w:rPr>
        <w:footnoteReference w:id="15"/>
      </w:r>
      <w:r>
        <w:rPr>
          <w:noProof/>
        </w:rPr>
        <w:t>, prévoient déjà de mettre à la disposition des États membres une série de mesures qu’ils pourraient envisager pour apporter une aide immédiate aux consommateurs. Il s’agit, par exemple, de régimes ciblés d’aide au revenu; de chèques énergie, par exemple pour le remplacement des chaudières à gaz; de tarifs sociaux; de réductions des droits d’accise sur l’électricité pour les ménages vulnérables et les industries à forte intensité énergétique; de réductions de la TVA pour l’installation de pompes à chaleur, de systèmes d’énergie solaire photovoltaïque et de batteries de petite taille couplées à ces systèmes; d’incitations fiscales favorisant le passage aux véhicules électriques; de mesures destinées à encourager et à faciliter la participation des consommateurs aux communautés énergétiques et à l’autoproduction d’énergie; et de campagnes encourageant les consommateurs à comparer les fournisseurs d’énergie ou de contrat et à en changer. En outre, afin de soutenir les consommateurs vulnérables, les États membres peuvent déjà introduire, conformément au cadre législatif existant de l’UE, des interdictions temporaires ou totales de l’interruption de fourniture d’énergie. La lutte contre la précarité en matière d’énergie et de transport fait également partie des priorités de la future stratégie de lutte contre la pauvreté.</w:t>
      </w:r>
    </w:p>
    <w:p w14:paraId="14F3A29F" w14:textId="77777777" w:rsidR="00070A89" w:rsidRDefault="006C2002">
      <w:pPr>
        <w:rPr>
          <w:noProof/>
        </w:rPr>
      </w:pPr>
      <w:r>
        <w:rPr>
          <w:noProof/>
        </w:rPr>
        <w:t>Des incitations financières ciblées telles que des crédits d’impôt ciblés et des régimes d’amortissement accéléré</w:t>
      </w:r>
      <w:r>
        <w:rPr>
          <w:rStyle w:val="FootnoteReference"/>
          <w:noProof/>
        </w:rPr>
        <w:footnoteReference w:id="16"/>
      </w:r>
      <w:r>
        <w:rPr>
          <w:noProof/>
        </w:rPr>
        <w:t xml:space="preserve"> ou de crédit-bail social peuvent également soutenir l’investissement et accroître le taux de déploiement des technologies propres tout en contribuant à l’augmentation de la capacité de production européenne. Cela pourrait se faire notamment dans des secteurs tels que les véhicules électriques, les pompes à chaleur résidentielles ou industrielles, les panneaux solaires ou les systèmes de stockage par batterie. </w:t>
      </w:r>
    </w:p>
    <w:p w14:paraId="61B262E2" w14:textId="77777777" w:rsidR="00070A89" w:rsidRDefault="006C2002">
      <w:pPr>
        <w:rPr>
          <w:noProof/>
        </w:rPr>
      </w:pPr>
      <w:r>
        <w:rPr>
          <w:noProof/>
        </w:rPr>
        <w:t>Les économies d’énergie et le remplacement de la consommation de pétrole et de gaz par une énergie propre produite localement se sont révélés efficaces pour lutter contre les prix élevés de l’énergie et réduire la dépendance de l’Europe à l’égard des combustibles fossiles importés</w:t>
      </w:r>
      <w:r>
        <w:rPr>
          <w:rStyle w:val="FootnoteReference"/>
          <w:noProof/>
        </w:rPr>
        <w:footnoteReference w:id="17"/>
      </w:r>
      <w:r>
        <w:rPr>
          <w:noProof/>
        </w:rPr>
        <w:t xml:space="preserve">. À court terme, les États membres peuvent obtenir des avantages importants dans de multiples secteurs en combinant des actions en matière d’électrification, d’amélioration de l’efficacité et d’accélération du déploiement de technologies énergétiques propres, y compris, par exemple, des solutions biosourcées durables innovantes (voir exemples à l’annexe II). Le système d’échange de quotas d’émission (SEQE) de l’UE a également été un outil essentiel pour parvenir à un degré plus élevé de sécurité et d’indépendance énergétiques, car sans le SEQE, l’Europe consommerait aujourd’hui 100 milliards de m³ de gaz supplémentaires, ce qui nous rendrait plus vulnérables. </w:t>
      </w:r>
    </w:p>
    <w:p w14:paraId="13886FFD" w14:textId="77777777" w:rsidR="00070A89" w:rsidRDefault="006C2002">
      <w:pPr>
        <w:rPr>
          <w:noProof/>
        </w:rPr>
      </w:pPr>
      <w:r>
        <w:rPr>
          <w:noProof/>
        </w:rPr>
        <w:t xml:space="preserve">Dans les habitations individuelles et les bâtiments, le soutien aux adaptations qui ont une incidence rapide, telles que l’amélioration de l’isolation, le remplacement des fenêtres ou le remplacement des appareils inefficaces, peut </w:t>
      </w:r>
      <w:r>
        <w:rPr>
          <w:b/>
          <w:noProof/>
        </w:rPr>
        <w:t>permettre de réaliser des économies d’énergie immédiates et durables</w:t>
      </w:r>
      <w:r>
        <w:rPr>
          <w:noProof/>
        </w:rPr>
        <w:t xml:space="preserve"> et de réduire les coûts. </w:t>
      </w:r>
      <w:bookmarkStart w:id="15" w:name="_Hlk227305133"/>
      <w:r>
        <w:rPr>
          <w:noProof/>
        </w:rPr>
        <w:t>Le remplacement des chaudières au gaz et au mazout par des pompes à chaleur pourrait réduire de moitié la consommation finale d’énergie dans les bâtiments et réduire les factures énergétiques au fil du temps</w:t>
      </w:r>
      <w:r>
        <w:rPr>
          <w:noProof/>
          <w:vertAlign w:val="superscript"/>
        </w:rPr>
        <w:footnoteReference w:id="18"/>
      </w:r>
      <w:r>
        <w:rPr>
          <w:noProof/>
        </w:rPr>
        <w:t xml:space="preserve">. </w:t>
      </w:r>
      <w:bookmarkEnd w:id="15"/>
      <w:r>
        <w:rPr>
          <w:noProof/>
        </w:rPr>
        <w:t>Une augmentation annuelle du taux de déploiement des pompes à chaleur, qui passerait d’environ 2,4 millions d’unités aujourd’hui à environ 4 millions d’unités d’ici à 2030, non seulement soulagerait les consommateurs, mais aiderait également les États membres à progresser dans la réduction de la consommation moyenne d’énergie primaire du parc immobilier résidentiel d’au moins 16 % d’ici à 2030</w:t>
      </w:r>
      <w:r>
        <w:rPr>
          <w:rStyle w:val="FootnoteReference"/>
          <w:noProof/>
        </w:rPr>
        <w:footnoteReference w:id="19"/>
      </w:r>
      <w:r>
        <w:rPr>
          <w:noProof/>
        </w:rPr>
        <w:t>. La Commission encourage les États membres à recourir au mécanisme d’anticipation du SEQE 2 de la Banque européenne d’investissement pour accélérer le déploiement de mesures de décarbonation dans les secteurs du logement et de la mobilité, en particulier au profit des ménages à revenu faible et intermédiaire et des PME.</w:t>
      </w:r>
    </w:p>
    <w:p w14:paraId="743D085C" w14:textId="77777777" w:rsidR="00070A89" w:rsidRDefault="006C2002">
      <w:pPr>
        <w:spacing w:before="240" w:beforeAutospacing="0" w:after="240" w:afterAutospacing="0"/>
        <w:rPr>
          <w:noProof/>
        </w:rPr>
      </w:pPr>
      <w:r>
        <w:rPr>
          <w:noProof/>
        </w:rPr>
        <w:t xml:space="preserve">Étant donné que la majeure partie de la consommation de pétrole concerne le secteur des transports, les actions des États membres devraient être coordonnées et ciblées sur le maintien des flux de marchandises et de la connectivité pour les passagers, tout en promouvant la transition vers l’électromobilité et d’autres solutions de mobilité propre dans tous les modes de transport en tant que voie structurelle pour réduire notre dépendance à l’égard du pétrole dans les transports. Il peut s’agir d’incitations pour les consommateurs à acquérir des véhicules électriques (par exemple, </w:t>
      </w:r>
      <w:r>
        <w:rPr>
          <w:noProof/>
          <w:color w:val="000000" w:themeColor="text1"/>
        </w:rPr>
        <w:t>le passage de flottes d’entreprise</w:t>
      </w:r>
      <w:r>
        <w:rPr>
          <w:noProof/>
        </w:rPr>
        <w:t xml:space="preserve"> à des solutions de transport propres</w:t>
      </w:r>
      <w:r>
        <w:rPr>
          <w:rStyle w:val="FootnoteReference"/>
          <w:noProof/>
        </w:rPr>
        <w:footnoteReference w:id="20"/>
      </w:r>
      <w:r>
        <w:rPr>
          <w:noProof/>
        </w:rPr>
        <w:t>, comme les véhicules utilitaires lourds électriques ou les transbordeurs électriques de passagers) ou de la fourniture d’une alimentation électrique à quai dans les ports. Pour les entreprises, en particulier les petites et moyennes entreprises ainsi que les entreprises qui sont grandes consommatrices d’énergie, les mécanismes de soutien ciblés peuvent inclure des régimes de financement, des bons d’achat ou des modèles de crédit-bail afin de stimuler les investissements dans l’efficacité énergétique et les technologies propres.</w:t>
      </w:r>
    </w:p>
    <w:p w14:paraId="6476AE40" w14:textId="77777777" w:rsidR="00070A89" w:rsidRDefault="006C2002">
      <w:pPr>
        <w:spacing w:before="240" w:beforeAutospacing="0" w:after="240" w:afterAutospacing="0"/>
        <w:rPr>
          <w:noProof/>
        </w:rPr>
      </w:pPr>
      <w:r>
        <w:rPr>
          <w:noProof/>
        </w:rPr>
        <w:t xml:space="preserve">Les États membres peuvent envisager d’utiliser leurs dotations au titre du Fonds social pour le climat pour financer de telles mesures en faveur des groupes vulnérables, y compris dans les secteurs des transports et du bâtiment. </w:t>
      </w:r>
    </w:p>
    <w:p w14:paraId="3807BEC4" w14:textId="77777777" w:rsidR="00070A89" w:rsidRDefault="006C2002">
      <w:pPr>
        <w:spacing w:before="240" w:beforeAutospacing="0" w:after="240" w:afterAutospacing="0"/>
        <w:rPr>
          <w:noProof/>
        </w:rPr>
      </w:pPr>
      <w:r>
        <w:rPr>
          <w:noProof/>
          <w:color w:val="000000" w:themeColor="text1"/>
        </w:rPr>
        <w:t>En ce qui concerne le transport aérien et par voie d’eau ainsi que la pêche, il convient d’accélérer la transition engagée vers des carburants d’aviation durables (CAD) et des carburants durables pour le transport maritime</w:t>
      </w:r>
      <w:r>
        <w:rPr>
          <w:rStyle w:val="FootnoteReference"/>
          <w:noProof/>
          <w:color w:val="000000" w:themeColor="text1"/>
        </w:rPr>
        <w:footnoteReference w:id="21"/>
      </w:r>
      <w:r>
        <w:rPr>
          <w:noProof/>
          <w:color w:val="000000" w:themeColor="text1"/>
        </w:rPr>
        <w:t>, grâce à la mise en œuvre rapide d’incitations à leur production et à leur utilisation dans l’UE</w:t>
      </w:r>
      <w:r>
        <w:rPr>
          <w:rStyle w:val="FootnoteReference"/>
          <w:noProof/>
          <w:color w:val="000000" w:themeColor="text1"/>
        </w:rPr>
        <w:footnoteReference w:id="22"/>
      </w:r>
      <w:r>
        <w:rPr>
          <w:noProof/>
          <w:color w:val="000000" w:themeColor="text1"/>
        </w:rPr>
        <w:t>. Pour d’autres secteurs, tels que l’agriculture, la pêche, la logistique et la mobilité, un accès accru aux biocarburants durables pour les véhicules à moteur à combustion existants peut garantir leur contribution ininterrompue à la chaîne d’approvisionnement, notamment pour l’alimentation.</w:t>
      </w:r>
    </w:p>
    <w:p w14:paraId="1C2E462A" w14:textId="77777777" w:rsidR="00070A89" w:rsidRDefault="00070A89">
      <w:pPr>
        <w:spacing w:before="0" w:beforeAutospacing="0" w:after="0" w:afterAutospacing="0"/>
        <w:rPr>
          <w:noProof/>
        </w:rPr>
      </w:pPr>
    </w:p>
    <w:p w14:paraId="36466E62" w14:textId="77777777" w:rsidR="00070A89" w:rsidRDefault="006C2002">
      <w:pPr>
        <w:pBdr>
          <w:top w:val="single" w:sz="4" w:space="1" w:color="auto"/>
          <w:left w:val="single" w:sz="4" w:space="4" w:color="auto"/>
          <w:bottom w:val="single" w:sz="4" w:space="1" w:color="auto"/>
          <w:right w:val="single" w:sz="4" w:space="4" w:color="auto"/>
        </w:pBdr>
        <w:spacing w:before="0" w:beforeAutospacing="0" w:afterAutospacing="0" w:line="254" w:lineRule="auto"/>
        <w:rPr>
          <w:b/>
          <w:bCs/>
          <w:i/>
          <w:iCs/>
          <w:noProof/>
          <w:sz w:val="22"/>
          <w:szCs w:val="22"/>
        </w:rPr>
      </w:pPr>
      <w:r>
        <w:rPr>
          <w:b/>
          <w:i/>
          <w:noProof/>
          <w:sz w:val="22"/>
        </w:rPr>
        <w:t>Action immédiate de la Commission pour aider les États membres à protéger les consommateurs et l’industrie:</w:t>
      </w:r>
    </w:p>
    <w:p w14:paraId="47057720" w14:textId="77777777" w:rsidR="00070A89" w:rsidRDefault="006C2002">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ind w:left="357" w:hanging="357"/>
        <w:jc w:val="left"/>
        <w:rPr>
          <w:i/>
          <w:iCs/>
          <w:noProof/>
          <w:sz w:val="22"/>
          <w:szCs w:val="22"/>
        </w:rPr>
      </w:pPr>
      <w:r>
        <w:rPr>
          <w:noProof/>
          <w:sz w:val="22"/>
        </w:rPr>
        <w:t>[</w:t>
      </w:r>
      <w:r>
        <w:rPr>
          <w:b/>
          <w:noProof/>
          <w:sz w:val="22"/>
        </w:rPr>
        <w:t>Mai 2026</w:t>
      </w:r>
      <w:r>
        <w:rPr>
          <w:noProof/>
          <w:sz w:val="22"/>
        </w:rPr>
        <w:t xml:space="preserve">] </w:t>
      </w:r>
      <w:r>
        <w:rPr>
          <w:i/>
          <w:noProof/>
          <w:sz w:val="22"/>
        </w:rPr>
        <w:t>Lors de la prochaine</w:t>
      </w:r>
      <w:r>
        <w:rPr>
          <w:b/>
          <w:i/>
          <w:noProof/>
          <w:sz w:val="22"/>
        </w:rPr>
        <w:t xml:space="preserve"> réunion informelle des ministres de l’énergie de l’UE qui se tiendra à Chypre le 13 mai 2026,</w:t>
      </w:r>
      <w:r>
        <w:rPr>
          <w:i/>
          <w:noProof/>
          <w:sz w:val="22"/>
        </w:rPr>
        <w:t xml:space="preserve"> la Commission présentera un </w:t>
      </w:r>
      <w:r>
        <w:rPr>
          <w:b/>
          <w:i/>
          <w:noProof/>
          <w:sz w:val="22"/>
        </w:rPr>
        <w:t>catalogue de mesures reproductibles visant à réaliser des économies d’énergie et des gains d’efficacité du système</w:t>
      </w:r>
      <w:r>
        <w:rPr>
          <w:i/>
          <w:noProof/>
          <w:sz w:val="22"/>
        </w:rPr>
        <w:t xml:space="preserve">, ainsi que des </w:t>
      </w:r>
      <w:r>
        <w:rPr>
          <w:b/>
          <w:i/>
          <w:noProof/>
          <w:sz w:val="22"/>
        </w:rPr>
        <w:t>mesures visant à remplacer les combustibles fossiles par une énergie propre produite localement</w:t>
      </w:r>
      <w:r>
        <w:rPr>
          <w:i/>
          <w:noProof/>
          <w:sz w:val="22"/>
        </w:rPr>
        <w:t>, que les États membres pourront déployer rapidement pour réduire la consommation de pétrole et de gaz à court terme. Ce catalogue, fondé sur une évaluation des mesures les plus efficaces prises depuis 2022, comprendra des exemples d’actions concrètes mises en œuvre avec succès sur le terrain et présentant un potentiel de reproduction à grande échelle dans l’ensemble de l’UE, et présentera les incidences de ces mesures.</w:t>
      </w:r>
    </w:p>
    <w:p w14:paraId="37B7D214" w14:textId="77777777" w:rsidR="00070A89" w:rsidRDefault="006C2002">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ind w:left="357" w:hanging="357"/>
        <w:jc w:val="left"/>
        <w:rPr>
          <w:i/>
          <w:iCs/>
          <w:noProof/>
          <w:sz w:val="22"/>
          <w:szCs w:val="22"/>
        </w:rPr>
      </w:pPr>
      <w:r>
        <w:rPr>
          <w:noProof/>
          <w:sz w:val="22"/>
        </w:rPr>
        <w:t>[À partir d’</w:t>
      </w:r>
      <w:r>
        <w:rPr>
          <w:b/>
          <w:noProof/>
          <w:sz w:val="22"/>
        </w:rPr>
        <w:t>avril 2026</w:t>
      </w:r>
      <w:r>
        <w:rPr>
          <w:noProof/>
          <w:sz w:val="22"/>
        </w:rPr>
        <w:t xml:space="preserve">] </w:t>
      </w:r>
      <w:r>
        <w:rPr>
          <w:i/>
          <w:noProof/>
          <w:sz w:val="22"/>
        </w:rPr>
        <w:t xml:space="preserve">La </w:t>
      </w:r>
      <w:r>
        <w:rPr>
          <w:b/>
          <w:i/>
          <w:noProof/>
          <w:sz w:val="22"/>
        </w:rPr>
        <w:t>Commission mettra en place un répertoire numérique</w:t>
      </w:r>
      <w:r>
        <w:rPr>
          <w:i/>
          <w:noProof/>
          <w:sz w:val="22"/>
        </w:rPr>
        <w:t xml:space="preserve"> afin de compiler et de partager des informations non confidentielles sur les mesures d’urgence nationales prises par les États membres, de contribuer à la coordination entre les États membres voisins et de faciliter </w:t>
      </w:r>
      <w:r>
        <w:rPr>
          <w:b/>
          <w:i/>
          <w:noProof/>
          <w:sz w:val="22"/>
        </w:rPr>
        <w:t>le partage et la promotion des bonnes pratiques</w:t>
      </w:r>
      <w:r>
        <w:rPr>
          <w:i/>
          <w:noProof/>
          <w:sz w:val="22"/>
        </w:rPr>
        <w:t xml:space="preserve">. </w:t>
      </w:r>
    </w:p>
    <w:p w14:paraId="22031FBC" w14:textId="77777777" w:rsidR="00070A89" w:rsidRDefault="006C2002">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ind w:left="357" w:hanging="357"/>
        <w:jc w:val="left"/>
        <w:rPr>
          <w:i/>
          <w:iCs/>
          <w:noProof/>
          <w:sz w:val="22"/>
          <w:szCs w:val="22"/>
        </w:rPr>
      </w:pPr>
      <w:r>
        <w:rPr>
          <w:noProof/>
          <w:sz w:val="22"/>
        </w:rPr>
        <w:t>[</w:t>
      </w:r>
      <w:r>
        <w:rPr>
          <w:b/>
          <w:noProof/>
          <w:sz w:val="22"/>
        </w:rPr>
        <w:t>Avril 2026</w:t>
      </w:r>
      <w:r>
        <w:rPr>
          <w:noProof/>
          <w:sz w:val="22"/>
        </w:rPr>
        <w:t xml:space="preserve">] </w:t>
      </w:r>
      <w:r>
        <w:rPr>
          <w:i/>
          <w:noProof/>
          <w:sz w:val="22"/>
        </w:rPr>
        <w:t xml:space="preserve">La Commission adoptera un </w:t>
      </w:r>
      <w:r>
        <w:rPr>
          <w:b/>
          <w:i/>
          <w:noProof/>
          <w:sz w:val="22"/>
        </w:rPr>
        <w:t>cadre temporaire pour les aides d’État</w:t>
      </w:r>
      <w:r>
        <w:rPr>
          <w:i/>
          <w:noProof/>
          <w:sz w:val="22"/>
        </w:rPr>
        <w:t xml:space="preserve"> définissant des dispositions permettant aux États membres d’élaborer et de mettre en œuvre des mesures d’urgence temporaires ciblées pour soutenir certains des secteurs économiques les plus exposés aux flambées des prix.</w:t>
      </w:r>
    </w:p>
    <w:p w14:paraId="6CE53A4C" w14:textId="77777777" w:rsidR="00070A89" w:rsidRDefault="006C2002">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160" w:afterAutospacing="0" w:line="254" w:lineRule="auto"/>
        <w:ind w:left="357" w:hanging="357"/>
        <w:jc w:val="left"/>
        <w:rPr>
          <w:i/>
          <w:noProof/>
          <w:sz w:val="22"/>
        </w:rPr>
      </w:pPr>
      <w:r>
        <w:rPr>
          <w:noProof/>
          <w:sz w:val="22"/>
        </w:rPr>
        <w:t>[À partir d’</w:t>
      </w:r>
      <w:r>
        <w:rPr>
          <w:b/>
          <w:noProof/>
          <w:sz w:val="22"/>
        </w:rPr>
        <w:t>avril 2026</w:t>
      </w:r>
      <w:r>
        <w:rPr>
          <w:noProof/>
          <w:sz w:val="22"/>
        </w:rPr>
        <w:t xml:space="preserve">] </w:t>
      </w:r>
      <w:r>
        <w:rPr>
          <w:i/>
          <w:noProof/>
          <w:sz w:val="22"/>
        </w:rPr>
        <w:t xml:space="preserve">La Commission fournira une </w:t>
      </w:r>
      <w:r>
        <w:rPr>
          <w:b/>
          <w:i/>
          <w:noProof/>
          <w:sz w:val="22"/>
        </w:rPr>
        <w:t>assistance continue aux États membres</w:t>
      </w:r>
      <w:r>
        <w:rPr>
          <w:i/>
          <w:noProof/>
          <w:sz w:val="22"/>
        </w:rPr>
        <w:t xml:space="preserve"> dans la conception de </w:t>
      </w:r>
      <w:r>
        <w:rPr>
          <w:b/>
          <w:i/>
          <w:noProof/>
          <w:sz w:val="22"/>
        </w:rPr>
        <w:t>mesures ciblées, temporaires et adoptées en temps utile</w:t>
      </w:r>
      <w:r>
        <w:rPr>
          <w:i/>
          <w:noProof/>
          <w:sz w:val="22"/>
        </w:rPr>
        <w:t xml:space="preserve"> (y compris des régimes d’intervention sur les prix et d’aide au revenu et des incitations fiscales), visant à soutenir en particulier les PME, les industries à forte intensité énergétique et les ménages, tout en préservant l’incitation à économiser l’énergie et en encourageant la réduction des combustibles fossiles. Les États membres devraient fournir une évaluation des incidences escomptées respectives, y compris leur coût budgétaire, et éviter la fragmentation du marché unique. La Commission fournira des </w:t>
      </w:r>
      <w:r>
        <w:rPr>
          <w:b/>
          <w:i/>
          <w:noProof/>
          <w:sz w:val="22"/>
        </w:rPr>
        <w:t>principes directeurs et facilitera l’élaboration de modèles</w:t>
      </w:r>
      <w:r>
        <w:rPr>
          <w:i/>
          <w:noProof/>
          <w:sz w:val="22"/>
        </w:rPr>
        <w:t xml:space="preserve"> à cet égard.</w:t>
      </w:r>
      <w:r>
        <w:rPr>
          <w:b/>
          <w:i/>
          <w:noProof/>
          <w:sz w:val="22"/>
        </w:rPr>
        <w:t xml:space="preserve"> </w:t>
      </w:r>
      <w:r>
        <w:rPr>
          <w:i/>
          <w:noProof/>
          <w:sz w:val="22"/>
        </w:rPr>
        <w:t xml:space="preserve">Les États membres peuvent également prendre des mesures en matière d’imposition des bénéfices exceptionnels afin de garantir l’équité sociale; la Commission respectera les décisions des États membres, apportera son aide et partagera les bonnes pratiques en matière de mesures nationales et évaluera ces mesures et leur incidence sur le marché unique. La Commission est prête à soutenir tous les États membres qui doivent, à court terme, appliquer des taux de taxation de l’énergie inférieurs aux niveaux minimaux actuels de l’UE, tout en évitant d’accroître la demande de combustibles fossiles et d’exacerber les déséquilibres entre l’offre et la demande. </w:t>
      </w:r>
    </w:p>
    <w:p w14:paraId="30FA6EFF" w14:textId="77777777" w:rsidR="00070A89" w:rsidRDefault="006C2002">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ind w:left="357" w:hanging="357"/>
        <w:jc w:val="left"/>
        <w:rPr>
          <w:i/>
          <w:iCs/>
          <w:noProof/>
          <w:sz w:val="22"/>
          <w:szCs w:val="22"/>
        </w:rPr>
      </w:pPr>
      <w:r>
        <w:rPr>
          <w:noProof/>
          <w:sz w:val="22"/>
        </w:rPr>
        <w:t>[</w:t>
      </w:r>
      <w:r>
        <w:rPr>
          <w:b/>
          <w:noProof/>
          <w:sz w:val="22"/>
        </w:rPr>
        <w:t>Avril 2026</w:t>
      </w:r>
      <w:r>
        <w:rPr>
          <w:noProof/>
          <w:sz w:val="22"/>
        </w:rPr>
        <w:t xml:space="preserve">] </w:t>
      </w:r>
      <w:r>
        <w:rPr>
          <w:i/>
          <w:noProof/>
          <w:sz w:val="22"/>
        </w:rPr>
        <w:t xml:space="preserve">La Commission continuera de </w:t>
      </w:r>
      <w:r>
        <w:rPr>
          <w:b/>
          <w:i/>
          <w:noProof/>
          <w:sz w:val="22"/>
        </w:rPr>
        <w:t>faciliter la mise en œuvre de l’autonomisation et de la protection des consommateurs</w:t>
      </w:r>
      <w:r>
        <w:rPr>
          <w:i/>
          <w:noProof/>
          <w:sz w:val="22"/>
        </w:rPr>
        <w:t xml:space="preserve"> dans l’ensemble des États membres </w:t>
      </w:r>
      <w:r>
        <w:rPr>
          <w:b/>
          <w:i/>
          <w:noProof/>
          <w:sz w:val="22"/>
        </w:rPr>
        <w:t>au moyen d’orientations</w:t>
      </w:r>
      <w:r>
        <w:rPr>
          <w:i/>
          <w:noProof/>
          <w:sz w:val="22"/>
        </w:rPr>
        <w:t xml:space="preserve"> sur la protection des clients vulnérables contre les interruptions de fourniture, l’accélération et la simplification du changement de fournisseur d’énergie et de contrat énergétique, la participation aux communautés énergétiques et l’autoconsommation, l’amélioration de la gestion des risques liés aux fournisseurs et la protection des consommateurs pendant la transition énergétique.</w:t>
      </w:r>
    </w:p>
    <w:p w14:paraId="1280EA02" w14:textId="77777777" w:rsidR="00070A89" w:rsidRDefault="006C2002">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ind w:left="357" w:hanging="357"/>
        <w:jc w:val="left"/>
        <w:rPr>
          <w:i/>
          <w:noProof/>
          <w:sz w:val="22"/>
          <w:szCs w:val="22"/>
        </w:rPr>
      </w:pPr>
      <w:r>
        <w:rPr>
          <w:noProof/>
        </w:rPr>
        <w:t xml:space="preserve">[À partir de </w:t>
      </w:r>
      <w:r>
        <w:rPr>
          <w:b/>
          <w:noProof/>
        </w:rPr>
        <w:t>mai 2026</w:t>
      </w:r>
      <w:r>
        <w:rPr>
          <w:noProof/>
        </w:rPr>
        <w:t>]</w:t>
      </w:r>
      <w:r>
        <w:rPr>
          <w:i/>
          <w:noProof/>
        </w:rPr>
        <w:t xml:space="preserve"> La Commission </w:t>
      </w:r>
      <w:r>
        <w:rPr>
          <w:b/>
          <w:i/>
          <w:noProof/>
        </w:rPr>
        <w:t>encouragera et contribuera à développer</w:t>
      </w:r>
      <w:r>
        <w:rPr>
          <w:i/>
          <w:noProof/>
        </w:rPr>
        <w:t xml:space="preserve">, notamment par l’intermédiaire du Conseil d’investissement pour la transition énergétique et de la Coalition pour le financement de l’efficacité énergétique, </w:t>
      </w:r>
      <w:r>
        <w:rPr>
          <w:b/>
          <w:i/>
          <w:noProof/>
        </w:rPr>
        <w:t>des régimes de crédit-bail social pour les technologies propres et efficaces que les États membres sont encouragés à utiliser</w:t>
      </w:r>
      <w:r>
        <w:rPr>
          <w:i/>
          <w:noProof/>
        </w:rPr>
        <w:t xml:space="preserve"> pour soutenir l’adoption rapide, par exemple, des véhicules électriques, des pompes à chaleur résidentielles et des batteries de petite taille</w:t>
      </w:r>
      <w:r>
        <w:rPr>
          <w:rStyle w:val="FootnoteReference"/>
          <w:i/>
          <w:iCs/>
          <w:noProof/>
          <w:sz w:val="22"/>
          <w:szCs w:val="22"/>
        </w:rPr>
        <w:footnoteReference w:id="23"/>
      </w:r>
      <w:r>
        <w:rPr>
          <w:i/>
          <w:noProof/>
        </w:rPr>
        <w:t>.</w:t>
      </w:r>
      <w:r>
        <w:rPr>
          <w:i/>
          <w:noProof/>
          <w:sz w:val="22"/>
        </w:rPr>
        <w:t xml:space="preserve"> La Commission est prête à </w:t>
      </w:r>
      <w:r>
        <w:rPr>
          <w:b/>
          <w:i/>
          <w:noProof/>
          <w:sz w:val="22"/>
        </w:rPr>
        <w:t>aider les États membres à mettre en place</w:t>
      </w:r>
      <w:r>
        <w:rPr>
          <w:i/>
          <w:noProof/>
          <w:sz w:val="22"/>
        </w:rPr>
        <w:t xml:space="preserve"> des </w:t>
      </w:r>
      <w:r>
        <w:rPr>
          <w:b/>
          <w:i/>
          <w:noProof/>
          <w:sz w:val="22"/>
        </w:rPr>
        <w:t>incitations financières</w:t>
      </w:r>
      <w:r>
        <w:rPr>
          <w:i/>
          <w:noProof/>
          <w:sz w:val="22"/>
        </w:rPr>
        <w:t xml:space="preserve">, telles que des crédits d’impôt ciblés, pour le déploiement rapide de technologies énergétiques propres telles que les véhicules électriques, les pompes à chaleur industrielles et domestiques, les batteries en aval du compteur et le stockage thermique industriel, tout en veillant au respect des engagements pris au titre des règles budgétaires. </w:t>
      </w:r>
    </w:p>
    <w:p w14:paraId="769DF922" w14:textId="77777777" w:rsidR="00070A89" w:rsidRDefault="006C2002">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ind w:left="357" w:hanging="357"/>
        <w:jc w:val="left"/>
        <w:rPr>
          <w:i/>
          <w:noProof/>
          <w:sz w:val="22"/>
          <w:szCs w:val="22"/>
        </w:rPr>
      </w:pPr>
      <w:r>
        <w:rPr>
          <w:i/>
          <w:noProof/>
          <w:sz w:val="22"/>
        </w:rPr>
        <w:t>[Avril 2026] La Commission a déclenché le mécanisme de soutien en cas de crise prévu au titre du Fonds européen pour les affaires maritimes, la pêche et l’aquaculture</w:t>
      </w:r>
      <w:r>
        <w:rPr>
          <w:rStyle w:val="FootnoteReference"/>
          <w:i/>
          <w:noProof/>
          <w:sz w:val="22"/>
          <w:szCs w:val="22"/>
        </w:rPr>
        <w:footnoteReference w:id="24"/>
      </w:r>
      <w:r>
        <w:rPr>
          <w:i/>
          <w:noProof/>
          <w:sz w:val="22"/>
        </w:rPr>
        <w:t>, qui permet aux États membres d’indemniser les opérateurs des secteurs de la pêche, de l’aquaculture et de la transformation en cas d’augmentation des coûts d’exploitation et de pertes de revenus découlant directement de la situation au Moyen-Orient.</w:t>
      </w:r>
    </w:p>
    <w:p w14:paraId="256B8636" w14:textId="77777777" w:rsidR="00070A89" w:rsidRDefault="006C2002">
      <w:pPr>
        <w:pStyle w:val="Heading1"/>
        <w:ind w:hanging="431"/>
      </w:pPr>
      <w:r>
        <w:t>Action immédiate pour produire des avantages durables</w:t>
      </w:r>
    </w:p>
    <w:p w14:paraId="29089F02" w14:textId="77777777" w:rsidR="00070A89" w:rsidRDefault="006C2002">
      <w:pPr>
        <w:pStyle w:val="ListParagraph"/>
        <w:keepNext/>
        <w:numPr>
          <w:ilvl w:val="1"/>
          <w:numId w:val="2"/>
        </w:numPr>
        <w:spacing w:before="360" w:beforeAutospacing="0" w:after="240" w:afterAutospacing="0" w:line="278" w:lineRule="auto"/>
        <w:ind w:left="567" w:hanging="578"/>
        <w:jc w:val="left"/>
        <w:rPr>
          <w:b/>
          <w:bCs/>
          <w:noProof/>
        </w:rPr>
      </w:pPr>
      <w:r>
        <w:rPr>
          <w:b/>
          <w:noProof/>
        </w:rPr>
        <w:t>Accélérer la transition vers l’électrification et une énergie propre produite localement</w:t>
      </w:r>
    </w:p>
    <w:p w14:paraId="4AC8DDF4" w14:textId="77777777" w:rsidR="00070A89" w:rsidRDefault="006C2002">
      <w:pPr>
        <w:spacing w:before="240" w:beforeAutospacing="0" w:after="240" w:afterAutospacing="0"/>
        <w:rPr>
          <w:noProof/>
          <w:color w:val="000000" w:themeColor="text1"/>
        </w:rPr>
      </w:pPr>
      <w:r>
        <w:rPr>
          <w:noProof/>
          <w:color w:val="000000" w:themeColor="text1"/>
        </w:rPr>
        <w:t xml:space="preserve">En prenant des mesures immédiates pour obtenir de bons résultats à moyen terme, les pays de l’UE peuvent remplacer d’importants volumes de pétrole et de gaz </w:t>
      </w:r>
      <w:r>
        <w:rPr>
          <w:b/>
          <w:noProof/>
          <w:color w:val="000000" w:themeColor="text1"/>
        </w:rPr>
        <w:t>grâce à l’accélération de la transition vers une énergie propre, locale et abondante</w:t>
      </w:r>
      <w:r>
        <w:rPr>
          <w:noProof/>
          <w:color w:val="000000" w:themeColor="text1"/>
        </w:rPr>
        <w:t>, notamment par l’électrification et le déploiement de l’énergie solaire thermique et de l’énergie géothermique ainsi que d’autres sources d’énergie renouvelable, du nucléaire, du biométhane, des biocarburants durables et de l’hydrogène.</w:t>
      </w:r>
    </w:p>
    <w:p w14:paraId="16F7A565" w14:textId="3FA6FA94" w:rsidR="00070A89" w:rsidRDefault="006C2002">
      <w:pPr>
        <w:rPr>
          <w:noProof/>
        </w:rPr>
      </w:pPr>
      <w:r>
        <w:rPr>
          <w:noProof/>
        </w:rPr>
        <w:t>Par exemple, la capacité de production d’électricité renouvelable déployée chaque année devrait passer à 100 GW/an</w:t>
      </w:r>
      <w:r>
        <w:rPr>
          <w:rStyle w:val="FootnoteReference"/>
          <w:noProof/>
        </w:rPr>
        <w:footnoteReference w:id="25"/>
      </w:r>
      <w:r>
        <w:rPr>
          <w:noProof/>
        </w:rPr>
        <w:t>, notamment au moyen de nouveaux projets à grande échelle dans le domaine des énergies renouvelables et d’un déploiement accéléré de l’énergie solaire</w:t>
      </w:r>
      <w:r>
        <w:rPr>
          <w:rStyle w:val="FootnoteReference"/>
          <w:noProof/>
        </w:rPr>
        <w:footnoteReference w:id="26"/>
      </w:r>
      <w:r>
        <w:rPr>
          <w:noProof/>
        </w:rPr>
        <w:t>, qui peuvent produire des résultats rapides</w:t>
      </w:r>
      <w:r>
        <w:rPr>
          <w:rStyle w:val="FootnoteReference"/>
          <w:noProof/>
        </w:rPr>
        <w:footnoteReference w:id="27"/>
      </w:r>
      <w:r>
        <w:rPr>
          <w:noProof/>
        </w:rPr>
        <w:t>. Pour obtenir des résultats à un rythme soutenu, il est donc essentiel de rationaliser les régimes nationaux d’octroi de permis conformément aux exigences fixées dans la législation de l’UE</w:t>
      </w:r>
      <w:r>
        <w:rPr>
          <w:rStyle w:val="FootnoteReference"/>
          <w:noProof/>
        </w:rPr>
        <w:footnoteReference w:id="28"/>
      </w:r>
      <w:r>
        <w:rPr>
          <w:noProof/>
        </w:rPr>
        <w:t>. Au-delà des efforts de transposition, la concentration en début de période de la mise en œuvre peut produire des résultats concrets. D’ici la fin de 2026, la durée des procédures d’octroi de permis devrait diminuer dans toute l’Europe pour atteindre deux ans au maximum</w:t>
      </w:r>
      <w:r>
        <w:rPr>
          <w:rStyle w:val="FootnoteReference"/>
          <w:noProof/>
        </w:rPr>
        <w:footnoteReference w:id="29"/>
      </w:r>
      <w:r>
        <w:rPr>
          <w:noProof/>
        </w:rPr>
        <w:t>, et chaque État membre devrait libérer le potentiel des zones d’accélération des énergies renouvelables en établissant au moins une.</w:t>
      </w:r>
    </w:p>
    <w:p w14:paraId="3590DFAB" w14:textId="77777777" w:rsidR="00070A89" w:rsidRDefault="006C2002">
      <w:pPr>
        <w:rPr>
          <w:noProof/>
        </w:rPr>
      </w:pPr>
      <w:r>
        <w:rPr>
          <w:noProof/>
        </w:rPr>
        <w:t xml:space="preserve">Un autre levier d’action essentiel consiste à développer au maximum les actifs existants dans le domaine des énergies renouvelables. Le rééquipement et la modernisation rapides des fermes éoliennes, y compris des parcs éoliens en mer, soutenus par des régimes d’autorisation rationalisés spécifiques pour le rééquipement, et la modernisation d’autres installations renouvelables telles que les centrales hydroélectriques, peuvent rapidement apporter un soulagement supplémentaire bien nécessaire en augmentant la capacité de production disponible. </w:t>
      </w:r>
    </w:p>
    <w:p w14:paraId="11E18402" w14:textId="77777777" w:rsidR="00070A89" w:rsidRDefault="006C2002">
      <w:pPr>
        <w:tabs>
          <w:tab w:val="left" w:pos="5227"/>
        </w:tabs>
        <w:rPr>
          <w:noProof/>
          <w:color w:val="000000" w:themeColor="text1"/>
        </w:rPr>
      </w:pPr>
      <w:r>
        <w:rPr>
          <w:noProof/>
          <w:color w:val="000000" w:themeColor="text1"/>
        </w:rPr>
        <w:t xml:space="preserve">L’énergie nucléaire est un élément important des stratégies de décarbonation, de compétitivité industrielle et de sécurité d’approvisionnement. </w:t>
      </w:r>
      <w:r>
        <w:rPr>
          <w:noProof/>
        </w:rPr>
        <w:t xml:space="preserve">Près de la moitié des États membres disposent d’énergie nucléaire dans leur bouquet énergétique national. </w:t>
      </w:r>
      <w:r>
        <w:rPr>
          <w:noProof/>
          <w:color w:val="000000" w:themeColor="text1"/>
        </w:rPr>
        <w:t>Les plans nationaux actualisés en matière d’énergie et de climat</w:t>
      </w:r>
      <w:r>
        <w:rPr>
          <w:rStyle w:val="FootnoteReference"/>
          <w:noProof/>
          <w:color w:val="000000" w:themeColor="text1"/>
        </w:rPr>
        <w:footnoteReference w:id="30"/>
      </w:r>
      <w:r>
        <w:rPr>
          <w:noProof/>
          <w:color w:val="000000" w:themeColor="text1"/>
        </w:rPr>
        <w:t xml:space="preserve"> indiquent que la capacité nucléaire installée devrait augmenter. Les centrales nucléaires fournissent de l’électricité propre, adaptée pour améliorer l’intégration du système et offrant une flexibilité facilitant le déploiement d’autres technologies propres. Ces avantages profitent à l’ensemble du système énergétique de l’UE. </w:t>
      </w:r>
      <w:r>
        <w:rPr>
          <w:noProof/>
        </w:rPr>
        <w:t>La mise en place de nouveaux petits réacteurs modulaires</w:t>
      </w:r>
      <w:r>
        <w:rPr>
          <w:rStyle w:val="FootnoteReference"/>
          <w:noProof/>
          <w:lang w:val="en-IE"/>
        </w:rPr>
        <w:footnoteReference w:id="31"/>
      </w:r>
      <w:r>
        <w:rPr>
          <w:noProof/>
        </w:rPr>
        <w:t xml:space="preserve"> ou le fait d’éviter le retrait prématuré</w:t>
      </w:r>
      <w:r>
        <w:rPr>
          <w:rStyle w:val="FootnoteReference"/>
          <w:noProof/>
          <w:lang w:val="en-IE"/>
        </w:rPr>
        <w:footnoteReference w:id="32"/>
      </w:r>
      <w:r>
        <w:rPr>
          <w:noProof/>
        </w:rPr>
        <w:t xml:space="preserve"> de capacités nucléaires existantes peuvent contribuer à réduire la nécessité d’utiliser des combustibles fossiles, y compris pour le chauffage urbain et les procédés industriels.</w:t>
      </w:r>
      <w:r>
        <w:rPr>
          <w:noProof/>
          <w:color w:val="000000" w:themeColor="text1"/>
        </w:rPr>
        <w:t xml:space="preserve"> </w:t>
      </w:r>
      <w:r>
        <w:rPr>
          <w:noProof/>
        </w:rPr>
        <w:t>Comme indiqué dans la stratégie PINC, il existe également un potentiel inexploité en ce qui concerne les centrales nucléaires existantes</w:t>
      </w:r>
      <w:r>
        <w:rPr>
          <w:rStyle w:val="FootnoteReference"/>
          <w:noProof/>
          <w:color w:val="000000" w:themeColor="text1"/>
        </w:rPr>
        <w:footnoteReference w:id="33"/>
      </w:r>
      <w:r>
        <w:rPr>
          <w:noProof/>
        </w:rPr>
        <w:t>.</w:t>
      </w:r>
      <w:r>
        <w:rPr>
          <w:noProof/>
          <w:color w:val="000000" w:themeColor="text1"/>
        </w:rPr>
        <w:t xml:space="preserve"> </w:t>
      </w:r>
    </w:p>
    <w:p w14:paraId="1391EEE3" w14:textId="77777777" w:rsidR="00070A89" w:rsidRDefault="006C2002">
      <w:pPr>
        <w:rPr>
          <w:noProof/>
        </w:rPr>
      </w:pPr>
      <w:r>
        <w:rPr>
          <w:noProof/>
        </w:rPr>
        <w:t>La crise actuelle appelle également à accélérer l’électrification</w:t>
      </w:r>
      <w:r>
        <w:rPr>
          <w:rStyle w:val="FootnoteReference"/>
          <w:noProof/>
        </w:rPr>
        <w:footnoteReference w:id="34"/>
      </w:r>
      <w:r>
        <w:rPr>
          <w:noProof/>
        </w:rPr>
        <w:t xml:space="preserve"> afin de mettre un terme à l’exposition aux chocs sur les prix des combustibles fossiles et aux dépendances à l’égard des importations. En 2024, 71 % de la production d’électricité dans l’Union provenaient de sources d’énergie propres</w:t>
      </w:r>
      <w:r>
        <w:rPr>
          <w:rStyle w:val="FootnoteReference"/>
          <w:noProof/>
        </w:rPr>
        <w:footnoteReference w:id="35"/>
      </w:r>
      <w:r>
        <w:rPr>
          <w:noProof/>
        </w:rPr>
        <w:t>, contribuant à alimenter le système en énergie à faible coût. Toutefois, l’électricité représente moins d’un quart de la consommation finale d’énergie</w:t>
      </w:r>
      <w:r>
        <w:rPr>
          <w:rStyle w:val="FootnoteReference"/>
          <w:noProof/>
        </w:rPr>
        <w:footnoteReference w:id="36"/>
      </w:r>
      <w:r>
        <w:rPr>
          <w:noProof/>
        </w:rPr>
        <w:t>. Pour garantir un approvisionnement énergétique abordable et préserver la compétitivité industrielle, il est nécessaire de transférer une part croissante de la demande d’énergie (transports, bâtiments, industrie, etc.) des combustibles fossiles vers l’électricité afin de faire bénéficier les consommateurs des avantages d’une énergie propre et renouvelable tout en améliorant l’efficacité du système.</w:t>
      </w:r>
      <w:r>
        <w:rPr>
          <w:noProof/>
        </w:rP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5"/>
        <w:gridCol w:w="4571"/>
      </w:tblGrid>
      <w:tr w:rsidR="00070A89" w14:paraId="0B816239" w14:textId="77777777">
        <w:trPr>
          <w:trHeight w:val="4212"/>
          <w:jc w:val="center"/>
        </w:trPr>
        <w:tc>
          <w:tcPr>
            <w:tcW w:w="4455" w:type="dxa"/>
          </w:tcPr>
          <w:p w14:paraId="608629BE" w14:textId="77777777" w:rsidR="00070A89" w:rsidRDefault="006C2002">
            <w:pPr>
              <w:keepNext/>
              <w:rPr>
                <w:noProof/>
              </w:rPr>
            </w:pPr>
            <w:r>
              <w:rPr>
                <w:noProof/>
                <w:color w:val="000000" w:themeColor="text1"/>
                <w:lang w:val="en-GB" w:eastAsia="en-GB"/>
              </w:rPr>
              <w:drawing>
                <wp:inline distT="0" distB="0" distL="0" distR="0" wp14:anchorId="7FB5BC42" wp14:editId="7A042948">
                  <wp:extent cx="2462213" cy="2893206"/>
                  <wp:effectExtent l="0" t="0" r="0" b="2540"/>
                  <wp:docPr id="212764644" name="Picture 4" descr="Carte de l’Europe avec différents pays/régions en couleurs&#10;&#10;Un contenu généré par IA peut être erroné.">
                    <a:extLst xmlns:a="http://schemas.openxmlformats.org/drawingml/2006/main">
                      <a:ext uri="{FF2B5EF4-FFF2-40B4-BE49-F238E27FC236}">
                        <a16:creationId xmlns:a16="http://schemas.microsoft.com/office/drawing/2014/main" id="{4AEF757D-2905-52FF-67D7-B7283EF1D2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map of europe with different colored countries/regions&#10;&#10;AI-generated content may be incorrect.">
                            <a:extLst>
                              <a:ext uri="{FF2B5EF4-FFF2-40B4-BE49-F238E27FC236}">
                                <a16:creationId xmlns:a16="http://schemas.microsoft.com/office/drawing/2014/main" id="{4AEF757D-2905-52FF-67D7-B7283EF1D243}"/>
                              </a:ext>
                            </a:extLst>
                          </pic:cNvPr>
                          <pic:cNvPicPr>
                            <a:picLocks noChangeAspect="1"/>
                          </pic:cNvPicPr>
                        </pic:nvPicPr>
                        <pic:blipFill>
                          <a:blip r:embed="rId15">
                            <a:extLst>
                              <a:ext uri="{28A0092B-C50C-407E-A947-70E740481C1C}">
                                <a14:useLocalDpi xmlns:a14="http://schemas.microsoft.com/office/drawing/2010/main" val="0"/>
                              </a:ext>
                            </a:extLst>
                          </a:blip>
                          <a:srcRect/>
                          <a:stretch/>
                        </pic:blipFill>
                        <pic:spPr>
                          <a:xfrm>
                            <a:off x="0" y="0"/>
                            <a:ext cx="2469625" cy="2901915"/>
                          </a:xfrm>
                          <a:prstGeom prst="rect">
                            <a:avLst/>
                          </a:prstGeom>
                        </pic:spPr>
                      </pic:pic>
                    </a:graphicData>
                  </a:graphic>
                </wp:inline>
              </w:drawing>
            </w:r>
          </w:p>
        </w:tc>
        <w:tc>
          <w:tcPr>
            <w:tcW w:w="4571" w:type="dxa"/>
          </w:tcPr>
          <w:p w14:paraId="15FC4F78" w14:textId="77777777" w:rsidR="00070A89" w:rsidRDefault="006C2002">
            <w:pPr>
              <w:keepNext/>
              <w:rPr>
                <w:noProof/>
              </w:rPr>
            </w:pPr>
            <w:r>
              <w:rPr>
                <w:noProof/>
                <w:color w:val="000000" w:themeColor="text1"/>
                <w:lang w:val="en-GB" w:eastAsia="en-GB"/>
              </w:rPr>
              <w:drawing>
                <wp:anchor distT="0" distB="0" distL="114300" distR="114300" simplePos="0" relativeHeight="251658240" behindDoc="0" locked="0" layoutInCell="1" allowOverlap="1" wp14:anchorId="0CB0B25C" wp14:editId="71B728FE">
                  <wp:simplePos x="0" y="0"/>
                  <wp:positionH relativeFrom="page">
                    <wp:posOffset>104450</wp:posOffset>
                  </wp:positionH>
                  <wp:positionV relativeFrom="paragraph">
                    <wp:posOffset>40478</wp:posOffset>
                  </wp:positionV>
                  <wp:extent cx="2402840" cy="2757170"/>
                  <wp:effectExtent l="0" t="0" r="0" b="5080"/>
                  <wp:wrapTopAndBottom/>
                  <wp:docPr id="194720326" name="Picture 2" descr="Carte de l’Europe avec des cercles de différentes couleurs&#10;&#10;Un contenu généré par IA peut être erroné.">
                    <a:extLst xmlns:a="http://schemas.openxmlformats.org/drawingml/2006/main">
                      <a:ext uri="{FF2B5EF4-FFF2-40B4-BE49-F238E27FC236}">
                        <a16:creationId xmlns:a16="http://schemas.microsoft.com/office/drawing/2014/main" id="{6989410F-6FBE-23C2-B0F3-5CD61320EC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A map of europe with different colored circles&#10;&#10;AI-generated content may be incorrect.">
                            <a:extLst>
                              <a:ext uri="{FF2B5EF4-FFF2-40B4-BE49-F238E27FC236}">
                                <a16:creationId xmlns:a16="http://schemas.microsoft.com/office/drawing/2014/main" id="{6989410F-6FBE-23C2-B0F3-5CD61320ECB3}"/>
                              </a:ext>
                            </a:extLst>
                          </pic:cNvPr>
                          <pic:cNvPicPr>
                            <a:picLocks noChangeAspect="1" noChangeArrowheads="1"/>
                          </pic:cNvPicPr>
                        </pic:nvPicPr>
                        <pic:blipFill rotWithShape="1">
                          <a:blip r:embed="rId16"/>
                          <a:srcRect t="372" b="131"/>
                          <a:stretch>
                            <a:fillRect/>
                          </a:stretch>
                        </pic:blipFill>
                        <pic:spPr bwMode="auto">
                          <a:xfrm>
                            <a:off x="0" y="0"/>
                            <a:ext cx="2402840" cy="2757170"/>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7DA1DDF3" w14:textId="77777777" w:rsidR="00070A89" w:rsidRDefault="006C2002">
      <w:pPr>
        <w:spacing w:before="0" w:beforeAutospacing="0"/>
        <w:jc w:val="center"/>
        <w:rPr>
          <w:i/>
          <w:iCs/>
          <w:noProof/>
          <w:color w:val="000000" w:themeColor="text1"/>
          <w:sz w:val="20"/>
          <w:szCs w:val="20"/>
          <w:highlight w:val="yellow"/>
        </w:rPr>
      </w:pPr>
      <w:r>
        <w:rPr>
          <w:i/>
          <w:noProof/>
          <w:color w:val="000000" w:themeColor="text1"/>
          <w:sz w:val="20"/>
        </w:rPr>
        <w:t>Graphique 1. Corrélation entre les bouquets énergétiques propres et le caractère abordable de l’électricité (marché de gros 2025 — à gauche; marché de détail industriel S1 2025 – à droite) [Source: DG ENER]</w:t>
      </w:r>
    </w:p>
    <w:p w14:paraId="45CCAACA" w14:textId="77777777" w:rsidR="00070A89" w:rsidRDefault="006C2002">
      <w:pPr>
        <w:rPr>
          <w:noProof/>
        </w:rPr>
      </w:pPr>
      <w:r>
        <w:rPr>
          <w:noProof/>
        </w:rPr>
        <w:t>L’électrification stimulera également la production intérieure de technologies propres dans l’UE, par exemple les pompes à chaleur résidentielles et industrielles. Selon les estimations du secteur, plus des deux tiers des pompes à chaleur installées en Europe sont produites en Europe</w:t>
      </w:r>
      <w:r>
        <w:rPr>
          <w:rStyle w:val="FootnoteReference"/>
          <w:noProof/>
        </w:rPr>
        <w:footnoteReference w:id="37"/>
      </w:r>
      <w:r>
        <w:rPr>
          <w:noProof/>
        </w:rPr>
        <w:t xml:space="preserve">. Si la demande potentielle est claire, les fabricants seront davantage incités à accroître leurs capacités dans l’UE et à investir dans le développement des compétences. </w:t>
      </w:r>
      <w:bookmarkStart w:id="16" w:name="_Hlk227305229"/>
      <w:bookmarkStart w:id="17" w:name="_Hlk227253208"/>
    </w:p>
    <w:p w14:paraId="57C0D66E" w14:textId="77777777" w:rsidR="00070A89" w:rsidRDefault="006C2002">
      <w:pPr>
        <w:rPr>
          <w:noProof/>
        </w:rPr>
      </w:pPr>
      <w:r>
        <w:rPr>
          <w:noProof/>
        </w:rPr>
        <w:t>Doubler la capacité installée des pompes à chaleur commerciales et résidentielles permettrait de réduire la consommation de combustibles fossiles de 200 TWh</w:t>
      </w:r>
      <w:r>
        <w:rPr>
          <w:rStyle w:val="FootnoteReference"/>
          <w:noProof/>
        </w:rPr>
        <w:footnoteReference w:id="38"/>
      </w:r>
      <w:r>
        <w:rPr>
          <w:noProof/>
        </w:rPr>
        <w:t xml:space="preserve">. </w:t>
      </w:r>
      <w:bookmarkEnd w:id="16"/>
      <w:r>
        <w:rPr>
          <w:noProof/>
        </w:rPr>
        <w:t>En outre, les systèmes de chauffage et de refroidissement urbains constituent des leviers efficaces pour accélérer l’électrification. Ils sont susceptibles d’offrir de la flexibilité du côté de la demande de plus en plus nécessaire dans le système électrique, au moyen de grandes pompes à chaleur, de chaudières électriques et d’un stockage thermique, et de faciliter la récupération de la chaleur fatale. Une expansion ambitieuse du réseau de chaleur peut permettre de réaliser d’importantes économies de gaz naturel</w:t>
      </w:r>
      <w:r>
        <w:rPr>
          <w:rStyle w:val="FootnoteReference"/>
          <w:noProof/>
          <w:lang w:val="en-IE"/>
        </w:rPr>
        <w:footnoteReference w:id="39"/>
      </w:r>
      <w:r>
        <w:rPr>
          <w:noProof/>
        </w:rPr>
        <w:t>.</w:t>
      </w:r>
    </w:p>
    <w:bookmarkEnd w:id="17"/>
    <w:p w14:paraId="1BEF2C01" w14:textId="77777777" w:rsidR="00070A89" w:rsidRDefault="006C2002">
      <w:pPr>
        <w:rPr>
          <w:noProof/>
          <w:color w:val="000000" w:themeColor="text1"/>
        </w:rPr>
      </w:pPr>
      <w:r>
        <w:rPr>
          <w:noProof/>
          <w:color w:val="000000" w:themeColor="text1"/>
        </w:rPr>
        <w:t>Un autre domaine essentiel pour accroître l’électrification de l’économie est celui des transports. Au-delà des incitations visant à promouvoir la croissance des ventes de véhicules électriques, une infrastructure de recharge suffisante est essentielle à l’adoption de cette technologie. Tandis que les infrastructures de recharge pour les voitures et les camionnettes ont augmenté beaucoup plus rapidement au cours des cinq dernières années que le parc de voitures électriques, les infrastructures de recharge pour les camions font défaut</w:t>
      </w:r>
      <w:r>
        <w:rPr>
          <w:rStyle w:val="FootnoteReference"/>
          <w:noProof/>
          <w:color w:val="000000" w:themeColor="text1"/>
        </w:rPr>
        <w:footnoteReference w:id="40"/>
      </w:r>
      <w:r>
        <w:rPr>
          <w:noProof/>
        </w:rPr>
        <w:t>.</w:t>
      </w:r>
      <w:r>
        <w:rPr>
          <w:noProof/>
          <w:color w:val="000000" w:themeColor="text1"/>
        </w:rPr>
        <w:t xml:space="preserve"> </w:t>
      </w:r>
    </w:p>
    <w:p w14:paraId="4177E75F" w14:textId="77777777" w:rsidR="00070A89" w:rsidRDefault="006C2002">
      <w:pPr>
        <w:spacing w:before="240" w:beforeAutospacing="0" w:after="240" w:afterAutospacing="0"/>
        <w:rPr>
          <w:noProof/>
        </w:rPr>
      </w:pPr>
      <w:r>
        <w:rPr>
          <w:noProof/>
          <w:color w:val="000000" w:themeColor="text1"/>
        </w:rPr>
        <w:t xml:space="preserve">L’augmentation de la part de l’énergie solaire thermique, pas uniquement dans les bâtiments mais aussi dans les systèmes de chauffage et de refroidissement urbains, grâce au rééquipement des installations solaires thermiques existantes et au lancement de nouveaux projets, y compris pour le stockage thermique, pourrait permettre de réaliser d’importantes économies d’énergie. Cet élément est particulièrement important pour l’industrie, en particulier dans le secteur de l’alimentation et des boissons, dans le secteur des produits chimiques (en particulier pour les besoins en matière de chaleur industrielle jusqu’à environ 400 °C) et dans l’agriculture, par exemple pour les serres. </w:t>
      </w:r>
    </w:p>
    <w:p w14:paraId="2FF40C84" w14:textId="77777777" w:rsidR="00070A89" w:rsidRDefault="006C2002">
      <w:pPr>
        <w:spacing w:before="240" w:beforeAutospacing="0" w:after="240" w:afterAutospacing="0"/>
        <w:rPr>
          <w:noProof/>
        </w:rPr>
      </w:pPr>
      <w:r>
        <w:rPr>
          <w:noProof/>
          <w:color w:val="000000" w:themeColor="text1"/>
        </w:rPr>
        <w:t>L’énergie géothermique peut aussi remplacer le gaz naturel dans les réseaux de chauffage et de refroidissement urbains et, dans certains cas, contribuer à la production d’électricité</w:t>
      </w:r>
      <w:r>
        <w:rPr>
          <w:rStyle w:val="FootnoteReference"/>
          <w:noProof/>
          <w:color w:val="000000" w:themeColor="text1"/>
        </w:rPr>
        <w:footnoteReference w:id="41"/>
      </w:r>
      <w:r>
        <w:rPr>
          <w:noProof/>
          <w:color w:val="000000" w:themeColor="text1"/>
        </w:rPr>
        <w:t xml:space="preserve">. Il est donc important de soutenir le déploiement rapide de nouveaux projets géothermiques et d’étudier les possibilités de rééquiper les installations existantes. </w:t>
      </w:r>
      <w:r>
        <w:rPr>
          <w:noProof/>
        </w:rPr>
        <w:t xml:space="preserve">Les pompes à chaleur industrielles peuvent fournir de la chaleur industrielle généralement jusqu’à environ 200 °C ou améliorer la production de chaleur basse température, ce qui permet d’accroître la récupération de la chaleur fatale dans l’industrie et les systèmes de chauffage et de refroidissement urbains. </w:t>
      </w:r>
    </w:p>
    <w:p w14:paraId="4090F819" w14:textId="77777777" w:rsidR="00070A89" w:rsidRDefault="006C2002">
      <w:pPr>
        <w:spacing w:before="240" w:beforeAutospacing="0" w:after="240" w:afterAutospacing="0"/>
        <w:rPr>
          <w:noProof/>
        </w:rPr>
      </w:pPr>
      <w:bookmarkStart w:id="18" w:name="_Hlk227305240"/>
      <w:r>
        <w:rPr>
          <w:noProof/>
          <w:color w:val="000000" w:themeColor="text1"/>
        </w:rPr>
        <w:t xml:space="preserve">Le biogaz et le biométhane peuvent également jouer un rôle plus stratégique dans le remplacement des combustibles fossiles importés, en particulier dans les secteurs où l’électrification est plus difficile. </w:t>
      </w:r>
      <w:r>
        <w:rPr>
          <w:noProof/>
        </w:rPr>
        <w:t>La production de biométhane dans les installations existantes pourrait être augmentée d’environ 10 à 30 %.</w:t>
      </w:r>
      <w:bookmarkEnd w:id="18"/>
      <w:r>
        <w:rPr>
          <w:noProof/>
        </w:rPr>
        <w:t xml:space="preserve"> Les projets de biométhane dans les exploitations agricoles et les coopératives peuvent réduire la dépendance à l’égard des combustibles fossiles tout en fournissant des revenus supplémentaires aux agriculteurs et en créant de la valeur locale, en particulier dans les zones rurales, grâce à la conversion des déchets, des résidus et du fumier en énergie et en engrais. </w:t>
      </w:r>
      <w:r>
        <w:rPr>
          <w:noProof/>
          <w:color w:val="000000" w:themeColor="text1"/>
        </w:rPr>
        <w:t>Dernier élément, les solutions circulaires pour le biogaz, le biométhane et les nutriments recyclés peuvent renforcer la résilience, contribuer à la compétitivité et réduire l’exposition aux chocs de prix mondiaux.</w:t>
      </w:r>
    </w:p>
    <w:p w14:paraId="148AB040" w14:textId="77777777" w:rsidR="00070A89" w:rsidRDefault="006C2002">
      <w:pPr>
        <w:rPr>
          <w:noProof/>
        </w:rPr>
      </w:pPr>
      <w:r>
        <w:rPr>
          <w:noProof/>
        </w:rPr>
        <w:t xml:space="preserve">Enfin, étant donné que la montée en puissance de l’hydrogène demeure lente, l’UE devrait soutenir l’accélération de la transition de l’industrie vers des combustibles décarbonés, tout en garantissant des conditions de concurrence équitables pour tous les utilisateurs d’électricité et en réduisant au minimum le coût de l’électricité. </w:t>
      </w:r>
    </w:p>
    <w:p w14:paraId="27984092" w14:textId="77777777" w:rsidR="00070A89" w:rsidRDefault="006C2002">
      <w:pPr>
        <w:keepNext/>
        <w:pBdr>
          <w:top w:val="single" w:sz="4" w:space="1" w:color="auto"/>
          <w:left w:val="single" w:sz="4" w:space="4" w:color="auto"/>
          <w:bottom w:val="single" w:sz="4" w:space="1" w:color="auto"/>
          <w:right w:val="single" w:sz="4" w:space="4" w:color="auto"/>
        </w:pBdr>
        <w:spacing w:before="0" w:beforeAutospacing="0" w:afterAutospacing="0" w:line="254" w:lineRule="auto"/>
        <w:rPr>
          <w:b/>
          <w:i/>
          <w:noProof/>
        </w:rPr>
      </w:pPr>
      <w:r>
        <w:rPr>
          <w:b/>
          <w:i/>
          <w:noProof/>
        </w:rPr>
        <w:t>Action immédiate de la Commission pour aider les États membres:</w:t>
      </w:r>
    </w:p>
    <w:p w14:paraId="16F1F928" w14:textId="77777777" w:rsidR="00070A89" w:rsidRDefault="006C2002">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160" w:afterAutospacing="0" w:line="254" w:lineRule="auto"/>
        <w:jc w:val="left"/>
        <w:rPr>
          <w:i/>
          <w:iCs/>
          <w:noProof/>
        </w:rPr>
      </w:pPr>
      <w:r>
        <w:rPr>
          <w:noProof/>
        </w:rPr>
        <w:t>[</w:t>
      </w:r>
      <w:r>
        <w:rPr>
          <w:i/>
          <w:noProof/>
        </w:rPr>
        <w:t>T2 2026</w:t>
      </w:r>
      <w:r>
        <w:rPr>
          <w:noProof/>
        </w:rPr>
        <w:t xml:space="preserve">] </w:t>
      </w:r>
      <w:r>
        <w:rPr>
          <w:i/>
          <w:noProof/>
        </w:rPr>
        <w:t>La Commission prendra des mesures relatives à l’</w:t>
      </w:r>
      <w:r>
        <w:rPr>
          <w:b/>
          <w:i/>
          <w:noProof/>
        </w:rPr>
        <w:t>électrification</w:t>
      </w:r>
      <w:r>
        <w:rPr>
          <w:i/>
          <w:noProof/>
        </w:rPr>
        <w:t xml:space="preserve">, au </w:t>
      </w:r>
      <w:r>
        <w:rPr>
          <w:b/>
          <w:i/>
          <w:noProof/>
        </w:rPr>
        <w:t>chauffage</w:t>
      </w:r>
      <w:r>
        <w:rPr>
          <w:i/>
          <w:noProof/>
        </w:rPr>
        <w:t xml:space="preserve"> et au </w:t>
      </w:r>
      <w:r>
        <w:rPr>
          <w:b/>
          <w:i/>
          <w:noProof/>
        </w:rPr>
        <w:t>refroidissement</w:t>
      </w:r>
      <w:r>
        <w:rPr>
          <w:i/>
          <w:noProof/>
        </w:rPr>
        <w:t xml:space="preserve"> et à l’</w:t>
      </w:r>
      <w:r>
        <w:rPr>
          <w:b/>
          <w:i/>
          <w:noProof/>
        </w:rPr>
        <w:t>énergie géothermique</w:t>
      </w:r>
      <w:r>
        <w:rPr>
          <w:i/>
          <w:noProof/>
        </w:rPr>
        <w:t xml:space="preserve">. Entre autres mesures, la Commission fixera un </w:t>
      </w:r>
      <w:r>
        <w:rPr>
          <w:b/>
          <w:i/>
          <w:noProof/>
        </w:rPr>
        <w:t>objectif d’électrification</w:t>
      </w:r>
      <w:r>
        <w:rPr>
          <w:i/>
          <w:noProof/>
        </w:rPr>
        <w:t>, proposera des mesures visant à réduire le rapport de prix entre l’électricité et les combustibles fossiles et des mesures visant à accélérer l’adoption de solutions d’électrification, par exemple au moyen d’un instrument fondé sur le marché pour les pompes à chaleur, et s’attaquera aux obstacles dans les secteurs de l’industrie, des transports</w:t>
      </w:r>
      <w:r>
        <w:rPr>
          <w:rStyle w:val="FootnoteReference"/>
          <w:i/>
          <w:iCs/>
          <w:noProof/>
        </w:rPr>
        <w:footnoteReference w:id="42"/>
      </w:r>
      <w:r>
        <w:rPr>
          <w:i/>
          <w:noProof/>
        </w:rPr>
        <w:t xml:space="preserve"> et du bâtiment ainsi qu’aux obstacles intersectoriels à l’électrification de l’économie. Il s’agit notamment de supprimer progressivement les subventions aux combustibles fossiles, qui compromettent la compétitivité relative de l’électricité par rapport à d’autres vecteurs énergétiques.</w:t>
      </w:r>
    </w:p>
    <w:p w14:paraId="5BF03E62" w14:textId="77777777" w:rsidR="00070A89" w:rsidRDefault="006C2002">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jc w:val="left"/>
        <w:rPr>
          <w:i/>
          <w:iCs/>
          <w:noProof/>
        </w:rPr>
      </w:pPr>
      <w:r>
        <w:rPr>
          <w:noProof/>
        </w:rPr>
        <w:t>[</w:t>
      </w:r>
      <w:r>
        <w:rPr>
          <w:b/>
          <w:noProof/>
        </w:rPr>
        <w:t>À partir de mai 2026</w:t>
      </w:r>
      <w:r>
        <w:rPr>
          <w:noProof/>
        </w:rPr>
        <w:t xml:space="preserve">] </w:t>
      </w:r>
      <w:r>
        <w:rPr>
          <w:i/>
          <w:noProof/>
        </w:rPr>
        <w:t>En ce qui concerne l’</w:t>
      </w:r>
      <w:r>
        <w:rPr>
          <w:b/>
          <w:i/>
          <w:noProof/>
        </w:rPr>
        <w:t>énergie géothermique</w:t>
      </w:r>
      <w:r>
        <w:rPr>
          <w:i/>
          <w:noProof/>
        </w:rPr>
        <w:t xml:space="preserve">, la Commission soutiendra les États membres et les parties prenantes pour collecter des données géologiques détaillées et créera une </w:t>
      </w:r>
      <w:r>
        <w:rPr>
          <w:b/>
          <w:i/>
          <w:noProof/>
        </w:rPr>
        <w:t>base de données au niveau de l’UE</w:t>
      </w:r>
      <w:r>
        <w:rPr>
          <w:i/>
          <w:noProof/>
        </w:rPr>
        <w:t xml:space="preserve">. La Commission étudiera aussi la possibilité de mettre en place </w:t>
      </w:r>
      <w:r>
        <w:rPr>
          <w:b/>
          <w:i/>
          <w:noProof/>
        </w:rPr>
        <w:t>des systèmes de réduction des risques liés à la géothermie et des régimes d’assurance</w:t>
      </w:r>
      <w:r>
        <w:rPr>
          <w:i/>
          <w:noProof/>
        </w:rPr>
        <w:t xml:space="preserve">, en collaboration avec des bailleurs de fonds publics, y compris des banques nationales de développement, afin de limiter les risques liés aux investissements et de mobiliser davantage les capitaux privés. Dans le cadre de l’initiative «Global Gateway», la Commission s’est engagée à promouvoir, entre autres, </w:t>
      </w:r>
      <w:r>
        <w:rPr>
          <w:b/>
          <w:i/>
          <w:noProof/>
        </w:rPr>
        <w:t>la coopération internationale sur les projets d’énergie géothermique</w:t>
      </w:r>
      <w:r>
        <w:rPr>
          <w:i/>
          <w:noProof/>
        </w:rPr>
        <w:t>, le cas échéant.</w:t>
      </w:r>
    </w:p>
    <w:p w14:paraId="2A96210D" w14:textId="77777777" w:rsidR="00070A89" w:rsidRDefault="006C2002">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jc w:val="left"/>
        <w:rPr>
          <w:i/>
          <w:iCs/>
          <w:noProof/>
        </w:rPr>
      </w:pPr>
      <w:r>
        <w:rPr>
          <w:noProof/>
        </w:rPr>
        <w:t>[</w:t>
      </w:r>
      <w:r>
        <w:rPr>
          <w:b/>
          <w:noProof/>
        </w:rPr>
        <w:t>Mai 2026</w:t>
      </w:r>
      <w:r>
        <w:rPr>
          <w:noProof/>
        </w:rPr>
        <w:t xml:space="preserve"> et au-delà]</w:t>
      </w:r>
      <w:r>
        <w:rPr>
          <w:i/>
          <w:noProof/>
        </w:rPr>
        <w:t xml:space="preserve"> En ce qui concerne l’énergie solaire thermique, la Commission, en collaboration avec la coalition pour le financement de l’efficacité énergétique, contribuera à l’instauration de régimes d’aide publique en faveur de </w:t>
      </w:r>
      <w:r>
        <w:rPr>
          <w:b/>
          <w:i/>
          <w:noProof/>
        </w:rPr>
        <w:t>l’adoption de projets solaires thermiques à grande échelle</w:t>
      </w:r>
      <w:r>
        <w:rPr>
          <w:noProof/>
        </w:rPr>
        <w:t>.</w:t>
      </w:r>
    </w:p>
    <w:p w14:paraId="5C7EB554" w14:textId="77777777" w:rsidR="00070A89" w:rsidRDefault="006C2002">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jc w:val="left"/>
        <w:rPr>
          <w:noProof/>
        </w:rPr>
      </w:pPr>
      <w:r>
        <w:rPr>
          <w:noProof/>
        </w:rPr>
        <w:t xml:space="preserve">[À partir de 2026] </w:t>
      </w:r>
      <w:r>
        <w:rPr>
          <w:i/>
          <w:noProof/>
        </w:rPr>
        <w:t xml:space="preserve">En ce qui concerne le </w:t>
      </w:r>
      <w:r>
        <w:rPr>
          <w:b/>
          <w:i/>
          <w:noProof/>
        </w:rPr>
        <w:t>biométhane</w:t>
      </w:r>
      <w:r>
        <w:rPr>
          <w:i/>
          <w:noProof/>
        </w:rPr>
        <w:t>, la Commission continuera de soutenir la production de molécules gazeuses d’origine non fossile, y compris le biogaz et le biométhane durables, conformément au plan REPowerEU</w:t>
      </w:r>
      <w:r>
        <w:rPr>
          <w:rStyle w:val="FootnoteReference"/>
          <w:i/>
          <w:iCs/>
          <w:noProof/>
        </w:rPr>
        <w:footnoteReference w:id="43"/>
      </w:r>
      <w:r>
        <w:rPr>
          <w:i/>
          <w:noProof/>
        </w:rPr>
        <w:t>, notamment les projets de biogaz et de biométhane dans les exploitations agricoles et les coopératives, en accordant une attention particulière à l’expansion des installations existantes, en réduisant les goulets d’étranglement en matière d’octroi de permis et en améliorant le transport de matières premières durables entre les régions.</w:t>
      </w:r>
    </w:p>
    <w:p w14:paraId="03FF4DE8" w14:textId="77777777" w:rsidR="00070A89" w:rsidRDefault="006C2002">
      <w:pPr>
        <w:pStyle w:val="ListParagraph"/>
        <w:numPr>
          <w:ilvl w:val="0"/>
          <w:numId w:val="18"/>
        </w:numPr>
        <w:pBdr>
          <w:top w:val="single" w:sz="4" w:space="1" w:color="auto"/>
          <w:left w:val="single" w:sz="4" w:space="4" w:color="auto"/>
          <w:bottom w:val="single" w:sz="4" w:space="1" w:color="auto"/>
          <w:right w:val="single" w:sz="4" w:space="4" w:color="auto"/>
        </w:pBdr>
        <w:spacing w:line="254" w:lineRule="auto"/>
        <w:rPr>
          <w:i/>
          <w:iCs/>
          <w:noProof/>
        </w:rPr>
      </w:pPr>
      <w:r>
        <w:rPr>
          <w:noProof/>
        </w:rPr>
        <w:t>[T2 </w:t>
      </w:r>
      <w:r>
        <w:rPr>
          <w:b/>
          <w:noProof/>
        </w:rPr>
        <w:t>2026</w:t>
      </w:r>
      <w:r>
        <w:rPr>
          <w:noProof/>
        </w:rPr>
        <w:t xml:space="preserve">] </w:t>
      </w:r>
      <w:r>
        <w:rPr>
          <w:i/>
          <w:noProof/>
        </w:rPr>
        <w:t xml:space="preserve">À l’issue d’une évaluation et compte tenu du fait que l’essor du marché de l’hydrogène est plus lent que prévu, la Commission proposera un </w:t>
      </w:r>
      <w:r>
        <w:rPr>
          <w:b/>
          <w:i/>
          <w:noProof/>
        </w:rPr>
        <w:t>réexamen ciblé des critères de production de l’hydrogène renouvelable, tout en sauvegardant les investissements existants</w:t>
      </w:r>
      <w:r>
        <w:rPr>
          <w:i/>
          <w:noProof/>
        </w:rPr>
        <w:t>. Cela soutiendra la décarbonation de l’industrie et accélérera le développement d’électrocarburants d’aviation durables (</w:t>
      </w:r>
      <w:r>
        <w:rPr>
          <w:b/>
          <w:i/>
          <w:noProof/>
        </w:rPr>
        <w:t>eSAF</w:t>
      </w:r>
      <w:r>
        <w:rPr>
          <w:i/>
          <w:noProof/>
        </w:rPr>
        <w:t>) et d’électrocarburants durables pour le transport maritime (</w:t>
      </w:r>
      <w:r>
        <w:rPr>
          <w:b/>
          <w:i/>
          <w:noProof/>
        </w:rPr>
        <w:t>eSMF</w:t>
      </w:r>
      <w:r>
        <w:rPr>
          <w:i/>
          <w:noProof/>
        </w:rPr>
        <w:t>) produits à partir d’hydrogène.</w:t>
      </w:r>
      <w:r>
        <w:rPr>
          <w:noProof/>
        </w:rPr>
        <w:t xml:space="preserve"> </w:t>
      </w:r>
      <w:r>
        <w:rPr>
          <w:i/>
          <w:noProof/>
        </w:rPr>
        <w:t>La Commission clarifiera davantage les méthodes applicables aux processus reposant à la fois sur l’hydrogène renouvelable et sur la biomasse en tant que matière première en vue de faciliter la production d’eSAF tout en préservant des conditions de concurrence équitables et en maintenant des critères de durabilité ambitieux, y compris l’additionnalité, la comptabilisation précise des émissions tout au long du cycle de vie et la prévention du double comptage. D’ici au 30 juin 2026, la Commission lancera une consultation publique sur un projet de méthodologie définissant des critères pour l’introduction éventuelle d’approches alternatives pour la reconnaissance de l’électricité à faible intensité de carbone provenant de centrales nucléaires.</w:t>
      </w:r>
      <w:r>
        <w:rPr>
          <w:noProof/>
        </w:rPr>
        <w:t xml:space="preserve"> </w:t>
      </w:r>
    </w:p>
    <w:p w14:paraId="745C7074" w14:textId="77777777" w:rsidR="00070A89" w:rsidRDefault="006C2002">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jc w:val="left"/>
        <w:rPr>
          <w:i/>
          <w:iCs/>
          <w:noProof/>
        </w:rPr>
      </w:pPr>
      <w:r>
        <w:rPr>
          <w:noProof/>
        </w:rPr>
        <w:t>[D’ici à l’</w:t>
      </w:r>
      <w:r>
        <w:rPr>
          <w:b/>
          <w:noProof/>
        </w:rPr>
        <w:t>été 2026</w:t>
      </w:r>
      <w:r>
        <w:rPr>
          <w:noProof/>
        </w:rPr>
        <w:t xml:space="preserve">] </w:t>
      </w:r>
      <w:r>
        <w:rPr>
          <w:i/>
          <w:noProof/>
        </w:rPr>
        <w:t xml:space="preserve">La Commission </w:t>
      </w:r>
      <w:r>
        <w:rPr>
          <w:b/>
          <w:i/>
          <w:noProof/>
        </w:rPr>
        <w:t>recensera les capacités dont dispose l’Europe pour complémenter le pétrole et le gaz en tant que matières premières</w:t>
      </w:r>
      <w:r>
        <w:rPr>
          <w:i/>
          <w:noProof/>
        </w:rPr>
        <w:t xml:space="preserve"> destinées à la production de produits chimiques, de céramique, de verre, de plastiques et d’engrais </w:t>
      </w:r>
      <w:r>
        <w:rPr>
          <w:b/>
          <w:i/>
          <w:noProof/>
        </w:rPr>
        <w:t>au moyen de matériaux circulaires et biosourcés</w:t>
      </w:r>
      <w:r>
        <w:rPr>
          <w:i/>
          <w:noProof/>
        </w:rPr>
        <w:t>, et collaborera avec l’industrie pour recenser et lever les obstacles à leur déploiement à court terme.</w:t>
      </w:r>
      <w:r>
        <w:rPr>
          <w:noProof/>
        </w:rPr>
        <w:t xml:space="preserve"> </w:t>
      </w:r>
    </w:p>
    <w:p w14:paraId="195314AB" w14:textId="77777777" w:rsidR="00070A89" w:rsidRDefault="006C2002">
      <w:pPr>
        <w:pStyle w:val="ListParagraph"/>
        <w:keepNext/>
        <w:numPr>
          <w:ilvl w:val="1"/>
          <w:numId w:val="2"/>
        </w:numPr>
        <w:spacing w:before="360" w:beforeAutospacing="0" w:after="240" w:afterAutospacing="0" w:line="278" w:lineRule="auto"/>
        <w:ind w:left="567" w:hanging="578"/>
        <w:jc w:val="left"/>
        <w:rPr>
          <w:b/>
          <w:bCs/>
          <w:noProof/>
        </w:rPr>
      </w:pPr>
      <w:r>
        <w:rPr>
          <w:b/>
          <w:noProof/>
        </w:rPr>
        <w:t>Renforcer notre système énergétique</w:t>
      </w:r>
    </w:p>
    <w:p w14:paraId="234CA7C9" w14:textId="77777777" w:rsidR="00070A89" w:rsidRDefault="006C2002">
      <w:pPr>
        <w:rPr>
          <w:noProof/>
          <w:color w:val="000000" w:themeColor="text1"/>
        </w:rPr>
      </w:pPr>
      <w:r>
        <w:rPr>
          <w:noProof/>
          <w:color w:val="000000" w:themeColor="text1"/>
        </w:rPr>
        <w:t xml:space="preserve">Comme le montre cette crise, la modernisation et la transformation fondamentale de notre système énergétique ne sont plus une question d’ambition, mais une nécessité absolue pour garantir la résilience. Pour tirer pleinement parti de cette situation, il est indispensable que les États membres mettent en œuvre rapidement et intégralement l’acquis de l’UE dans le domaine de l’énergie et que les colégislateurs accélèrent les négociations relatives au train de mesures sur les réseaux européens. Cela permettra d’accélérer la mise en œuvre des projets, y compris des projets d’intérêt commun (PIC) et des projets d’intérêt mutuel (PIM), tout en définissant une approche souple du revenu de congestion national provenant des zones internes de dépôt des offres, tenant compte des circonstances nationales. Des réseaux sont nécessaires pour permettre à l’électricité de circuler au prix le plus bas depuis son lieu de production jusqu’à son lieu de consommation. Il est nécessaire d’intensifier le déploiement d’infrastructures électriques transfrontières pour atteindre l’objectif indicatif de l’UE d’au moins 15 % d’interconnexion électrique d’ici à 2030, garantissant ainsi une véritable union de l’énergie. </w:t>
      </w:r>
    </w:p>
    <w:p w14:paraId="4ECD7E52" w14:textId="77777777" w:rsidR="00070A89" w:rsidRDefault="006C2002">
      <w:pPr>
        <w:rPr>
          <w:noProof/>
        </w:rPr>
      </w:pPr>
      <w:r>
        <w:rPr>
          <w:noProof/>
          <w:color w:val="000000" w:themeColor="text1"/>
        </w:rPr>
        <w:t xml:space="preserve">L’initiative «Autoroutes de l’énergie» cible huit corridors prioritaires, répondant aux besoins les plus urgents en matière d’infrastructures énergétiques qui nécessitent un soutien et un engagement rapides supplémentaires, afin de remédier aux goulets d’étranglement qui entravent les progrès. Il faut désormais passer à la vitesse supérieure. En cas de besoin, d’autres autoroutes de l’énergie pourraient être envisagées à l’avenir. Les mesures visant à utiliser les réseaux de manière plus efficace et plus souple, notamment grâce à la numérisation, et à améliorer la productivité du réseau réduiront considérablement les coûts et contribueront à intensifier les efforts consentis aux fins de l’électrification de plusieurs secteurs, dont celui du chauffage et du refroidissement. </w:t>
      </w:r>
    </w:p>
    <w:p w14:paraId="3C73E163" w14:textId="77777777" w:rsidR="00070A89" w:rsidRDefault="006C2002">
      <w:pPr>
        <w:rPr>
          <w:noProof/>
          <w:color w:val="000000" w:themeColor="text1"/>
        </w:rPr>
      </w:pPr>
      <w:r>
        <w:rPr>
          <w:noProof/>
          <w:color w:val="000000" w:themeColor="text1"/>
        </w:rPr>
        <w:t xml:space="preserve">L’interconnectivité, les réseaux énergétiques intelligents, l’accès aux réseaux et la productivité du réseau sont également des conditions préalables pour de nombreux fournisseurs de services, outre les compteurs intelligents, qui aident les consommateurs à réduire leurs factures énergétiques ou à réagir aux signaux de prix en ajustant la demande. Le déploiement généralisé de compteurs intelligents est essentiel pour débloquer la participation active de la demande à grande échelle et permettre aux consommateurs de participer aux marchés de la flexibilité, réduisant ainsi les pics de demande et la volatilité des prix. </w:t>
      </w:r>
      <w:r>
        <w:rPr>
          <w:noProof/>
        </w:rPr>
        <w:t>Une telle approche est soutenue par des actifs tels que les batteries, les véhicules électriques et les pompes à chaleur, ainsi que par des processus comme les systèmes de gestion et les solutions faisant appel à la technologie «de véhicule à réseau» ainsi que l’automatisation fondée sur l’IA.</w:t>
      </w:r>
      <w:r>
        <w:rPr>
          <w:noProof/>
          <w:color w:val="000000" w:themeColor="text1"/>
        </w:rPr>
        <w:t xml:space="preserve"> Afin d’accroître la flexibilité du système et de contribuer à faire baisser les prix régionaux et nationaux de l’énergie, chaque État membre devrait déployer des compteurs intelligents pour couvrir au moins 50 % de ses consommateurs finals d’ici à 2031. Cela va de pair avec des structures de prix qui encouragent l’utilisation de services de flexibilité et de stockage afin de mieux intégrer les énergies propres et d’en tirer un meilleur parti. </w:t>
      </w:r>
    </w:p>
    <w:p w14:paraId="449A6563" w14:textId="77777777" w:rsidR="00070A89" w:rsidRDefault="006C2002">
      <w:pPr>
        <w:rPr>
          <w:noProof/>
        </w:rPr>
      </w:pPr>
      <w:r>
        <w:rPr>
          <w:noProof/>
        </w:rPr>
        <w:t xml:space="preserve">Pour mettre en place un système énergétique résilient alimenté par des sources d’énergie propre et locale, il est essentiel de veiller à la disponibilité de capacités de stockage de l’électricité et de l’énergie thermique ainsi qu’à leur flexibilité, y compris en ce qui concerne les batteries et l’hydroélectricité par pompage. </w:t>
      </w:r>
      <w:bookmarkStart w:id="19" w:name="_Hlk227305259"/>
      <w:r>
        <w:rPr>
          <w:noProof/>
        </w:rPr>
        <w:t xml:space="preserve">L’UE dispose actuellement d’une capacité de stockage de 55 GW, qu’elle doit augmenter massivement pour la porter à 200 GW d’ici à 2030, les batteries jouant un rôle important dans cette augmentation. </w:t>
      </w:r>
      <w:bookmarkEnd w:id="19"/>
      <w:r>
        <w:rPr>
          <w:noProof/>
        </w:rPr>
        <w:t xml:space="preserve">À cette fin, il est essentiel que de tels projets bénéficient d’un soutien politique dès la phase de planification. </w:t>
      </w:r>
    </w:p>
    <w:p w14:paraId="7230594F" w14:textId="0BE09F70" w:rsidR="00070A89" w:rsidRDefault="006C2002">
      <w:pPr>
        <w:keepNext/>
        <w:pBdr>
          <w:top w:val="single" w:sz="4" w:space="1" w:color="auto"/>
          <w:left w:val="single" w:sz="4" w:space="4" w:color="auto"/>
          <w:bottom w:val="single" w:sz="4" w:space="1" w:color="auto"/>
          <w:right w:val="single" w:sz="4" w:space="4" w:color="auto"/>
        </w:pBdr>
        <w:spacing w:before="0" w:beforeAutospacing="0" w:afterAutospacing="0" w:line="254" w:lineRule="auto"/>
        <w:rPr>
          <w:b/>
          <w:i/>
          <w:noProof/>
        </w:rPr>
      </w:pPr>
      <w:r>
        <w:rPr>
          <w:b/>
          <w:i/>
          <w:noProof/>
        </w:rPr>
        <w:t>Actions immédiates:</w:t>
      </w:r>
    </w:p>
    <w:p w14:paraId="43DF1D71" w14:textId="77777777" w:rsidR="00070A89" w:rsidRDefault="006C2002">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jc w:val="left"/>
        <w:rPr>
          <w:i/>
          <w:iCs/>
          <w:noProof/>
        </w:rPr>
      </w:pPr>
      <w:r>
        <w:rPr>
          <w:noProof/>
        </w:rPr>
        <w:t>[</w:t>
      </w:r>
      <w:r>
        <w:rPr>
          <w:b/>
          <w:noProof/>
        </w:rPr>
        <w:t>D’ici à juillet 2026</w:t>
      </w:r>
      <w:r>
        <w:rPr>
          <w:noProof/>
        </w:rPr>
        <w:t xml:space="preserve">] </w:t>
      </w:r>
      <w:r>
        <w:rPr>
          <w:i/>
          <w:noProof/>
        </w:rPr>
        <w:t xml:space="preserve">La Commission </w:t>
      </w:r>
      <w:r>
        <w:rPr>
          <w:b/>
          <w:i/>
          <w:noProof/>
        </w:rPr>
        <w:t>invite les colégislateurs à conclure les négociations relatives au train de mesures sur les réseaux d’ici à l’été et les aidera à y parvenir</w:t>
      </w:r>
      <w:r>
        <w:rPr>
          <w:i/>
          <w:noProof/>
        </w:rPr>
        <w:t>. Cet effort est primordial pour accélérer le déploiement de projets dans le domaine des énergies renouvelables et de projets de stockage de l’énergie, y compris les dispositifs de stockage à grande échelle, qui sont indispensables, et pour moderniser les infrastructures de réseau, ce qui contribuera à réduire les prix de l’énergie et les dépendances à l’égard des importations.</w:t>
      </w:r>
    </w:p>
    <w:p w14:paraId="617947B3" w14:textId="77777777" w:rsidR="00070A89" w:rsidRDefault="006C2002">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160" w:afterAutospacing="0" w:line="254" w:lineRule="auto"/>
        <w:jc w:val="left"/>
        <w:rPr>
          <w:noProof/>
        </w:rPr>
      </w:pPr>
      <w:r>
        <w:rPr>
          <w:noProof/>
        </w:rPr>
        <w:t>[</w:t>
      </w:r>
      <w:r>
        <w:rPr>
          <w:b/>
          <w:noProof/>
        </w:rPr>
        <w:t>T2-T3 2026</w:t>
      </w:r>
      <w:r>
        <w:rPr>
          <w:noProof/>
        </w:rPr>
        <w:t xml:space="preserve">] </w:t>
      </w:r>
      <w:r>
        <w:rPr>
          <w:i/>
          <w:noProof/>
        </w:rPr>
        <w:t xml:space="preserve">La Commission continuera de collaborer avec les États membres pour accélérer la mise en œuvre de </w:t>
      </w:r>
      <w:r>
        <w:rPr>
          <w:b/>
          <w:i/>
          <w:noProof/>
        </w:rPr>
        <w:t>l’initiative «Autoroutes de l’énergie»</w:t>
      </w:r>
      <w:r>
        <w:rPr>
          <w:i/>
          <w:noProof/>
        </w:rPr>
        <w:t>. En s’appuyant sur les avancées déjà enregistrées concernant le projet d’île d’énergie de Bornholm, la Commission renforcera l’engagement politique, consacrera des ressources et mobilisera tous les outils disponibles pour renforcer les cadres d’investissement et lever les obstacles, notamment en s’attaquant aux goulets d’étranglement qui entravent encore le déploiement rapide de ces projets</w:t>
      </w:r>
    </w:p>
    <w:p w14:paraId="04C07B18" w14:textId="77777777" w:rsidR="00070A89" w:rsidRDefault="006C2002">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160" w:afterAutospacing="0" w:line="254" w:lineRule="auto"/>
        <w:jc w:val="left"/>
        <w:rPr>
          <w:i/>
          <w:iCs/>
          <w:noProof/>
        </w:rPr>
      </w:pPr>
      <w:r>
        <w:rPr>
          <w:noProof/>
        </w:rPr>
        <w:t>[</w:t>
      </w:r>
      <w:r>
        <w:rPr>
          <w:b/>
          <w:noProof/>
        </w:rPr>
        <w:t>À partir de</w:t>
      </w:r>
      <w:r>
        <w:rPr>
          <w:noProof/>
        </w:rPr>
        <w:t xml:space="preserve"> mai 2026]:</w:t>
      </w:r>
      <w:r>
        <w:rPr>
          <w:i/>
          <w:noProof/>
        </w:rPr>
        <w:t xml:space="preserve"> La Commission aidera les États membres et les parties prenantes (par exemple au sein du groupe de travail sur l’union de l’énergie et des groupes régionaux de haut niveau) à </w:t>
      </w:r>
      <w:r>
        <w:rPr>
          <w:b/>
          <w:i/>
          <w:noProof/>
        </w:rPr>
        <w:t>recenser les installations de production d’électricité</w:t>
      </w:r>
      <w:r>
        <w:rPr>
          <w:i/>
          <w:noProof/>
        </w:rPr>
        <w:t>, y compris les fermes éoliennes,</w:t>
      </w:r>
      <w:r>
        <w:rPr>
          <w:b/>
          <w:i/>
          <w:noProof/>
        </w:rPr>
        <w:t xml:space="preserve"> qui sont proches de la fin de leur cycle de vie et les installations qui pourraient faire l’objet d’un rééquipement afin de contribuer à accélérer la hausse de l’approvisionnement en électricité dans les mois à venir.</w:t>
      </w:r>
      <w:r>
        <w:rPr>
          <w:i/>
          <w:noProof/>
        </w:rPr>
        <w:t xml:space="preserve"> Ils étudieront également les moyens de continuer à intensifier le déploiement des énergies renouvelables. </w:t>
      </w:r>
    </w:p>
    <w:p w14:paraId="673EEBC2" w14:textId="77777777" w:rsidR="00070A89" w:rsidRDefault="006C2002">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160" w:afterAutospacing="0" w:line="254" w:lineRule="auto"/>
        <w:jc w:val="left"/>
        <w:rPr>
          <w:i/>
          <w:iCs/>
          <w:noProof/>
        </w:rPr>
      </w:pPr>
      <w:r>
        <w:rPr>
          <w:noProof/>
        </w:rPr>
        <w:t>[</w:t>
      </w:r>
      <w:r>
        <w:rPr>
          <w:b/>
          <w:noProof/>
        </w:rPr>
        <w:t>Mai 2026</w:t>
      </w:r>
      <w:r>
        <w:rPr>
          <w:noProof/>
        </w:rPr>
        <w:t xml:space="preserve">] </w:t>
      </w:r>
      <w:r>
        <w:rPr>
          <w:i/>
          <w:noProof/>
        </w:rPr>
        <w:t xml:space="preserve">La Commission aidera les États membres, en leur apportant un soutien au moyen de son instrument d’appui technique, à </w:t>
      </w:r>
      <w:r>
        <w:rPr>
          <w:b/>
          <w:i/>
          <w:noProof/>
        </w:rPr>
        <w:t>mettre en œuvre des réformes clés dans le secteur de l’électricité</w:t>
      </w:r>
      <w:r>
        <w:rPr>
          <w:i/>
          <w:noProof/>
        </w:rPr>
        <w:t xml:space="preserve">, par l’intermédiaire d’une </w:t>
      </w:r>
      <w:r>
        <w:rPr>
          <w:b/>
          <w:i/>
          <w:noProof/>
        </w:rPr>
        <w:t>académie de la réglementation de l’énergie</w:t>
      </w:r>
      <w:r>
        <w:rPr>
          <w:i/>
          <w:noProof/>
        </w:rPr>
        <w:t>.</w:t>
      </w:r>
    </w:p>
    <w:p w14:paraId="73E75979" w14:textId="77777777" w:rsidR="00070A89" w:rsidRDefault="006C2002">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jc w:val="left"/>
        <w:rPr>
          <w:i/>
          <w:iCs/>
          <w:noProof/>
        </w:rPr>
      </w:pPr>
      <w:r>
        <w:rPr>
          <w:noProof/>
        </w:rPr>
        <w:t>[</w:t>
      </w:r>
      <w:r>
        <w:rPr>
          <w:b/>
          <w:noProof/>
        </w:rPr>
        <w:t>Mai 2026</w:t>
      </w:r>
      <w:r>
        <w:rPr>
          <w:noProof/>
        </w:rPr>
        <w:t>]</w:t>
      </w:r>
      <w:r>
        <w:rPr>
          <w:i/>
          <w:noProof/>
        </w:rPr>
        <w:t xml:space="preserve"> La Commission adoptera une </w:t>
      </w:r>
      <w:r>
        <w:rPr>
          <w:b/>
          <w:i/>
          <w:noProof/>
        </w:rPr>
        <w:t>proposition législative dans les domaines de la fiscalité et des redevances réseau</w:t>
      </w:r>
      <w:r>
        <w:rPr>
          <w:i/>
          <w:noProof/>
        </w:rPr>
        <w:t>. L’objectif sera de faciliter la transition vers un système énergétique plus électrifié, plus efficace et plus résilient, à même d’abaisser les factures d’électricité pour tous les consommateurs. La proposition fournira des incitations pour faire une utilisation optimale et rentable des infrastructures de réseau, encouragera une consommation respectueuse du système, clarifiera le cadre permettant aux autorités de régulation nationales de procéder à des réductions ciblées des redevances de réseau, y compris pour les industries à forte intensité énergétique, et permettra aux États membres de supprimer les restrictions à la réduction des taxes sur l’énergie pour certains utilisateurs, tels que les industries à forte intensité énergétique et les ménages vulnérables, tout en veillant à ce que l’électricité soit moins taxée que le gaz.</w:t>
      </w:r>
    </w:p>
    <w:p w14:paraId="0D607BA9" w14:textId="77777777" w:rsidR="00070A89" w:rsidRDefault="006C2002">
      <w:pPr>
        <w:pStyle w:val="ListParagraph"/>
        <w:numPr>
          <w:ilvl w:val="0"/>
          <w:numId w:val="18"/>
        </w:numPr>
        <w:pBdr>
          <w:top w:val="single" w:sz="4" w:space="1" w:color="auto"/>
          <w:left w:val="single" w:sz="4" w:space="4" w:color="auto"/>
          <w:bottom w:val="single" w:sz="4" w:space="1" w:color="auto"/>
          <w:right w:val="single" w:sz="4" w:space="4" w:color="auto"/>
        </w:pBdr>
        <w:spacing w:before="0" w:beforeAutospacing="0" w:afterAutospacing="0" w:line="254" w:lineRule="auto"/>
        <w:ind w:left="357" w:hanging="357"/>
        <w:jc w:val="left"/>
        <w:rPr>
          <w:i/>
          <w:noProof/>
        </w:rPr>
      </w:pPr>
      <w:r>
        <w:rPr>
          <w:noProof/>
        </w:rPr>
        <w:t>[</w:t>
      </w:r>
      <w:r>
        <w:rPr>
          <w:b/>
          <w:noProof/>
        </w:rPr>
        <w:t>2026-2027</w:t>
      </w:r>
      <w:r>
        <w:rPr>
          <w:noProof/>
        </w:rPr>
        <w:t xml:space="preserve">] </w:t>
      </w:r>
      <w:r>
        <w:rPr>
          <w:i/>
          <w:noProof/>
        </w:rPr>
        <w:t xml:space="preserve">La Commission assurera un </w:t>
      </w:r>
      <w:r>
        <w:rPr>
          <w:b/>
          <w:i/>
          <w:noProof/>
        </w:rPr>
        <w:t>suivi rigoureux de</w:t>
      </w:r>
      <w:r>
        <w:rPr>
          <w:i/>
          <w:noProof/>
        </w:rPr>
        <w:t xml:space="preserve"> </w:t>
      </w:r>
      <w:r>
        <w:rPr>
          <w:b/>
          <w:i/>
          <w:noProof/>
        </w:rPr>
        <w:t>la mise en œuvre de la</w:t>
      </w:r>
      <w:r>
        <w:rPr>
          <w:i/>
          <w:noProof/>
        </w:rPr>
        <w:t xml:space="preserve"> </w:t>
      </w:r>
      <w:r>
        <w:rPr>
          <w:b/>
          <w:i/>
          <w:noProof/>
        </w:rPr>
        <w:t>législation</w:t>
      </w:r>
      <w:r>
        <w:rPr>
          <w:i/>
          <w:noProof/>
        </w:rPr>
        <w:t xml:space="preserve"> </w:t>
      </w:r>
      <w:r>
        <w:rPr>
          <w:b/>
          <w:i/>
          <w:noProof/>
        </w:rPr>
        <w:t>de l’Union</w:t>
      </w:r>
      <w:r>
        <w:rPr>
          <w:i/>
          <w:noProof/>
        </w:rPr>
        <w:t xml:space="preserve"> en la matière en recourant à tous les outils à sa disposition, y compris </w:t>
      </w:r>
      <w:r>
        <w:rPr>
          <w:b/>
          <w:i/>
          <w:noProof/>
        </w:rPr>
        <w:t>la procédure d'infraction</w:t>
      </w:r>
      <w:r>
        <w:rPr>
          <w:i/>
          <w:noProof/>
        </w:rPr>
        <w:t xml:space="preserve">, en ce qui concerne, par exemple, l’octroi de permis, le stockage, la flexibilité et la maximisation de la capacité d’échange entre zones, afin de hâter le déploiement de l’énergie propre. Pour accélérer les progrès, elle procédera à une </w:t>
      </w:r>
      <w:r>
        <w:rPr>
          <w:b/>
          <w:i/>
          <w:noProof/>
        </w:rPr>
        <w:t>évaluation rapide des principales dispositions</w:t>
      </w:r>
      <w:r>
        <w:rPr>
          <w:i/>
          <w:noProof/>
        </w:rPr>
        <w:t xml:space="preserve">, fournira des </w:t>
      </w:r>
      <w:r>
        <w:rPr>
          <w:b/>
          <w:i/>
          <w:noProof/>
        </w:rPr>
        <w:t>orientations pragmatiques sur la mise en œuvre</w:t>
      </w:r>
      <w:r>
        <w:rPr>
          <w:i/>
          <w:noProof/>
        </w:rPr>
        <w:t xml:space="preserve">, y compris au moyen de </w:t>
      </w:r>
      <w:r>
        <w:rPr>
          <w:b/>
          <w:i/>
          <w:noProof/>
        </w:rPr>
        <w:t>recommandations</w:t>
      </w:r>
      <w:r>
        <w:rPr>
          <w:i/>
          <w:noProof/>
        </w:rPr>
        <w:t xml:space="preserve"> de la Commission, et aidera les États membres à garantir une application harmonisée et cohérente dans l’ensemble de l’UE.</w:t>
      </w:r>
    </w:p>
    <w:p w14:paraId="4974A9E2" w14:textId="77777777" w:rsidR="00070A89" w:rsidRDefault="006C2002">
      <w:pPr>
        <w:pStyle w:val="ListParagraph"/>
        <w:keepNext/>
        <w:numPr>
          <w:ilvl w:val="1"/>
          <w:numId w:val="2"/>
        </w:numPr>
        <w:spacing w:before="360" w:beforeAutospacing="0" w:after="240" w:afterAutospacing="0" w:line="278" w:lineRule="auto"/>
        <w:ind w:left="567" w:hanging="578"/>
        <w:jc w:val="left"/>
        <w:rPr>
          <w:b/>
          <w:bCs/>
          <w:noProof/>
        </w:rPr>
      </w:pPr>
      <w:r>
        <w:rPr>
          <w:b/>
          <w:noProof/>
        </w:rPr>
        <w:t>Stimuler l’investissement</w:t>
      </w:r>
    </w:p>
    <w:p w14:paraId="1BA61261" w14:textId="77777777" w:rsidR="00070A89" w:rsidRDefault="006C2002">
      <w:pPr>
        <w:spacing w:line="257" w:lineRule="auto"/>
        <w:rPr>
          <w:rFonts w:eastAsiaTheme="minorEastAsia"/>
          <w:noProof/>
        </w:rPr>
      </w:pPr>
      <w:r>
        <w:rPr>
          <w:noProof/>
        </w:rPr>
        <w:t xml:space="preserve">La réponse de l’UE à la crise énergétique actuelle repose sur la stimulation des investissements. Nous devons </w:t>
      </w:r>
      <w:r>
        <w:rPr>
          <w:b/>
          <w:noProof/>
        </w:rPr>
        <w:t>mobiliser des fonds publics — au niveau de l’UE et au niveau national — pour catalyser et accroître les investissements privés.</w:t>
      </w:r>
      <w:r>
        <w:rPr>
          <w:noProof/>
        </w:rPr>
        <w:t xml:space="preserve"> Le fait d’anticiper et d’accélérer les investissements dans la transition énergétique et dans les solutions circulaires dès aujourd’hui permettra de rompre une fois pour toutes avec le schéma de dépendance à l’égard des combustibles fossiles. </w:t>
      </w:r>
    </w:p>
    <w:p w14:paraId="4D1BCD75" w14:textId="77777777" w:rsidR="00070A89" w:rsidRDefault="006C2002">
      <w:pPr>
        <w:spacing w:line="257" w:lineRule="auto"/>
        <w:rPr>
          <w:noProof/>
        </w:rPr>
      </w:pPr>
      <w:r>
        <w:rPr>
          <w:noProof/>
        </w:rPr>
        <w:t>Des ressources importantes sont déployées au niveau de l’UE pour la transition énergétique, y compris au cours du dernier volet de la facilité pour la reprise et la résilience (219 milliards d’euros). Les plans pour la reprise et la résilience comprennent déjà de nombreuses réformes et de nombreux investissements qui aident les États membres à moderniser leurs systèmes énergétiques. Ceux-ci doivent être achevés au plus tard le 31 août 2026, conformément aux délais fixés dans son architecture juridique</w:t>
      </w:r>
      <w:r>
        <w:rPr>
          <w:rStyle w:val="FootnoteReference"/>
          <w:noProof/>
        </w:rPr>
        <w:footnoteReference w:id="44"/>
      </w:r>
      <w:r>
        <w:rPr>
          <w:noProof/>
        </w:rPr>
        <w:t xml:space="preserve">. Depuis 2021, le mécanisme de financement pour une infrastructure pour carburants alternatifs du MIE a engagé plus de 2 milliards d’EUR pour des projets de déploiement d’infrastructures de recharge et de ravitaillement pertinentes pour les carburants alternatifs pour tous les modes de transport. Le MIE Énergie soutiendra des projets transfrontières d’infrastructures énergétiques et des projets transfrontières dans le domaine des énergies renouvelables à hauteur de 5,84 milliards d’euros entre 2021 et 2027. </w:t>
      </w:r>
    </w:p>
    <w:p w14:paraId="3EA5E083" w14:textId="77777777" w:rsidR="00070A89" w:rsidRDefault="006C2002">
      <w:pPr>
        <w:spacing w:line="257" w:lineRule="auto"/>
        <w:rPr>
          <w:rFonts w:eastAsiaTheme="minorEastAsia"/>
          <w:noProof/>
        </w:rPr>
      </w:pPr>
      <w:r>
        <w:rPr>
          <w:noProof/>
          <w:color w:val="000000" w:themeColor="text1"/>
        </w:rPr>
        <w:t xml:space="preserve">La politique de cohésion apporte également un soutien important à la transition énergétique. </w:t>
      </w:r>
      <w:r>
        <w:rPr>
          <w:noProof/>
        </w:rPr>
        <w:t xml:space="preserve">Le récent examen à mi-parcours des fonds de la politique de cohésion a réaffecté environ 1,2 milliard d’EUR aux priorités énergétiques, </w:t>
      </w:r>
      <w:bookmarkStart w:id="20" w:name="_Hlk227305288"/>
      <w:r>
        <w:rPr>
          <w:noProof/>
        </w:rPr>
        <w:t xml:space="preserve">lesquels peuvent désormais servir à répondre à la crise actuelle.  </w:t>
      </w:r>
    </w:p>
    <w:bookmarkEnd w:id="20"/>
    <w:p w14:paraId="7CA2E7B7" w14:textId="77777777" w:rsidR="00070A89" w:rsidRDefault="006C2002">
      <w:pPr>
        <w:spacing w:line="257" w:lineRule="auto"/>
        <w:rPr>
          <w:rFonts w:eastAsiaTheme="minorEastAsia"/>
          <w:noProof/>
        </w:rPr>
      </w:pPr>
      <w:r>
        <w:rPr>
          <w:noProof/>
        </w:rPr>
        <w:t xml:space="preserve">Le soutien constant de l’UE à la recherche et à l’innovation dans le domaine des technologies énergétiques propres a mobilisé des financements tant publics que privés pour la transition, y compris pour l’expansion des technologies innovantes, produisant ainsi des solutions qui sont désormais testées, fiables et déjà déployées sur le marché. Pour ceux qui sont sur le point d’atteindre une certaine échelle, une action et un soutien coordonnés et continus au niveau de l’UE et des États membres sont nécessaires pour éviter la fragmentation des financements publics et accélérer le déploiement. </w:t>
      </w:r>
    </w:p>
    <w:p w14:paraId="10A0476D" w14:textId="77777777" w:rsidR="00070A89" w:rsidRDefault="006C2002">
      <w:pPr>
        <w:spacing w:line="257" w:lineRule="auto"/>
        <w:rPr>
          <w:rFonts w:eastAsiaTheme="minorEastAsia"/>
          <w:noProof/>
        </w:rPr>
      </w:pPr>
      <w:r>
        <w:rPr>
          <w:noProof/>
        </w:rPr>
        <w:t>Toutefois, les fonds publics ne seront pas suffisants pour couvrir les besoins importants de la transition énergétique en matière d’investissements (estimés à 660 milliards d’EUR par an jusqu’en 2030). Afin de mobiliser des investissements privés</w:t>
      </w:r>
      <w:r>
        <w:rPr>
          <w:rFonts w:eastAsiaTheme="minorEastAsia"/>
          <w:noProof/>
          <w:vertAlign w:val="superscript"/>
        </w:rPr>
        <w:footnoteReference w:id="45"/>
      </w:r>
      <w:r>
        <w:rPr>
          <w:noProof/>
        </w:rPr>
        <w:t>, y compris par des investisseurs institutionnels tels que des compagnies d’assurance et des fonds de pension qui gèrent plus de 12 mille milliards d’euros dans l’UE, avec la possibilité d’orienter de nouveaux investissements vers des projets critiques de transition énergétique, la Commission a adopté une stratégie d’investissement dans les énergies propres en mars 2026.</w:t>
      </w:r>
    </w:p>
    <w:p w14:paraId="6FE0E275" w14:textId="77777777" w:rsidR="00070A89" w:rsidRDefault="006C2002">
      <w:pPr>
        <w:rPr>
          <w:rFonts w:eastAsiaTheme="minorEastAsia"/>
          <w:noProof/>
        </w:rPr>
      </w:pPr>
      <w:r>
        <w:rPr>
          <w:noProof/>
        </w:rPr>
        <w:t>L’encadrement des aides d’État permettra également aux États membres de soutenir les investissements stratégiques dans les infrastructures énergétiques et les technologies propres tout en préservant des conditions de concurrence équitables au sein du marché intérieur</w:t>
      </w:r>
      <w:r>
        <w:rPr>
          <w:rStyle w:val="FootnoteReference"/>
          <w:rFonts w:eastAsiaTheme="minorEastAsia"/>
          <w:noProof/>
        </w:rPr>
        <w:footnoteReference w:id="46"/>
      </w:r>
      <w:r>
        <w:rPr>
          <w:noProof/>
        </w:rPr>
        <w:t xml:space="preserve">. </w:t>
      </w:r>
    </w:p>
    <w:p w14:paraId="215C95BF" w14:textId="77777777" w:rsidR="00070A89" w:rsidRDefault="006C2002">
      <w:pPr>
        <w:keepNext/>
        <w:pBdr>
          <w:top w:val="single" w:sz="4" w:space="1" w:color="auto"/>
          <w:left w:val="single" w:sz="4" w:space="4" w:color="auto"/>
          <w:bottom w:val="single" w:sz="4" w:space="1" w:color="auto"/>
          <w:right w:val="single" w:sz="4" w:space="0" w:color="auto"/>
        </w:pBdr>
        <w:spacing w:before="0" w:beforeAutospacing="0" w:afterAutospacing="0" w:line="254" w:lineRule="auto"/>
        <w:jc w:val="left"/>
        <w:rPr>
          <w:b/>
          <w:bCs/>
          <w:i/>
          <w:noProof/>
        </w:rPr>
      </w:pPr>
      <w:r>
        <w:rPr>
          <w:b/>
          <w:i/>
          <w:noProof/>
        </w:rPr>
        <w:t>Action immédiate:</w:t>
      </w:r>
    </w:p>
    <w:p w14:paraId="77E981F2" w14:textId="77777777" w:rsidR="00070A89" w:rsidRDefault="006C2002">
      <w:pPr>
        <w:pStyle w:val="ListParagraph"/>
        <w:numPr>
          <w:ilvl w:val="0"/>
          <w:numId w:val="18"/>
        </w:numPr>
        <w:pBdr>
          <w:top w:val="single" w:sz="4" w:space="1" w:color="auto"/>
          <w:left w:val="single" w:sz="4" w:space="4" w:color="auto"/>
          <w:bottom w:val="single" w:sz="4" w:space="1" w:color="auto"/>
          <w:right w:val="single" w:sz="4" w:space="0" w:color="auto"/>
        </w:pBdr>
        <w:spacing w:before="0" w:beforeAutospacing="0" w:after="160" w:afterAutospacing="0" w:line="254" w:lineRule="auto"/>
        <w:ind w:left="357" w:hanging="357"/>
        <w:jc w:val="left"/>
        <w:rPr>
          <w:i/>
          <w:noProof/>
        </w:rPr>
      </w:pPr>
      <w:r>
        <w:rPr>
          <w:noProof/>
        </w:rPr>
        <w:t>[</w:t>
      </w:r>
      <w:r>
        <w:rPr>
          <w:b/>
          <w:noProof/>
        </w:rPr>
        <w:t>T2-T3 2026</w:t>
      </w:r>
      <w:r>
        <w:rPr>
          <w:noProof/>
        </w:rPr>
        <w:t>]</w:t>
      </w:r>
      <w:r>
        <w:rPr>
          <w:i/>
          <w:noProof/>
        </w:rPr>
        <w:t xml:space="preserve"> La Commission organisera un </w:t>
      </w:r>
      <w:r>
        <w:rPr>
          <w:b/>
          <w:i/>
          <w:noProof/>
        </w:rPr>
        <w:t>sommet sur les investissements dans les énergies propres</w:t>
      </w:r>
      <w:r>
        <w:rPr>
          <w:i/>
          <w:noProof/>
        </w:rPr>
        <w:t xml:space="preserve"> qui réunira le secteur des services financiers, y compris les grands investisseurs institutionnels, des acteurs industriels de premier plan, des promoteurs de projets et des bailleurs de fonds publics, afin d’accélérer le financement privé. Le sommet </w:t>
      </w:r>
      <w:r>
        <w:rPr>
          <w:b/>
          <w:i/>
          <w:noProof/>
        </w:rPr>
        <w:t>ciblera les solutions immédiates et à forte incidence</w:t>
      </w:r>
      <w:r>
        <w:rPr>
          <w:i/>
          <w:noProof/>
        </w:rPr>
        <w:t xml:space="preserve"> (par exemple, des solutions de stockage telles que les batteries, les infrastructures de recharge des véhicules électriques ou l’électrification). ou les carburants durables pour l’aviation et le transport maritime.</w:t>
      </w:r>
    </w:p>
    <w:p w14:paraId="542B1EA5" w14:textId="77777777" w:rsidR="00070A89" w:rsidRDefault="006C2002">
      <w:pPr>
        <w:pStyle w:val="ListParagraph"/>
        <w:numPr>
          <w:ilvl w:val="0"/>
          <w:numId w:val="18"/>
        </w:numPr>
        <w:pBdr>
          <w:top w:val="single" w:sz="4" w:space="1" w:color="auto"/>
          <w:left w:val="single" w:sz="4" w:space="4" w:color="auto"/>
          <w:bottom w:val="single" w:sz="4" w:space="1" w:color="auto"/>
          <w:right w:val="single" w:sz="4" w:space="0" w:color="auto"/>
        </w:pBdr>
        <w:spacing w:before="0" w:beforeAutospacing="0" w:afterAutospacing="0" w:line="254" w:lineRule="auto"/>
        <w:ind w:left="357" w:hanging="357"/>
        <w:jc w:val="left"/>
        <w:rPr>
          <w:i/>
          <w:iCs/>
          <w:noProof/>
        </w:rPr>
      </w:pPr>
      <w:r>
        <w:rPr>
          <w:noProof/>
        </w:rPr>
        <w:t>[</w:t>
      </w:r>
      <w:r>
        <w:rPr>
          <w:b/>
          <w:noProof/>
        </w:rPr>
        <w:t>À partir d’avril 2026</w:t>
      </w:r>
      <w:r>
        <w:rPr>
          <w:noProof/>
        </w:rPr>
        <w:t>]</w:t>
      </w:r>
      <w:r>
        <w:rPr>
          <w:i/>
          <w:noProof/>
        </w:rPr>
        <w:t xml:space="preserve"> La Commission </w:t>
      </w:r>
      <w:r>
        <w:rPr>
          <w:b/>
          <w:i/>
          <w:noProof/>
        </w:rPr>
        <w:t>coordonnera un exercice de l’UE</w:t>
      </w:r>
      <w:r>
        <w:rPr>
          <w:i/>
          <w:noProof/>
        </w:rPr>
        <w:t xml:space="preserve"> (AccelerateEU investment chapter) </w:t>
      </w:r>
      <w:r>
        <w:rPr>
          <w:b/>
          <w:i/>
          <w:noProof/>
        </w:rPr>
        <w:t>visant à fournir aux États membres les moyens et l’aide nécessaires</w:t>
      </w:r>
      <w:r>
        <w:rPr>
          <w:i/>
          <w:noProof/>
        </w:rPr>
        <w:t xml:space="preserve">, notamment par l’intermédiaire des groupes d’experts des États membres, </w:t>
      </w:r>
      <w:r>
        <w:rPr>
          <w:b/>
          <w:i/>
          <w:noProof/>
        </w:rPr>
        <w:t>pour qu’ils tirent le meilleur parti des financements de l’UE disponibles</w:t>
      </w:r>
      <w:r>
        <w:rPr>
          <w:i/>
          <w:noProof/>
        </w:rPr>
        <w:t xml:space="preserve"> (par exemple, les fonds de la politique de cohésion)</w:t>
      </w:r>
      <w:r>
        <w:rPr>
          <w:b/>
          <w:i/>
          <w:noProof/>
        </w:rPr>
        <w:t xml:space="preserve"> et qu’ils réaffectent les fonds de l’UE, lorsque c’est possible et, selon les préférences des États membres et des régions,</w:t>
      </w:r>
      <w:r>
        <w:rPr>
          <w:i/>
          <w:noProof/>
        </w:rPr>
        <w:t xml:space="preserve"> en faveur d’</w:t>
      </w:r>
      <w:r>
        <w:rPr>
          <w:b/>
          <w:i/>
          <w:noProof/>
        </w:rPr>
        <w:t>investissements liés à l’énergie</w:t>
      </w:r>
      <w:r>
        <w:rPr>
          <w:i/>
          <w:noProof/>
        </w:rPr>
        <w:t xml:space="preserve"> qui peuvent avoir une incidence rapide et atténuer les effets de la hausse des prix de l’énergie, par exemple en:</w:t>
      </w:r>
    </w:p>
    <w:p w14:paraId="154371FE" w14:textId="77777777" w:rsidR="00070A89" w:rsidRDefault="006C2002">
      <w:pPr>
        <w:pBdr>
          <w:top w:val="single" w:sz="4" w:space="1" w:color="auto"/>
          <w:left w:val="single" w:sz="4" w:space="4" w:color="auto"/>
          <w:bottom w:val="single" w:sz="4" w:space="1" w:color="auto"/>
          <w:right w:val="single" w:sz="4" w:space="0" w:color="auto"/>
        </w:pBdr>
        <w:spacing w:before="0" w:beforeAutospacing="0" w:afterAutospacing="0" w:line="254" w:lineRule="auto"/>
        <w:jc w:val="left"/>
        <w:rPr>
          <w:i/>
          <w:noProof/>
        </w:rPr>
      </w:pPr>
      <w:r>
        <w:rPr>
          <w:i/>
          <w:noProof/>
        </w:rPr>
        <w:t>A) renforçant les mesures existantes relatives à la réduction de la consommation d’énergie, au déploiement des énergies propres (pompes à chaleur, solaire photovoltaïque, éolien ou batteries, par exemple) aux solutions circulaires et aux investissements dans des infrastructures énergétiques critiques plus solides et plus sûres, ainsi qu’à la promotion du déploiement d’infrastructures de recharge et à la production de carburants durables pour l’aviation et le transport maritime.</w:t>
      </w:r>
    </w:p>
    <w:p w14:paraId="5778CCC7" w14:textId="77777777" w:rsidR="00070A89" w:rsidRDefault="006C2002">
      <w:pPr>
        <w:pBdr>
          <w:top w:val="single" w:sz="4" w:space="1" w:color="auto"/>
          <w:left w:val="single" w:sz="4" w:space="4" w:color="auto"/>
          <w:bottom w:val="single" w:sz="4" w:space="1" w:color="auto"/>
          <w:right w:val="single" w:sz="4" w:space="0" w:color="auto"/>
        </w:pBdr>
        <w:spacing w:before="0" w:beforeAutospacing="0" w:afterAutospacing="0" w:line="254" w:lineRule="auto"/>
        <w:jc w:val="left"/>
        <w:rPr>
          <w:i/>
          <w:noProof/>
        </w:rPr>
      </w:pPr>
      <w:r>
        <w:rPr>
          <w:i/>
          <w:noProof/>
        </w:rPr>
        <w:t>B) prévoyant des compléments aux mesures existantes ou en élargissant le champ d’application de celles-ci, notamment en instaurant des mesures de lutte contre la précarité énergétique en complément de mesures existantes en matière d’efficacité énergétique; en étendant le champ d’application de l’énergie solaire photovoltaïque à l’agrivoltaïque; en étendant la portée des procédures d’autorisation accélérées et simplifiées;</w:t>
      </w:r>
    </w:p>
    <w:p w14:paraId="5054CE47" w14:textId="77777777" w:rsidR="00070A89" w:rsidRDefault="006C2002">
      <w:pPr>
        <w:pBdr>
          <w:top w:val="single" w:sz="4" w:space="1" w:color="auto"/>
          <w:left w:val="single" w:sz="4" w:space="4" w:color="auto"/>
          <w:bottom w:val="single" w:sz="4" w:space="1" w:color="auto"/>
          <w:right w:val="single" w:sz="4" w:space="0" w:color="auto"/>
        </w:pBdr>
        <w:spacing w:before="0" w:beforeAutospacing="0" w:afterAutospacing="0" w:line="254" w:lineRule="auto"/>
        <w:jc w:val="left"/>
        <w:rPr>
          <w:i/>
          <w:iCs/>
          <w:noProof/>
        </w:rPr>
      </w:pPr>
      <w:r>
        <w:rPr>
          <w:i/>
          <w:noProof/>
        </w:rPr>
        <w:t>C) accélérant la mise en place des mesures pertinentes prévues dans les plans pour la reprise et la résilience, en faisant bon usage des indicateurs fournis dans la communication de la Commission intitulée dans la communication de la Commission intitulée «NextGenerationEU – La voie vers 2026»., y compris la possibilité de procéder à des injections de capital dans les banques et institutions nationales de développement,.</w:t>
      </w:r>
      <w:r>
        <w:rPr>
          <w:noProof/>
        </w:rPr>
        <w:t xml:space="preserve"> </w:t>
      </w:r>
    </w:p>
    <w:p w14:paraId="607A476B" w14:textId="77777777" w:rsidR="00070A89" w:rsidRDefault="006C2002">
      <w:pPr>
        <w:pStyle w:val="ListParagraph"/>
        <w:numPr>
          <w:ilvl w:val="0"/>
          <w:numId w:val="18"/>
        </w:numPr>
        <w:pBdr>
          <w:top w:val="single" w:sz="4" w:space="1" w:color="auto"/>
          <w:left w:val="single" w:sz="4" w:space="4" w:color="auto"/>
          <w:bottom w:val="single" w:sz="4" w:space="1" w:color="auto"/>
          <w:right w:val="single" w:sz="4" w:space="0" w:color="auto"/>
        </w:pBdr>
        <w:spacing w:before="0" w:beforeAutospacing="0" w:afterAutospacing="0" w:line="254" w:lineRule="auto"/>
        <w:ind w:left="357" w:hanging="357"/>
        <w:jc w:val="left"/>
        <w:rPr>
          <w:b/>
          <w:bCs/>
          <w:i/>
          <w:iCs/>
          <w:noProof/>
        </w:rPr>
      </w:pPr>
      <w:r>
        <w:rPr>
          <w:noProof/>
        </w:rPr>
        <w:t>[À partir d’</w:t>
      </w:r>
      <w:r>
        <w:rPr>
          <w:b/>
          <w:noProof/>
        </w:rPr>
        <w:t>avril 2026</w:t>
      </w:r>
      <w:r>
        <w:rPr>
          <w:noProof/>
        </w:rPr>
        <w:t xml:space="preserve">]: </w:t>
      </w:r>
      <w:r>
        <w:rPr>
          <w:b/>
          <w:i/>
          <w:noProof/>
        </w:rPr>
        <w:t>La Commission évaluera si des mesures supplémentaires doivent être prises pour simplifier les règles afin d’accélérer le déploiement des fonds de l’UE</w:t>
      </w:r>
      <w:r>
        <w:rPr>
          <w:i/>
          <w:noProof/>
        </w:rPr>
        <w:t xml:space="preserve"> en faveur des investissements dans la transition énergétique.</w:t>
      </w:r>
    </w:p>
    <w:p w14:paraId="4E12B49A" w14:textId="77777777" w:rsidR="00070A89" w:rsidRDefault="006C2002">
      <w:pPr>
        <w:pStyle w:val="ListParagraph"/>
        <w:numPr>
          <w:ilvl w:val="0"/>
          <w:numId w:val="18"/>
        </w:numPr>
        <w:pBdr>
          <w:top w:val="single" w:sz="4" w:space="1" w:color="auto"/>
          <w:left w:val="single" w:sz="4" w:space="4" w:color="auto"/>
          <w:bottom w:val="single" w:sz="4" w:space="1" w:color="auto"/>
          <w:right w:val="single" w:sz="4" w:space="0" w:color="auto"/>
        </w:pBdr>
        <w:spacing w:before="0" w:beforeAutospacing="0" w:afterAutospacing="0" w:line="254" w:lineRule="auto"/>
        <w:ind w:left="357" w:hanging="357"/>
        <w:jc w:val="left"/>
        <w:rPr>
          <w:noProof/>
        </w:rPr>
      </w:pPr>
      <w:r>
        <w:rPr>
          <w:noProof/>
        </w:rPr>
        <w:t>[</w:t>
      </w:r>
      <w:r>
        <w:rPr>
          <w:b/>
          <w:noProof/>
        </w:rPr>
        <w:t>D’ici juillet 2026</w:t>
      </w:r>
      <w:r>
        <w:rPr>
          <w:noProof/>
        </w:rPr>
        <w:t xml:space="preserve">] </w:t>
      </w:r>
      <w:r>
        <w:rPr>
          <w:i/>
          <w:noProof/>
        </w:rPr>
        <w:t xml:space="preserve">La Commission adoptera une </w:t>
      </w:r>
      <w:r>
        <w:rPr>
          <w:b/>
          <w:i/>
          <w:noProof/>
        </w:rPr>
        <w:t>proposition législative visant à mettre à jour et à moderniser le système d’échange de quotas d’émission de l’UE</w:t>
      </w:r>
      <w:r>
        <w:rPr>
          <w:i/>
          <w:noProof/>
        </w:rPr>
        <w:t>. La Commission consultera les États membres sur la mise à jour des référentiels du SEQE. Cela complétera les modifications déjà proposées de la réserve de stabilité du marché en vue de stimuler sa force de frappe. Dans le cadre de son réexamen, la Commission augmentera également le soutien financier mis à la disposition de l’industrie pour sa transition vers une énergie propre par l’intermédiaire de la banque pour la décarbonation de l’industrie, en mobilisant 100 milliards d’EUR de financement. Afin d’assurer un déploiement rapide, cette mesure comprendra un renforcement des investissements financé par 400 millions de quotas du SEQE de l’UE, ce qui garantit la rapidité et la solidarité, dans le but de renforcer la sécurité des investissements afin d’accroître les investissements dans la décarbonation de la part des industries à forte intensité énergétique de l’Union. Dans ce contexte, afin de garantir la solidarité, les États membres à faible revenu auront un accès garanti à l’aide fournie au titre du renforcement des investissements dans le cadre du SEQE.</w:t>
      </w:r>
      <w:r>
        <w:rPr>
          <w:b/>
          <w:noProof/>
        </w:rPr>
        <w:t xml:space="preserve"> </w:t>
      </w:r>
      <w:r>
        <w:rPr>
          <w:i/>
          <w:noProof/>
        </w:rPr>
        <w:t>En outre, la Commission envisagera également d’étendre en termes de volume et de durée le soutien aux carburants d’aviation durables au titre du SEQE pour l’aviation et étudiera un mécanisme analogue pour les carburants durables pour le transport maritime produits dans l’UE.</w:t>
      </w:r>
      <w:r>
        <w:rPr>
          <w:b/>
          <w:noProof/>
          <w:u w:val="single"/>
        </w:rPr>
        <w:t xml:space="preserve"> </w:t>
      </w:r>
      <w:r>
        <w:rPr>
          <w:noProof/>
        </w:rPr>
        <w:t xml:space="preserve"> </w:t>
      </w:r>
    </w:p>
    <w:p w14:paraId="3EA764E4" w14:textId="77777777" w:rsidR="00070A89" w:rsidRDefault="006C2002">
      <w:pPr>
        <w:pStyle w:val="ListParagraph"/>
        <w:numPr>
          <w:ilvl w:val="0"/>
          <w:numId w:val="18"/>
        </w:numPr>
        <w:pBdr>
          <w:top w:val="single" w:sz="4" w:space="1" w:color="auto"/>
          <w:left w:val="single" w:sz="4" w:space="4" w:color="auto"/>
          <w:bottom w:val="single" w:sz="4" w:space="1" w:color="auto"/>
          <w:right w:val="single" w:sz="4" w:space="0" w:color="auto"/>
        </w:pBdr>
        <w:spacing w:before="0" w:beforeAutospacing="0" w:afterAutospacing="0" w:line="254" w:lineRule="auto"/>
        <w:ind w:left="357" w:hanging="357"/>
        <w:jc w:val="left"/>
        <w:rPr>
          <w:noProof/>
        </w:rPr>
      </w:pPr>
      <w:r>
        <w:rPr>
          <w:noProof/>
        </w:rPr>
        <w:t>[À partir d’</w:t>
      </w:r>
      <w:r>
        <w:rPr>
          <w:b/>
          <w:noProof/>
        </w:rPr>
        <w:t>avril 2026</w:t>
      </w:r>
      <w:r>
        <w:rPr>
          <w:noProof/>
        </w:rPr>
        <w:t xml:space="preserve">]: </w:t>
      </w:r>
      <w:r>
        <w:rPr>
          <w:i/>
          <w:noProof/>
        </w:rPr>
        <w:t>La Commission</w:t>
      </w:r>
      <w:r>
        <w:rPr>
          <w:noProof/>
        </w:rPr>
        <w:t xml:space="preserve"> </w:t>
      </w:r>
      <w:r>
        <w:rPr>
          <w:b/>
          <w:i/>
          <w:noProof/>
        </w:rPr>
        <w:t>aidera les États membres qui souhaitent étudier les possibilités d’utiliser les recettes issues du SEQE de l’UE en faveur de mesures ciblées qui mobilisent et accélèrent les investissements dans l’électrification</w:t>
      </w:r>
      <w:r>
        <w:rPr>
          <w:i/>
          <w:noProof/>
        </w:rPr>
        <w:t xml:space="preserve"> (par exemple, dans les domaines des transports ou du chauffage), </w:t>
      </w:r>
      <w:r>
        <w:rPr>
          <w:b/>
          <w:i/>
          <w:noProof/>
        </w:rPr>
        <w:t>la décarbonation industrielle et les applications circulaires en aval</w:t>
      </w:r>
      <w:r>
        <w:rPr>
          <w:i/>
          <w:noProof/>
        </w:rPr>
        <w:t xml:space="preserve">, ainsi que les </w:t>
      </w:r>
      <w:r>
        <w:rPr>
          <w:b/>
          <w:i/>
          <w:noProof/>
        </w:rPr>
        <w:t>investissements contribuant à réduire les prix de l’électricité</w:t>
      </w:r>
      <w:r>
        <w:rPr>
          <w:i/>
          <w:noProof/>
        </w:rPr>
        <w:t>, y compris par une augmentation de la capacité de production d’électricité renouvelable, à condition que ces investissements contribuent à l’électrification des ménages et à la décarbonation industrielle</w:t>
      </w:r>
      <w:r>
        <w:rPr>
          <w:rStyle w:val="FootnoteReference"/>
          <w:i/>
          <w:noProof/>
        </w:rPr>
        <w:footnoteReference w:id="47"/>
      </w:r>
      <w:r>
        <w:rPr>
          <w:noProof/>
        </w:rPr>
        <w:t>.</w:t>
      </w:r>
      <w:r>
        <w:rPr>
          <w:i/>
          <w:noProof/>
        </w:rPr>
        <w:t xml:space="preserve"> La Commission continue d’encourager les États membres à envisager de telles affectations des recettes du SEQE.</w:t>
      </w:r>
    </w:p>
    <w:p w14:paraId="36D65CB7" w14:textId="77777777" w:rsidR="00070A89" w:rsidRDefault="006C2002">
      <w:pPr>
        <w:pStyle w:val="ListParagraph"/>
        <w:numPr>
          <w:ilvl w:val="0"/>
          <w:numId w:val="18"/>
        </w:numPr>
        <w:pBdr>
          <w:top w:val="single" w:sz="4" w:space="1" w:color="auto"/>
          <w:left w:val="single" w:sz="4" w:space="4" w:color="auto"/>
          <w:bottom w:val="single" w:sz="4" w:space="1" w:color="auto"/>
          <w:right w:val="single" w:sz="4" w:space="0" w:color="auto"/>
        </w:pBdr>
        <w:spacing w:before="0" w:beforeAutospacing="0" w:afterAutospacing="0" w:line="254" w:lineRule="auto"/>
        <w:jc w:val="left"/>
        <w:rPr>
          <w:i/>
          <w:noProof/>
        </w:rPr>
      </w:pPr>
      <w:r>
        <w:rPr>
          <w:noProof/>
        </w:rPr>
        <w:t>[À partir d’</w:t>
      </w:r>
      <w:r>
        <w:rPr>
          <w:b/>
          <w:noProof/>
        </w:rPr>
        <w:t>avril 2026</w:t>
      </w:r>
      <w:r>
        <w:rPr>
          <w:noProof/>
        </w:rPr>
        <w:t>]:</w:t>
      </w:r>
      <w:r>
        <w:rPr>
          <w:i/>
          <w:noProof/>
        </w:rPr>
        <w:t xml:space="preserve"> </w:t>
      </w:r>
      <w:r>
        <w:rPr>
          <w:b/>
          <w:i/>
          <w:noProof/>
        </w:rPr>
        <w:t>La Commission collaborera</w:t>
      </w:r>
      <w:r>
        <w:rPr>
          <w:i/>
          <w:noProof/>
        </w:rPr>
        <w:t xml:space="preserve"> </w:t>
      </w:r>
      <w:r>
        <w:rPr>
          <w:b/>
          <w:i/>
          <w:noProof/>
        </w:rPr>
        <w:t>avec la coalition européenne pour le financement de l’efficacité énergétique afin d’élaborer des produits financiers normalisés pour le chauffage propre et la rénovation</w:t>
      </w:r>
      <w:r>
        <w:rPr>
          <w:i/>
          <w:noProof/>
        </w:rPr>
        <w:t xml:space="preserve"> et de mettre au point et promouvoir de nouveaux modèles commerciaux de services énergétiques qui apportent un soutien direct aux PME dans le cadre du déploiement de solutions en matière d’efficacité énergétique et d’électrification.</w:t>
      </w:r>
      <w:r>
        <w:rPr>
          <w:noProof/>
        </w:rPr>
        <w:t xml:space="preserve"> </w:t>
      </w:r>
    </w:p>
    <w:p w14:paraId="58AFA2CF" w14:textId="77777777" w:rsidR="00070A89" w:rsidRDefault="006C2002">
      <w:pPr>
        <w:pStyle w:val="ListParagraph"/>
        <w:numPr>
          <w:ilvl w:val="0"/>
          <w:numId w:val="18"/>
        </w:numPr>
        <w:pBdr>
          <w:top w:val="single" w:sz="4" w:space="1" w:color="auto"/>
          <w:left w:val="single" w:sz="4" w:space="4" w:color="auto"/>
          <w:bottom w:val="single" w:sz="4" w:space="1" w:color="auto"/>
          <w:right w:val="single" w:sz="4" w:space="0" w:color="auto"/>
        </w:pBdr>
        <w:spacing w:before="0" w:beforeAutospacing="0" w:afterAutospacing="0" w:line="254" w:lineRule="auto"/>
        <w:jc w:val="left"/>
        <w:rPr>
          <w:i/>
          <w:noProof/>
        </w:rPr>
      </w:pPr>
      <w:r>
        <w:rPr>
          <w:noProof/>
        </w:rPr>
        <w:t>[À partir d’</w:t>
      </w:r>
      <w:r>
        <w:rPr>
          <w:b/>
          <w:noProof/>
        </w:rPr>
        <w:t>avril 2026</w:t>
      </w:r>
      <w:r>
        <w:rPr>
          <w:noProof/>
        </w:rPr>
        <w:t xml:space="preserve">]: </w:t>
      </w:r>
      <w:r>
        <w:rPr>
          <w:i/>
          <w:noProof/>
        </w:rPr>
        <w:t xml:space="preserve">La Commission continuera de soutenir les États membres au sein de la </w:t>
      </w:r>
      <w:r>
        <w:rPr>
          <w:b/>
          <w:i/>
          <w:noProof/>
        </w:rPr>
        <w:t>coalition des États pionniers pour les électrocarburants d’aviation durables</w:t>
      </w:r>
      <w:r>
        <w:rPr>
          <w:i/>
          <w:noProof/>
        </w:rPr>
        <w:t xml:space="preserve"> dans le cadre de l’organisation de l’enchère simultanée annoncée de 2 milliards d’EUR concernant les e-CAD et encouragera une participation renforcée des États membres.</w:t>
      </w:r>
    </w:p>
    <w:p w14:paraId="6505C03B" w14:textId="77777777" w:rsidR="00070A89" w:rsidRDefault="00070A89">
      <w:pPr>
        <w:spacing w:before="0" w:beforeAutospacing="0" w:after="160" w:afterAutospacing="0" w:line="259" w:lineRule="auto"/>
        <w:jc w:val="left"/>
        <w:rPr>
          <w:noProof/>
        </w:rPr>
      </w:pPr>
    </w:p>
    <w:p w14:paraId="28AC79E4" w14:textId="77777777" w:rsidR="00070A89" w:rsidRDefault="00070A89">
      <w:pPr>
        <w:spacing w:before="0" w:beforeAutospacing="0" w:after="160" w:afterAutospacing="0" w:line="259" w:lineRule="auto"/>
        <w:jc w:val="left"/>
        <w:rPr>
          <w:noProof/>
        </w:rPr>
      </w:pPr>
    </w:p>
    <w:sectPr w:rsidR="00070A89">
      <w:headerReference w:type="even" r:id="rId17"/>
      <w:headerReference w:type="default" r:id="rId18"/>
      <w:footerReference w:type="even" r:id="rId19"/>
      <w:footerReference w:type="default" r:id="rId20"/>
      <w:headerReference w:type="first" r:id="rId21"/>
      <w:footerReference w:type="first" r:id="rId22"/>
      <w:pgSz w:w="11906" w:h="16838" w:code="9"/>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770407" w14:textId="77777777" w:rsidR="00070A89" w:rsidRDefault="006C2002">
      <w:r>
        <w:separator/>
      </w:r>
    </w:p>
  </w:endnote>
  <w:endnote w:type="continuationSeparator" w:id="0">
    <w:p w14:paraId="3AEB59BE" w14:textId="77777777" w:rsidR="00070A89" w:rsidRDefault="006C2002">
      <w:r>
        <w:continuationSeparator/>
      </w:r>
    </w:p>
  </w:endnote>
  <w:endnote w:type="continuationNotice" w:id="1">
    <w:p w14:paraId="0548018E" w14:textId="77777777" w:rsidR="00070A89" w:rsidRDefault="00070A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7C176" w14:textId="0ABA29C0" w:rsidR="002E20B9" w:rsidRPr="002E20B9" w:rsidRDefault="002E20B9" w:rsidP="002E20B9">
    <w:pPr>
      <w:pStyle w:val="FooterCoverPage"/>
      <w:rPr>
        <w:rFonts w:ascii="Arial" w:hAnsi="Arial" w:cs="Arial"/>
        <w:b/>
        <w:sz w:val="48"/>
      </w:rPr>
    </w:pPr>
    <w:r w:rsidRPr="002E20B9">
      <w:rPr>
        <w:rFonts w:ascii="Arial" w:hAnsi="Arial" w:cs="Arial"/>
        <w:b/>
        <w:sz w:val="48"/>
      </w:rPr>
      <w:t>FR</w:t>
    </w:r>
    <w:r w:rsidRPr="002E20B9">
      <w:rPr>
        <w:rFonts w:ascii="Arial" w:hAnsi="Arial" w:cs="Arial"/>
        <w:b/>
        <w:sz w:val="48"/>
      </w:rPr>
      <w:tab/>
    </w:r>
    <w:r w:rsidRPr="002E20B9">
      <w:rPr>
        <w:rFonts w:ascii="Arial" w:hAnsi="Arial" w:cs="Arial"/>
        <w:b/>
        <w:sz w:val="48"/>
      </w:rPr>
      <w:tab/>
    </w:r>
    <w:r w:rsidRPr="002E20B9">
      <w:tab/>
    </w:r>
    <w:r w:rsidRPr="002E20B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4385B" w14:textId="0B048F4D" w:rsidR="002E20B9" w:rsidRPr="002E20B9" w:rsidRDefault="002E20B9" w:rsidP="002E20B9">
    <w:pPr>
      <w:pStyle w:val="FooterCoverPage"/>
      <w:rPr>
        <w:rFonts w:ascii="Arial" w:hAnsi="Arial" w:cs="Arial"/>
        <w:b/>
        <w:sz w:val="48"/>
      </w:rPr>
    </w:pPr>
    <w:r w:rsidRPr="002E20B9">
      <w:rPr>
        <w:rFonts w:ascii="Arial" w:hAnsi="Arial" w:cs="Arial"/>
        <w:b/>
        <w:sz w:val="48"/>
      </w:rPr>
      <w:t>FR</w:t>
    </w:r>
    <w:r w:rsidRPr="002E20B9">
      <w:rPr>
        <w:rFonts w:ascii="Arial" w:hAnsi="Arial" w:cs="Arial"/>
        <w:b/>
        <w:sz w:val="48"/>
      </w:rPr>
      <w:tab/>
    </w:r>
    <w:r w:rsidRPr="002E20B9">
      <w:rPr>
        <w:rFonts w:ascii="Arial" w:hAnsi="Arial" w:cs="Arial"/>
        <w:b/>
        <w:sz w:val="48"/>
      </w:rPr>
      <w:tab/>
    </w:r>
    <w:r w:rsidRPr="002E20B9">
      <w:tab/>
    </w:r>
    <w:r w:rsidRPr="002E20B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A4DBD" w14:textId="77777777" w:rsidR="002E20B9" w:rsidRPr="002E20B9" w:rsidRDefault="002E20B9" w:rsidP="002E20B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122FB" w14:textId="77777777" w:rsidR="00070A89" w:rsidRDefault="00070A8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8984201"/>
      <w:docPartObj>
        <w:docPartGallery w:val="Page Numbers (Bottom of Page)"/>
        <w:docPartUnique/>
      </w:docPartObj>
    </w:sdtPr>
    <w:sdtEndPr/>
    <w:sdtContent>
      <w:p w14:paraId="5FB769B5" w14:textId="7450F3FE" w:rsidR="00070A89" w:rsidRDefault="006C2002">
        <w:pPr>
          <w:pStyle w:val="Footer"/>
          <w:jc w:val="right"/>
        </w:pPr>
        <w:r>
          <w:fldChar w:fldCharType="begin"/>
        </w:r>
        <w:r>
          <w:instrText xml:space="preserve"> PAGE   \* MERGEFORMAT </w:instrText>
        </w:r>
        <w:r>
          <w:fldChar w:fldCharType="separate"/>
        </w:r>
        <w:r w:rsidR="002E20B9">
          <w:rPr>
            <w:noProof/>
          </w:rPr>
          <w:t>4</w:t>
        </w:r>
        <w:r>
          <w:fldChar w:fldCharType="end"/>
        </w:r>
      </w:p>
    </w:sdtContent>
  </w:sdt>
  <w:p w14:paraId="1A5F35C0" w14:textId="77777777" w:rsidR="00070A89" w:rsidRDefault="00070A8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9657680"/>
      <w:docPartObj>
        <w:docPartGallery w:val="Page Numbers (Bottom of Page)"/>
        <w:docPartUnique/>
      </w:docPartObj>
    </w:sdtPr>
    <w:sdtEndPr/>
    <w:sdtContent>
      <w:p w14:paraId="4C6F65D0" w14:textId="054B80A4" w:rsidR="00070A89" w:rsidRDefault="006C2002">
        <w:pPr>
          <w:pStyle w:val="Footer"/>
          <w:jc w:val="right"/>
        </w:pPr>
        <w:r>
          <w:fldChar w:fldCharType="begin"/>
        </w:r>
        <w:r>
          <w:instrText xml:space="preserve"> PAGE  \* Arabic  \* MERGEFORMAT </w:instrText>
        </w:r>
        <w:r>
          <w:fldChar w:fldCharType="separate"/>
        </w:r>
        <w:r w:rsidR="002E20B9">
          <w:rPr>
            <w:noProof/>
          </w:rPr>
          <w:t>1</w:t>
        </w:r>
        <w:r>
          <w:fldChar w:fldCharType="end"/>
        </w:r>
      </w:p>
    </w:sdtContent>
  </w:sdt>
  <w:p w14:paraId="68A1A9D0" w14:textId="77777777" w:rsidR="00070A89" w:rsidRDefault="00070A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153383" w14:textId="77777777" w:rsidR="00070A89" w:rsidRDefault="006C2002">
      <w:pPr>
        <w:spacing w:before="0" w:beforeAutospacing="0" w:after="0" w:afterAutospacing="0"/>
      </w:pPr>
      <w:r>
        <w:separator/>
      </w:r>
    </w:p>
  </w:footnote>
  <w:footnote w:type="continuationSeparator" w:id="0">
    <w:p w14:paraId="6C97D1B8" w14:textId="77777777" w:rsidR="00070A89" w:rsidRDefault="006C2002">
      <w:r>
        <w:continuationSeparator/>
      </w:r>
    </w:p>
  </w:footnote>
  <w:footnote w:type="continuationNotice" w:id="1">
    <w:p w14:paraId="427AC802" w14:textId="77777777" w:rsidR="00070A89" w:rsidRDefault="00070A89"/>
  </w:footnote>
  <w:footnote w:id="2">
    <w:p w14:paraId="1AEB8E15" w14:textId="77777777" w:rsidR="00070A89" w:rsidRDefault="006C2002">
      <w:pPr>
        <w:pStyle w:val="FootnoteText"/>
        <w:spacing w:before="0" w:beforeAutospacing="0" w:after="0" w:afterAutospacing="0"/>
      </w:pPr>
      <w:r>
        <w:rPr>
          <w:rStyle w:val="FootnoteReference"/>
        </w:rPr>
        <w:footnoteRef/>
      </w:r>
      <w:r>
        <w:t xml:space="preserve"> </w:t>
      </w:r>
      <w:hyperlink r:id="rId1" w:history="1">
        <w:r>
          <w:rPr>
            <w:rStyle w:val="Hyperlink"/>
          </w:rPr>
          <w:t>Eurostat</w:t>
        </w:r>
      </w:hyperlink>
      <w:r>
        <w:t>, 2024.</w:t>
      </w:r>
    </w:p>
  </w:footnote>
  <w:footnote w:id="3">
    <w:p w14:paraId="59B66E81" w14:textId="77777777" w:rsidR="00070A89" w:rsidRDefault="006C2002">
      <w:pPr>
        <w:pStyle w:val="FootnoteText"/>
        <w:spacing w:before="0" w:beforeAutospacing="0" w:after="0" w:afterAutospacing="0"/>
      </w:pPr>
      <w:r>
        <w:rPr>
          <w:rStyle w:val="FootnoteReference"/>
        </w:rPr>
        <w:footnoteRef/>
      </w:r>
      <w:r>
        <w:t xml:space="preserve"> </w:t>
      </w:r>
      <w:hyperlink r:id="rId2" w:history="1">
        <w:r>
          <w:rPr>
            <w:rStyle w:val="Hyperlink"/>
          </w:rPr>
          <w:t>Eurostat</w:t>
        </w:r>
      </w:hyperlink>
      <w:r>
        <w:t>.</w:t>
      </w:r>
    </w:p>
  </w:footnote>
  <w:footnote w:id="4">
    <w:p w14:paraId="46BA3184" w14:textId="77777777" w:rsidR="00070A89" w:rsidRDefault="006C2002">
      <w:pPr>
        <w:pStyle w:val="FootnoteText"/>
        <w:spacing w:before="0" w:beforeAutospacing="0" w:after="0" w:afterAutospacing="0"/>
      </w:pPr>
      <w:r>
        <w:rPr>
          <w:rStyle w:val="FootnoteReference"/>
        </w:rPr>
        <w:footnoteRef/>
      </w:r>
      <w:r>
        <w:t xml:space="preserve"> 52 premiers jours Comparaison avec la situation antérieure au début de la crise au Moyen-Orient, en supposant que les volumes importés par l’UE restent identiques Avant la crise, l’UE aurait payé environ 51 milliards d’EUR au cours de la même période, au lieu de 75 milliards d’EUR. Calcul effectué par la Commission à partir de données de Bloomberg, Kpler, LSEG/Refinitiv.</w:t>
      </w:r>
    </w:p>
  </w:footnote>
  <w:footnote w:id="5">
    <w:p w14:paraId="700A68F2" w14:textId="77777777" w:rsidR="00070A89" w:rsidRDefault="006C2002">
      <w:pPr>
        <w:pStyle w:val="FootnoteText"/>
        <w:spacing w:before="0" w:beforeAutospacing="0" w:after="0" w:afterAutospacing="0"/>
      </w:pPr>
      <w:r>
        <w:rPr>
          <w:rStyle w:val="FootnoteReference"/>
        </w:rPr>
        <w:footnoteRef/>
      </w:r>
      <w:r>
        <w:t xml:space="preserve"> L’augmentation des prix de l’énergie est l’un des principaux moteurs de la volatilité de l’inflation globale, car elle exerce des effets à la fois directs (prix des combustibles, de l’électricité) et indirects (coûts de production et de transport).</w:t>
      </w:r>
    </w:p>
  </w:footnote>
  <w:footnote w:id="6">
    <w:p w14:paraId="5A68FD81" w14:textId="77777777" w:rsidR="00070A89" w:rsidRDefault="006C2002">
      <w:pPr>
        <w:pStyle w:val="FootnoteText"/>
        <w:spacing w:before="0" w:beforeAutospacing="0" w:after="0" w:afterAutospacing="0"/>
      </w:pPr>
      <w:r>
        <w:rPr>
          <w:rStyle w:val="FootnoteReference"/>
        </w:rPr>
        <w:footnoteRef/>
      </w:r>
      <w:r>
        <w:t xml:space="preserve"> </w:t>
      </w:r>
      <w:hyperlink r:id="rId3" w:history="1">
        <w:r>
          <w:rPr>
            <w:rStyle w:val="Hyperlink"/>
          </w:rPr>
          <w:t>Eurostat</w:t>
        </w:r>
      </w:hyperlink>
      <w:r>
        <w:t>, par rapport aux niveaux antérieurs à la crise.</w:t>
      </w:r>
    </w:p>
  </w:footnote>
  <w:footnote w:id="7">
    <w:p w14:paraId="08D225CB" w14:textId="77777777" w:rsidR="00070A89" w:rsidRDefault="006C2002">
      <w:pPr>
        <w:pStyle w:val="FootnoteText"/>
        <w:spacing w:before="0" w:beforeAutospacing="0" w:after="0" w:afterAutospacing="0"/>
      </w:pPr>
      <w:r>
        <w:rPr>
          <w:rStyle w:val="FootnoteReference"/>
        </w:rPr>
        <w:footnoteRef/>
      </w:r>
      <w:r>
        <w:t xml:space="preserve"> Par l’intermédiaire du mécanisme </w:t>
      </w:r>
      <w:hyperlink r:id="rId4" w:history="1">
        <w:r>
          <w:rPr>
            <w:rStyle w:val="Hyperlink"/>
          </w:rPr>
          <w:t>AggregateEU</w:t>
        </w:r>
      </w:hyperlink>
      <w:r>
        <w:t xml:space="preserve"> mis en place entre 2023 et 2025.</w:t>
      </w:r>
    </w:p>
  </w:footnote>
  <w:footnote w:id="8">
    <w:p w14:paraId="01008DC1" w14:textId="77777777" w:rsidR="00070A89" w:rsidRDefault="006C2002">
      <w:pPr>
        <w:pStyle w:val="FootnoteText"/>
        <w:spacing w:before="0" w:beforeAutospacing="0" w:after="0" w:afterAutospacing="0"/>
      </w:pPr>
      <w:r>
        <w:rPr>
          <w:rStyle w:val="FootnoteReference"/>
        </w:rPr>
        <w:footnoteRef/>
      </w:r>
      <w:r>
        <w:t xml:space="preserve"> Tels que le Jet A</w:t>
      </w:r>
    </w:p>
  </w:footnote>
  <w:footnote w:id="9">
    <w:p w14:paraId="0D4AD0A6" w14:textId="77777777" w:rsidR="00070A89" w:rsidRDefault="006C2002">
      <w:pPr>
        <w:pStyle w:val="FootnoteText"/>
        <w:spacing w:before="0" w:beforeAutospacing="0" w:after="0" w:afterAutospacing="0"/>
      </w:pPr>
      <w:r>
        <w:rPr>
          <w:rStyle w:val="FootnoteReference"/>
        </w:rPr>
        <w:footnoteRef/>
      </w:r>
      <w:r>
        <w:tab/>
        <w:t xml:space="preserve"> Calculs de la Commission à partir de données de Kpler et d’Eurostat.</w:t>
      </w:r>
    </w:p>
  </w:footnote>
  <w:footnote w:id="10">
    <w:p w14:paraId="0A33383E" w14:textId="77777777" w:rsidR="00070A89" w:rsidRDefault="006C2002">
      <w:pPr>
        <w:pStyle w:val="FootnoteText"/>
        <w:spacing w:before="0" w:beforeAutospacing="0" w:after="0" w:afterAutospacing="0"/>
      </w:pPr>
      <w:r>
        <w:rPr>
          <w:rStyle w:val="FootnoteReference"/>
        </w:rPr>
        <w:footnoteRef/>
      </w:r>
      <w:r>
        <w:t xml:space="preserve"> Quatre principaux pôles </w:t>
      </w:r>
      <w:r>
        <w:rPr>
          <w:color w:val="000000" w:themeColor="text1"/>
        </w:rPr>
        <w:t>régionaux: nord-ouest de l’Europe, pays nordiques et baltes, Méditerranée et Europe centrale et orientale.</w:t>
      </w:r>
    </w:p>
  </w:footnote>
  <w:footnote w:id="11">
    <w:p w14:paraId="6A014985" w14:textId="77777777" w:rsidR="00070A89" w:rsidRDefault="006C2002">
      <w:pPr>
        <w:pStyle w:val="FootnoteText"/>
        <w:spacing w:before="0" w:beforeAutospacing="0" w:after="0" w:afterAutospacing="0"/>
      </w:pPr>
      <w:r>
        <w:rPr>
          <w:rStyle w:val="FootnoteReference"/>
        </w:rPr>
        <w:footnoteRef/>
      </w:r>
      <w:r>
        <w:t xml:space="preserve"> Y compris, par exemple, par la mise en œuvre de la stratégie «Global Gateway», l’initiative de coopération transméditerranéenne en matière d’énergie et de technologies propres.</w:t>
      </w:r>
    </w:p>
  </w:footnote>
  <w:footnote w:id="12">
    <w:p w14:paraId="4E6E7534" w14:textId="77777777" w:rsidR="00070A89" w:rsidRDefault="006C2002">
      <w:pPr>
        <w:pStyle w:val="FootnoteText"/>
        <w:spacing w:before="0" w:beforeAutospacing="0" w:after="0" w:afterAutospacing="0"/>
      </w:pPr>
      <w:r>
        <w:rPr>
          <w:rStyle w:val="FootnoteReference"/>
        </w:rPr>
        <w:footnoteRef/>
      </w:r>
      <w:r>
        <w:t xml:space="preserve"> La Communauté de l’énergie peut également participer aux réunions du groupe de coordination pour le pétrole et du groupe de coordination pour le gaz par l’intermédiaire de son secrétariat et, le cas échéant, selon les sujets de discussion, par l’intermédiaire des parties contractantes de la Communauté de l’énergie. La plateforme de l’UE pour l’énergie et les matières premières reste ouverte aux entreprises des parties contractantes de la Communauté de l’énergie.</w:t>
      </w:r>
    </w:p>
  </w:footnote>
  <w:footnote w:id="13">
    <w:p w14:paraId="7E93340A" w14:textId="77777777" w:rsidR="00070A89" w:rsidRDefault="006C2002">
      <w:pPr>
        <w:pStyle w:val="FootnoteText"/>
        <w:spacing w:before="0" w:beforeAutospacing="0" w:after="0" w:afterAutospacing="0"/>
      </w:pPr>
      <w:r>
        <w:rPr>
          <w:rStyle w:val="FootnoteReference"/>
        </w:rPr>
        <w:footnoteRef/>
      </w:r>
      <w:r>
        <w:t xml:space="preserve"> </w:t>
      </w:r>
      <w:hyperlink r:id="rId5" w:history="1">
        <w:r>
          <w:rPr>
            <w:rStyle w:val="Hyperlink"/>
          </w:rPr>
          <w:t>https://energy.ec.europa.eu/topics/energy-security/eu-energy-and-raw-materials-platform_en</w:t>
        </w:r>
      </w:hyperlink>
      <w:r>
        <w:t>.</w:t>
      </w:r>
    </w:p>
  </w:footnote>
  <w:footnote w:id="14">
    <w:p w14:paraId="70404FE7" w14:textId="77777777" w:rsidR="00070A89" w:rsidRDefault="006C2002">
      <w:pPr>
        <w:pStyle w:val="FootnoteText"/>
        <w:spacing w:before="0" w:beforeAutospacing="0" w:after="0" w:afterAutospacing="0"/>
      </w:pPr>
      <w:bookmarkStart w:id="13" w:name="_Hlk227305199"/>
      <w:r>
        <w:rPr>
          <w:rStyle w:val="FootnoteReference"/>
        </w:rPr>
        <w:footnoteRef/>
      </w:r>
      <w:r>
        <w:t xml:space="preserve"> </w:t>
      </w:r>
      <w:bookmarkStart w:id="14" w:name="_Hlk227248198"/>
      <w:r>
        <w:t xml:space="preserve">Actuellement, en Europe, le prix moyen du litre d’essence se situe entre 1,8 et 2,2 EUR et celui du litre de gazole entre 2,0 et 2,4 EUR, alors qu’il était en moyenne de 1,5 à 1,6 EUR pour l’essence et de 1,6 à 1,8 EUR pour le gazole en 2025, source:  </w:t>
      </w:r>
      <w:hyperlink r:id="rId6" w:history="1">
        <w:r>
          <w:rPr>
            <w:color w:val="0000FF"/>
            <w:u w:val="single"/>
          </w:rPr>
          <w:t>Weekly Oil Bulletin</w:t>
        </w:r>
      </w:hyperlink>
      <w:r>
        <w:t xml:space="preserve"> (bulletin pétrolier hebdomadaire) de la Commission européenne.</w:t>
      </w:r>
    </w:p>
    <w:bookmarkEnd w:id="13"/>
    <w:bookmarkEnd w:id="14"/>
  </w:footnote>
  <w:footnote w:id="15">
    <w:p w14:paraId="6E463CE3" w14:textId="77777777" w:rsidR="00070A89" w:rsidRDefault="006C2002">
      <w:pPr>
        <w:pStyle w:val="FootnoteText"/>
        <w:spacing w:before="0" w:beforeAutospacing="0" w:after="0" w:afterAutospacing="0"/>
      </w:pPr>
      <w:r>
        <w:rPr>
          <w:rStyle w:val="FootnoteReference"/>
        </w:rPr>
        <w:footnoteRef/>
      </w:r>
      <w:r>
        <w:t xml:space="preserve"> </w:t>
      </w:r>
      <w:hyperlink r:id="rId7" w:history="1">
        <w:r>
          <w:rPr>
            <w:rStyle w:val="Hyperlink"/>
          </w:rPr>
          <w:t>Train de mesures sur l’énergie citoyenne</w:t>
        </w:r>
      </w:hyperlink>
      <w:r>
        <w:t xml:space="preserve"> (COM/2026/115).</w:t>
      </w:r>
    </w:p>
  </w:footnote>
  <w:footnote w:id="16">
    <w:p w14:paraId="179AC6EE" w14:textId="77777777" w:rsidR="00070A89" w:rsidRDefault="006C2002">
      <w:pPr>
        <w:pStyle w:val="FootnoteText"/>
        <w:spacing w:before="0" w:beforeAutospacing="0" w:after="0" w:afterAutospacing="0"/>
      </w:pPr>
      <w:r>
        <w:rPr>
          <w:rStyle w:val="FootnoteReference"/>
        </w:rPr>
        <w:footnoteRef/>
      </w:r>
      <w:r>
        <w:t xml:space="preserve">Conformément aux </w:t>
      </w:r>
      <w:hyperlink r:id="rId8" w:history="1">
        <w:r>
          <w:rPr>
            <w:rStyle w:val="Hyperlink"/>
          </w:rPr>
          <w:t>conclusions du Conseil</w:t>
        </w:r>
      </w:hyperlink>
      <w:r>
        <w:t xml:space="preserve"> du 10 octobre 2025 sur les incitations fiscales visant à soutenir les technologies et l’industrie propres.</w:t>
      </w:r>
    </w:p>
  </w:footnote>
  <w:footnote w:id="17">
    <w:p w14:paraId="27CE52AF" w14:textId="77777777" w:rsidR="00070A89" w:rsidRDefault="006C2002">
      <w:pPr>
        <w:pStyle w:val="FootnoteText"/>
        <w:spacing w:before="0" w:beforeAutospacing="0" w:after="0" w:afterAutospacing="0"/>
      </w:pPr>
      <w:r>
        <w:rPr>
          <w:rStyle w:val="FootnoteReference"/>
        </w:rPr>
        <w:footnoteRef/>
      </w:r>
      <w:r>
        <w:t xml:space="preserve"> Les dernières données disponibles montrent que les investissements dans l’efficacité énergétique financés par l’UE renforcent déjà la résilience énergétique de l’Union. À la fin de 2023, les économies d’énergie annuelles réalisées grâce aux fonds de l’UE s’élevaient à 81,9 TWh; source </w:t>
      </w:r>
      <w:hyperlink r:id="rId9" w:history="1">
        <w:r>
          <w:rPr>
            <w:rStyle w:val="Hyperlink"/>
          </w:rPr>
          <w:t>COM(2026) 118 final</w:t>
        </w:r>
      </w:hyperlink>
      <w:r>
        <w:t xml:space="preserve">, p. 17. Voir également le projet </w:t>
      </w:r>
      <w:hyperlink r:id="rId10" w:history="1">
        <w:r>
          <w:rPr>
            <w:rStyle w:val="Hyperlink"/>
          </w:rPr>
          <w:t>ODYSSEE</w:t>
        </w:r>
      </w:hyperlink>
      <w:r>
        <w:t xml:space="preserve"> pour de plus amples informations.</w:t>
      </w:r>
    </w:p>
  </w:footnote>
  <w:footnote w:id="18">
    <w:p w14:paraId="3146BC39" w14:textId="77777777" w:rsidR="00070A89" w:rsidRDefault="006C2002">
      <w:pPr>
        <w:spacing w:before="0" w:beforeAutospacing="0" w:after="0" w:afterAutospacing="0"/>
        <w:rPr>
          <w:sz w:val="20"/>
          <w:szCs w:val="20"/>
        </w:rPr>
      </w:pPr>
      <w:r>
        <w:rPr>
          <w:sz w:val="20"/>
          <w:szCs w:val="20"/>
          <w:vertAlign w:val="superscript"/>
        </w:rPr>
        <w:footnoteRef/>
      </w:r>
      <w:r>
        <w:rPr>
          <w:sz w:val="20"/>
        </w:rPr>
        <w:t xml:space="preserve"> Calculs de la Commission.</w:t>
      </w:r>
    </w:p>
  </w:footnote>
  <w:footnote w:id="19">
    <w:p w14:paraId="01AF967A" w14:textId="77777777" w:rsidR="00070A89" w:rsidRDefault="006C2002">
      <w:pPr>
        <w:pStyle w:val="FootnoteText"/>
        <w:spacing w:before="0" w:beforeAutospacing="0" w:after="0" w:afterAutospacing="0"/>
      </w:pPr>
      <w:r>
        <w:rPr>
          <w:rStyle w:val="FootnoteReference"/>
        </w:rPr>
        <w:footnoteRef/>
      </w:r>
      <w:r>
        <w:t xml:space="preserve"> Par comparaison avec 2020. </w:t>
      </w:r>
      <w:hyperlink r:id="rId11" w:history="1">
        <w:r>
          <w:rPr>
            <w:rStyle w:val="Hyperlink"/>
          </w:rPr>
          <w:t>Directive (UE) 2024/1275 sur la performance énergétique des bâtiments</w:t>
        </w:r>
      </w:hyperlink>
    </w:p>
  </w:footnote>
  <w:footnote w:id="20">
    <w:p w14:paraId="482C6989" w14:textId="77777777" w:rsidR="00070A89" w:rsidRDefault="006C2002">
      <w:pPr>
        <w:pStyle w:val="FootnoteText"/>
        <w:spacing w:before="0" w:beforeAutospacing="0" w:after="0" w:afterAutospacing="0"/>
      </w:pPr>
      <w:r>
        <w:rPr>
          <w:rStyle w:val="FootnoteReference"/>
        </w:rPr>
        <w:footnoteRef/>
      </w:r>
      <w:r>
        <w:t xml:space="preserve"> Proposition de </w:t>
      </w:r>
      <w:hyperlink r:id="rId12" w:history="1">
        <w:r>
          <w:rPr>
            <w:rStyle w:val="Hyperlink"/>
          </w:rPr>
          <w:t>règlement de la Commission sur les véhicules d’entreprise propres</w:t>
        </w:r>
      </w:hyperlink>
      <w:r>
        <w:t xml:space="preserve"> [COM(2025) 994 final]</w:t>
      </w:r>
    </w:p>
  </w:footnote>
  <w:footnote w:id="21">
    <w:p w14:paraId="6AD994D8" w14:textId="77777777" w:rsidR="00070A89" w:rsidRDefault="006C2002">
      <w:pPr>
        <w:pStyle w:val="FootnoteText"/>
        <w:spacing w:before="0" w:beforeAutospacing="0" w:after="0" w:afterAutospacing="0"/>
      </w:pPr>
      <w:r>
        <w:rPr>
          <w:rStyle w:val="FootnoteReference"/>
        </w:rPr>
        <w:footnoteRef/>
      </w:r>
      <w:r>
        <w:t xml:space="preserve"> Règlements </w:t>
      </w:r>
      <w:hyperlink r:id="rId13" w:history="1">
        <w:r>
          <w:rPr>
            <w:rStyle w:val="Hyperlink"/>
          </w:rPr>
          <w:t>ReFuelEU Aviation</w:t>
        </w:r>
      </w:hyperlink>
      <w:r>
        <w:t xml:space="preserve"> et</w:t>
      </w:r>
      <w:hyperlink r:id="rId14" w:history="1">
        <w:r>
          <w:rPr>
            <w:rStyle w:val="Hyperlink"/>
          </w:rPr>
          <w:t xml:space="preserve"> FuelEU Maritime.</w:t>
        </w:r>
      </w:hyperlink>
    </w:p>
  </w:footnote>
  <w:footnote w:id="22">
    <w:p w14:paraId="38301EC7" w14:textId="77777777" w:rsidR="00070A89" w:rsidRDefault="006C2002">
      <w:pPr>
        <w:pStyle w:val="FootnoteText"/>
        <w:spacing w:before="0" w:beforeAutospacing="0" w:after="0" w:afterAutospacing="0"/>
      </w:pPr>
      <w:r>
        <w:rPr>
          <w:rStyle w:val="FootnoteReference"/>
        </w:rPr>
        <w:footnoteRef/>
      </w:r>
      <w:r>
        <w:t xml:space="preserve"> </w:t>
      </w:r>
      <w:hyperlink r:id="rId15" w:history="1">
        <w:r>
          <w:rPr>
            <w:rStyle w:val="Hyperlink"/>
          </w:rPr>
          <w:t>Plan d’investissement pour des transports durables</w:t>
        </w:r>
      </w:hyperlink>
      <w:r>
        <w:t xml:space="preserve"> (STIP)</w:t>
      </w:r>
    </w:p>
  </w:footnote>
  <w:footnote w:id="23">
    <w:p w14:paraId="291978F5" w14:textId="77777777" w:rsidR="00070A89" w:rsidRDefault="006C2002">
      <w:pPr>
        <w:pStyle w:val="FootnoteText"/>
        <w:spacing w:before="0" w:beforeAutospacing="0" w:after="0" w:afterAutospacing="0"/>
      </w:pPr>
      <w:r>
        <w:rPr>
          <w:rStyle w:val="FootnoteReference"/>
        </w:rPr>
        <w:footnoteRef/>
      </w:r>
      <w:r>
        <w:t xml:space="preserve"> Complétant d’autres modèles d’incitation tels que les subventions, les garanties, les prêts ou les modèles d’énergie en tant que service, qui sont plus fréquemment utilisés pour des technologies comme les batteries de petite taille et les pompes à chaleur.</w:t>
      </w:r>
    </w:p>
  </w:footnote>
  <w:footnote w:id="24">
    <w:p w14:paraId="51421F7A" w14:textId="77777777" w:rsidR="00070A89" w:rsidRDefault="006C2002">
      <w:pPr>
        <w:pStyle w:val="FootnoteText"/>
        <w:spacing w:before="0" w:beforeAutospacing="0" w:after="0" w:afterAutospacing="0"/>
      </w:pPr>
      <w:r>
        <w:rPr>
          <w:rStyle w:val="FootnoteReference"/>
        </w:rPr>
        <w:footnoteRef/>
      </w:r>
      <w:r>
        <w:t xml:space="preserve"> </w:t>
      </w:r>
      <w:hyperlink r:id="rId16" w:history="1">
        <w:r>
          <w:rPr>
            <w:rStyle w:val="Hyperlink"/>
          </w:rPr>
          <w:t>Décision d’exécution de la Commission reconnaissant la situation au Moyen-Orient</w:t>
        </w:r>
      </w:hyperlink>
      <w:r>
        <w:t xml:space="preserve"> depuis le 28 février 2026 comme un événement exceptionnel entraînant une perturbation importante des marchés.</w:t>
      </w:r>
    </w:p>
  </w:footnote>
  <w:footnote w:id="25">
    <w:p w14:paraId="70BE684E" w14:textId="77777777" w:rsidR="00070A89" w:rsidRDefault="006C2002">
      <w:pPr>
        <w:pStyle w:val="FootnoteText"/>
        <w:spacing w:before="0" w:beforeAutospacing="0" w:after="0" w:afterAutospacing="0"/>
      </w:pPr>
      <w:r>
        <w:rPr>
          <w:rStyle w:val="FootnoteReference"/>
        </w:rPr>
        <w:footnoteRef/>
      </w:r>
      <w:r>
        <w:t xml:space="preserve"> Conformément au </w:t>
      </w:r>
      <w:hyperlink r:id="rId17" w:history="1">
        <w:r>
          <w:rPr>
            <w:rStyle w:val="Hyperlink"/>
          </w:rPr>
          <w:t>pacte pour une industrie propre</w:t>
        </w:r>
      </w:hyperlink>
      <w:r>
        <w:t xml:space="preserve"> [COM(2025) 85 final]. Ce taux de déploiement des capacités renouvelables fait référence à la capacité en courant continu, qui équivaut à environ 85 GW de capacité en courant alternatif utilisée dans la pratique standard de déclaration statistique.</w:t>
      </w:r>
    </w:p>
  </w:footnote>
  <w:footnote w:id="26">
    <w:p w14:paraId="53B46222" w14:textId="77777777" w:rsidR="00070A89" w:rsidRDefault="006C2002">
      <w:pPr>
        <w:pStyle w:val="FootnoteText"/>
        <w:spacing w:before="0" w:beforeAutospacing="0" w:after="0" w:afterAutospacing="0"/>
      </w:pPr>
      <w:r>
        <w:rPr>
          <w:rStyle w:val="FootnoteReference"/>
        </w:rPr>
        <w:footnoteRef/>
      </w:r>
      <w:r>
        <w:t xml:space="preserve"> La production solaire est l’une des sources de production d’électricité les plus abordables et présente un potentiel de déploiement très important, notamment dans les bâtiments résidentiels, y compris sur les balcons, le long des routes et dans les installations commerciales de grande taille. </w:t>
      </w:r>
    </w:p>
  </w:footnote>
  <w:footnote w:id="27">
    <w:p w14:paraId="4A259E79" w14:textId="77777777" w:rsidR="00070A89" w:rsidRDefault="006C2002">
      <w:pPr>
        <w:pStyle w:val="FootnoteText"/>
        <w:spacing w:before="0" w:beforeAutospacing="0" w:after="0" w:afterAutospacing="0"/>
      </w:pPr>
      <w:r>
        <w:rPr>
          <w:rStyle w:val="FootnoteReference"/>
        </w:rPr>
        <w:footnoteRef/>
      </w:r>
      <w:r>
        <w:t xml:space="preserve"> Depuis 2021, l’UE a installé environ 260 GW de capacité renouvelable (204 GW d’énergie solaire photovoltaïque et 57 GW d’énergie éolienne), ce qui a permis de réaliser des économies de gaz pour la production équivalentes à environ 15 milliards de m³ en 2025 (soit environ 5 % des importations annuelles de l’UE).</w:t>
      </w:r>
    </w:p>
  </w:footnote>
  <w:footnote w:id="28">
    <w:p w14:paraId="203D65EB" w14:textId="77777777" w:rsidR="00070A89" w:rsidRDefault="006C2002">
      <w:pPr>
        <w:pStyle w:val="FootnoteText"/>
        <w:spacing w:before="0" w:beforeAutospacing="0" w:after="0" w:afterAutospacing="0"/>
      </w:pPr>
      <w:r>
        <w:rPr>
          <w:rStyle w:val="FootnoteReference"/>
        </w:rPr>
        <w:footnoteRef/>
      </w:r>
      <w:r>
        <w:t xml:space="preserve"> Tous les États membres devraient déjà avoir transposé et mis en œuvre l’ensemble des exigences en matière d’octroi de permis pour les énergies renouvelables et les infrastructures connexes au titre de la législation de l’UE sur l’énergie, et en particulier de la directive sur les énergies renouvelables (y compris les zones d’accélération des énergies renouvelables, l’intérêt public supérieur en faveur des projets dans le domaine des énergies renouvelables et des délais d’octroi de permis plus courts pour le rééquipement des installations existantes). Au moment de la publication de la présente communication, les États membres étaient toujours en train d’adopter et de notifier leurs mesures nationales de transposition à la Commission.</w:t>
      </w:r>
    </w:p>
  </w:footnote>
  <w:footnote w:id="29">
    <w:p w14:paraId="6E7BB9AA" w14:textId="77777777" w:rsidR="00070A89" w:rsidRDefault="006C2002">
      <w:pPr>
        <w:pStyle w:val="FootnoteText"/>
        <w:spacing w:before="0" w:beforeAutospacing="0" w:after="0" w:afterAutospacing="0"/>
      </w:pPr>
      <w:r>
        <w:rPr>
          <w:rStyle w:val="FootnoteReference"/>
        </w:rPr>
        <w:footnoteRef/>
      </w:r>
      <w:r>
        <w:t xml:space="preserve"> Conformément à la directive sur les énergies renouvelables, y compris des délais plus courts pour les zones d’accélération des énergies renouvelables, tandis que les délais de mise en œuvre pour les projets très complexes tels que certains projets en mer peuvent être plus longs.</w:t>
      </w:r>
    </w:p>
  </w:footnote>
  <w:footnote w:id="30">
    <w:p w14:paraId="1B8EB209" w14:textId="77777777" w:rsidR="00070A89" w:rsidRDefault="006C2002">
      <w:pPr>
        <w:pStyle w:val="FootnoteText"/>
        <w:spacing w:before="0" w:beforeAutospacing="0" w:after="0" w:afterAutospacing="0"/>
      </w:pPr>
      <w:r>
        <w:rPr>
          <w:rStyle w:val="FootnoteReference"/>
        </w:rPr>
        <w:footnoteRef/>
      </w:r>
      <w:r>
        <w:t xml:space="preserve"> </w:t>
      </w:r>
      <w:hyperlink r:id="rId18" w:history="1">
        <w:r>
          <w:rPr>
            <w:rStyle w:val="Hyperlink"/>
          </w:rPr>
          <w:t>Évaluation à l’échelle de l’UE de la version finale des plans nationaux en matière d’énergie et de climat</w:t>
        </w:r>
      </w:hyperlink>
      <w:r>
        <w:t>, COM(2025) 274 final.</w:t>
      </w:r>
    </w:p>
  </w:footnote>
  <w:footnote w:id="31">
    <w:p w14:paraId="4C50BFBC" w14:textId="77777777" w:rsidR="00070A89" w:rsidRDefault="006C2002">
      <w:pPr>
        <w:pStyle w:val="FootnoteText"/>
        <w:spacing w:before="0" w:beforeAutospacing="0" w:after="0" w:afterAutospacing="0"/>
      </w:pPr>
      <w:r>
        <w:rPr>
          <w:rStyle w:val="FootnoteReference"/>
        </w:rPr>
        <w:footnoteRef/>
      </w:r>
      <w:r>
        <w:t xml:space="preserve"> Communication de la Commission intitulée «</w:t>
      </w:r>
      <w:hyperlink r:id="rId19" w:history="1">
        <w:r>
          <w:rPr>
            <w:rStyle w:val="Hyperlink"/>
          </w:rPr>
          <w:t>Stratégie pour le développement et le déploiement de petits réacteurs modulaires (PRM) en Europe</w:t>
        </w:r>
      </w:hyperlink>
      <w:r>
        <w:t>», COM(2026) 117 final.</w:t>
      </w:r>
    </w:p>
  </w:footnote>
  <w:footnote w:id="32">
    <w:p w14:paraId="50D87F8A" w14:textId="77777777" w:rsidR="00070A89" w:rsidRDefault="006C2002">
      <w:pPr>
        <w:pStyle w:val="FootnoteText"/>
        <w:spacing w:before="0" w:beforeAutospacing="0" w:after="0" w:afterAutospacing="0"/>
      </w:pPr>
      <w:r>
        <w:rPr>
          <w:rStyle w:val="FootnoteReference"/>
        </w:rPr>
        <w:footnoteRef/>
      </w:r>
      <w:r>
        <w:t xml:space="preserve"> Communication de la Commission intitulée «</w:t>
      </w:r>
      <w:hyperlink r:id="rId20" w:history="1">
        <w:r>
          <w:rPr>
            <w:rStyle w:val="Hyperlink"/>
          </w:rPr>
          <w:t>Programme indicatif nucléaire</w:t>
        </w:r>
      </w:hyperlink>
      <w:r>
        <w:t xml:space="preserve"> présenté en vertu de l’article 40 du traité Euratom – version finale (après avis du Comité économique et social européen)», COM/2026/120 final.</w:t>
      </w:r>
    </w:p>
  </w:footnote>
  <w:footnote w:id="33">
    <w:p w14:paraId="1CA1AEB9" w14:textId="77777777" w:rsidR="00070A89" w:rsidRDefault="006C2002">
      <w:pPr>
        <w:pStyle w:val="FootnoteText"/>
        <w:spacing w:before="0" w:beforeAutospacing="0" w:after="0" w:afterAutospacing="0"/>
      </w:pPr>
      <w:r>
        <w:rPr>
          <w:rStyle w:val="FootnoteReference"/>
        </w:rPr>
        <w:footnoteRef/>
      </w:r>
      <w:r>
        <w:t xml:space="preserve"> Selon les plans nationaux, si les États membres étendaient la durée de vie des réacteurs existants à 70, voire à 80 ans, et que tous les nouveaux projets de construction prévus étaient livrés à temps, la capacité installée pourrait atteindre 144 GW en 2050.</w:t>
      </w:r>
    </w:p>
  </w:footnote>
  <w:footnote w:id="34">
    <w:p w14:paraId="01B89DAB" w14:textId="77777777" w:rsidR="00070A89" w:rsidRDefault="006C2002">
      <w:pPr>
        <w:pStyle w:val="FootnoteText"/>
        <w:spacing w:before="0" w:beforeAutospacing="0" w:after="0" w:afterAutospacing="0"/>
      </w:pPr>
      <w:r>
        <w:rPr>
          <w:rStyle w:val="FootnoteReference"/>
        </w:rPr>
        <w:footnoteRef/>
      </w:r>
      <w:r>
        <w:t xml:space="preserve"> Taux d’électrification de 23,4 % en 2024. Le </w:t>
      </w:r>
      <w:hyperlink r:id="rId21" w:tgtFrame="_blank" w:tooltip="https://commission.europa.eu/topics/competitiveness/competitiveness-compass_fr" w:history="1">
        <w:r>
          <w:rPr>
            <w:color w:val="0000FF"/>
            <w:u w:val="single"/>
          </w:rPr>
          <w:t>pacte pour une industrie propre</w:t>
        </w:r>
      </w:hyperlink>
      <w:r>
        <w:t xml:space="preserve"> et le </w:t>
      </w:r>
      <w:hyperlink r:id="rId22" w:tgtFrame="_blank" w:tooltip="https://energy.ec.europa.eu/strategy/affordable-energy_en" w:history="1">
        <w:r>
          <w:rPr>
            <w:color w:val="0000FF"/>
            <w:u w:val="single"/>
          </w:rPr>
          <w:t>plan d’action pour une énergie abordable</w:t>
        </w:r>
      </w:hyperlink>
      <w:r>
        <w:t xml:space="preserve"> ont introduit un indicateur de performance clé sur la part de l’électricité dans la consommation finale d’énergie, fixant à 32 % la part de référence d’ici à 2030.</w:t>
      </w:r>
    </w:p>
  </w:footnote>
  <w:footnote w:id="35">
    <w:p w14:paraId="22854DEA" w14:textId="77777777" w:rsidR="00070A89" w:rsidRDefault="006C2002">
      <w:pPr>
        <w:pStyle w:val="FootnoteText"/>
        <w:spacing w:before="0" w:beforeAutospacing="0" w:after="0" w:afterAutospacing="0"/>
      </w:pPr>
      <w:r>
        <w:rPr>
          <w:rStyle w:val="FootnoteReference"/>
        </w:rPr>
        <w:footnoteRef/>
      </w:r>
      <w:r>
        <w:t xml:space="preserve"> </w:t>
      </w:r>
      <w:hyperlink r:id="rId23" w:history="1">
        <w:r>
          <w:rPr>
            <w:rStyle w:val="Hyperlink"/>
          </w:rPr>
          <w:t>https://ec.europa.eu/eurostat/web/interactive-publications/energy-2026</w:t>
        </w:r>
      </w:hyperlink>
      <w:r>
        <w:t>.</w:t>
      </w:r>
    </w:p>
  </w:footnote>
  <w:footnote w:id="36">
    <w:p w14:paraId="6F0AC49A" w14:textId="77777777" w:rsidR="00070A89" w:rsidRDefault="006C2002">
      <w:pPr>
        <w:pStyle w:val="FootnoteText"/>
        <w:spacing w:before="0" w:beforeAutospacing="0" w:after="0" w:afterAutospacing="0"/>
      </w:pPr>
      <w:r>
        <w:rPr>
          <w:rStyle w:val="FootnoteReference"/>
        </w:rPr>
        <w:footnoteRef/>
      </w:r>
      <w:r>
        <w:t xml:space="preserve"> Eurostat</w:t>
      </w:r>
    </w:p>
  </w:footnote>
  <w:footnote w:id="37">
    <w:p w14:paraId="0B253A70" w14:textId="77777777" w:rsidR="00070A89" w:rsidRDefault="006C2002">
      <w:pPr>
        <w:spacing w:before="0" w:beforeAutospacing="0" w:after="0" w:afterAutospacing="0"/>
        <w:jc w:val="left"/>
      </w:pPr>
      <w:r>
        <w:rPr>
          <w:rStyle w:val="FootnoteReference"/>
        </w:rPr>
        <w:footnoteRef/>
      </w:r>
      <w:r>
        <w:t xml:space="preserve"> European Heat Pump Association (EHPA) [Association européenne des pompes à chaleur (EHPA)], </w:t>
      </w:r>
      <w:hyperlink r:id="rId24" w:history="1">
        <w:r>
          <w:rPr>
            <w:color w:val="0000FF"/>
            <w:sz w:val="20"/>
            <w:u w:val="single"/>
          </w:rPr>
          <w:t>Heat pumps made in Europe</w:t>
        </w:r>
      </w:hyperlink>
      <w:r>
        <w:t xml:space="preserve"> (</w:t>
      </w:r>
      <w:r>
        <w:rPr>
          <w:i/>
        </w:rPr>
        <w:t>Pompes à chaleur fabriquées en Europe</w:t>
      </w:r>
      <w:r>
        <w:t xml:space="preserve">). </w:t>
      </w:r>
    </w:p>
  </w:footnote>
  <w:footnote w:id="38">
    <w:p w14:paraId="2E3FA325" w14:textId="77777777" w:rsidR="00070A89" w:rsidRDefault="006C2002">
      <w:pPr>
        <w:pStyle w:val="FootnoteText"/>
        <w:spacing w:before="0" w:beforeAutospacing="0" w:after="0" w:afterAutospacing="0"/>
      </w:pPr>
      <w:r>
        <w:rPr>
          <w:rStyle w:val="FootnoteReference"/>
        </w:rPr>
        <w:footnoteRef/>
      </w:r>
      <w:r>
        <w:t xml:space="preserve"> Cette économie représenterait environ 8 % de la consommation actuelle d’énergie pour le chauffage des locaux dans les bâtiments.</w:t>
      </w:r>
    </w:p>
  </w:footnote>
  <w:footnote w:id="39">
    <w:p w14:paraId="5A628EB8" w14:textId="77777777" w:rsidR="00070A89" w:rsidRDefault="006C2002">
      <w:pPr>
        <w:spacing w:before="0" w:beforeAutospacing="0" w:after="0" w:afterAutospacing="0"/>
        <w:jc w:val="left"/>
      </w:pPr>
      <w:r>
        <w:rPr>
          <w:rStyle w:val="FootnoteReference"/>
        </w:rPr>
        <w:footnoteRef/>
      </w:r>
      <w:r>
        <w:rPr>
          <w:sz w:val="20"/>
        </w:rPr>
        <w:t>Mathiesen et al. (2023),</w:t>
      </w:r>
      <w:r>
        <w:t xml:space="preserve"> </w:t>
      </w:r>
      <w:hyperlink r:id="rId25" w:history="1">
        <w:r>
          <w:rPr>
            <w:color w:val="0000FF"/>
            <w:sz w:val="20"/>
            <w:u w:val="single"/>
          </w:rPr>
          <w:t>Heat matters:</w:t>
        </w:r>
      </w:hyperlink>
      <w:hyperlink r:id="rId26" w:history="1">
        <w:r>
          <w:rPr>
            <w:color w:val="0000FF"/>
            <w:sz w:val="20"/>
            <w:u w:val="single"/>
          </w:rPr>
          <w:t>The missing link in REPowerEU (La chaleur importe: le chaînon manquant dans REPowerEU)</w:t>
        </w:r>
      </w:hyperlink>
    </w:p>
  </w:footnote>
  <w:footnote w:id="40">
    <w:p w14:paraId="1209FF3D" w14:textId="77777777" w:rsidR="00070A89" w:rsidRDefault="006C2002">
      <w:pPr>
        <w:pStyle w:val="FootnoteText"/>
        <w:spacing w:before="0" w:beforeAutospacing="0" w:after="0" w:afterAutospacing="0"/>
      </w:pPr>
      <w:r>
        <w:rPr>
          <w:rStyle w:val="FootnoteReference"/>
        </w:rPr>
        <w:footnoteRef/>
      </w:r>
      <w:r>
        <w:t xml:space="preserve">En outre, la </w:t>
      </w:r>
      <w:r>
        <w:rPr>
          <w:color w:val="000000" w:themeColor="text1"/>
        </w:rPr>
        <w:t xml:space="preserve">conversion des dépôts pour les flottes d’autobus et les flottes de camions à émissions nulles reste un défi considérable en matière d’investissement pour de nombreuses villes et de nombreux opérateurs.  </w:t>
      </w:r>
    </w:p>
  </w:footnote>
  <w:footnote w:id="41">
    <w:p w14:paraId="24918B32" w14:textId="77777777" w:rsidR="00070A89" w:rsidRDefault="006C2002">
      <w:pPr>
        <w:pStyle w:val="FootnoteText"/>
        <w:spacing w:before="0" w:beforeAutospacing="0" w:after="0" w:afterAutospacing="0"/>
      </w:pPr>
      <w:r>
        <w:rPr>
          <w:rStyle w:val="FootnoteReference"/>
        </w:rPr>
        <w:footnoteRef/>
      </w:r>
      <w:r>
        <w:t xml:space="preserve"> Selon les estimations d’Ember, les technologies géothermiques de nouvelle génération pourraient fournir jusqu’à 301 TWh par an dans l’UE, soit environ 42 % de la production actuelle de charbon et de gaz. </w:t>
      </w:r>
      <w:hyperlink r:id="rId27" w:history="1">
        <w:r>
          <w:rPr>
            <w:rStyle w:val="Hyperlink"/>
          </w:rPr>
          <w:t>Geothermal energy in Europe</w:t>
        </w:r>
      </w:hyperlink>
      <w:r>
        <w:t xml:space="preserve"> (L’énergie géothermique en Europe), février 2026, Ember</w:t>
      </w:r>
    </w:p>
  </w:footnote>
  <w:footnote w:id="42">
    <w:p w14:paraId="7E95D44D" w14:textId="77777777" w:rsidR="00070A89" w:rsidRDefault="006C2002">
      <w:pPr>
        <w:pStyle w:val="FootnoteText"/>
        <w:spacing w:before="0" w:beforeAutospacing="0" w:after="0" w:afterAutospacing="0"/>
      </w:pPr>
      <w:r>
        <w:rPr>
          <w:rStyle w:val="FootnoteReference"/>
        </w:rPr>
        <w:footnoteRef/>
      </w:r>
      <w:r>
        <w:t xml:space="preserve"> Y compris les véhicules utilitaires lourds.</w:t>
      </w:r>
    </w:p>
  </w:footnote>
  <w:footnote w:id="43">
    <w:p w14:paraId="54FE97B1" w14:textId="77777777" w:rsidR="00070A89" w:rsidRDefault="006C2002">
      <w:pPr>
        <w:pStyle w:val="FootnoteText"/>
        <w:spacing w:before="0" w:beforeAutospacing="0" w:after="0" w:afterAutospacing="0"/>
        <w:rPr>
          <w:i/>
          <w:iCs/>
        </w:rPr>
      </w:pPr>
      <w:r>
        <w:rPr>
          <w:rStyle w:val="FootnoteReference"/>
        </w:rPr>
        <w:footnoteRef/>
      </w:r>
      <w:r>
        <w:t xml:space="preserve"> </w:t>
      </w:r>
      <w:hyperlink r:id="rId28" w:history="1">
        <w:r>
          <w:rPr>
            <w:rStyle w:val="Hyperlink"/>
          </w:rPr>
          <w:t>Feuille de route en vue de mettre un terme aux importations d’énergie russe</w:t>
        </w:r>
      </w:hyperlink>
      <w:r>
        <w:t xml:space="preserve">, COM(2025) 440. </w:t>
      </w:r>
    </w:p>
  </w:footnote>
  <w:footnote w:id="44">
    <w:p w14:paraId="460E35BF" w14:textId="77777777" w:rsidR="00070A89" w:rsidRDefault="006C2002">
      <w:pPr>
        <w:pStyle w:val="FootnoteText"/>
        <w:spacing w:before="0" w:beforeAutospacing="0" w:after="0" w:afterAutospacing="0"/>
      </w:pPr>
      <w:r>
        <w:rPr>
          <w:rStyle w:val="FootnoteReference"/>
        </w:rPr>
        <w:footnoteRef/>
      </w:r>
      <w:r>
        <w:t xml:space="preserve"> Conçu pour combattre les effets et conséquences néfastes de la crise liée à la COVID-19 dans l’Union et soutenu par les moyens supplémentaires extraordinaires et temporaires prévus dans la décision relative aux ressources propres, l’instrument de la FRR a, à sa création, été assorti de délais très stricts qui sont fixés dans le règlement EURI, le règlement FRR et la décision relative aux ressources propres et qui sont impératifs.</w:t>
      </w:r>
    </w:p>
  </w:footnote>
  <w:footnote w:id="45">
    <w:p w14:paraId="2A30AF10" w14:textId="77777777" w:rsidR="00070A89" w:rsidRDefault="006C2002">
      <w:pPr>
        <w:spacing w:before="0" w:beforeAutospacing="0" w:after="0" w:afterAutospacing="0"/>
        <w:rPr>
          <w:sz w:val="20"/>
          <w:szCs w:val="20"/>
        </w:rPr>
      </w:pPr>
      <w:r>
        <w:rPr>
          <w:sz w:val="20"/>
          <w:szCs w:val="20"/>
          <w:vertAlign w:val="superscript"/>
        </w:rPr>
        <w:footnoteRef/>
      </w:r>
      <w:r>
        <w:t xml:space="preserve"> Les banques et les compagnies d’assurance sont incitées à accroître leurs investissements au titre des cadres programmatiques législatifs, ce qui facilite les investissements en fonds propres dans des domaines essentiels à la compétitivité et à la sécurité économique à long terme de l’Europe, y compris le secteur de l’énergie.</w:t>
      </w:r>
    </w:p>
  </w:footnote>
  <w:footnote w:id="46">
    <w:p w14:paraId="28B8C803" w14:textId="77777777" w:rsidR="00070A89" w:rsidRDefault="006C2002">
      <w:pPr>
        <w:pStyle w:val="FootnoteText"/>
        <w:spacing w:before="0" w:beforeAutospacing="0" w:after="0" w:afterAutospacing="0"/>
      </w:pPr>
      <w:r>
        <w:rPr>
          <w:rStyle w:val="FootnoteReference"/>
        </w:rPr>
        <w:footnoteRef/>
      </w:r>
      <w:r>
        <w:t>Au 14 avril 2026, dix-huit décisions en faveur des technologies propres et du budget, portant approbation de 19 mesures d’aides d’État pour un budget total de 32,76 milliards d’EUR, avaient été adoptées au titre du CISAF.Quatre de ces mesures, représentant un budget total de 20,22 milliards d’EUR, ont été approuvées au titre de la section 4.1 sur les énergies renouvelables. Une mesure (dotée d’un budget de 608,5 millions d’EUR) a été approuvée au titre de la section 5 sur la décarbonation de l’industrie. Enfin, quatorze mesures ont été approuvées au titre de la section 6.1 relative aux capacités de production de technologies propres (pour un budget total de quelque 11,93 milliards d’EUR). Par ailleurs, au cours de la même période, la Commission a approuvé 7 mesures d’aide à la décarbonation industrielle au titre des lignes directrices concernant les aides d’État au climat, à la protection de l’environnement et à l’énergie (CEEAG), pour un budget total de 6,8 milliards d’EUR.</w:t>
      </w:r>
    </w:p>
  </w:footnote>
  <w:footnote w:id="47">
    <w:p w14:paraId="53DDF4B4" w14:textId="77777777" w:rsidR="00070A89" w:rsidRDefault="006C2002">
      <w:pPr>
        <w:pStyle w:val="FootnoteText"/>
        <w:spacing w:before="0" w:beforeAutospacing="0" w:after="0" w:afterAutospacing="0"/>
      </w:pPr>
      <w:r>
        <w:rPr>
          <w:rStyle w:val="FootnoteReference"/>
        </w:rPr>
        <w:footnoteRef/>
      </w:r>
      <w:r>
        <w:t xml:space="preserve"> Le soutien aux investissements industriels peut être conçu conformément à la section 4.5 de l’encadrement des aides d’État dans le cadre du pacte pour une industrie propre, sous réserve que 100 % des recettes du SEQE soient utilisées pour des investissements dans la décarbonation, comme l’exige l’article 10, paragraphe 3, de la directive 2003/87/CE établissant un système d’échange de quotas d’émission de gaz à effet de serre dans l’Union.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C2989" w14:textId="77777777" w:rsidR="002E20B9" w:rsidRPr="002E20B9" w:rsidRDefault="002E20B9" w:rsidP="002E20B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75BE4" w14:textId="77777777" w:rsidR="002E20B9" w:rsidRPr="002E20B9" w:rsidRDefault="002E20B9" w:rsidP="002E20B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F3B94" w14:textId="77777777" w:rsidR="002E20B9" w:rsidRPr="002E20B9" w:rsidRDefault="002E20B9" w:rsidP="002E20B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21187" w14:textId="77777777" w:rsidR="00070A89" w:rsidRDefault="00070A89">
    <w:pPr>
      <w:pStyle w:val="Header"/>
    </w:pPr>
  </w:p>
  <w:p w14:paraId="51973478" w14:textId="77777777" w:rsidR="00070A89" w:rsidRDefault="006C2002">
    <w:pPr>
      <w:pStyle w:val="Header"/>
    </w:pPr>
    <w:r>
      <w:rPr>
        <w:noProof/>
        <w:lang w:val="en-GB" w:eastAsia="en-GB"/>
      </w:rPr>
      <mc:AlternateContent>
        <mc:Choice Requires="wps">
          <w:drawing>
            <wp:anchor distT="0" distB="0" distL="114300" distR="114300" simplePos="0" relativeHeight="251658242" behindDoc="1" locked="0" layoutInCell="0" allowOverlap="1" wp14:anchorId="38A6A18C" wp14:editId="6B9053CB">
              <wp:simplePos x="0" y="0"/>
              <wp:positionH relativeFrom="margin">
                <wp:align>center</wp:align>
              </wp:positionH>
              <wp:positionV relativeFrom="margin">
                <wp:align>center</wp:align>
              </wp:positionV>
              <wp:extent cx="7541895" cy="837565"/>
              <wp:effectExtent l="0" t="2457450" r="0" b="2324735"/>
              <wp:wrapNone/>
              <wp:docPr id="142439037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541895" cy="8375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5AC5412" w14:textId="77777777" w:rsidR="00070A89" w:rsidRDefault="00070A89">
                          <w:pPr>
                            <w:jc w:val="center"/>
                            <w:rPr>
                              <w:color w:val="C0C0C0"/>
                              <w:sz w:val="2"/>
                              <w:szCs w:val="2"/>
                              <w14:textFill>
                                <w14:solidFill>
                                  <w14:srgbClr w14:val="C0C0C0">
                                    <w14:alpha w14:val="50000"/>
                                  </w14:srgbClr>
                                </w14:solidFill>
                              </w14:textFill>
                            </w:rPr>
                          </w:pPr>
                        </w:p>
                        <w:p w14:paraId="5F2203A4" w14:textId="77777777" w:rsidR="00070A89" w:rsidRDefault="00070A89">
                          <w:pPr>
                            <w:jc w:val="center"/>
                            <w:rPr>
                              <w:color w:val="C0C0C0"/>
                              <w:sz w:val="2"/>
                              <w:szCs w:val="2"/>
                              <w14:textFill>
                                <w14:solidFill>
                                  <w14:srgbClr w14:val="C0C0C0">
                                    <w14:alpha w14:val="50000"/>
                                  </w14:srgbClr>
                                </w14:solidFill>
                              </w14:textFill>
                            </w:rPr>
                          </w:pPr>
                        </w:p>
                        <w:p w14:paraId="36F280E5" w14:textId="77777777" w:rsidR="00070A89" w:rsidRDefault="006C2002">
                          <w:pPr>
                            <w:jc w:val="center"/>
                            <w:rPr>
                              <w:color w:val="000000"/>
                              <w:sz w:val="2"/>
                              <w:szCs w:val="2"/>
                              <w14:textFill>
                                <w14:solidFill>
                                  <w14:srgbClr w14:val="000000">
                                    <w14:alpha w14:val="50000"/>
                                  </w14:srgbClr>
                                </w14:solidFill>
                              </w14:textFill>
                            </w:rPr>
                          </w:pPr>
                          <w:r>
                            <w:rPr>
                              <w:color w:val="C0C0C0"/>
                              <w:sz w:val="2"/>
                              <w14:textFill>
                                <w14:solidFill>
                                  <w14:srgbClr w14:val="C0C0C0">
                                    <w14:alpha w14:val="50000"/>
                                  </w14:srgbClr>
                                </w14:solidFill>
                              </w14:textFill>
                            </w:rPr>
                            <w:t>PROJET CONFIDENTIEL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8A6A18C" id="_x0000_t202" coordsize="21600,21600" o:spt="202" path="m,l,21600r21600,l21600,xe">
              <v:stroke joinstyle="miter"/>
              <v:path gradientshapeok="t" o:connecttype="rect"/>
            </v:shapetype>
            <v:shape id="Text Box 1" o:spid="_x0000_s1026" type="#_x0000_t202" style="position:absolute;left:0;text-align:left;margin-left:0;margin-top:0;width:593.85pt;height:65.95pt;rotation:-45;z-index:-25165823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" o:allowincell="f" filled="f" stroked="f">
              <v:stroke joinstyle="round"/>
              <o:lock v:ext="edit" shapetype="t"/>
              <v:textbox style="mso-fit-shape-to-text:t">
                <w:txbxContent>
                  <w:p w14:paraId="25AC5412" w14:textId="77777777" w:rsidR="00070A89" w:rsidRDefault="00070A89">
                    <w:pPr>
                      <w:jc w:val="center"/>
                      <w:rPr>
                        <w:color w:val="C0C0C0"/>
                        <w:sz w:val="2"/>
                        <w:szCs w:val="2"/>
                        <w14:textFill>
                          <w14:solidFill>
                            <w14:srgbClr w14:val="C0C0C0">
                              <w14:alpha w14:val="50000"/>
                            </w14:srgbClr>
                          </w14:solidFill>
                        </w14:textFill>
                      </w:rPr>
                    </w:pPr>
                  </w:p>
                  <w:p w14:paraId="5F2203A4" w14:textId="77777777" w:rsidR="00070A89" w:rsidRDefault="00070A89">
                    <w:pPr>
                      <w:jc w:val="center"/>
                      <w:rPr>
                        <w:color w:val="C0C0C0"/>
                        <w:sz w:val="2"/>
                        <w:szCs w:val="2"/>
                        <w14:textFill>
                          <w14:solidFill>
                            <w14:srgbClr w14:val="C0C0C0">
                              <w14:alpha w14:val="50000"/>
                            </w14:srgbClr>
                          </w14:solidFill>
                        </w14:textFill>
                      </w:rPr>
                    </w:pPr>
                  </w:p>
                  <w:p w14:paraId="36F280E5" w14:textId="77777777" w:rsidR="00070A89" w:rsidRDefault="006C2002">
                    <w:pPr>
                      <w:jc w:val="center"/>
                      <w:rPr>
                        <w:color w:val="000000"/>
                        <w:sz w:val="2"/>
                        <w:szCs w:val="2"/>
                        <w14:textFill>
                          <w14:solidFill>
                            <w14:srgbClr w14:val="000000">
                              <w14:alpha w14:val="50000"/>
                            </w14:srgbClr>
                          </w14:solidFill>
                        </w14:textFill>
                      </w:rPr>
                    </w:pPr>
                    <w:r>
                      <w:rPr>
                        <w:color w:val="C0C0C0"/>
                        <w:sz w:val="2"/>
                        <w14:textFill>
                          <w14:solidFill>
                            <w14:srgbClr w14:val="C0C0C0">
                              <w14:alpha w14:val="50000"/>
                            </w14:srgbClr>
                          </w14:solidFill>
                        </w14:textFill>
                      </w:rPr>
                      <w:t>PROJET CONFIDENTIEL</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D16E5" w14:textId="77777777" w:rsidR="00070A89" w:rsidRDefault="00070A89">
    <w:pPr>
      <w:pStyle w:val="Header"/>
    </w:pPr>
  </w:p>
  <w:p w14:paraId="308400B8" w14:textId="77777777" w:rsidR="00070A89" w:rsidRDefault="00070A8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F9A6F" w14:textId="77777777" w:rsidR="00070A89" w:rsidRDefault="00070A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3629C"/>
    <w:multiLevelType w:val="multilevel"/>
    <w:tmpl w:val="03BEEA68"/>
    <w:lvl w:ilvl="0">
      <w:start w:val="2"/>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D9D67B7"/>
    <w:multiLevelType w:val="multilevel"/>
    <w:tmpl w:val="96188A82"/>
    <w:lvl w:ilvl="0">
      <w:start w:val="1"/>
      <w:numFmt w:val="decimal"/>
      <w:pStyle w:val="Heading1"/>
      <w:lvlText w:val="%1"/>
      <w:lvlJc w:val="left"/>
      <w:pPr>
        <w:ind w:left="573" w:hanging="432"/>
      </w:pPr>
    </w:lvl>
    <w:lvl w:ilvl="1">
      <w:start w:val="1"/>
      <w:numFmt w:val="decimal"/>
      <w:lvlText w:val="%1.%2"/>
      <w:lvlJc w:val="left"/>
      <w:pPr>
        <w:ind w:left="-1267" w:hanging="576"/>
      </w:pPr>
      <w:rPr>
        <w:b/>
        <w:bCs/>
      </w:rPr>
    </w:lvl>
    <w:lvl w:ilvl="2">
      <w:start w:val="1"/>
      <w:numFmt w:val="decimal"/>
      <w:lvlText w:val="%1.%2.%3"/>
      <w:lvlJc w:val="left"/>
      <w:pPr>
        <w:ind w:left="-4526" w:hanging="720"/>
      </w:pPr>
    </w:lvl>
    <w:lvl w:ilvl="3">
      <w:start w:val="1"/>
      <w:numFmt w:val="decimal"/>
      <w:lvlText w:val="%1.%2.%3.%4"/>
      <w:lvlJc w:val="left"/>
      <w:pPr>
        <w:ind w:left="-4382" w:hanging="864"/>
      </w:pPr>
    </w:lvl>
    <w:lvl w:ilvl="4">
      <w:start w:val="1"/>
      <w:numFmt w:val="decimal"/>
      <w:pStyle w:val="Heading5"/>
      <w:lvlText w:val="%1.%2.%3.%4.%5"/>
      <w:lvlJc w:val="left"/>
      <w:pPr>
        <w:ind w:left="-4238" w:hanging="1008"/>
      </w:pPr>
    </w:lvl>
    <w:lvl w:ilvl="5">
      <w:start w:val="1"/>
      <w:numFmt w:val="decimal"/>
      <w:pStyle w:val="Heading6"/>
      <w:lvlText w:val="%1.%2.%3.%4.%5.%6"/>
      <w:lvlJc w:val="left"/>
      <w:pPr>
        <w:ind w:left="-4094" w:hanging="1152"/>
      </w:pPr>
    </w:lvl>
    <w:lvl w:ilvl="6">
      <w:start w:val="1"/>
      <w:numFmt w:val="decimal"/>
      <w:pStyle w:val="Heading7"/>
      <w:lvlText w:val="%1.%2.%3.%4.%5.%6.%7"/>
      <w:lvlJc w:val="left"/>
      <w:pPr>
        <w:ind w:left="-3950" w:hanging="1296"/>
      </w:pPr>
    </w:lvl>
    <w:lvl w:ilvl="7">
      <w:start w:val="1"/>
      <w:numFmt w:val="decimal"/>
      <w:pStyle w:val="Heading8"/>
      <w:lvlText w:val="%1.%2.%3.%4.%5.%6.%7.%8"/>
      <w:lvlJc w:val="left"/>
      <w:pPr>
        <w:ind w:left="-3806" w:hanging="1440"/>
      </w:pPr>
    </w:lvl>
    <w:lvl w:ilvl="8">
      <w:start w:val="1"/>
      <w:numFmt w:val="decimal"/>
      <w:pStyle w:val="Heading9"/>
      <w:lvlText w:val="%1.%2.%3.%4.%5.%6.%7.%8.%9"/>
      <w:lvlJc w:val="left"/>
      <w:pPr>
        <w:ind w:left="-3662" w:hanging="1584"/>
      </w:pPr>
    </w:lvl>
  </w:abstractNum>
  <w:abstractNum w:abstractNumId="2" w15:restartNumberingAfterBreak="0">
    <w:nsid w:val="187A8631"/>
    <w:multiLevelType w:val="hybridMultilevel"/>
    <w:tmpl w:val="FFFFFFFF"/>
    <w:lvl w:ilvl="0" w:tplc="7448819C">
      <w:start w:val="1"/>
      <w:numFmt w:val="bullet"/>
      <w:lvlText w:val="·"/>
      <w:lvlJc w:val="left"/>
      <w:pPr>
        <w:ind w:left="720" w:hanging="360"/>
      </w:pPr>
      <w:rPr>
        <w:rFonts w:ascii="Symbol" w:hAnsi="Symbol" w:hint="default"/>
      </w:rPr>
    </w:lvl>
    <w:lvl w:ilvl="1" w:tplc="9C029B5A">
      <w:start w:val="1"/>
      <w:numFmt w:val="bullet"/>
      <w:lvlText w:val="o"/>
      <w:lvlJc w:val="left"/>
      <w:pPr>
        <w:ind w:left="1440" w:hanging="360"/>
      </w:pPr>
      <w:rPr>
        <w:rFonts w:ascii="Courier New" w:hAnsi="Courier New" w:hint="default"/>
      </w:rPr>
    </w:lvl>
    <w:lvl w:ilvl="2" w:tplc="5204B6E2">
      <w:start w:val="1"/>
      <w:numFmt w:val="bullet"/>
      <w:lvlText w:val=""/>
      <w:lvlJc w:val="left"/>
      <w:pPr>
        <w:ind w:left="2160" w:hanging="360"/>
      </w:pPr>
      <w:rPr>
        <w:rFonts w:ascii="Wingdings" w:hAnsi="Wingdings" w:hint="default"/>
      </w:rPr>
    </w:lvl>
    <w:lvl w:ilvl="3" w:tplc="79CAA954">
      <w:start w:val="1"/>
      <w:numFmt w:val="bullet"/>
      <w:lvlText w:val=""/>
      <w:lvlJc w:val="left"/>
      <w:pPr>
        <w:ind w:left="2880" w:hanging="360"/>
      </w:pPr>
      <w:rPr>
        <w:rFonts w:ascii="Symbol" w:hAnsi="Symbol" w:hint="default"/>
      </w:rPr>
    </w:lvl>
    <w:lvl w:ilvl="4" w:tplc="94806F4A">
      <w:start w:val="1"/>
      <w:numFmt w:val="bullet"/>
      <w:lvlText w:val="o"/>
      <w:lvlJc w:val="left"/>
      <w:pPr>
        <w:ind w:left="3600" w:hanging="360"/>
      </w:pPr>
      <w:rPr>
        <w:rFonts w:ascii="Courier New" w:hAnsi="Courier New" w:hint="default"/>
      </w:rPr>
    </w:lvl>
    <w:lvl w:ilvl="5" w:tplc="F45C1936">
      <w:start w:val="1"/>
      <w:numFmt w:val="bullet"/>
      <w:lvlText w:val=""/>
      <w:lvlJc w:val="left"/>
      <w:pPr>
        <w:ind w:left="4320" w:hanging="360"/>
      </w:pPr>
      <w:rPr>
        <w:rFonts w:ascii="Wingdings" w:hAnsi="Wingdings" w:hint="default"/>
      </w:rPr>
    </w:lvl>
    <w:lvl w:ilvl="6" w:tplc="ACD2718A">
      <w:start w:val="1"/>
      <w:numFmt w:val="bullet"/>
      <w:lvlText w:val=""/>
      <w:lvlJc w:val="left"/>
      <w:pPr>
        <w:ind w:left="5040" w:hanging="360"/>
      </w:pPr>
      <w:rPr>
        <w:rFonts w:ascii="Symbol" w:hAnsi="Symbol" w:hint="default"/>
      </w:rPr>
    </w:lvl>
    <w:lvl w:ilvl="7" w:tplc="1382B172">
      <w:start w:val="1"/>
      <w:numFmt w:val="bullet"/>
      <w:lvlText w:val="o"/>
      <w:lvlJc w:val="left"/>
      <w:pPr>
        <w:ind w:left="5760" w:hanging="360"/>
      </w:pPr>
      <w:rPr>
        <w:rFonts w:ascii="Courier New" w:hAnsi="Courier New" w:hint="default"/>
      </w:rPr>
    </w:lvl>
    <w:lvl w:ilvl="8" w:tplc="00921CAC">
      <w:start w:val="1"/>
      <w:numFmt w:val="bullet"/>
      <w:lvlText w:val=""/>
      <w:lvlJc w:val="left"/>
      <w:pPr>
        <w:ind w:left="6480" w:hanging="360"/>
      </w:pPr>
      <w:rPr>
        <w:rFonts w:ascii="Wingdings" w:hAnsi="Wingdings" w:hint="default"/>
      </w:rPr>
    </w:lvl>
  </w:abstractNum>
  <w:abstractNum w:abstractNumId="3" w15:restartNumberingAfterBreak="0">
    <w:nsid w:val="1B663CE1"/>
    <w:multiLevelType w:val="multilevel"/>
    <w:tmpl w:val="6C126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F24A39"/>
    <w:multiLevelType w:val="multilevel"/>
    <w:tmpl w:val="8634D8B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70388E"/>
    <w:multiLevelType w:val="hybridMultilevel"/>
    <w:tmpl w:val="A5DA3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DF056E"/>
    <w:multiLevelType w:val="hybridMultilevel"/>
    <w:tmpl w:val="FFFFFFFF"/>
    <w:lvl w:ilvl="0" w:tplc="E55A6932">
      <w:start w:val="1"/>
      <w:numFmt w:val="bullet"/>
      <w:lvlText w:val="-"/>
      <w:lvlJc w:val="left"/>
      <w:pPr>
        <w:ind w:left="720" w:hanging="360"/>
      </w:pPr>
      <w:rPr>
        <w:rFonts w:ascii="Symbol" w:hAnsi="Symbol" w:hint="default"/>
      </w:rPr>
    </w:lvl>
    <w:lvl w:ilvl="1" w:tplc="03FE7C9C">
      <w:start w:val="1"/>
      <w:numFmt w:val="bullet"/>
      <w:lvlText w:val="o"/>
      <w:lvlJc w:val="left"/>
      <w:pPr>
        <w:ind w:left="1440" w:hanging="360"/>
      </w:pPr>
      <w:rPr>
        <w:rFonts w:ascii="Symbol" w:hAnsi="Symbol" w:hint="default"/>
      </w:rPr>
    </w:lvl>
    <w:lvl w:ilvl="2" w:tplc="1162239C">
      <w:start w:val="1"/>
      <w:numFmt w:val="bullet"/>
      <w:lvlText w:val=""/>
      <w:lvlJc w:val="left"/>
      <w:pPr>
        <w:ind w:left="2160" w:hanging="360"/>
      </w:pPr>
      <w:rPr>
        <w:rFonts w:ascii="Wingdings" w:hAnsi="Wingdings" w:hint="default"/>
      </w:rPr>
    </w:lvl>
    <w:lvl w:ilvl="3" w:tplc="6ED0963E">
      <w:start w:val="1"/>
      <w:numFmt w:val="bullet"/>
      <w:lvlText w:val=""/>
      <w:lvlJc w:val="left"/>
      <w:pPr>
        <w:ind w:left="2880" w:hanging="360"/>
      </w:pPr>
      <w:rPr>
        <w:rFonts w:ascii="Symbol" w:hAnsi="Symbol" w:hint="default"/>
      </w:rPr>
    </w:lvl>
    <w:lvl w:ilvl="4" w:tplc="2C566AA6">
      <w:start w:val="1"/>
      <w:numFmt w:val="bullet"/>
      <w:lvlText w:val="o"/>
      <w:lvlJc w:val="left"/>
      <w:pPr>
        <w:ind w:left="3600" w:hanging="360"/>
      </w:pPr>
      <w:rPr>
        <w:rFonts w:ascii="Courier New" w:hAnsi="Courier New" w:hint="default"/>
      </w:rPr>
    </w:lvl>
    <w:lvl w:ilvl="5" w:tplc="F9D891F8">
      <w:start w:val="1"/>
      <w:numFmt w:val="bullet"/>
      <w:lvlText w:val=""/>
      <w:lvlJc w:val="left"/>
      <w:pPr>
        <w:ind w:left="4320" w:hanging="360"/>
      </w:pPr>
      <w:rPr>
        <w:rFonts w:ascii="Wingdings" w:hAnsi="Wingdings" w:hint="default"/>
      </w:rPr>
    </w:lvl>
    <w:lvl w:ilvl="6" w:tplc="5E321E72">
      <w:start w:val="1"/>
      <w:numFmt w:val="bullet"/>
      <w:lvlText w:val=""/>
      <w:lvlJc w:val="left"/>
      <w:pPr>
        <w:ind w:left="5040" w:hanging="360"/>
      </w:pPr>
      <w:rPr>
        <w:rFonts w:ascii="Symbol" w:hAnsi="Symbol" w:hint="default"/>
      </w:rPr>
    </w:lvl>
    <w:lvl w:ilvl="7" w:tplc="67F47E9E">
      <w:start w:val="1"/>
      <w:numFmt w:val="bullet"/>
      <w:lvlText w:val="o"/>
      <w:lvlJc w:val="left"/>
      <w:pPr>
        <w:ind w:left="5760" w:hanging="360"/>
      </w:pPr>
      <w:rPr>
        <w:rFonts w:ascii="Courier New" w:hAnsi="Courier New" w:hint="default"/>
      </w:rPr>
    </w:lvl>
    <w:lvl w:ilvl="8" w:tplc="DB3668C4">
      <w:start w:val="1"/>
      <w:numFmt w:val="bullet"/>
      <w:lvlText w:val=""/>
      <w:lvlJc w:val="left"/>
      <w:pPr>
        <w:ind w:left="6480" w:hanging="360"/>
      </w:pPr>
      <w:rPr>
        <w:rFonts w:ascii="Wingdings" w:hAnsi="Wingdings" w:hint="default"/>
      </w:rPr>
    </w:lvl>
  </w:abstractNum>
  <w:abstractNum w:abstractNumId="7" w15:restartNumberingAfterBreak="0">
    <w:nsid w:val="1F0E15AC"/>
    <w:multiLevelType w:val="multilevel"/>
    <w:tmpl w:val="73A6178A"/>
    <w:lvl w:ilvl="0">
      <w:numFmt w:val="bullet"/>
      <w:lvlText w:val="-"/>
      <w:lvlJc w:val="left"/>
      <w:pPr>
        <w:ind w:left="360" w:hanging="360"/>
      </w:pPr>
      <w:rPr>
        <w:rFonts w:ascii="Aptos" w:eastAsiaTheme="minorHAnsi" w:hAnsi="Aptos" w:cstheme="minorBidi"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75357B4"/>
    <w:multiLevelType w:val="hybridMultilevel"/>
    <w:tmpl w:val="47920F20"/>
    <w:lvl w:ilvl="0" w:tplc="E6782E6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14F22CB"/>
    <w:multiLevelType w:val="hybridMultilevel"/>
    <w:tmpl w:val="FFFFFFFF"/>
    <w:lvl w:ilvl="0" w:tplc="F7E6C0D8">
      <w:start w:val="1"/>
      <w:numFmt w:val="bullet"/>
      <w:lvlText w:val="·"/>
      <w:lvlJc w:val="left"/>
      <w:pPr>
        <w:ind w:left="720" w:hanging="360"/>
      </w:pPr>
      <w:rPr>
        <w:rFonts w:ascii="Symbol" w:hAnsi="Symbol" w:hint="default"/>
      </w:rPr>
    </w:lvl>
    <w:lvl w:ilvl="1" w:tplc="DA663C94">
      <w:start w:val="1"/>
      <w:numFmt w:val="bullet"/>
      <w:lvlText w:val="o"/>
      <w:lvlJc w:val="left"/>
      <w:pPr>
        <w:ind w:left="1440" w:hanging="360"/>
      </w:pPr>
      <w:rPr>
        <w:rFonts w:ascii="Courier New" w:hAnsi="Courier New" w:hint="default"/>
      </w:rPr>
    </w:lvl>
    <w:lvl w:ilvl="2" w:tplc="76F406A8">
      <w:start w:val="1"/>
      <w:numFmt w:val="bullet"/>
      <w:lvlText w:val=""/>
      <w:lvlJc w:val="left"/>
      <w:pPr>
        <w:ind w:left="2160" w:hanging="360"/>
      </w:pPr>
      <w:rPr>
        <w:rFonts w:ascii="Wingdings" w:hAnsi="Wingdings" w:hint="default"/>
      </w:rPr>
    </w:lvl>
    <w:lvl w:ilvl="3" w:tplc="972E2BB4">
      <w:start w:val="1"/>
      <w:numFmt w:val="bullet"/>
      <w:lvlText w:val=""/>
      <w:lvlJc w:val="left"/>
      <w:pPr>
        <w:ind w:left="2880" w:hanging="360"/>
      </w:pPr>
      <w:rPr>
        <w:rFonts w:ascii="Symbol" w:hAnsi="Symbol" w:hint="default"/>
      </w:rPr>
    </w:lvl>
    <w:lvl w:ilvl="4" w:tplc="0682FE28">
      <w:start w:val="1"/>
      <w:numFmt w:val="bullet"/>
      <w:lvlText w:val="o"/>
      <w:lvlJc w:val="left"/>
      <w:pPr>
        <w:ind w:left="3600" w:hanging="360"/>
      </w:pPr>
      <w:rPr>
        <w:rFonts w:ascii="Courier New" w:hAnsi="Courier New" w:hint="default"/>
      </w:rPr>
    </w:lvl>
    <w:lvl w:ilvl="5" w:tplc="D374B900">
      <w:start w:val="1"/>
      <w:numFmt w:val="bullet"/>
      <w:lvlText w:val=""/>
      <w:lvlJc w:val="left"/>
      <w:pPr>
        <w:ind w:left="4320" w:hanging="360"/>
      </w:pPr>
      <w:rPr>
        <w:rFonts w:ascii="Wingdings" w:hAnsi="Wingdings" w:hint="default"/>
      </w:rPr>
    </w:lvl>
    <w:lvl w:ilvl="6" w:tplc="DE0879AC">
      <w:start w:val="1"/>
      <w:numFmt w:val="bullet"/>
      <w:lvlText w:val=""/>
      <w:lvlJc w:val="left"/>
      <w:pPr>
        <w:ind w:left="5040" w:hanging="360"/>
      </w:pPr>
      <w:rPr>
        <w:rFonts w:ascii="Symbol" w:hAnsi="Symbol" w:hint="default"/>
      </w:rPr>
    </w:lvl>
    <w:lvl w:ilvl="7" w:tplc="28EA23D6">
      <w:start w:val="1"/>
      <w:numFmt w:val="bullet"/>
      <w:lvlText w:val="o"/>
      <w:lvlJc w:val="left"/>
      <w:pPr>
        <w:ind w:left="5760" w:hanging="360"/>
      </w:pPr>
      <w:rPr>
        <w:rFonts w:ascii="Courier New" w:hAnsi="Courier New" w:hint="default"/>
      </w:rPr>
    </w:lvl>
    <w:lvl w:ilvl="8" w:tplc="21FC0BFC">
      <w:start w:val="1"/>
      <w:numFmt w:val="bullet"/>
      <w:lvlText w:val=""/>
      <w:lvlJc w:val="left"/>
      <w:pPr>
        <w:ind w:left="6480" w:hanging="360"/>
      </w:pPr>
      <w:rPr>
        <w:rFonts w:ascii="Wingdings" w:hAnsi="Wingdings" w:hint="default"/>
      </w:rPr>
    </w:lvl>
  </w:abstractNum>
  <w:abstractNum w:abstractNumId="11" w15:restartNumberingAfterBreak="0">
    <w:nsid w:val="318754C1"/>
    <w:multiLevelType w:val="multilevel"/>
    <w:tmpl w:val="CD6AF438"/>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37B4385"/>
    <w:multiLevelType w:val="hybridMultilevel"/>
    <w:tmpl w:val="A00ED3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E7F69F"/>
    <w:multiLevelType w:val="hybridMultilevel"/>
    <w:tmpl w:val="FFFFFFFF"/>
    <w:lvl w:ilvl="0" w:tplc="FC38A11A">
      <w:start w:val="1"/>
      <w:numFmt w:val="bullet"/>
      <w:lvlText w:val="·"/>
      <w:lvlJc w:val="left"/>
      <w:pPr>
        <w:ind w:left="720" w:hanging="360"/>
      </w:pPr>
      <w:rPr>
        <w:rFonts w:ascii="Symbol" w:hAnsi="Symbol" w:hint="default"/>
      </w:rPr>
    </w:lvl>
    <w:lvl w:ilvl="1" w:tplc="FEDAB230">
      <w:start w:val="1"/>
      <w:numFmt w:val="bullet"/>
      <w:lvlText w:val="o"/>
      <w:lvlJc w:val="left"/>
      <w:pPr>
        <w:ind w:left="1440" w:hanging="360"/>
      </w:pPr>
      <w:rPr>
        <w:rFonts w:ascii="Courier New" w:hAnsi="Courier New" w:hint="default"/>
      </w:rPr>
    </w:lvl>
    <w:lvl w:ilvl="2" w:tplc="645EF6F6">
      <w:start w:val="1"/>
      <w:numFmt w:val="bullet"/>
      <w:lvlText w:val=""/>
      <w:lvlJc w:val="left"/>
      <w:pPr>
        <w:ind w:left="2160" w:hanging="360"/>
      </w:pPr>
      <w:rPr>
        <w:rFonts w:ascii="Wingdings" w:hAnsi="Wingdings" w:hint="default"/>
      </w:rPr>
    </w:lvl>
    <w:lvl w:ilvl="3" w:tplc="F0CC6F3A">
      <w:start w:val="1"/>
      <w:numFmt w:val="bullet"/>
      <w:lvlText w:val=""/>
      <w:lvlJc w:val="left"/>
      <w:pPr>
        <w:ind w:left="2880" w:hanging="360"/>
      </w:pPr>
      <w:rPr>
        <w:rFonts w:ascii="Symbol" w:hAnsi="Symbol" w:hint="default"/>
      </w:rPr>
    </w:lvl>
    <w:lvl w:ilvl="4" w:tplc="A6A6DFEE">
      <w:start w:val="1"/>
      <w:numFmt w:val="bullet"/>
      <w:lvlText w:val="o"/>
      <w:lvlJc w:val="left"/>
      <w:pPr>
        <w:ind w:left="3600" w:hanging="360"/>
      </w:pPr>
      <w:rPr>
        <w:rFonts w:ascii="Courier New" w:hAnsi="Courier New" w:hint="default"/>
      </w:rPr>
    </w:lvl>
    <w:lvl w:ilvl="5" w:tplc="3AF4F084">
      <w:start w:val="1"/>
      <w:numFmt w:val="bullet"/>
      <w:lvlText w:val=""/>
      <w:lvlJc w:val="left"/>
      <w:pPr>
        <w:ind w:left="4320" w:hanging="360"/>
      </w:pPr>
      <w:rPr>
        <w:rFonts w:ascii="Wingdings" w:hAnsi="Wingdings" w:hint="default"/>
      </w:rPr>
    </w:lvl>
    <w:lvl w:ilvl="6" w:tplc="A8626CD6">
      <w:start w:val="1"/>
      <w:numFmt w:val="bullet"/>
      <w:lvlText w:val=""/>
      <w:lvlJc w:val="left"/>
      <w:pPr>
        <w:ind w:left="5040" w:hanging="360"/>
      </w:pPr>
      <w:rPr>
        <w:rFonts w:ascii="Symbol" w:hAnsi="Symbol" w:hint="default"/>
      </w:rPr>
    </w:lvl>
    <w:lvl w:ilvl="7" w:tplc="BCE67CA6">
      <w:start w:val="1"/>
      <w:numFmt w:val="bullet"/>
      <w:lvlText w:val="o"/>
      <w:lvlJc w:val="left"/>
      <w:pPr>
        <w:ind w:left="5760" w:hanging="360"/>
      </w:pPr>
      <w:rPr>
        <w:rFonts w:ascii="Courier New" w:hAnsi="Courier New" w:hint="default"/>
      </w:rPr>
    </w:lvl>
    <w:lvl w:ilvl="8" w:tplc="6368F3C2">
      <w:start w:val="1"/>
      <w:numFmt w:val="bullet"/>
      <w:lvlText w:val=""/>
      <w:lvlJc w:val="left"/>
      <w:pPr>
        <w:ind w:left="6480" w:hanging="360"/>
      </w:pPr>
      <w:rPr>
        <w:rFonts w:ascii="Wingdings" w:hAnsi="Wingdings" w:hint="default"/>
      </w:rPr>
    </w:lvl>
  </w:abstractNum>
  <w:abstractNum w:abstractNumId="14" w15:restartNumberingAfterBreak="0">
    <w:nsid w:val="3E36E132"/>
    <w:multiLevelType w:val="hybridMultilevel"/>
    <w:tmpl w:val="FFFFFFFF"/>
    <w:lvl w:ilvl="0" w:tplc="06A42912">
      <w:start w:val="1"/>
      <w:numFmt w:val="decimal"/>
      <w:lvlText w:val="%1."/>
      <w:lvlJc w:val="left"/>
      <w:pPr>
        <w:ind w:left="720" w:hanging="360"/>
      </w:pPr>
    </w:lvl>
    <w:lvl w:ilvl="1" w:tplc="F276620A">
      <w:start w:val="1"/>
      <w:numFmt w:val="lowerLetter"/>
      <w:lvlText w:val="%2."/>
      <w:lvlJc w:val="left"/>
      <w:pPr>
        <w:ind w:left="1440" w:hanging="360"/>
      </w:pPr>
    </w:lvl>
    <w:lvl w:ilvl="2" w:tplc="8B72FCFE">
      <w:start w:val="1"/>
      <w:numFmt w:val="lowerRoman"/>
      <w:lvlText w:val="%3."/>
      <w:lvlJc w:val="right"/>
      <w:pPr>
        <w:ind w:left="2160" w:hanging="180"/>
      </w:pPr>
    </w:lvl>
    <w:lvl w:ilvl="3" w:tplc="413C1134">
      <w:start w:val="1"/>
      <w:numFmt w:val="decimal"/>
      <w:lvlText w:val="%4."/>
      <w:lvlJc w:val="left"/>
      <w:pPr>
        <w:ind w:left="2880" w:hanging="360"/>
      </w:pPr>
    </w:lvl>
    <w:lvl w:ilvl="4" w:tplc="6AD4A95E">
      <w:start w:val="1"/>
      <w:numFmt w:val="lowerLetter"/>
      <w:lvlText w:val="%5."/>
      <w:lvlJc w:val="left"/>
      <w:pPr>
        <w:ind w:left="3600" w:hanging="360"/>
      </w:pPr>
    </w:lvl>
    <w:lvl w:ilvl="5" w:tplc="F794A498">
      <w:start w:val="1"/>
      <w:numFmt w:val="lowerRoman"/>
      <w:lvlText w:val="%6."/>
      <w:lvlJc w:val="right"/>
      <w:pPr>
        <w:ind w:left="4320" w:hanging="180"/>
      </w:pPr>
    </w:lvl>
    <w:lvl w:ilvl="6" w:tplc="09BE1DBC">
      <w:start w:val="1"/>
      <w:numFmt w:val="decimal"/>
      <w:lvlText w:val="%7."/>
      <w:lvlJc w:val="left"/>
      <w:pPr>
        <w:ind w:left="5040" w:hanging="360"/>
      </w:pPr>
    </w:lvl>
    <w:lvl w:ilvl="7" w:tplc="F99686D6">
      <w:start w:val="1"/>
      <w:numFmt w:val="lowerLetter"/>
      <w:lvlText w:val="%8."/>
      <w:lvlJc w:val="left"/>
      <w:pPr>
        <w:ind w:left="5760" w:hanging="360"/>
      </w:pPr>
    </w:lvl>
    <w:lvl w:ilvl="8" w:tplc="30C07B1E">
      <w:start w:val="1"/>
      <w:numFmt w:val="lowerRoman"/>
      <w:lvlText w:val="%9."/>
      <w:lvlJc w:val="right"/>
      <w:pPr>
        <w:ind w:left="6480" w:hanging="180"/>
      </w:pPr>
    </w:lvl>
  </w:abstractNum>
  <w:abstractNum w:abstractNumId="15" w15:restartNumberingAfterBreak="0">
    <w:nsid w:val="3F719528"/>
    <w:multiLevelType w:val="hybridMultilevel"/>
    <w:tmpl w:val="FFFFFFFF"/>
    <w:lvl w:ilvl="0" w:tplc="C94ABD3C">
      <w:start w:val="1"/>
      <w:numFmt w:val="bullet"/>
      <w:lvlText w:val="·"/>
      <w:lvlJc w:val="left"/>
      <w:pPr>
        <w:ind w:left="720" w:hanging="360"/>
      </w:pPr>
      <w:rPr>
        <w:rFonts w:ascii="Symbol" w:hAnsi="Symbol" w:hint="default"/>
      </w:rPr>
    </w:lvl>
    <w:lvl w:ilvl="1" w:tplc="3D82F53C">
      <w:start w:val="1"/>
      <w:numFmt w:val="bullet"/>
      <w:lvlText w:val="o"/>
      <w:lvlJc w:val="left"/>
      <w:pPr>
        <w:ind w:left="1440" w:hanging="360"/>
      </w:pPr>
      <w:rPr>
        <w:rFonts w:ascii="Courier New" w:hAnsi="Courier New" w:hint="default"/>
      </w:rPr>
    </w:lvl>
    <w:lvl w:ilvl="2" w:tplc="C2C6B97E">
      <w:start w:val="1"/>
      <w:numFmt w:val="bullet"/>
      <w:lvlText w:val=""/>
      <w:lvlJc w:val="left"/>
      <w:pPr>
        <w:ind w:left="2160" w:hanging="360"/>
      </w:pPr>
      <w:rPr>
        <w:rFonts w:ascii="Wingdings" w:hAnsi="Wingdings" w:hint="default"/>
      </w:rPr>
    </w:lvl>
    <w:lvl w:ilvl="3" w:tplc="CE30A6C8">
      <w:start w:val="1"/>
      <w:numFmt w:val="bullet"/>
      <w:lvlText w:val=""/>
      <w:lvlJc w:val="left"/>
      <w:pPr>
        <w:ind w:left="2880" w:hanging="360"/>
      </w:pPr>
      <w:rPr>
        <w:rFonts w:ascii="Symbol" w:hAnsi="Symbol" w:hint="default"/>
      </w:rPr>
    </w:lvl>
    <w:lvl w:ilvl="4" w:tplc="C5503EBC">
      <w:start w:val="1"/>
      <w:numFmt w:val="bullet"/>
      <w:lvlText w:val="o"/>
      <w:lvlJc w:val="left"/>
      <w:pPr>
        <w:ind w:left="3600" w:hanging="360"/>
      </w:pPr>
      <w:rPr>
        <w:rFonts w:ascii="Courier New" w:hAnsi="Courier New" w:hint="default"/>
      </w:rPr>
    </w:lvl>
    <w:lvl w:ilvl="5" w:tplc="1B306304">
      <w:start w:val="1"/>
      <w:numFmt w:val="bullet"/>
      <w:lvlText w:val=""/>
      <w:lvlJc w:val="left"/>
      <w:pPr>
        <w:ind w:left="4320" w:hanging="360"/>
      </w:pPr>
      <w:rPr>
        <w:rFonts w:ascii="Wingdings" w:hAnsi="Wingdings" w:hint="default"/>
      </w:rPr>
    </w:lvl>
    <w:lvl w:ilvl="6" w:tplc="034CBC9A">
      <w:start w:val="1"/>
      <w:numFmt w:val="bullet"/>
      <w:lvlText w:val=""/>
      <w:lvlJc w:val="left"/>
      <w:pPr>
        <w:ind w:left="5040" w:hanging="360"/>
      </w:pPr>
      <w:rPr>
        <w:rFonts w:ascii="Symbol" w:hAnsi="Symbol" w:hint="default"/>
      </w:rPr>
    </w:lvl>
    <w:lvl w:ilvl="7" w:tplc="FE2098C8">
      <w:start w:val="1"/>
      <w:numFmt w:val="bullet"/>
      <w:lvlText w:val="o"/>
      <w:lvlJc w:val="left"/>
      <w:pPr>
        <w:ind w:left="5760" w:hanging="360"/>
      </w:pPr>
      <w:rPr>
        <w:rFonts w:ascii="Courier New" w:hAnsi="Courier New" w:hint="default"/>
      </w:rPr>
    </w:lvl>
    <w:lvl w:ilvl="8" w:tplc="D9CCF926">
      <w:start w:val="1"/>
      <w:numFmt w:val="bullet"/>
      <w:lvlText w:val=""/>
      <w:lvlJc w:val="left"/>
      <w:pPr>
        <w:ind w:left="6480" w:hanging="360"/>
      </w:pPr>
      <w:rPr>
        <w:rFonts w:ascii="Wingdings" w:hAnsi="Wingdings" w:hint="default"/>
      </w:rPr>
    </w:lvl>
  </w:abstractNum>
  <w:abstractNum w:abstractNumId="16" w15:restartNumberingAfterBreak="0">
    <w:nsid w:val="44714536"/>
    <w:multiLevelType w:val="hybridMultilevel"/>
    <w:tmpl w:val="FFFFFFFF"/>
    <w:lvl w:ilvl="0" w:tplc="0808942E">
      <w:start w:val="1"/>
      <w:numFmt w:val="bullet"/>
      <w:lvlText w:val="·"/>
      <w:lvlJc w:val="left"/>
      <w:pPr>
        <w:ind w:left="720" w:hanging="360"/>
      </w:pPr>
      <w:rPr>
        <w:rFonts w:ascii="Symbol" w:hAnsi="Symbol" w:hint="default"/>
      </w:rPr>
    </w:lvl>
    <w:lvl w:ilvl="1" w:tplc="3104F538">
      <w:start w:val="1"/>
      <w:numFmt w:val="bullet"/>
      <w:lvlText w:val="o"/>
      <w:lvlJc w:val="left"/>
      <w:pPr>
        <w:ind w:left="1440" w:hanging="360"/>
      </w:pPr>
      <w:rPr>
        <w:rFonts w:ascii="Courier New" w:hAnsi="Courier New" w:hint="default"/>
      </w:rPr>
    </w:lvl>
    <w:lvl w:ilvl="2" w:tplc="271CB1F8">
      <w:start w:val="1"/>
      <w:numFmt w:val="bullet"/>
      <w:lvlText w:val=""/>
      <w:lvlJc w:val="left"/>
      <w:pPr>
        <w:ind w:left="2160" w:hanging="360"/>
      </w:pPr>
      <w:rPr>
        <w:rFonts w:ascii="Wingdings" w:hAnsi="Wingdings" w:hint="default"/>
      </w:rPr>
    </w:lvl>
    <w:lvl w:ilvl="3" w:tplc="07A6AC54">
      <w:start w:val="1"/>
      <w:numFmt w:val="bullet"/>
      <w:lvlText w:val=""/>
      <w:lvlJc w:val="left"/>
      <w:pPr>
        <w:ind w:left="2880" w:hanging="360"/>
      </w:pPr>
      <w:rPr>
        <w:rFonts w:ascii="Symbol" w:hAnsi="Symbol" w:hint="default"/>
      </w:rPr>
    </w:lvl>
    <w:lvl w:ilvl="4" w:tplc="B56C7108">
      <w:start w:val="1"/>
      <w:numFmt w:val="bullet"/>
      <w:lvlText w:val="o"/>
      <w:lvlJc w:val="left"/>
      <w:pPr>
        <w:ind w:left="3600" w:hanging="360"/>
      </w:pPr>
      <w:rPr>
        <w:rFonts w:ascii="Courier New" w:hAnsi="Courier New" w:hint="default"/>
      </w:rPr>
    </w:lvl>
    <w:lvl w:ilvl="5" w:tplc="DF28AB2E">
      <w:start w:val="1"/>
      <w:numFmt w:val="bullet"/>
      <w:lvlText w:val=""/>
      <w:lvlJc w:val="left"/>
      <w:pPr>
        <w:ind w:left="4320" w:hanging="360"/>
      </w:pPr>
      <w:rPr>
        <w:rFonts w:ascii="Wingdings" w:hAnsi="Wingdings" w:hint="default"/>
      </w:rPr>
    </w:lvl>
    <w:lvl w:ilvl="6" w:tplc="840AE12A">
      <w:start w:val="1"/>
      <w:numFmt w:val="bullet"/>
      <w:lvlText w:val=""/>
      <w:lvlJc w:val="left"/>
      <w:pPr>
        <w:ind w:left="5040" w:hanging="360"/>
      </w:pPr>
      <w:rPr>
        <w:rFonts w:ascii="Symbol" w:hAnsi="Symbol" w:hint="default"/>
      </w:rPr>
    </w:lvl>
    <w:lvl w:ilvl="7" w:tplc="AC642752">
      <w:start w:val="1"/>
      <w:numFmt w:val="bullet"/>
      <w:lvlText w:val="o"/>
      <w:lvlJc w:val="left"/>
      <w:pPr>
        <w:ind w:left="5760" w:hanging="360"/>
      </w:pPr>
      <w:rPr>
        <w:rFonts w:ascii="Courier New" w:hAnsi="Courier New" w:hint="default"/>
      </w:rPr>
    </w:lvl>
    <w:lvl w:ilvl="8" w:tplc="CF5E04CA">
      <w:start w:val="1"/>
      <w:numFmt w:val="bullet"/>
      <w:lvlText w:val=""/>
      <w:lvlJc w:val="left"/>
      <w:pPr>
        <w:ind w:left="6480" w:hanging="360"/>
      </w:pPr>
      <w:rPr>
        <w:rFonts w:ascii="Wingdings" w:hAnsi="Wingdings" w:hint="default"/>
      </w:rPr>
    </w:lvl>
  </w:abstractNum>
  <w:abstractNum w:abstractNumId="17" w15:restartNumberingAfterBreak="0">
    <w:nsid w:val="450179FD"/>
    <w:multiLevelType w:val="hybridMultilevel"/>
    <w:tmpl w:val="752A63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CC72519"/>
    <w:multiLevelType w:val="hybridMultilevel"/>
    <w:tmpl w:val="E618C5F0"/>
    <w:lvl w:ilvl="0" w:tplc="87402BC8">
      <w:start w:val="2"/>
      <w:numFmt w:val="bullet"/>
      <w:lvlText w:val="-"/>
      <w:lvlJc w:val="left"/>
      <w:pPr>
        <w:ind w:left="720" w:hanging="360"/>
      </w:pPr>
      <w:rPr>
        <w:rFonts w:ascii="Aptos" w:eastAsiaTheme="minorHAnsi" w:hAnsi="Aptos"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294372A"/>
    <w:multiLevelType w:val="hybridMultilevel"/>
    <w:tmpl w:val="07408CB4"/>
    <w:lvl w:ilvl="0" w:tplc="87402BC8">
      <w:start w:val="2"/>
      <w:numFmt w:val="bullet"/>
      <w:lvlText w:val="-"/>
      <w:lvlJc w:val="left"/>
      <w:pPr>
        <w:ind w:left="720" w:hanging="360"/>
      </w:pPr>
      <w:rPr>
        <w:rFonts w:ascii="Aptos" w:eastAsiaTheme="minorHAnsi" w:hAnsi="Aptos"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CD8206E"/>
    <w:multiLevelType w:val="hybridMultilevel"/>
    <w:tmpl w:val="94029EE4"/>
    <w:lvl w:ilvl="0" w:tplc="FFFFFFFF">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613092E5"/>
    <w:multiLevelType w:val="hybridMultilevel"/>
    <w:tmpl w:val="FFFFFFFF"/>
    <w:lvl w:ilvl="0" w:tplc="9B2EB03A">
      <w:start w:val="1"/>
      <w:numFmt w:val="bullet"/>
      <w:lvlText w:val="·"/>
      <w:lvlJc w:val="left"/>
      <w:pPr>
        <w:ind w:left="720" w:hanging="360"/>
      </w:pPr>
      <w:rPr>
        <w:rFonts w:ascii="Symbol" w:hAnsi="Symbol" w:hint="default"/>
      </w:rPr>
    </w:lvl>
    <w:lvl w:ilvl="1" w:tplc="0C56C3AC">
      <w:start w:val="1"/>
      <w:numFmt w:val="bullet"/>
      <w:lvlText w:val="o"/>
      <w:lvlJc w:val="left"/>
      <w:pPr>
        <w:ind w:left="1440" w:hanging="360"/>
      </w:pPr>
      <w:rPr>
        <w:rFonts w:ascii="Courier New" w:hAnsi="Courier New" w:hint="default"/>
      </w:rPr>
    </w:lvl>
    <w:lvl w:ilvl="2" w:tplc="26421BCA">
      <w:start w:val="1"/>
      <w:numFmt w:val="bullet"/>
      <w:lvlText w:val=""/>
      <w:lvlJc w:val="left"/>
      <w:pPr>
        <w:ind w:left="2160" w:hanging="360"/>
      </w:pPr>
      <w:rPr>
        <w:rFonts w:ascii="Wingdings" w:hAnsi="Wingdings" w:hint="default"/>
      </w:rPr>
    </w:lvl>
    <w:lvl w:ilvl="3" w:tplc="64BAC29E">
      <w:start w:val="1"/>
      <w:numFmt w:val="bullet"/>
      <w:lvlText w:val=""/>
      <w:lvlJc w:val="left"/>
      <w:pPr>
        <w:ind w:left="2880" w:hanging="360"/>
      </w:pPr>
      <w:rPr>
        <w:rFonts w:ascii="Symbol" w:hAnsi="Symbol" w:hint="default"/>
      </w:rPr>
    </w:lvl>
    <w:lvl w:ilvl="4" w:tplc="B350AB5E">
      <w:start w:val="1"/>
      <w:numFmt w:val="bullet"/>
      <w:lvlText w:val="o"/>
      <w:lvlJc w:val="left"/>
      <w:pPr>
        <w:ind w:left="3600" w:hanging="360"/>
      </w:pPr>
      <w:rPr>
        <w:rFonts w:ascii="Courier New" w:hAnsi="Courier New" w:hint="default"/>
      </w:rPr>
    </w:lvl>
    <w:lvl w:ilvl="5" w:tplc="E6A84A7A">
      <w:start w:val="1"/>
      <w:numFmt w:val="bullet"/>
      <w:lvlText w:val=""/>
      <w:lvlJc w:val="left"/>
      <w:pPr>
        <w:ind w:left="4320" w:hanging="360"/>
      </w:pPr>
      <w:rPr>
        <w:rFonts w:ascii="Wingdings" w:hAnsi="Wingdings" w:hint="default"/>
      </w:rPr>
    </w:lvl>
    <w:lvl w:ilvl="6" w:tplc="7F9047F2">
      <w:start w:val="1"/>
      <w:numFmt w:val="bullet"/>
      <w:lvlText w:val=""/>
      <w:lvlJc w:val="left"/>
      <w:pPr>
        <w:ind w:left="5040" w:hanging="360"/>
      </w:pPr>
      <w:rPr>
        <w:rFonts w:ascii="Symbol" w:hAnsi="Symbol" w:hint="default"/>
      </w:rPr>
    </w:lvl>
    <w:lvl w:ilvl="7" w:tplc="926A68A6">
      <w:start w:val="1"/>
      <w:numFmt w:val="bullet"/>
      <w:lvlText w:val="o"/>
      <w:lvlJc w:val="left"/>
      <w:pPr>
        <w:ind w:left="5760" w:hanging="360"/>
      </w:pPr>
      <w:rPr>
        <w:rFonts w:ascii="Courier New" w:hAnsi="Courier New" w:hint="default"/>
      </w:rPr>
    </w:lvl>
    <w:lvl w:ilvl="8" w:tplc="0C905864">
      <w:start w:val="1"/>
      <w:numFmt w:val="bullet"/>
      <w:lvlText w:val=""/>
      <w:lvlJc w:val="left"/>
      <w:pPr>
        <w:ind w:left="6480" w:hanging="360"/>
      </w:pPr>
      <w:rPr>
        <w:rFonts w:ascii="Wingdings" w:hAnsi="Wingdings" w:hint="default"/>
      </w:rPr>
    </w:lvl>
  </w:abstractNum>
  <w:abstractNum w:abstractNumId="22" w15:restartNumberingAfterBreak="0">
    <w:nsid w:val="688C20EA"/>
    <w:multiLevelType w:val="hybridMultilevel"/>
    <w:tmpl w:val="EACC2CE6"/>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6395FA8"/>
    <w:multiLevelType w:val="hybridMultilevel"/>
    <w:tmpl w:val="FFFFFFFF"/>
    <w:lvl w:ilvl="0" w:tplc="E17032D4">
      <w:start w:val="1"/>
      <w:numFmt w:val="bullet"/>
      <w:lvlText w:val="-"/>
      <w:lvlJc w:val="left"/>
      <w:pPr>
        <w:ind w:left="720" w:hanging="360"/>
      </w:pPr>
      <w:rPr>
        <w:rFonts w:ascii="Aptos" w:hAnsi="Aptos" w:hint="default"/>
      </w:rPr>
    </w:lvl>
    <w:lvl w:ilvl="1" w:tplc="5058BB1E">
      <w:start w:val="1"/>
      <w:numFmt w:val="bullet"/>
      <w:lvlText w:val="o"/>
      <w:lvlJc w:val="left"/>
      <w:pPr>
        <w:ind w:left="1440" w:hanging="360"/>
      </w:pPr>
      <w:rPr>
        <w:rFonts w:ascii="Courier New" w:hAnsi="Courier New" w:hint="default"/>
      </w:rPr>
    </w:lvl>
    <w:lvl w:ilvl="2" w:tplc="E750749E">
      <w:start w:val="1"/>
      <w:numFmt w:val="bullet"/>
      <w:lvlText w:val=""/>
      <w:lvlJc w:val="left"/>
      <w:pPr>
        <w:ind w:left="2160" w:hanging="360"/>
      </w:pPr>
      <w:rPr>
        <w:rFonts w:ascii="Wingdings" w:hAnsi="Wingdings" w:hint="default"/>
      </w:rPr>
    </w:lvl>
    <w:lvl w:ilvl="3" w:tplc="53A0B058">
      <w:start w:val="1"/>
      <w:numFmt w:val="bullet"/>
      <w:lvlText w:val=""/>
      <w:lvlJc w:val="left"/>
      <w:pPr>
        <w:ind w:left="2880" w:hanging="360"/>
      </w:pPr>
      <w:rPr>
        <w:rFonts w:ascii="Symbol" w:hAnsi="Symbol" w:hint="default"/>
      </w:rPr>
    </w:lvl>
    <w:lvl w:ilvl="4" w:tplc="C9E27590">
      <w:start w:val="1"/>
      <w:numFmt w:val="bullet"/>
      <w:lvlText w:val="o"/>
      <w:lvlJc w:val="left"/>
      <w:pPr>
        <w:ind w:left="3600" w:hanging="360"/>
      </w:pPr>
      <w:rPr>
        <w:rFonts w:ascii="Courier New" w:hAnsi="Courier New" w:hint="default"/>
      </w:rPr>
    </w:lvl>
    <w:lvl w:ilvl="5" w:tplc="A224DA74">
      <w:start w:val="1"/>
      <w:numFmt w:val="bullet"/>
      <w:lvlText w:val=""/>
      <w:lvlJc w:val="left"/>
      <w:pPr>
        <w:ind w:left="4320" w:hanging="360"/>
      </w:pPr>
      <w:rPr>
        <w:rFonts w:ascii="Wingdings" w:hAnsi="Wingdings" w:hint="default"/>
      </w:rPr>
    </w:lvl>
    <w:lvl w:ilvl="6" w:tplc="41F6FAAE">
      <w:start w:val="1"/>
      <w:numFmt w:val="bullet"/>
      <w:lvlText w:val=""/>
      <w:lvlJc w:val="left"/>
      <w:pPr>
        <w:ind w:left="5040" w:hanging="360"/>
      </w:pPr>
      <w:rPr>
        <w:rFonts w:ascii="Symbol" w:hAnsi="Symbol" w:hint="default"/>
      </w:rPr>
    </w:lvl>
    <w:lvl w:ilvl="7" w:tplc="6B34467E">
      <w:start w:val="1"/>
      <w:numFmt w:val="bullet"/>
      <w:lvlText w:val="o"/>
      <w:lvlJc w:val="left"/>
      <w:pPr>
        <w:ind w:left="5760" w:hanging="360"/>
      </w:pPr>
      <w:rPr>
        <w:rFonts w:ascii="Courier New" w:hAnsi="Courier New" w:hint="default"/>
      </w:rPr>
    </w:lvl>
    <w:lvl w:ilvl="8" w:tplc="B80AD4C0">
      <w:start w:val="1"/>
      <w:numFmt w:val="bullet"/>
      <w:lvlText w:val=""/>
      <w:lvlJc w:val="left"/>
      <w:pPr>
        <w:ind w:left="6480" w:hanging="360"/>
      </w:pPr>
      <w:rPr>
        <w:rFonts w:ascii="Wingdings" w:hAnsi="Wingdings" w:hint="default"/>
      </w:rPr>
    </w:lvl>
  </w:abstractNum>
  <w:abstractNum w:abstractNumId="24" w15:restartNumberingAfterBreak="0">
    <w:nsid w:val="76C94BE4"/>
    <w:multiLevelType w:val="hybridMultilevel"/>
    <w:tmpl w:val="62FCC7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B8B10D5"/>
    <w:multiLevelType w:val="hybridMultilevel"/>
    <w:tmpl w:val="FFFFFFFF"/>
    <w:lvl w:ilvl="0" w:tplc="CF8810EC">
      <w:start w:val="1"/>
      <w:numFmt w:val="bullet"/>
      <w:lvlText w:val="·"/>
      <w:lvlJc w:val="left"/>
      <w:pPr>
        <w:ind w:left="720" w:hanging="360"/>
      </w:pPr>
      <w:rPr>
        <w:rFonts w:ascii="Symbol" w:hAnsi="Symbol" w:hint="default"/>
      </w:rPr>
    </w:lvl>
    <w:lvl w:ilvl="1" w:tplc="B0D42D18">
      <w:start w:val="1"/>
      <w:numFmt w:val="bullet"/>
      <w:lvlText w:val="o"/>
      <w:lvlJc w:val="left"/>
      <w:pPr>
        <w:ind w:left="1440" w:hanging="360"/>
      </w:pPr>
      <w:rPr>
        <w:rFonts w:ascii="Courier New" w:hAnsi="Courier New" w:hint="default"/>
      </w:rPr>
    </w:lvl>
    <w:lvl w:ilvl="2" w:tplc="704C9C54">
      <w:start w:val="1"/>
      <w:numFmt w:val="bullet"/>
      <w:lvlText w:val=""/>
      <w:lvlJc w:val="left"/>
      <w:pPr>
        <w:ind w:left="2160" w:hanging="360"/>
      </w:pPr>
      <w:rPr>
        <w:rFonts w:ascii="Wingdings" w:hAnsi="Wingdings" w:hint="default"/>
      </w:rPr>
    </w:lvl>
    <w:lvl w:ilvl="3" w:tplc="C12A0E02">
      <w:start w:val="1"/>
      <w:numFmt w:val="bullet"/>
      <w:lvlText w:val=""/>
      <w:lvlJc w:val="left"/>
      <w:pPr>
        <w:ind w:left="2880" w:hanging="360"/>
      </w:pPr>
      <w:rPr>
        <w:rFonts w:ascii="Symbol" w:hAnsi="Symbol" w:hint="default"/>
      </w:rPr>
    </w:lvl>
    <w:lvl w:ilvl="4" w:tplc="BFDA9D5A">
      <w:start w:val="1"/>
      <w:numFmt w:val="bullet"/>
      <w:lvlText w:val="o"/>
      <w:lvlJc w:val="left"/>
      <w:pPr>
        <w:ind w:left="3600" w:hanging="360"/>
      </w:pPr>
      <w:rPr>
        <w:rFonts w:ascii="Courier New" w:hAnsi="Courier New" w:hint="default"/>
      </w:rPr>
    </w:lvl>
    <w:lvl w:ilvl="5" w:tplc="0980D91A">
      <w:start w:val="1"/>
      <w:numFmt w:val="bullet"/>
      <w:lvlText w:val=""/>
      <w:lvlJc w:val="left"/>
      <w:pPr>
        <w:ind w:left="4320" w:hanging="360"/>
      </w:pPr>
      <w:rPr>
        <w:rFonts w:ascii="Wingdings" w:hAnsi="Wingdings" w:hint="default"/>
      </w:rPr>
    </w:lvl>
    <w:lvl w:ilvl="6" w:tplc="53E25DDA">
      <w:start w:val="1"/>
      <w:numFmt w:val="bullet"/>
      <w:lvlText w:val=""/>
      <w:lvlJc w:val="left"/>
      <w:pPr>
        <w:ind w:left="5040" w:hanging="360"/>
      </w:pPr>
      <w:rPr>
        <w:rFonts w:ascii="Symbol" w:hAnsi="Symbol" w:hint="default"/>
      </w:rPr>
    </w:lvl>
    <w:lvl w:ilvl="7" w:tplc="FB1637D2">
      <w:start w:val="1"/>
      <w:numFmt w:val="bullet"/>
      <w:lvlText w:val="o"/>
      <w:lvlJc w:val="left"/>
      <w:pPr>
        <w:ind w:left="5760" w:hanging="360"/>
      </w:pPr>
      <w:rPr>
        <w:rFonts w:ascii="Courier New" w:hAnsi="Courier New" w:hint="default"/>
      </w:rPr>
    </w:lvl>
    <w:lvl w:ilvl="8" w:tplc="CB1A52A4">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9"/>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19"/>
  </w:num>
  <w:num w:numId="7">
    <w:abstractNumId w:val="18"/>
  </w:num>
  <w:num w:numId="8">
    <w:abstractNumId w:val="21"/>
  </w:num>
  <w:num w:numId="9">
    <w:abstractNumId w:val="10"/>
  </w:num>
  <w:num w:numId="10">
    <w:abstractNumId w:val="2"/>
  </w:num>
  <w:num w:numId="11">
    <w:abstractNumId w:val="25"/>
  </w:num>
  <w:num w:numId="12">
    <w:abstractNumId w:val="13"/>
  </w:num>
  <w:num w:numId="13">
    <w:abstractNumId w:val="15"/>
  </w:num>
  <w:num w:numId="14">
    <w:abstractNumId w:val="16"/>
  </w:num>
  <w:num w:numId="15">
    <w:abstractNumId w:val="14"/>
  </w:num>
  <w:num w:numId="16">
    <w:abstractNumId w:val="0"/>
  </w:num>
  <w:num w:numId="17">
    <w:abstractNumId w:val="4"/>
  </w:num>
  <w:num w:numId="18">
    <w:abstractNumId w:val="7"/>
  </w:num>
  <w:num w:numId="19">
    <w:abstractNumId w:val="11"/>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num>
  <w:num w:numId="22">
    <w:abstractNumId w:val="8"/>
  </w:num>
  <w:num w:numId="23">
    <w:abstractNumId w:val="22"/>
  </w:num>
  <w:num w:numId="24">
    <w:abstractNumId w:val="12"/>
  </w:num>
  <w:num w:numId="25">
    <w:abstractNumId w:val="23"/>
  </w:num>
  <w:num w:numId="26">
    <w:abstractNumId w:val="17"/>
  </w:num>
  <w:num w:numId="27">
    <w:abstractNumId w:val="24"/>
  </w:num>
  <w:num w:numId="28">
    <w:abstractNumId w:val="1"/>
  </w:num>
  <w:num w:numId="29">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C5BF86E-1188-4A0A-8E9D-73C026A27A89"/>
    <w:docVar w:name="LW_COVERPAGE_TYPE" w:val="1"/>
    <w:docVar w:name="LW_CROSSREFERENCE" w:val="&lt;UNUSED&gt;"/>
    <w:docVar w:name="LW_DocType" w:val="NORMAL"/>
    <w:docVar w:name="LW_EMISSION" w:val="22.4.2026"/>
    <w:docVar w:name="LW_EMISSION_ISODATE" w:val="2026-04-22"/>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7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ccelerateEU - Union de l'énergie_x000d__x000d__x000d__x000d__x000d__x000d__x000d__x000d__x000d__x000d__x000d__x000d__x000b__x000d__x000d__x000d__x000d__x000d__x000d__x000d__x000d__x000d__x000d__x000d__x000d__x000d__x000b_Une énergie sûre et abordable grâce à une action accélérée_x000d__x000d__x000d__x000d__x000d__x000d__x000d__x000d__x000d__x000d__x000d__x000d__x000d__x000d__x000b__x000d__x000d__x000d__x000d__x000d__x000d__x000d__x000d__x000d__x000d__x000d__x000d__x000d__x000b_"/>
    <w:docVar w:name="LW_TYPE.DOC.CP" w:val="COMMUNICATION DE LA COMMISSION AU PARLEMENT EUROPÉEN, AU CONSEIL, AU COMITÉ ÉCONOMIQUE ET SOCIAL EUROPÉEN ET AU COMITÉ DES RÉGIONS"/>
    <w:docVar w:name="LW_TYPE.DOC.CP.USERTEXT" w:val="&lt;EMPTY&gt;"/>
    <w:docVar w:name="LwApiVersions" w:val="LW4CoDe 1.24.5.0; LW 9.2, Build 20251112"/>
  </w:docVars>
  <w:rsids>
    <w:rsidRoot w:val="00070A89"/>
    <w:rsid w:val="00070A89"/>
    <w:rsid w:val="000D23F4"/>
    <w:rsid w:val="002E20B9"/>
    <w:rsid w:val="006A31E3"/>
    <w:rsid w:val="006C2002"/>
    <w:rsid w:val="00830F04"/>
    <w:rsid w:val="00BC5D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612D77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00" w:beforeAutospacing="1" w:after="100" w:afterAutospacing="1" w:line="240" w:lineRule="auto"/>
      <w:jc w:val="both"/>
    </w:pPr>
    <w:rPr>
      <w:rFonts w:ascii="Times New Roman" w:eastAsia="Times New Roman" w:hAnsi="Times New Roman" w:cs="Times New Roman"/>
      <w:sz w:val="24"/>
      <w:szCs w:val="24"/>
      <w:lang w:eastAsia="en-IE"/>
      <w14:ligatures w14:val="none"/>
    </w:rPr>
  </w:style>
  <w:style w:type="paragraph" w:styleId="Heading1">
    <w:name w:val="heading 1"/>
    <w:basedOn w:val="Body"/>
    <w:next w:val="Normal"/>
    <w:link w:val="Heading1Char"/>
    <w:uiPriority w:val="1"/>
    <w:qFormat/>
    <w:pPr>
      <w:keepNext/>
      <w:numPr>
        <w:numId w:val="2"/>
      </w:numPr>
      <w:spacing w:before="360" w:after="240" w:line="240" w:lineRule="auto"/>
      <w:outlineLvl w:val="0"/>
    </w:pPr>
    <w:rPr>
      <w:rFonts w:ascii="Times New Roman" w:hAnsi="Times New Roman"/>
      <w:b/>
      <w:bCs/>
      <w:smallCaps/>
      <w:noProof/>
      <w:sz w:val="28"/>
      <w:szCs w:val="28"/>
    </w:rPr>
  </w:style>
  <w:style w:type="paragraph" w:styleId="Heading2">
    <w:name w:val="heading 2"/>
    <w:basedOn w:val="Normal"/>
    <w:next w:val="Normal"/>
    <w:link w:val="Heading2Char"/>
    <w:uiPriority w:val="1"/>
    <w:unhideWhenUsed/>
    <w:qFormat/>
    <w:pPr>
      <w:keepNext/>
      <w:keepLines/>
      <w:spacing w:before="360" w:beforeAutospacing="0"/>
      <w:ind w:right="567" w:firstLine="573"/>
      <w:outlineLvl w:val="1"/>
    </w:pPr>
    <w:rPr>
      <w:rFonts w:eastAsiaTheme="majorEastAsia" w:cstheme="majorBidi"/>
      <w:i/>
      <w:iCs/>
      <w:color w:val="000000" w:themeColor="text1"/>
      <w:sz w:val="28"/>
      <w:szCs w:val="28"/>
    </w:rPr>
  </w:style>
  <w:style w:type="paragraph" w:styleId="Heading3">
    <w:name w:val="heading 3"/>
    <w:basedOn w:val="Normal"/>
    <w:next w:val="Normal"/>
    <w:link w:val="Heading3Char"/>
    <w:uiPriority w:val="1"/>
    <w:unhideWhenUsed/>
    <w:qFormat/>
    <w:pPr>
      <w:keepNext/>
      <w:keepLines/>
      <w:spacing w:before="40"/>
      <w:ind w:left="-4526" w:hanging="72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1"/>
    <w:unhideWhenUsed/>
    <w:qFormat/>
    <w:pPr>
      <w:outlineLvl w:val="3"/>
    </w:pPr>
    <w:rPr>
      <w:b/>
      <w:bCs/>
      <w:sz w:val="22"/>
      <w:szCs w:val="22"/>
    </w:rPr>
  </w:style>
  <w:style w:type="paragraph" w:styleId="Heading5">
    <w:name w:val="heading 5"/>
    <w:basedOn w:val="Normal"/>
    <w:next w:val="Normal"/>
    <w:link w:val="Heading5Char"/>
    <w:semiHidden/>
    <w:unhideWhenUsed/>
    <w:qFormat/>
    <w:pPr>
      <w:keepNext/>
      <w:keepLines/>
      <w:numPr>
        <w:ilvl w:val="4"/>
        <w:numId w:val="4"/>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pPr>
      <w:keepNext/>
      <w:keepLines/>
      <w:numPr>
        <w:ilvl w:val="5"/>
        <w:numId w:val="4"/>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pPr>
      <w:keepNext/>
      <w:keepLines/>
      <w:numPr>
        <w:ilvl w:val="6"/>
        <w:numId w:val="4"/>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
    <w:basedOn w:val="Normal"/>
    <w:link w:val="ListParagraphChar"/>
    <w:uiPriority w:val="34"/>
    <w:qFormat/>
    <w:pPr>
      <w:ind w:left="720"/>
    </w:pPr>
  </w:style>
  <w:style w:type="paragraph" w:styleId="PlainText">
    <w:name w:val="Plain Text"/>
    <w:basedOn w:val="Normal"/>
    <w:link w:val="PlainTextChar"/>
    <w:uiPriority w:val="99"/>
    <w:semiHidden/>
    <w:unhideWhenUsed/>
    <w:rPr>
      <w:rFonts w:cstheme="minorBidi"/>
      <w:szCs w:val="21"/>
    </w:rPr>
  </w:style>
  <w:style w:type="character" w:customStyle="1" w:styleId="PlainTextChar">
    <w:name w:val="Plain Text Char"/>
    <w:basedOn w:val="DefaultParagraphFont"/>
    <w:link w:val="PlainText"/>
    <w:uiPriority w:val="99"/>
    <w:semiHidden/>
    <w:rPr>
      <w:rFonts w:ascii="Calibri" w:hAnsi="Calibri"/>
      <w:szCs w:val="21"/>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Calibri" w:hAnsi="Calibri" w:cs="Calibri"/>
      <w:lang w:val="fr-FR"/>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Calibri" w:hAnsi="Calibri" w:cs="Calibri"/>
      <w:lang w:val="fr-FR"/>
    </w:rPr>
  </w:style>
  <w:style w:type="paragraph" w:customStyle="1" w:styleId="paragraph">
    <w:name w:val="paragraph"/>
    <w:basedOn w:val="Normal"/>
  </w:style>
  <w:style w:type="character" w:customStyle="1" w:styleId="normaltextrun">
    <w:name w:val="normaltextrun"/>
    <w:basedOn w:val="DefaultParagraphFont"/>
  </w:style>
  <w:style w:type="character" w:styleId="CommentReference">
    <w:name w:val="annotation reference"/>
    <w:basedOn w:val="DefaultParagraphFont"/>
    <w:uiPriority w:val="99"/>
    <w:semiHidden/>
    <w:unhideWhenUsed/>
    <w:rPr>
      <w:sz w:val="16"/>
      <w:szCs w:val="16"/>
    </w:rPr>
  </w:style>
  <w:style w:type="character" w:styleId="FootnoteReference">
    <w:name w:val="footnote reference"/>
    <w:aliases w:val="~FootnoteRef,-E Fußnotenzeichen,(Diplomarbeit FZ),(Diplomarbeit FZ)1,(Diplomarbeit FZ)2,(Diplomarbeit FZ)3,(Diplomarbeit FZ)4,(Diplomarbeit FZ)5,(Diplomarbeit FZ)6,(Diplomarbeit FZ)7,(Diplomarbeit FZ)8,(Diplomarbeit FZ)9,number"/>
    <w:basedOn w:val="DefaultParagraphFont"/>
    <w:link w:val="CharCharChar"/>
    <w:uiPriority w:val="99"/>
    <w:unhideWhenUsed/>
    <w:qFormat/>
    <w:rPr>
      <w:vertAlign w:val="superscript"/>
    </w:rPr>
  </w:style>
  <w:style w:type="character" w:styleId="Strong">
    <w:name w:val="Strong"/>
    <w:basedOn w:val="DefaultParagraphFont"/>
    <w:uiPriority w:val="22"/>
    <w:qFormat/>
    <w:rPr>
      <w:b/>
      <w:bCs/>
    </w:rPr>
  </w:style>
  <w:style w:type="character" w:customStyle="1" w:styleId="eop">
    <w:name w:val="eop"/>
    <w:basedOn w:val="DefaultParagraphFont"/>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WB-Fußnotentext"/>
    <w:basedOn w:val="Normal"/>
    <w:link w:val="FootnoteTextChar"/>
    <w:uiPriority w:val="99"/>
    <w:unhideWhenUsed/>
    <w:qFormat/>
    <w:rPr>
      <w:sz w:val="20"/>
      <w:szCs w:val="20"/>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basedOn w:val="DefaultParagraphFont"/>
    <w:link w:val="FootnoteText"/>
    <w:uiPriority w:val="99"/>
    <w:rPr>
      <w:rFonts w:ascii="Calibri" w:hAnsi="Calibri" w:cs="Calibri"/>
      <w:sz w:val="20"/>
      <w:szCs w:val="20"/>
      <w:lang w:val="fr-FR"/>
    </w:rPr>
  </w:style>
  <w:style w:type="paragraph" w:styleId="CommentText">
    <w:name w:val="annotation text"/>
    <w:basedOn w:val="Normal"/>
    <w:link w:val="CommentTextChar1"/>
    <w:uiPriority w:val="99"/>
    <w:unhideWhenUsed/>
    <w:rPr>
      <w:sz w:val="20"/>
      <w:szCs w:val="20"/>
    </w:rPr>
  </w:style>
  <w:style w:type="character" w:customStyle="1" w:styleId="CommentTextChar">
    <w:name w:val="Comment Text Char"/>
    <w:basedOn w:val="DefaultParagraphFont"/>
    <w:uiPriority w:val="99"/>
    <w:rPr>
      <w:rFonts w:ascii="Calibri" w:hAnsi="Calibri" w:cs="Calibri"/>
      <w:sz w:val="20"/>
      <w:szCs w:val="20"/>
      <w:lang w:val="fr-FR"/>
    </w:rPr>
  </w:style>
  <w:style w:type="paragraph" w:styleId="CommentSubject">
    <w:name w:val="annotation subjec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hAnsi="Calibri" w:cs="Calibri"/>
      <w:b/>
      <w:bCs/>
      <w:sz w:val="20"/>
      <w:szCs w:val="20"/>
      <w:lang w:val="fr-FR"/>
    </w:rPr>
  </w:style>
  <w:style w:type="paragraph" w:styleId="Revision">
    <w:name w:val="Revision"/>
    <w:hidden/>
    <w:uiPriority w:val="99"/>
    <w:semiHidden/>
    <w:pPr>
      <w:spacing w:after="0" w:line="240" w:lineRule="auto"/>
    </w:pPr>
    <w:rPr>
      <w:rFonts w:ascii="Calibri" w:hAnsi="Calibri" w:cs="Calibri"/>
    </w:rPr>
  </w:style>
  <w:style w:type="character" w:styleId="Hyperlink">
    <w:name w:val="Hyperlink"/>
    <w:basedOn w:val="DefaultParagraphFont"/>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NormalWeb">
    <w:name w:val="Normal (Web)"/>
    <w:basedOn w:val="Normal"/>
    <w:uiPriority w:val="99"/>
    <w:unhideWhenUsed/>
  </w:style>
  <w:style w:type="character" w:customStyle="1" w:styleId="Heading2Char">
    <w:name w:val="Heading 2 Char"/>
    <w:basedOn w:val="DefaultParagraphFont"/>
    <w:link w:val="Heading2"/>
    <w:uiPriority w:val="9"/>
    <w:rPr>
      <w:rFonts w:ascii="Times New Roman" w:eastAsiaTheme="majorEastAsia" w:hAnsi="Times New Roman" w:cstheme="majorBidi"/>
      <w:i/>
      <w:iCs/>
      <w:color w:val="000000" w:themeColor="text1"/>
      <w:sz w:val="28"/>
      <w:szCs w:val="28"/>
      <w:lang w:val="fr-FR" w:eastAsia="en-IE"/>
      <w14:ligatures w14:val="none"/>
    </w:rPr>
  </w:style>
  <w:style w:type="character" w:customStyle="1" w:styleId="Heading1Char">
    <w:name w:val="Heading 1 Char"/>
    <w:basedOn w:val="DefaultParagraphFont"/>
    <w:link w:val="Heading1"/>
    <w:uiPriority w:val="1"/>
    <w:rPr>
      <w:rFonts w:ascii="Times New Roman" w:eastAsia="Arial Unicode MS" w:hAnsi="Times New Roman" w:cs="Arial Unicode MS"/>
      <w:b/>
      <w:bCs/>
      <w:smallCaps/>
      <w:noProof/>
      <w:color w:val="000000"/>
      <w:sz w:val="28"/>
      <w:szCs w:val="28"/>
      <w:u w:color="000000"/>
      <w:bdr w:val="nil"/>
      <w:lang w:val="fr-FR" w:eastAsia="en-IE"/>
      <w14:ligatures w14:val="none"/>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lang w:val="fr-FR" w:eastAsia="en-IE"/>
      <w14:ligatures w14:val="none"/>
    </w:rPr>
  </w:style>
  <w:style w:type="character" w:customStyle="1" w:styleId="Heading4Char">
    <w:name w:val="Heading 4 Char"/>
    <w:basedOn w:val="DefaultParagraphFont"/>
    <w:link w:val="Heading4"/>
    <w:uiPriority w:val="9"/>
    <w:rPr>
      <w:rFonts w:ascii="Times New Roman" w:eastAsia="Times New Roman" w:hAnsi="Times New Roman" w:cs="Times New Roman"/>
      <w:b/>
      <w:bCs/>
      <w:lang w:val="fr-FR" w:eastAsia="en-IE"/>
      <w14:ligatures w14:val="none"/>
    </w:rPr>
  </w:style>
  <w:style w:type="character" w:customStyle="1" w:styleId="Heading5Char">
    <w:name w:val="Heading 5 Char"/>
    <w:basedOn w:val="DefaultParagraphFont"/>
    <w:link w:val="Heading5"/>
    <w:semiHidden/>
    <w:rPr>
      <w:rFonts w:asciiTheme="majorHAnsi" w:eastAsiaTheme="majorEastAsia" w:hAnsiTheme="majorHAnsi" w:cstheme="majorBidi"/>
      <w:color w:val="2F5496" w:themeColor="accent1" w:themeShade="BF"/>
      <w:sz w:val="24"/>
      <w:szCs w:val="24"/>
      <w:lang w:val="fr-FR" w:eastAsia="en-IE"/>
      <w14:ligatures w14:val="none"/>
    </w:rPr>
  </w:style>
  <w:style w:type="character" w:customStyle="1" w:styleId="Heading6Char">
    <w:name w:val="Heading 6 Char"/>
    <w:basedOn w:val="DefaultParagraphFont"/>
    <w:link w:val="Heading6"/>
    <w:semiHidden/>
    <w:rPr>
      <w:rFonts w:asciiTheme="majorHAnsi" w:eastAsiaTheme="majorEastAsia" w:hAnsiTheme="majorHAnsi" w:cstheme="majorBidi"/>
      <w:color w:val="1F3763" w:themeColor="accent1" w:themeShade="7F"/>
      <w:sz w:val="24"/>
      <w:szCs w:val="24"/>
      <w:lang w:val="fr-FR" w:eastAsia="en-IE"/>
      <w14:ligatures w14:val="none"/>
    </w:rPr>
  </w:style>
  <w:style w:type="character" w:customStyle="1" w:styleId="Heading7Char">
    <w:name w:val="Heading 7 Char"/>
    <w:basedOn w:val="DefaultParagraphFont"/>
    <w:link w:val="Heading7"/>
    <w:semiHidden/>
    <w:rPr>
      <w:rFonts w:asciiTheme="majorHAnsi" w:eastAsiaTheme="majorEastAsia" w:hAnsiTheme="majorHAnsi" w:cstheme="majorBidi"/>
      <w:i/>
      <w:iCs/>
      <w:color w:val="1F3763" w:themeColor="accent1" w:themeShade="7F"/>
      <w:sz w:val="24"/>
      <w:szCs w:val="24"/>
      <w:lang w:val="fr-FR" w:eastAsia="en-IE"/>
      <w14:ligatures w14:val="none"/>
    </w:rPr>
  </w:style>
  <w:style w:type="character" w:customStyle="1" w:styleId="Heading8Char">
    <w:name w:val="Heading 8 Char"/>
    <w:basedOn w:val="DefaultParagraphFont"/>
    <w:link w:val="Heading8"/>
    <w:semiHidden/>
    <w:rPr>
      <w:rFonts w:asciiTheme="majorHAnsi" w:eastAsiaTheme="majorEastAsia" w:hAnsiTheme="majorHAnsi" w:cstheme="majorBidi"/>
      <w:color w:val="272727" w:themeColor="text1" w:themeTint="D8"/>
      <w:sz w:val="21"/>
      <w:szCs w:val="21"/>
      <w:lang w:val="fr-FR" w:eastAsia="en-IE"/>
      <w14:ligatures w14:val="none"/>
    </w:rPr>
  </w:style>
  <w:style w:type="character" w:customStyle="1" w:styleId="Heading9Char">
    <w:name w:val="Heading 9 Char"/>
    <w:basedOn w:val="DefaultParagraphFont"/>
    <w:link w:val="Heading9"/>
    <w:semiHidden/>
    <w:rPr>
      <w:rFonts w:asciiTheme="majorHAnsi" w:eastAsiaTheme="majorEastAsia" w:hAnsiTheme="majorHAnsi" w:cstheme="majorBidi"/>
      <w:i/>
      <w:iCs/>
      <w:color w:val="272727" w:themeColor="text1" w:themeTint="D8"/>
      <w:sz w:val="21"/>
      <w:szCs w:val="21"/>
      <w:lang w:val="fr-FR" w:eastAsia="en-IE"/>
      <w14:ligatures w14:val="none"/>
    </w:rPr>
  </w:style>
  <w:style w:type="character" w:styleId="Emphasis">
    <w:name w:val="Emphasis"/>
    <w:basedOn w:val="DefaultParagraphFont"/>
    <w:uiPriority w:val="20"/>
    <w:qFormat/>
    <w:rPr>
      <w:i/>
      <w:iCs/>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link w:val="ListParagraph"/>
    <w:uiPriority w:val="34"/>
    <w:qFormat/>
    <w:locked/>
    <w:rPr>
      <w:rFonts w:ascii="Calibri" w:hAnsi="Calibri" w:cs="Calibri"/>
      <w:lang w:val="fr-FR"/>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NumPar">
    <w:name w:val="LegalNumPar"/>
    <w:basedOn w:val="Normal"/>
    <w:pPr>
      <w:numPr>
        <w:numId w:val="3"/>
      </w:numPr>
      <w:spacing w:line="360" w:lineRule="auto"/>
    </w:pPr>
  </w:style>
  <w:style w:type="paragraph" w:customStyle="1" w:styleId="LegalNumPar2">
    <w:name w:val="LegalNumPar2"/>
    <w:basedOn w:val="Normal"/>
    <w:pPr>
      <w:numPr>
        <w:ilvl w:val="1"/>
        <w:numId w:val="3"/>
      </w:numPr>
      <w:spacing w:line="360" w:lineRule="auto"/>
    </w:pPr>
  </w:style>
  <w:style w:type="paragraph" w:customStyle="1" w:styleId="LegalNumPar3">
    <w:name w:val="LegalNumPar3"/>
    <w:basedOn w:val="Normal"/>
    <w:pPr>
      <w:numPr>
        <w:ilvl w:val="2"/>
        <w:numId w:val="3"/>
      </w:numPr>
      <w:spacing w:line="360" w:lineRule="auto"/>
    </w:pPr>
  </w:style>
  <w:style w:type="paragraph" w:customStyle="1" w:styleId="Body">
    <w:name w:val="Body"/>
    <w:pPr>
      <w:pBdr>
        <w:top w:val="nil"/>
        <w:left w:val="nil"/>
        <w:bottom w:val="nil"/>
        <w:right w:val="nil"/>
        <w:between w:val="nil"/>
        <w:bar w:val="nil"/>
      </w:pBdr>
      <w:spacing w:after="200"/>
    </w:pPr>
    <w:rPr>
      <w:rFonts w:ascii="Calibri" w:eastAsia="Arial Unicode MS" w:hAnsi="Calibri" w:cs="Arial Unicode MS"/>
      <w:color w:val="000000"/>
      <w:u w:color="000000"/>
      <w:bdr w:val="nil"/>
      <w:lang w:eastAsia="en-IE"/>
      <w14:ligatures w14:val="none"/>
    </w:rPr>
  </w:style>
  <w:style w:type="character" w:customStyle="1" w:styleId="Mention1">
    <w:name w:val="Mention1"/>
    <w:basedOn w:val="DefaultParagraphFont"/>
    <w:uiPriority w:val="99"/>
    <w:unhideWhenUsed/>
    <w:rPr>
      <w:color w:val="2B579A"/>
      <w:shd w:val="clear" w:color="auto" w:fill="E1DFDD"/>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Heading">
    <w:name w:val="TOC Heading"/>
    <w:basedOn w:val="Heading1"/>
    <w:next w:val="Normal"/>
    <w:uiPriority w:val="39"/>
    <w:unhideWhenUsed/>
    <w:qFormat/>
    <w:pPr>
      <w:keepLines/>
      <w:numPr>
        <w:numId w:val="0"/>
      </w:numPr>
      <w:pBdr>
        <w:top w:val="none" w:sz="0" w:space="0" w:color="auto"/>
        <w:left w:val="none" w:sz="0" w:space="0" w:color="auto"/>
        <w:bottom w:val="none" w:sz="0" w:space="0" w:color="auto"/>
        <w:right w:val="none" w:sz="0" w:space="0" w:color="auto"/>
        <w:between w:val="none" w:sz="0" w:space="0" w:color="auto"/>
        <w:bar w:val="none" w:sz="0" w:color="auto"/>
      </w:pBdr>
      <w:spacing w:before="240" w:after="0" w:line="259" w:lineRule="auto"/>
      <w:outlineLvl w:val="9"/>
    </w:pPr>
    <w:rPr>
      <w:rFonts w:asciiTheme="majorHAnsi" w:eastAsiaTheme="majorEastAsia" w:hAnsiTheme="majorHAnsi" w:cstheme="majorBidi"/>
      <w:b w:val="0"/>
      <w:bCs w:val="0"/>
      <w:smallCaps w:val="0"/>
      <w:noProof w:val="0"/>
      <w:color w:val="2F5496" w:themeColor="accent1" w:themeShade="BF"/>
      <w:sz w:val="32"/>
      <w:szCs w:val="32"/>
      <w:bdr w:val="none" w:sz="0" w:space="0" w:color="auto"/>
      <w:lang w:eastAsia="en-US"/>
    </w:rPr>
  </w:style>
  <w:style w:type="paragraph" w:styleId="TOC1">
    <w:name w:val="toc 1"/>
    <w:basedOn w:val="Normal"/>
    <w:next w:val="Normal"/>
    <w:autoRedefine/>
    <w:uiPriority w:val="39"/>
    <w:unhideWhenUsed/>
    <w:pPr>
      <w:tabs>
        <w:tab w:val="left" w:pos="440"/>
        <w:tab w:val="right" w:leader="dot" w:pos="9350"/>
      </w:tabs>
      <w:spacing w:before="240" w:beforeAutospacing="0" w:after="240" w:afterAutospacing="0"/>
      <w:jc w:val="left"/>
    </w:pPr>
    <w:rPr>
      <w:b/>
      <w:bCs/>
      <w:noProof/>
      <w:sz w:val="22"/>
      <w:szCs w:val="28"/>
    </w:rPr>
  </w:style>
  <w:style w:type="paragraph" w:styleId="TOC2">
    <w:name w:val="toc 2"/>
    <w:basedOn w:val="Normal"/>
    <w:next w:val="Normal"/>
    <w:autoRedefine/>
    <w:uiPriority w:val="39"/>
    <w:unhideWhenUsed/>
    <w:pPr>
      <w:tabs>
        <w:tab w:val="left" w:pos="880"/>
        <w:tab w:val="right" w:leader="dot" w:pos="9350"/>
      </w:tabs>
      <w:spacing w:before="200" w:beforeAutospacing="0" w:after="200" w:afterAutospacing="0"/>
      <w:ind w:left="221"/>
    </w:pPr>
    <w:rPr>
      <w:bCs/>
      <w:noProof/>
      <w:sz w:val="22"/>
    </w:rPr>
  </w:style>
  <w:style w:type="paragraph" w:styleId="TOC3">
    <w:name w:val="toc 3"/>
    <w:basedOn w:val="Normal"/>
    <w:next w:val="Normal"/>
    <w:autoRedefine/>
    <w:uiPriority w:val="39"/>
    <w:unhideWhenUsed/>
    <w:pPr>
      <w:spacing w:before="0" w:beforeAutospacing="0" w:after="0" w:afterAutospacing="0"/>
      <w:ind w:left="442"/>
      <w:jc w:val="left"/>
    </w:pPr>
    <w:rPr>
      <w:rFonts w:eastAsiaTheme="minorEastAsia"/>
      <w:i/>
      <w:sz w:val="22"/>
      <w:szCs w:val="22"/>
      <w:lang w:eastAsia="en-US"/>
    </w:rPr>
  </w:style>
  <w:style w:type="paragraph" w:customStyle="1" w:styleId="Action">
    <w:name w:val="Action"/>
    <w:basedOn w:val="Heading3"/>
    <w:next w:val="List"/>
    <w:qFormat/>
    <w:pPr>
      <w:spacing w:before="240" w:beforeAutospacing="0"/>
      <w:ind w:left="0" w:firstLine="0"/>
      <w:jc w:val="left"/>
    </w:pPr>
    <w:rPr>
      <w:rFonts w:ascii="Times New Roman" w:hAnsi="Times New Roman"/>
      <w:b/>
      <w:i/>
      <w:color w:val="auto"/>
      <w:u w:val="single"/>
    </w:rPr>
  </w:style>
  <w:style w:type="paragraph" w:styleId="List">
    <w:name w:val="List"/>
    <w:basedOn w:val="Normal"/>
    <w:uiPriority w:val="99"/>
    <w:semiHidden/>
    <w:unhideWhenUsed/>
    <w:pPr>
      <w:ind w:left="283" w:hanging="283"/>
      <w:contextualSpacing/>
    </w:pPr>
  </w:style>
  <w:style w:type="paragraph" w:styleId="Title">
    <w:name w:val="Title"/>
    <w:basedOn w:val="Normal"/>
    <w:next w:val="Normal"/>
    <w:link w:val="TitleChar"/>
    <w:uiPriority w:val="10"/>
    <w:qFormat/>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fr-FR" w:eastAsia="en-IE"/>
      <w14:ligatures w14:val="none"/>
    </w:rPr>
  </w:style>
  <w:style w:type="paragraph" w:styleId="Caption">
    <w:name w:val="caption"/>
    <w:basedOn w:val="Normal"/>
    <w:next w:val="Normal"/>
    <w:uiPriority w:val="35"/>
    <w:unhideWhenUsed/>
    <w:qFormat/>
    <w:pPr>
      <w:spacing w:before="0" w:after="200"/>
    </w:pPr>
    <w:rPr>
      <w:i/>
      <w:iCs/>
      <w:color w:val="44546A" w:themeColor="text2"/>
      <w:sz w:val="18"/>
      <w:szCs w:val="18"/>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link w:val="PagedecouvertureChar"/>
    <w:pPr>
      <w:spacing w:before="0" w:beforeAutospacing="0" w:after="0" w:afterAutospacing="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Pr>
      <w:rFonts w:ascii="Times New Roman" w:hAnsi="Times New Roman" w:cs="Times New Roman"/>
      <w:sz w:val="24"/>
      <w:lang w:val="fr-FR"/>
      <w14:ligatures w14:val="none"/>
    </w:rPr>
  </w:style>
  <w:style w:type="character" w:customStyle="1" w:styleId="FooterCoverPageChar">
    <w:name w:val="Footer Cover Page Char"/>
    <w:basedOn w:val="PagedecouvertureChar"/>
    <w:link w:val="FooterCoverPage"/>
    <w:rPr>
      <w:rFonts w:ascii="Times New Roman" w:eastAsia="Times New Roman" w:hAnsi="Times New Roman" w:cs="Times New Roman"/>
      <w:sz w:val="24"/>
      <w:szCs w:val="24"/>
      <w:lang w:val="fr-FR" w:eastAsia="en-IE"/>
      <w14:ligatures w14:val="non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Pr>
      <w:rFonts w:ascii="Times New Roman" w:eastAsia="Times New Roman" w:hAnsi="Times New Roman" w:cs="Times New Roman"/>
      <w:b/>
      <w:sz w:val="32"/>
      <w:szCs w:val="24"/>
      <w:lang w:val="fr-FR" w:eastAsia="en-IE"/>
      <w14:ligatures w14:val="none"/>
    </w:rPr>
  </w:style>
  <w:style w:type="paragraph" w:customStyle="1" w:styleId="HeaderCoverPage">
    <w:name w:val="Header Cover Page"/>
    <w:basedOn w:val="Normal"/>
    <w:link w:val="HeaderCoverPageChar"/>
    <w:pPr>
      <w:tabs>
        <w:tab w:val="center" w:pos="4535"/>
        <w:tab w:val="right" w:pos="9071"/>
      </w:tabs>
      <w:spacing w:before="0" w:after="120"/>
    </w:pPr>
  </w:style>
  <w:style w:type="character" w:customStyle="1" w:styleId="HeaderCoverPageChar">
    <w:name w:val="Header Cover Page Char"/>
    <w:basedOn w:val="PagedecouvertureChar"/>
    <w:link w:val="HeaderCoverPage"/>
    <w:rPr>
      <w:rFonts w:ascii="Times New Roman" w:eastAsia="Times New Roman" w:hAnsi="Times New Roman" w:cs="Times New Roman"/>
      <w:sz w:val="24"/>
      <w:szCs w:val="24"/>
      <w:lang w:val="fr-FR" w:eastAsia="en-IE"/>
      <w14:ligatures w14:val="non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before="0" w:after="120"/>
      <w:ind w:left="113" w:right="113"/>
      <w:jc w:val="center"/>
    </w:pPr>
    <w:rPr>
      <w:b/>
      <w:sz w:val="32"/>
    </w:rPr>
  </w:style>
  <w:style w:type="character" w:customStyle="1" w:styleId="HeaderSensitivityChar">
    <w:name w:val="Header Sensitivity Char"/>
    <w:basedOn w:val="PagedecouvertureChar"/>
    <w:link w:val="HeaderSensitivity"/>
    <w:rPr>
      <w:rFonts w:ascii="Times New Roman" w:eastAsia="Times New Roman" w:hAnsi="Times New Roman" w:cs="Times New Roman"/>
      <w:b/>
      <w:sz w:val="32"/>
      <w:szCs w:val="24"/>
      <w:lang w:val="fr-FR" w:eastAsia="en-IE"/>
      <w14:ligatures w14:val="none"/>
    </w:rPr>
  </w:style>
  <w:style w:type="paragraph" w:customStyle="1" w:styleId="HeaderSensitivityRight">
    <w:name w:val="Header Sensitivity Right"/>
    <w:basedOn w:val="Normal"/>
    <w:link w:val="HeaderSensitivityRightChar"/>
    <w:pPr>
      <w:spacing w:before="0" w:beforeAutospacing="0" w:after="120" w:afterAutospacing="0"/>
      <w:jc w:val="right"/>
    </w:pPr>
    <w:rPr>
      <w:sz w:val="28"/>
    </w:rPr>
  </w:style>
  <w:style w:type="character" w:customStyle="1" w:styleId="HeaderSensitivityRightChar">
    <w:name w:val="Header Sensitivity Right Char"/>
    <w:basedOn w:val="PagedecouvertureChar"/>
    <w:link w:val="HeaderSensitivityRight"/>
    <w:rPr>
      <w:rFonts w:ascii="Times New Roman" w:eastAsia="Times New Roman" w:hAnsi="Times New Roman" w:cs="Times New Roman"/>
      <w:sz w:val="28"/>
      <w:szCs w:val="24"/>
      <w:lang w:val="fr-FR" w:eastAsia="en-IE"/>
      <w14:ligatures w14:val="none"/>
    </w:rPr>
  </w:style>
  <w:style w:type="character" w:customStyle="1" w:styleId="wacimagecontainer">
    <w:name w:val="wacimagecontainer"/>
    <w:basedOn w:val="DefaultParagraphFont"/>
  </w:style>
  <w:style w:type="paragraph" w:customStyle="1" w:styleId="pf0">
    <w:name w:val="pf0"/>
    <w:basedOn w:val="Normal"/>
    <w:pPr>
      <w:jc w:val="left"/>
    </w:pPr>
  </w:style>
  <w:style w:type="character" w:customStyle="1" w:styleId="cf01">
    <w:name w:val="cf01"/>
    <w:basedOn w:val="DefaultParagraphFont"/>
    <w:rPr>
      <w:rFonts w:ascii="Segoe UI" w:hAnsi="Segoe UI" w:cs="Segoe UI" w:hint="default"/>
      <w:sz w:val="18"/>
      <w:szCs w:val="18"/>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eastAsia="Times New Roman" w:hAnsi="Times New Roman" w:cs="Times New Roman"/>
      <w:sz w:val="20"/>
      <w:szCs w:val="20"/>
      <w:lang w:val="fr-FR" w:eastAsia="en-IE"/>
      <w14:ligatures w14:val="none"/>
    </w:rPr>
  </w:style>
  <w:style w:type="character" w:styleId="EndnoteReference">
    <w:name w:val="endnote reference"/>
    <w:basedOn w:val="DefaultParagraphFont"/>
    <w:uiPriority w:val="99"/>
    <w:semiHidden/>
    <w:unhideWhenUsed/>
    <w:rPr>
      <w:vertAlign w:val="superscript"/>
    </w:rPr>
  </w:style>
  <w:style w:type="character" w:customStyle="1" w:styleId="scxw102752301">
    <w:name w:val="scxw102752301"/>
    <w:basedOn w:val="DefaultParagraphFont"/>
  </w:style>
  <w:style w:type="table" w:styleId="GridTable5Dark-Accent1">
    <w:name w:val="Grid Table 5 Dark Accent 1"/>
    <w:basedOn w:val="Table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beforeAutospacing="0" w:after="120" w:afterAutospacing="0"/>
    </w:pPr>
    <w:rPr>
      <w:rFonts w:eastAsiaTheme="minorHAnsi"/>
      <w:szCs w:val="22"/>
      <w:lang w:eastAsia="en-US"/>
    </w:rPr>
  </w:style>
  <w:style w:type="paragraph" w:customStyle="1" w:styleId="SecurityMarking">
    <w:name w:val="SecurityMarking"/>
    <w:basedOn w:val="Normal"/>
    <w:pPr>
      <w:spacing w:before="0" w:beforeAutospacing="0" w:after="0" w:afterAutospacing="0" w:line="276" w:lineRule="auto"/>
      <w:ind w:left="5103"/>
      <w:jc w:val="left"/>
    </w:pPr>
    <w:rPr>
      <w:rFonts w:eastAsiaTheme="minorHAnsi"/>
      <w:sz w:val="28"/>
      <w:szCs w:val="22"/>
      <w:lang w:eastAsia="en-US"/>
    </w:rPr>
  </w:style>
  <w:style w:type="paragraph" w:customStyle="1" w:styleId="DateMarking">
    <w:name w:val="DateMarking"/>
    <w:basedOn w:val="Normal"/>
    <w:pPr>
      <w:spacing w:before="0" w:beforeAutospacing="0" w:after="0" w:afterAutospacing="0" w:line="276" w:lineRule="auto"/>
      <w:ind w:left="5103"/>
      <w:jc w:val="left"/>
    </w:pPr>
    <w:rPr>
      <w:rFonts w:eastAsiaTheme="minorHAnsi"/>
      <w:i/>
      <w:sz w:val="28"/>
      <w:szCs w:val="22"/>
      <w:lang w:eastAsia="en-US"/>
    </w:rPr>
  </w:style>
  <w:style w:type="paragraph" w:customStyle="1" w:styleId="ReleasableTo">
    <w:name w:val="ReleasableTo"/>
    <w:basedOn w:val="Normal"/>
    <w:pPr>
      <w:spacing w:before="0" w:beforeAutospacing="0" w:after="0" w:afterAutospacing="0" w:line="276" w:lineRule="auto"/>
      <w:ind w:left="5103"/>
      <w:jc w:val="left"/>
    </w:pPr>
    <w:rPr>
      <w:rFonts w:eastAsiaTheme="minorHAnsi"/>
      <w:i/>
      <w:sz w:val="28"/>
      <w:szCs w:val="22"/>
      <w:lang w:eastAsia="en-US"/>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customStyle="1" w:styleId="Languesfaisantfoi">
    <w:name w:val="Langues faisant foi"/>
    <w:basedOn w:val="Normal"/>
    <w:next w:val="Normal"/>
    <w:pPr>
      <w:spacing w:before="360" w:beforeAutospacing="0" w:after="240" w:afterAutospacing="0"/>
      <w:jc w:val="center"/>
    </w:pPr>
    <w:rPr>
      <w:rFonts w:eastAsiaTheme="minorHAnsi"/>
      <w:szCs w:val="22"/>
      <w:lang w:eastAsia="en-US"/>
    </w:rPr>
  </w:style>
  <w:style w:type="paragraph" w:customStyle="1" w:styleId="LanguesfaisantfoiPagedecouverture">
    <w:name w:val="Langues faisant foi (Page de couverture)"/>
    <w:basedOn w:val="Normal"/>
    <w:next w:val="Normal"/>
    <w:pPr>
      <w:spacing w:before="360" w:beforeAutospacing="0" w:after="240" w:afterAutospacing="0"/>
      <w:jc w:val="center"/>
    </w:pPr>
    <w:rPr>
      <w:rFonts w:eastAsiaTheme="minorHAnsi"/>
      <w:szCs w:val="22"/>
      <w:lang w:eastAsia="en-US"/>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 w:type="paragraph" w:styleId="Subtitle">
    <w:name w:val="Subtitle"/>
    <w:basedOn w:val="Normal"/>
    <w:next w:val="Normal"/>
    <w:link w:val="SubtitleChar"/>
    <w:uiPriority w:val="11"/>
    <w:qFormat/>
    <w:pPr>
      <w:numPr>
        <w:ilvl w:val="1"/>
      </w:numPr>
      <w:spacing w:before="0" w:beforeAutospacing="0" w:after="160" w:afterAutospacing="0" w:line="278" w:lineRule="auto"/>
      <w:jc w:val="left"/>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kern w:val="2"/>
      <w:sz w:val="28"/>
      <w:szCs w:val="28"/>
      <w:lang w:val="fr-FR"/>
    </w:rPr>
  </w:style>
  <w:style w:type="paragraph" w:styleId="Quote">
    <w:name w:val="Quote"/>
    <w:basedOn w:val="Normal"/>
    <w:next w:val="Normal"/>
    <w:link w:val="QuoteChar"/>
    <w:uiPriority w:val="29"/>
    <w:qFormat/>
    <w:pPr>
      <w:spacing w:before="160" w:beforeAutospacing="0" w:after="160" w:afterAutospacing="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Pr>
      <w:i/>
      <w:iCs/>
      <w:color w:val="404040" w:themeColor="text1" w:themeTint="BF"/>
      <w:kern w:val="2"/>
      <w:sz w:val="24"/>
      <w:szCs w:val="24"/>
      <w:lang w:val="fr-FR"/>
    </w:r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beforeAutospacing="0" w:after="360" w:afterAutospacing="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Pr>
      <w:i/>
      <w:iCs/>
      <w:color w:val="2F5496" w:themeColor="accent1" w:themeShade="BF"/>
      <w:kern w:val="2"/>
      <w:sz w:val="24"/>
      <w:szCs w:val="24"/>
      <w:lang w:val="fr-FR"/>
    </w:rPr>
  </w:style>
  <w:style w:type="character" w:styleId="IntenseReference">
    <w:name w:val="Intense Reference"/>
    <w:basedOn w:val="DefaultParagraphFont"/>
    <w:uiPriority w:val="32"/>
    <w:qFormat/>
    <w:rPr>
      <w:b/>
      <w:bCs/>
      <w:smallCaps/>
      <w:color w:val="2F5496" w:themeColor="accent1" w:themeShade="BF"/>
      <w:spacing w:val="5"/>
    </w:rPr>
  </w:style>
  <w:style w:type="paragraph" w:customStyle="1" w:styleId="CharCharChar">
    <w:name w:val="Char Char Char"/>
    <w:basedOn w:val="Normal"/>
    <w:link w:val="FootnoteReference"/>
    <w:uiPriority w:val="99"/>
    <w:qFormat/>
    <w:pPr>
      <w:spacing w:before="0" w:beforeAutospacing="0" w:after="160" w:afterAutospacing="0" w:line="240" w:lineRule="exact"/>
      <w:jc w:val="left"/>
    </w:pPr>
    <w:rPr>
      <w:rFonts w:asciiTheme="minorHAnsi" w:eastAsiaTheme="minorHAnsi" w:hAnsiTheme="minorHAnsi" w:cstheme="minorBidi"/>
      <w:sz w:val="22"/>
      <w:szCs w:val="22"/>
      <w:vertAlign w:val="superscript"/>
      <w:lang w:eastAsia="en-US"/>
      <w14:ligatures w14:val="standardContextual"/>
    </w:rPr>
  </w:style>
  <w:style w:type="character" w:customStyle="1" w:styleId="CommentTextChar1">
    <w:name w:val="Comment Text Char1"/>
    <w:basedOn w:val="DefaultParagraphFont"/>
    <w:link w:val="CommentText"/>
    <w:uiPriority w:val="99"/>
    <w:rPr>
      <w:rFonts w:ascii="Times New Roman" w:eastAsia="Times New Roman" w:hAnsi="Times New Roman" w:cs="Times New Roman"/>
      <w:sz w:val="20"/>
      <w:szCs w:val="20"/>
      <w:lang w:val="fr-FR" w:eastAsia="en-IE"/>
      <w14:ligatures w14:val="none"/>
    </w:rPr>
  </w:style>
  <w:style w:type="character" w:customStyle="1" w:styleId="Mention">
    <w:name w:val="Mention"/>
    <w:basedOn w:val="DefaultParagraphFont"/>
    <w:uiPriority w:val="99"/>
    <w:unhideWhenUse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13386">
      <w:bodyDiv w:val="1"/>
      <w:marLeft w:val="0"/>
      <w:marRight w:val="0"/>
      <w:marTop w:val="0"/>
      <w:marBottom w:val="0"/>
      <w:divBdr>
        <w:top w:val="none" w:sz="0" w:space="0" w:color="auto"/>
        <w:left w:val="none" w:sz="0" w:space="0" w:color="auto"/>
        <w:bottom w:val="none" w:sz="0" w:space="0" w:color="auto"/>
        <w:right w:val="none" w:sz="0" w:space="0" w:color="auto"/>
      </w:divBdr>
    </w:div>
    <w:div w:id="31270286">
      <w:bodyDiv w:val="1"/>
      <w:marLeft w:val="0"/>
      <w:marRight w:val="0"/>
      <w:marTop w:val="0"/>
      <w:marBottom w:val="0"/>
      <w:divBdr>
        <w:top w:val="none" w:sz="0" w:space="0" w:color="auto"/>
        <w:left w:val="none" w:sz="0" w:space="0" w:color="auto"/>
        <w:bottom w:val="none" w:sz="0" w:space="0" w:color="auto"/>
        <w:right w:val="none" w:sz="0" w:space="0" w:color="auto"/>
      </w:divBdr>
    </w:div>
    <w:div w:id="42559275">
      <w:bodyDiv w:val="1"/>
      <w:marLeft w:val="0"/>
      <w:marRight w:val="0"/>
      <w:marTop w:val="0"/>
      <w:marBottom w:val="0"/>
      <w:divBdr>
        <w:top w:val="none" w:sz="0" w:space="0" w:color="auto"/>
        <w:left w:val="none" w:sz="0" w:space="0" w:color="auto"/>
        <w:bottom w:val="none" w:sz="0" w:space="0" w:color="auto"/>
        <w:right w:val="none" w:sz="0" w:space="0" w:color="auto"/>
      </w:divBdr>
    </w:div>
    <w:div w:id="58022929">
      <w:bodyDiv w:val="1"/>
      <w:marLeft w:val="0"/>
      <w:marRight w:val="0"/>
      <w:marTop w:val="0"/>
      <w:marBottom w:val="0"/>
      <w:divBdr>
        <w:top w:val="none" w:sz="0" w:space="0" w:color="auto"/>
        <w:left w:val="none" w:sz="0" w:space="0" w:color="auto"/>
        <w:bottom w:val="none" w:sz="0" w:space="0" w:color="auto"/>
        <w:right w:val="none" w:sz="0" w:space="0" w:color="auto"/>
      </w:divBdr>
    </w:div>
    <w:div w:id="59065993">
      <w:bodyDiv w:val="1"/>
      <w:marLeft w:val="0"/>
      <w:marRight w:val="0"/>
      <w:marTop w:val="0"/>
      <w:marBottom w:val="0"/>
      <w:divBdr>
        <w:top w:val="none" w:sz="0" w:space="0" w:color="auto"/>
        <w:left w:val="none" w:sz="0" w:space="0" w:color="auto"/>
        <w:bottom w:val="none" w:sz="0" w:space="0" w:color="auto"/>
        <w:right w:val="none" w:sz="0" w:space="0" w:color="auto"/>
      </w:divBdr>
    </w:div>
    <w:div w:id="64226883">
      <w:bodyDiv w:val="1"/>
      <w:marLeft w:val="0"/>
      <w:marRight w:val="0"/>
      <w:marTop w:val="0"/>
      <w:marBottom w:val="0"/>
      <w:divBdr>
        <w:top w:val="none" w:sz="0" w:space="0" w:color="auto"/>
        <w:left w:val="none" w:sz="0" w:space="0" w:color="auto"/>
        <w:bottom w:val="none" w:sz="0" w:space="0" w:color="auto"/>
        <w:right w:val="none" w:sz="0" w:space="0" w:color="auto"/>
      </w:divBdr>
    </w:div>
    <w:div w:id="66222864">
      <w:bodyDiv w:val="1"/>
      <w:marLeft w:val="0"/>
      <w:marRight w:val="0"/>
      <w:marTop w:val="0"/>
      <w:marBottom w:val="0"/>
      <w:divBdr>
        <w:top w:val="none" w:sz="0" w:space="0" w:color="auto"/>
        <w:left w:val="none" w:sz="0" w:space="0" w:color="auto"/>
        <w:bottom w:val="none" w:sz="0" w:space="0" w:color="auto"/>
        <w:right w:val="none" w:sz="0" w:space="0" w:color="auto"/>
      </w:divBdr>
    </w:div>
    <w:div w:id="81418311">
      <w:bodyDiv w:val="1"/>
      <w:marLeft w:val="0"/>
      <w:marRight w:val="0"/>
      <w:marTop w:val="0"/>
      <w:marBottom w:val="0"/>
      <w:divBdr>
        <w:top w:val="none" w:sz="0" w:space="0" w:color="auto"/>
        <w:left w:val="none" w:sz="0" w:space="0" w:color="auto"/>
        <w:bottom w:val="none" w:sz="0" w:space="0" w:color="auto"/>
        <w:right w:val="none" w:sz="0" w:space="0" w:color="auto"/>
      </w:divBdr>
    </w:div>
    <w:div w:id="92358964">
      <w:bodyDiv w:val="1"/>
      <w:marLeft w:val="0"/>
      <w:marRight w:val="0"/>
      <w:marTop w:val="0"/>
      <w:marBottom w:val="0"/>
      <w:divBdr>
        <w:top w:val="none" w:sz="0" w:space="0" w:color="auto"/>
        <w:left w:val="none" w:sz="0" w:space="0" w:color="auto"/>
        <w:bottom w:val="none" w:sz="0" w:space="0" w:color="auto"/>
        <w:right w:val="none" w:sz="0" w:space="0" w:color="auto"/>
      </w:divBdr>
    </w:div>
    <w:div w:id="92359888">
      <w:bodyDiv w:val="1"/>
      <w:marLeft w:val="0"/>
      <w:marRight w:val="0"/>
      <w:marTop w:val="0"/>
      <w:marBottom w:val="0"/>
      <w:divBdr>
        <w:top w:val="none" w:sz="0" w:space="0" w:color="auto"/>
        <w:left w:val="none" w:sz="0" w:space="0" w:color="auto"/>
        <w:bottom w:val="none" w:sz="0" w:space="0" w:color="auto"/>
        <w:right w:val="none" w:sz="0" w:space="0" w:color="auto"/>
      </w:divBdr>
    </w:div>
    <w:div w:id="93745459">
      <w:bodyDiv w:val="1"/>
      <w:marLeft w:val="0"/>
      <w:marRight w:val="0"/>
      <w:marTop w:val="0"/>
      <w:marBottom w:val="0"/>
      <w:divBdr>
        <w:top w:val="none" w:sz="0" w:space="0" w:color="auto"/>
        <w:left w:val="none" w:sz="0" w:space="0" w:color="auto"/>
        <w:bottom w:val="none" w:sz="0" w:space="0" w:color="auto"/>
        <w:right w:val="none" w:sz="0" w:space="0" w:color="auto"/>
      </w:divBdr>
    </w:div>
    <w:div w:id="108865692">
      <w:bodyDiv w:val="1"/>
      <w:marLeft w:val="0"/>
      <w:marRight w:val="0"/>
      <w:marTop w:val="0"/>
      <w:marBottom w:val="0"/>
      <w:divBdr>
        <w:top w:val="none" w:sz="0" w:space="0" w:color="auto"/>
        <w:left w:val="none" w:sz="0" w:space="0" w:color="auto"/>
        <w:bottom w:val="none" w:sz="0" w:space="0" w:color="auto"/>
        <w:right w:val="none" w:sz="0" w:space="0" w:color="auto"/>
      </w:divBdr>
    </w:div>
    <w:div w:id="141310569">
      <w:bodyDiv w:val="1"/>
      <w:marLeft w:val="0"/>
      <w:marRight w:val="0"/>
      <w:marTop w:val="0"/>
      <w:marBottom w:val="0"/>
      <w:divBdr>
        <w:top w:val="none" w:sz="0" w:space="0" w:color="auto"/>
        <w:left w:val="none" w:sz="0" w:space="0" w:color="auto"/>
        <w:bottom w:val="none" w:sz="0" w:space="0" w:color="auto"/>
        <w:right w:val="none" w:sz="0" w:space="0" w:color="auto"/>
      </w:divBdr>
    </w:div>
    <w:div w:id="151069076">
      <w:bodyDiv w:val="1"/>
      <w:marLeft w:val="0"/>
      <w:marRight w:val="0"/>
      <w:marTop w:val="0"/>
      <w:marBottom w:val="0"/>
      <w:divBdr>
        <w:top w:val="none" w:sz="0" w:space="0" w:color="auto"/>
        <w:left w:val="none" w:sz="0" w:space="0" w:color="auto"/>
        <w:bottom w:val="none" w:sz="0" w:space="0" w:color="auto"/>
        <w:right w:val="none" w:sz="0" w:space="0" w:color="auto"/>
      </w:divBdr>
    </w:div>
    <w:div w:id="175048247">
      <w:bodyDiv w:val="1"/>
      <w:marLeft w:val="0"/>
      <w:marRight w:val="0"/>
      <w:marTop w:val="0"/>
      <w:marBottom w:val="0"/>
      <w:divBdr>
        <w:top w:val="none" w:sz="0" w:space="0" w:color="auto"/>
        <w:left w:val="none" w:sz="0" w:space="0" w:color="auto"/>
        <w:bottom w:val="none" w:sz="0" w:space="0" w:color="auto"/>
        <w:right w:val="none" w:sz="0" w:space="0" w:color="auto"/>
      </w:divBdr>
    </w:div>
    <w:div w:id="178814732">
      <w:bodyDiv w:val="1"/>
      <w:marLeft w:val="0"/>
      <w:marRight w:val="0"/>
      <w:marTop w:val="0"/>
      <w:marBottom w:val="0"/>
      <w:divBdr>
        <w:top w:val="none" w:sz="0" w:space="0" w:color="auto"/>
        <w:left w:val="none" w:sz="0" w:space="0" w:color="auto"/>
        <w:bottom w:val="none" w:sz="0" w:space="0" w:color="auto"/>
        <w:right w:val="none" w:sz="0" w:space="0" w:color="auto"/>
      </w:divBdr>
    </w:div>
    <w:div w:id="178858958">
      <w:bodyDiv w:val="1"/>
      <w:marLeft w:val="0"/>
      <w:marRight w:val="0"/>
      <w:marTop w:val="0"/>
      <w:marBottom w:val="0"/>
      <w:divBdr>
        <w:top w:val="none" w:sz="0" w:space="0" w:color="auto"/>
        <w:left w:val="none" w:sz="0" w:space="0" w:color="auto"/>
        <w:bottom w:val="none" w:sz="0" w:space="0" w:color="auto"/>
        <w:right w:val="none" w:sz="0" w:space="0" w:color="auto"/>
      </w:divBdr>
    </w:div>
    <w:div w:id="198473321">
      <w:bodyDiv w:val="1"/>
      <w:marLeft w:val="0"/>
      <w:marRight w:val="0"/>
      <w:marTop w:val="0"/>
      <w:marBottom w:val="0"/>
      <w:divBdr>
        <w:top w:val="none" w:sz="0" w:space="0" w:color="auto"/>
        <w:left w:val="none" w:sz="0" w:space="0" w:color="auto"/>
        <w:bottom w:val="none" w:sz="0" w:space="0" w:color="auto"/>
        <w:right w:val="none" w:sz="0" w:space="0" w:color="auto"/>
      </w:divBdr>
      <w:divsChild>
        <w:div w:id="153382382">
          <w:marLeft w:val="0"/>
          <w:marRight w:val="0"/>
          <w:marTop w:val="0"/>
          <w:marBottom w:val="0"/>
          <w:divBdr>
            <w:top w:val="none" w:sz="0" w:space="0" w:color="auto"/>
            <w:left w:val="none" w:sz="0" w:space="0" w:color="auto"/>
            <w:bottom w:val="none" w:sz="0" w:space="0" w:color="auto"/>
            <w:right w:val="none" w:sz="0" w:space="0" w:color="auto"/>
          </w:divBdr>
          <w:divsChild>
            <w:div w:id="1687515491">
              <w:marLeft w:val="0"/>
              <w:marRight w:val="0"/>
              <w:marTop w:val="0"/>
              <w:marBottom w:val="0"/>
              <w:divBdr>
                <w:top w:val="none" w:sz="0" w:space="0" w:color="auto"/>
                <w:left w:val="none" w:sz="0" w:space="0" w:color="auto"/>
                <w:bottom w:val="none" w:sz="0" w:space="0" w:color="auto"/>
                <w:right w:val="none" w:sz="0" w:space="0" w:color="auto"/>
              </w:divBdr>
            </w:div>
          </w:divsChild>
        </w:div>
        <w:div w:id="219905046">
          <w:marLeft w:val="0"/>
          <w:marRight w:val="0"/>
          <w:marTop w:val="0"/>
          <w:marBottom w:val="0"/>
          <w:divBdr>
            <w:top w:val="none" w:sz="0" w:space="0" w:color="auto"/>
            <w:left w:val="none" w:sz="0" w:space="0" w:color="auto"/>
            <w:bottom w:val="none" w:sz="0" w:space="0" w:color="auto"/>
            <w:right w:val="none" w:sz="0" w:space="0" w:color="auto"/>
          </w:divBdr>
          <w:divsChild>
            <w:div w:id="903832473">
              <w:marLeft w:val="0"/>
              <w:marRight w:val="0"/>
              <w:marTop w:val="0"/>
              <w:marBottom w:val="0"/>
              <w:divBdr>
                <w:top w:val="none" w:sz="0" w:space="0" w:color="auto"/>
                <w:left w:val="none" w:sz="0" w:space="0" w:color="auto"/>
                <w:bottom w:val="none" w:sz="0" w:space="0" w:color="auto"/>
                <w:right w:val="none" w:sz="0" w:space="0" w:color="auto"/>
              </w:divBdr>
            </w:div>
          </w:divsChild>
        </w:div>
        <w:div w:id="303855396">
          <w:marLeft w:val="0"/>
          <w:marRight w:val="0"/>
          <w:marTop w:val="0"/>
          <w:marBottom w:val="0"/>
          <w:divBdr>
            <w:top w:val="none" w:sz="0" w:space="0" w:color="auto"/>
            <w:left w:val="none" w:sz="0" w:space="0" w:color="auto"/>
            <w:bottom w:val="none" w:sz="0" w:space="0" w:color="auto"/>
            <w:right w:val="none" w:sz="0" w:space="0" w:color="auto"/>
          </w:divBdr>
          <w:divsChild>
            <w:div w:id="191305443">
              <w:marLeft w:val="0"/>
              <w:marRight w:val="0"/>
              <w:marTop w:val="0"/>
              <w:marBottom w:val="0"/>
              <w:divBdr>
                <w:top w:val="none" w:sz="0" w:space="0" w:color="auto"/>
                <w:left w:val="none" w:sz="0" w:space="0" w:color="auto"/>
                <w:bottom w:val="none" w:sz="0" w:space="0" w:color="auto"/>
                <w:right w:val="none" w:sz="0" w:space="0" w:color="auto"/>
              </w:divBdr>
            </w:div>
          </w:divsChild>
        </w:div>
        <w:div w:id="385842294">
          <w:marLeft w:val="0"/>
          <w:marRight w:val="0"/>
          <w:marTop w:val="0"/>
          <w:marBottom w:val="0"/>
          <w:divBdr>
            <w:top w:val="none" w:sz="0" w:space="0" w:color="auto"/>
            <w:left w:val="none" w:sz="0" w:space="0" w:color="auto"/>
            <w:bottom w:val="none" w:sz="0" w:space="0" w:color="auto"/>
            <w:right w:val="none" w:sz="0" w:space="0" w:color="auto"/>
          </w:divBdr>
          <w:divsChild>
            <w:div w:id="1125931462">
              <w:marLeft w:val="0"/>
              <w:marRight w:val="0"/>
              <w:marTop w:val="0"/>
              <w:marBottom w:val="0"/>
              <w:divBdr>
                <w:top w:val="none" w:sz="0" w:space="0" w:color="auto"/>
                <w:left w:val="none" w:sz="0" w:space="0" w:color="auto"/>
                <w:bottom w:val="none" w:sz="0" w:space="0" w:color="auto"/>
                <w:right w:val="none" w:sz="0" w:space="0" w:color="auto"/>
              </w:divBdr>
            </w:div>
          </w:divsChild>
        </w:div>
        <w:div w:id="507595517">
          <w:marLeft w:val="0"/>
          <w:marRight w:val="0"/>
          <w:marTop w:val="0"/>
          <w:marBottom w:val="0"/>
          <w:divBdr>
            <w:top w:val="none" w:sz="0" w:space="0" w:color="auto"/>
            <w:left w:val="none" w:sz="0" w:space="0" w:color="auto"/>
            <w:bottom w:val="none" w:sz="0" w:space="0" w:color="auto"/>
            <w:right w:val="none" w:sz="0" w:space="0" w:color="auto"/>
          </w:divBdr>
          <w:divsChild>
            <w:div w:id="746805625">
              <w:marLeft w:val="0"/>
              <w:marRight w:val="0"/>
              <w:marTop w:val="0"/>
              <w:marBottom w:val="0"/>
              <w:divBdr>
                <w:top w:val="none" w:sz="0" w:space="0" w:color="auto"/>
                <w:left w:val="none" w:sz="0" w:space="0" w:color="auto"/>
                <w:bottom w:val="none" w:sz="0" w:space="0" w:color="auto"/>
                <w:right w:val="none" w:sz="0" w:space="0" w:color="auto"/>
              </w:divBdr>
            </w:div>
          </w:divsChild>
        </w:div>
        <w:div w:id="725370581">
          <w:marLeft w:val="0"/>
          <w:marRight w:val="0"/>
          <w:marTop w:val="0"/>
          <w:marBottom w:val="0"/>
          <w:divBdr>
            <w:top w:val="none" w:sz="0" w:space="0" w:color="auto"/>
            <w:left w:val="none" w:sz="0" w:space="0" w:color="auto"/>
            <w:bottom w:val="none" w:sz="0" w:space="0" w:color="auto"/>
            <w:right w:val="none" w:sz="0" w:space="0" w:color="auto"/>
          </w:divBdr>
          <w:divsChild>
            <w:div w:id="1918663796">
              <w:marLeft w:val="0"/>
              <w:marRight w:val="0"/>
              <w:marTop w:val="0"/>
              <w:marBottom w:val="0"/>
              <w:divBdr>
                <w:top w:val="none" w:sz="0" w:space="0" w:color="auto"/>
                <w:left w:val="none" w:sz="0" w:space="0" w:color="auto"/>
                <w:bottom w:val="none" w:sz="0" w:space="0" w:color="auto"/>
                <w:right w:val="none" w:sz="0" w:space="0" w:color="auto"/>
              </w:divBdr>
            </w:div>
          </w:divsChild>
        </w:div>
        <w:div w:id="1124471363">
          <w:marLeft w:val="0"/>
          <w:marRight w:val="0"/>
          <w:marTop w:val="0"/>
          <w:marBottom w:val="0"/>
          <w:divBdr>
            <w:top w:val="none" w:sz="0" w:space="0" w:color="auto"/>
            <w:left w:val="none" w:sz="0" w:space="0" w:color="auto"/>
            <w:bottom w:val="none" w:sz="0" w:space="0" w:color="auto"/>
            <w:right w:val="none" w:sz="0" w:space="0" w:color="auto"/>
          </w:divBdr>
          <w:divsChild>
            <w:div w:id="1979215227">
              <w:marLeft w:val="0"/>
              <w:marRight w:val="0"/>
              <w:marTop w:val="0"/>
              <w:marBottom w:val="0"/>
              <w:divBdr>
                <w:top w:val="none" w:sz="0" w:space="0" w:color="auto"/>
                <w:left w:val="none" w:sz="0" w:space="0" w:color="auto"/>
                <w:bottom w:val="none" w:sz="0" w:space="0" w:color="auto"/>
                <w:right w:val="none" w:sz="0" w:space="0" w:color="auto"/>
              </w:divBdr>
            </w:div>
          </w:divsChild>
        </w:div>
        <w:div w:id="1727802510">
          <w:marLeft w:val="0"/>
          <w:marRight w:val="0"/>
          <w:marTop w:val="0"/>
          <w:marBottom w:val="0"/>
          <w:divBdr>
            <w:top w:val="none" w:sz="0" w:space="0" w:color="auto"/>
            <w:left w:val="none" w:sz="0" w:space="0" w:color="auto"/>
            <w:bottom w:val="none" w:sz="0" w:space="0" w:color="auto"/>
            <w:right w:val="none" w:sz="0" w:space="0" w:color="auto"/>
          </w:divBdr>
          <w:divsChild>
            <w:div w:id="56713856">
              <w:marLeft w:val="0"/>
              <w:marRight w:val="0"/>
              <w:marTop w:val="0"/>
              <w:marBottom w:val="0"/>
              <w:divBdr>
                <w:top w:val="none" w:sz="0" w:space="0" w:color="auto"/>
                <w:left w:val="none" w:sz="0" w:space="0" w:color="auto"/>
                <w:bottom w:val="none" w:sz="0" w:space="0" w:color="auto"/>
                <w:right w:val="none" w:sz="0" w:space="0" w:color="auto"/>
              </w:divBdr>
            </w:div>
          </w:divsChild>
        </w:div>
        <w:div w:id="1764185807">
          <w:marLeft w:val="0"/>
          <w:marRight w:val="0"/>
          <w:marTop w:val="0"/>
          <w:marBottom w:val="0"/>
          <w:divBdr>
            <w:top w:val="none" w:sz="0" w:space="0" w:color="auto"/>
            <w:left w:val="none" w:sz="0" w:space="0" w:color="auto"/>
            <w:bottom w:val="none" w:sz="0" w:space="0" w:color="auto"/>
            <w:right w:val="none" w:sz="0" w:space="0" w:color="auto"/>
          </w:divBdr>
          <w:divsChild>
            <w:div w:id="1562254067">
              <w:marLeft w:val="0"/>
              <w:marRight w:val="0"/>
              <w:marTop w:val="0"/>
              <w:marBottom w:val="0"/>
              <w:divBdr>
                <w:top w:val="none" w:sz="0" w:space="0" w:color="auto"/>
                <w:left w:val="none" w:sz="0" w:space="0" w:color="auto"/>
                <w:bottom w:val="none" w:sz="0" w:space="0" w:color="auto"/>
                <w:right w:val="none" w:sz="0" w:space="0" w:color="auto"/>
              </w:divBdr>
            </w:div>
          </w:divsChild>
        </w:div>
        <w:div w:id="1980260448">
          <w:marLeft w:val="0"/>
          <w:marRight w:val="0"/>
          <w:marTop w:val="0"/>
          <w:marBottom w:val="0"/>
          <w:divBdr>
            <w:top w:val="none" w:sz="0" w:space="0" w:color="auto"/>
            <w:left w:val="none" w:sz="0" w:space="0" w:color="auto"/>
            <w:bottom w:val="none" w:sz="0" w:space="0" w:color="auto"/>
            <w:right w:val="none" w:sz="0" w:space="0" w:color="auto"/>
          </w:divBdr>
          <w:divsChild>
            <w:div w:id="182334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09070">
      <w:bodyDiv w:val="1"/>
      <w:marLeft w:val="0"/>
      <w:marRight w:val="0"/>
      <w:marTop w:val="0"/>
      <w:marBottom w:val="0"/>
      <w:divBdr>
        <w:top w:val="none" w:sz="0" w:space="0" w:color="auto"/>
        <w:left w:val="none" w:sz="0" w:space="0" w:color="auto"/>
        <w:bottom w:val="none" w:sz="0" w:space="0" w:color="auto"/>
        <w:right w:val="none" w:sz="0" w:space="0" w:color="auto"/>
      </w:divBdr>
    </w:div>
    <w:div w:id="215431392">
      <w:bodyDiv w:val="1"/>
      <w:marLeft w:val="0"/>
      <w:marRight w:val="0"/>
      <w:marTop w:val="0"/>
      <w:marBottom w:val="0"/>
      <w:divBdr>
        <w:top w:val="none" w:sz="0" w:space="0" w:color="auto"/>
        <w:left w:val="none" w:sz="0" w:space="0" w:color="auto"/>
        <w:bottom w:val="none" w:sz="0" w:space="0" w:color="auto"/>
        <w:right w:val="none" w:sz="0" w:space="0" w:color="auto"/>
      </w:divBdr>
    </w:div>
    <w:div w:id="220988350">
      <w:bodyDiv w:val="1"/>
      <w:marLeft w:val="0"/>
      <w:marRight w:val="0"/>
      <w:marTop w:val="0"/>
      <w:marBottom w:val="0"/>
      <w:divBdr>
        <w:top w:val="none" w:sz="0" w:space="0" w:color="auto"/>
        <w:left w:val="none" w:sz="0" w:space="0" w:color="auto"/>
        <w:bottom w:val="none" w:sz="0" w:space="0" w:color="auto"/>
        <w:right w:val="none" w:sz="0" w:space="0" w:color="auto"/>
      </w:divBdr>
      <w:divsChild>
        <w:div w:id="1061296472">
          <w:marLeft w:val="0"/>
          <w:marRight w:val="0"/>
          <w:marTop w:val="0"/>
          <w:marBottom w:val="0"/>
          <w:divBdr>
            <w:top w:val="none" w:sz="0" w:space="0" w:color="auto"/>
            <w:left w:val="none" w:sz="0" w:space="0" w:color="auto"/>
            <w:bottom w:val="none" w:sz="0" w:space="0" w:color="auto"/>
            <w:right w:val="none" w:sz="0" w:space="0" w:color="auto"/>
          </w:divBdr>
          <w:divsChild>
            <w:div w:id="1010227">
              <w:marLeft w:val="0"/>
              <w:marRight w:val="0"/>
              <w:marTop w:val="30"/>
              <w:marBottom w:val="30"/>
              <w:divBdr>
                <w:top w:val="none" w:sz="0" w:space="0" w:color="auto"/>
                <w:left w:val="none" w:sz="0" w:space="0" w:color="auto"/>
                <w:bottom w:val="none" w:sz="0" w:space="0" w:color="auto"/>
                <w:right w:val="none" w:sz="0" w:space="0" w:color="auto"/>
              </w:divBdr>
              <w:divsChild>
                <w:div w:id="8724338">
                  <w:marLeft w:val="0"/>
                  <w:marRight w:val="0"/>
                  <w:marTop w:val="0"/>
                  <w:marBottom w:val="0"/>
                  <w:divBdr>
                    <w:top w:val="none" w:sz="0" w:space="0" w:color="auto"/>
                    <w:left w:val="none" w:sz="0" w:space="0" w:color="auto"/>
                    <w:bottom w:val="none" w:sz="0" w:space="0" w:color="auto"/>
                    <w:right w:val="none" w:sz="0" w:space="0" w:color="auto"/>
                  </w:divBdr>
                  <w:divsChild>
                    <w:div w:id="1614746899">
                      <w:marLeft w:val="0"/>
                      <w:marRight w:val="0"/>
                      <w:marTop w:val="0"/>
                      <w:marBottom w:val="0"/>
                      <w:divBdr>
                        <w:top w:val="none" w:sz="0" w:space="0" w:color="auto"/>
                        <w:left w:val="none" w:sz="0" w:space="0" w:color="auto"/>
                        <w:bottom w:val="none" w:sz="0" w:space="0" w:color="auto"/>
                        <w:right w:val="none" w:sz="0" w:space="0" w:color="auto"/>
                      </w:divBdr>
                    </w:div>
                  </w:divsChild>
                </w:div>
                <w:div w:id="99450421">
                  <w:marLeft w:val="0"/>
                  <w:marRight w:val="0"/>
                  <w:marTop w:val="0"/>
                  <w:marBottom w:val="0"/>
                  <w:divBdr>
                    <w:top w:val="none" w:sz="0" w:space="0" w:color="auto"/>
                    <w:left w:val="none" w:sz="0" w:space="0" w:color="auto"/>
                    <w:bottom w:val="none" w:sz="0" w:space="0" w:color="auto"/>
                    <w:right w:val="none" w:sz="0" w:space="0" w:color="auto"/>
                  </w:divBdr>
                  <w:divsChild>
                    <w:div w:id="1132751069">
                      <w:marLeft w:val="0"/>
                      <w:marRight w:val="0"/>
                      <w:marTop w:val="0"/>
                      <w:marBottom w:val="0"/>
                      <w:divBdr>
                        <w:top w:val="none" w:sz="0" w:space="0" w:color="auto"/>
                        <w:left w:val="none" w:sz="0" w:space="0" w:color="auto"/>
                        <w:bottom w:val="none" w:sz="0" w:space="0" w:color="auto"/>
                        <w:right w:val="none" w:sz="0" w:space="0" w:color="auto"/>
                      </w:divBdr>
                    </w:div>
                  </w:divsChild>
                </w:div>
                <w:div w:id="128985451">
                  <w:marLeft w:val="0"/>
                  <w:marRight w:val="0"/>
                  <w:marTop w:val="0"/>
                  <w:marBottom w:val="0"/>
                  <w:divBdr>
                    <w:top w:val="none" w:sz="0" w:space="0" w:color="auto"/>
                    <w:left w:val="none" w:sz="0" w:space="0" w:color="auto"/>
                    <w:bottom w:val="none" w:sz="0" w:space="0" w:color="auto"/>
                    <w:right w:val="none" w:sz="0" w:space="0" w:color="auto"/>
                  </w:divBdr>
                  <w:divsChild>
                    <w:div w:id="1521971365">
                      <w:marLeft w:val="0"/>
                      <w:marRight w:val="0"/>
                      <w:marTop w:val="0"/>
                      <w:marBottom w:val="0"/>
                      <w:divBdr>
                        <w:top w:val="none" w:sz="0" w:space="0" w:color="auto"/>
                        <w:left w:val="none" w:sz="0" w:space="0" w:color="auto"/>
                        <w:bottom w:val="none" w:sz="0" w:space="0" w:color="auto"/>
                        <w:right w:val="none" w:sz="0" w:space="0" w:color="auto"/>
                      </w:divBdr>
                    </w:div>
                  </w:divsChild>
                </w:div>
                <w:div w:id="136653890">
                  <w:marLeft w:val="0"/>
                  <w:marRight w:val="0"/>
                  <w:marTop w:val="0"/>
                  <w:marBottom w:val="0"/>
                  <w:divBdr>
                    <w:top w:val="none" w:sz="0" w:space="0" w:color="auto"/>
                    <w:left w:val="none" w:sz="0" w:space="0" w:color="auto"/>
                    <w:bottom w:val="none" w:sz="0" w:space="0" w:color="auto"/>
                    <w:right w:val="none" w:sz="0" w:space="0" w:color="auto"/>
                  </w:divBdr>
                  <w:divsChild>
                    <w:div w:id="823206501">
                      <w:marLeft w:val="0"/>
                      <w:marRight w:val="0"/>
                      <w:marTop w:val="0"/>
                      <w:marBottom w:val="0"/>
                      <w:divBdr>
                        <w:top w:val="none" w:sz="0" w:space="0" w:color="auto"/>
                        <w:left w:val="none" w:sz="0" w:space="0" w:color="auto"/>
                        <w:bottom w:val="none" w:sz="0" w:space="0" w:color="auto"/>
                        <w:right w:val="none" w:sz="0" w:space="0" w:color="auto"/>
                      </w:divBdr>
                    </w:div>
                  </w:divsChild>
                </w:div>
                <w:div w:id="142895332">
                  <w:marLeft w:val="0"/>
                  <w:marRight w:val="0"/>
                  <w:marTop w:val="0"/>
                  <w:marBottom w:val="0"/>
                  <w:divBdr>
                    <w:top w:val="none" w:sz="0" w:space="0" w:color="auto"/>
                    <w:left w:val="none" w:sz="0" w:space="0" w:color="auto"/>
                    <w:bottom w:val="none" w:sz="0" w:space="0" w:color="auto"/>
                    <w:right w:val="none" w:sz="0" w:space="0" w:color="auto"/>
                  </w:divBdr>
                  <w:divsChild>
                    <w:div w:id="907497618">
                      <w:marLeft w:val="0"/>
                      <w:marRight w:val="0"/>
                      <w:marTop w:val="0"/>
                      <w:marBottom w:val="0"/>
                      <w:divBdr>
                        <w:top w:val="none" w:sz="0" w:space="0" w:color="auto"/>
                        <w:left w:val="none" w:sz="0" w:space="0" w:color="auto"/>
                        <w:bottom w:val="none" w:sz="0" w:space="0" w:color="auto"/>
                        <w:right w:val="none" w:sz="0" w:space="0" w:color="auto"/>
                      </w:divBdr>
                    </w:div>
                  </w:divsChild>
                </w:div>
                <w:div w:id="166789786">
                  <w:marLeft w:val="0"/>
                  <w:marRight w:val="0"/>
                  <w:marTop w:val="0"/>
                  <w:marBottom w:val="0"/>
                  <w:divBdr>
                    <w:top w:val="none" w:sz="0" w:space="0" w:color="auto"/>
                    <w:left w:val="none" w:sz="0" w:space="0" w:color="auto"/>
                    <w:bottom w:val="none" w:sz="0" w:space="0" w:color="auto"/>
                    <w:right w:val="none" w:sz="0" w:space="0" w:color="auto"/>
                  </w:divBdr>
                  <w:divsChild>
                    <w:div w:id="548031450">
                      <w:marLeft w:val="0"/>
                      <w:marRight w:val="0"/>
                      <w:marTop w:val="0"/>
                      <w:marBottom w:val="0"/>
                      <w:divBdr>
                        <w:top w:val="none" w:sz="0" w:space="0" w:color="auto"/>
                        <w:left w:val="none" w:sz="0" w:space="0" w:color="auto"/>
                        <w:bottom w:val="none" w:sz="0" w:space="0" w:color="auto"/>
                        <w:right w:val="none" w:sz="0" w:space="0" w:color="auto"/>
                      </w:divBdr>
                    </w:div>
                  </w:divsChild>
                </w:div>
                <w:div w:id="184633453">
                  <w:marLeft w:val="0"/>
                  <w:marRight w:val="0"/>
                  <w:marTop w:val="0"/>
                  <w:marBottom w:val="0"/>
                  <w:divBdr>
                    <w:top w:val="none" w:sz="0" w:space="0" w:color="auto"/>
                    <w:left w:val="none" w:sz="0" w:space="0" w:color="auto"/>
                    <w:bottom w:val="none" w:sz="0" w:space="0" w:color="auto"/>
                    <w:right w:val="none" w:sz="0" w:space="0" w:color="auto"/>
                  </w:divBdr>
                  <w:divsChild>
                    <w:div w:id="829639112">
                      <w:marLeft w:val="0"/>
                      <w:marRight w:val="0"/>
                      <w:marTop w:val="0"/>
                      <w:marBottom w:val="0"/>
                      <w:divBdr>
                        <w:top w:val="none" w:sz="0" w:space="0" w:color="auto"/>
                        <w:left w:val="none" w:sz="0" w:space="0" w:color="auto"/>
                        <w:bottom w:val="none" w:sz="0" w:space="0" w:color="auto"/>
                        <w:right w:val="none" w:sz="0" w:space="0" w:color="auto"/>
                      </w:divBdr>
                    </w:div>
                  </w:divsChild>
                </w:div>
                <w:div w:id="214512330">
                  <w:marLeft w:val="0"/>
                  <w:marRight w:val="0"/>
                  <w:marTop w:val="0"/>
                  <w:marBottom w:val="0"/>
                  <w:divBdr>
                    <w:top w:val="none" w:sz="0" w:space="0" w:color="auto"/>
                    <w:left w:val="none" w:sz="0" w:space="0" w:color="auto"/>
                    <w:bottom w:val="none" w:sz="0" w:space="0" w:color="auto"/>
                    <w:right w:val="none" w:sz="0" w:space="0" w:color="auto"/>
                  </w:divBdr>
                  <w:divsChild>
                    <w:div w:id="1467776920">
                      <w:marLeft w:val="0"/>
                      <w:marRight w:val="0"/>
                      <w:marTop w:val="0"/>
                      <w:marBottom w:val="0"/>
                      <w:divBdr>
                        <w:top w:val="none" w:sz="0" w:space="0" w:color="auto"/>
                        <w:left w:val="none" w:sz="0" w:space="0" w:color="auto"/>
                        <w:bottom w:val="none" w:sz="0" w:space="0" w:color="auto"/>
                        <w:right w:val="none" w:sz="0" w:space="0" w:color="auto"/>
                      </w:divBdr>
                    </w:div>
                  </w:divsChild>
                </w:div>
                <w:div w:id="268978140">
                  <w:marLeft w:val="0"/>
                  <w:marRight w:val="0"/>
                  <w:marTop w:val="0"/>
                  <w:marBottom w:val="0"/>
                  <w:divBdr>
                    <w:top w:val="none" w:sz="0" w:space="0" w:color="auto"/>
                    <w:left w:val="none" w:sz="0" w:space="0" w:color="auto"/>
                    <w:bottom w:val="none" w:sz="0" w:space="0" w:color="auto"/>
                    <w:right w:val="none" w:sz="0" w:space="0" w:color="auto"/>
                  </w:divBdr>
                  <w:divsChild>
                    <w:div w:id="1160080008">
                      <w:marLeft w:val="0"/>
                      <w:marRight w:val="0"/>
                      <w:marTop w:val="0"/>
                      <w:marBottom w:val="0"/>
                      <w:divBdr>
                        <w:top w:val="none" w:sz="0" w:space="0" w:color="auto"/>
                        <w:left w:val="none" w:sz="0" w:space="0" w:color="auto"/>
                        <w:bottom w:val="none" w:sz="0" w:space="0" w:color="auto"/>
                        <w:right w:val="none" w:sz="0" w:space="0" w:color="auto"/>
                      </w:divBdr>
                    </w:div>
                  </w:divsChild>
                </w:div>
                <w:div w:id="273633819">
                  <w:marLeft w:val="0"/>
                  <w:marRight w:val="0"/>
                  <w:marTop w:val="0"/>
                  <w:marBottom w:val="0"/>
                  <w:divBdr>
                    <w:top w:val="none" w:sz="0" w:space="0" w:color="auto"/>
                    <w:left w:val="none" w:sz="0" w:space="0" w:color="auto"/>
                    <w:bottom w:val="none" w:sz="0" w:space="0" w:color="auto"/>
                    <w:right w:val="none" w:sz="0" w:space="0" w:color="auto"/>
                  </w:divBdr>
                  <w:divsChild>
                    <w:div w:id="1289821837">
                      <w:marLeft w:val="0"/>
                      <w:marRight w:val="0"/>
                      <w:marTop w:val="0"/>
                      <w:marBottom w:val="0"/>
                      <w:divBdr>
                        <w:top w:val="none" w:sz="0" w:space="0" w:color="auto"/>
                        <w:left w:val="none" w:sz="0" w:space="0" w:color="auto"/>
                        <w:bottom w:val="none" w:sz="0" w:space="0" w:color="auto"/>
                        <w:right w:val="none" w:sz="0" w:space="0" w:color="auto"/>
                      </w:divBdr>
                    </w:div>
                  </w:divsChild>
                </w:div>
                <w:div w:id="314842212">
                  <w:marLeft w:val="0"/>
                  <w:marRight w:val="0"/>
                  <w:marTop w:val="0"/>
                  <w:marBottom w:val="0"/>
                  <w:divBdr>
                    <w:top w:val="none" w:sz="0" w:space="0" w:color="auto"/>
                    <w:left w:val="none" w:sz="0" w:space="0" w:color="auto"/>
                    <w:bottom w:val="none" w:sz="0" w:space="0" w:color="auto"/>
                    <w:right w:val="none" w:sz="0" w:space="0" w:color="auto"/>
                  </w:divBdr>
                  <w:divsChild>
                    <w:div w:id="974069889">
                      <w:marLeft w:val="0"/>
                      <w:marRight w:val="0"/>
                      <w:marTop w:val="0"/>
                      <w:marBottom w:val="0"/>
                      <w:divBdr>
                        <w:top w:val="none" w:sz="0" w:space="0" w:color="auto"/>
                        <w:left w:val="none" w:sz="0" w:space="0" w:color="auto"/>
                        <w:bottom w:val="none" w:sz="0" w:space="0" w:color="auto"/>
                        <w:right w:val="none" w:sz="0" w:space="0" w:color="auto"/>
                      </w:divBdr>
                    </w:div>
                  </w:divsChild>
                </w:div>
                <w:div w:id="347610576">
                  <w:marLeft w:val="0"/>
                  <w:marRight w:val="0"/>
                  <w:marTop w:val="0"/>
                  <w:marBottom w:val="0"/>
                  <w:divBdr>
                    <w:top w:val="none" w:sz="0" w:space="0" w:color="auto"/>
                    <w:left w:val="none" w:sz="0" w:space="0" w:color="auto"/>
                    <w:bottom w:val="none" w:sz="0" w:space="0" w:color="auto"/>
                    <w:right w:val="none" w:sz="0" w:space="0" w:color="auto"/>
                  </w:divBdr>
                  <w:divsChild>
                    <w:div w:id="1740321943">
                      <w:marLeft w:val="0"/>
                      <w:marRight w:val="0"/>
                      <w:marTop w:val="0"/>
                      <w:marBottom w:val="0"/>
                      <w:divBdr>
                        <w:top w:val="none" w:sz="0" w:space="0" w:color="auto"/>
                        <w:left w:val="none" w:sz="0" w:space="0" w:color="auto"/>
                        <w:bottom w:val="none" w:sz="0" w:space="0" w:color="auto"/>
                        <w:right w:val="none" w:sz="0" w:space="0" w:color="auto"/>
                      </w:divBdr>
                    </w:div>
                  </w:divsChild>
                </w:div>
                <w:div w:id="383219559">
                  <w:marLeft w:val="0"/>
                  <w:marRight w:val="0"/>
                  <w:marTop w:val="0"/>
                  <w:marBottom w:val="0"/>
                  <w:divBdr>
                    <w:top w:val="none" w:sz="0" w:space="0" w:color="auto"/>
                    <w:left w:val="none" w:sz="0" w:space="0" w:color="auto"/>
                    <w:bottom w:val="none" w:sz="0" w:space="0" w:color="auto"/>
                    <w:right w:val="none" w:sz="0" w:space="0" w:color="auto"/>
                  </w:divBdr>
                  <w:divsChild>
                    <w:div w:id="825825349">
                      <w:marLeft w:val="0"/>
                      <w:marRight w:val="0"/>
                      <w:marTop w:val="0"/>
                      <w:marBottom w:val="0"/>
                      <w:divBdr>
                        <w:top w:val="none" w:sz="0" w:space="0" w:color="auto"/>
                        <w:left w:val="none" w:sz="0" w:space="0" w:color="auto"/>
                        <w:bottom w:val="none" w:sz="0" w:space="0" w:color="auto"/>
                        <w:right w:val="none" w:sz="0" w:space="0" w:color="auto"/>
                      </w:divBdr>
                    </w:div>
                  </w:divsChild>
                </w:div>
                <w:div w:id="432826815">
                  <w:marLeft w:val="0"/>
                  <w:marRight w:val="0"/>
                  <w:marTop w:val="0"/>
                  <w:marBottom w:val="0"/>
                  <w:divBdr>
                    <w:top w:val="none" w:sz="0" w:space="0" w:color="auto"/>
                    <w:left w:val="none" w:sz="0" w:space="0" w:color="auto"/>
                    <w:bottom w:val="none" w:sz="0" w:space="0" w:color="auto"/>
                    <w:right w:val="none" w:sz="0" w:space="0" w:color="auto"/>
                  </w:divBdr>
                  <w:divsChild>
                    <w:div w:id="1926305567">
                      <w:marLeft w:val="0"/>
                      <w:marRight w:val="0"/>
                      <w:marTop w:val="0"/>
                      <w:marBottom w:val="0"/>
                      <w:divBdr>
                        <w:top w:val="none" w:sz="0" w:space="0" w:color="auto"/>
                        <w:left w:val="none" w:sz="0" w:space="0" w:color="auto"/>
                        <w:bottom w:val="none" w:sz="0" w:space="0" w:color="auto"/>
                        <w:right w:val="none" w:sz="0" w:space="0" w:color="auto"/>
                      </w:divBdr>
                    </w:div>
                  </w:divsChild>
                </w:div>
                <w:div w:id="464003938">
                  <w:marLeft w:val="0"/>
                  <w:marRight w:val="0"/>
                  <w:marTop w:val="0"/>
                  <w:marBottom w:val="0"/>
                  <w:divBdr>
                    <w:top w:val="none" w:sz="0" w:space="0" w:color="auto"/>
                    <w:left w:val="none" w:sz="0" w:space="0" w:color="auto"/>
                    <w:bottom w:val="none" w:sz="0" w:space="0" w:color="auto"/>
                    <w:right w:val="none" w:sz="0" w:space="0" w:color="auto"/>
                  </w:divBdr>
                  <w:divsChild>
                    <w:div w:id="1056589096">
                      <w:marLeft w:val="0"/>
                      <w:marRight w:val="0"/>
                      <w:marTop w:val="0"/>
                      <w:marBottom w:val="0"/>
                      <w:divBdr>
                        <w:top w:val="none" w:sz="0" w:space="0" w:color="auto"/>
                        <w:left w:val="none" w:sz="0" w:space="0" w:color="auto"/>
                        <w:bottom w:val="none" w:sz="0" w:space="0" w:color="auto"/>
                        <w:right w:val="none" w:sz="0" w:space="0" w:color="auto"/>
                      </w:divBdr>
                    </w:div>
                  </w:divsChild>
                </w:div>
                <w:div w:id="485128954">
                  <w:marLeft w:val="0"/>
                  <w:marRight w:val="0"/>
                  <w:marTop w:val="0"/>
                  <w:marBottom w:val="0"/>
                  <w:divBdr>
                    <w:top w:val="none" w:sz="0" w:space="0" w:color="auto"/>
                    <w:left w:val="none" w:sz="0" w:space="0" w:color="auto"/>
                    <w:bottom w:val="none" w:sz="0" w:space="0" w:color="auto"/>
                    <w:right w:val="none" w:sz="0" w:space="0" w:color="auto"/>
                  </w:divBdr>
                  <w:divsChild>
                    <w:div w:id="44566966">
                      <w:marLeft w:val="0"/>
                      <w:marRight w:val="0"/>
                      <w:marTop w:val="0"/>
                      <w:marBottom w:val="0"/>
                      <w:divBdr>
                        <w:top w:val="none" w:sz="0" w:space="0" w:color="auto"/>
                        <w:left w:val="none" w:sz="0" w:space="0" w:color="auto"/>
                        <w:bottom w:val="none" w:sz="0" w:space="0" w:color="auto"/>
                        <w:right w:val="none" w:sz="0" w:space="0" w:color="auto"/>
                      </w:divBdr>
                    </w:div>
                  </w:divsChild>
                </w:div>
                <w:div w:id="497816017">
                  <w:marLeft w:val="0"/>
                  <w:marRight w:val="0"/>
                  <w:marTop w:val="0"/>
                  <w:marBottom w:val="0"/>
                  <w:divBdr>
                    <w:top w:val="none" w:sz="0" w:space="0" w:color="auto"/>
                    <w:left w:val="none" w:sz="0" w:space="0" w:color="auto"/>
                    <w:bottom w:val="none" w:sz="0" w:space="0" w:color="auto"/>
                    <w:right w:val="none" w:sz="0" w:space="0" w:color="auto"/>
                  </w:divBdr>
                  <w:divsChild>
                    <w:div w:id="750196508">
                      <w:marLeft w:val="0"/>
                      <w:marRight w:val="0"/>
                      <w:marTop w:val="0"/>
                      <w:marBottom w:val="0"/>
                      <w:divBdr>
                        <w:top w:val="none" w:sz="0" w:space="0" w:color="auto"/>
                        <w:left w:val="none" w:sz="0" w:space="0" w:color="auto"/>
                        <w:bottom w:val="none" w:sz="0" w:space="0" w:color="auto"/>
                        <w:right w:val="none" w:sz="0" w:space="0" w:color="auto"/>
                      </w:divBdr>
                    </w:div>
                  </w:divsChild>
                </w:div>
                <w:div w:id="504982735">
                  <w:marLeft w:val="0"/>
                  <w:marRight w:val="0"/>
                  <w:marTop w:val="0"/>
                  <w:marBottom w:val="0"/>
                  <w:divBdr>
                    <w:top w:val="none" w:sz="0" w:space="0" w:color="auto"/>
                    <w:left w:val="none" w:sz="0" w:space="0" w:color="auto"/>
                    <w:bottom w:val="none" w:sz="0" w:space="0" w:color="auto"/>
                    <w:right w:val="none" w:sz="0" w:space="0" w:color="auto"/>
                  </w:divBdr>
                  <w:divsChild>
                    <w:div w:id="1286156666">
                      <w:marLeft w:val="0"/>
                      <w:marRight w:val="0"/>
                      <w:marTop w:val="0"/>
                      <w:marBottom w:val="0"/>
                      <w:divBdr>
                        <w:top w:val="none" w:sz="0" w:space="0" w:color="auto"/>
                        <w:left w:val="none" w:sz="0" w:space="0" w:color="auto"/>
                        <w:bottom w:val="none" w:sz="0" w:space="0" w:color="auto"/>
                        <w:right w:val="none" w:sz="0" w:space="0" w:color="auto"/>
                      </w:divBdr>
                    </w:div>
                  </w:divsChild>
                </w:div>
                <w:div w:id="508831784">
                  <w:marLeft w:val="0"/>
                  <w:marRight w:val="0"/>
                  <w:marTop w:val="0"/>
                  <w:marBottom w:val="0"/>
                  <w:divBdr>
                    <w:top w:val="none" w:sz="0" w:space="0" w:color="auto"/>
                    <w:left w:val="none" w:sz="0" w:space="0" w:color="auto"/>
                    <w:bottom w:val="none" w:sz="0" w:space="0" w:color="auto"/>
                    <w:right w:val="none" w:sz="0" w:space="0" w:color="auto"/>
                  </w:divBdr>
                  <w:divsChild>
                    <w:div w:id="376395523">
                      <w:marLeft w:val="0"/>
                      <w:marRight w:val="0"/>
                      <w:marTop w:val="0"/>
                      <w:marBottom w:val="0"/>
                      <w:divBdr>
                        <w:top w:val="none" w:sz="0" w:space="0" w:color="auto"/>
                        <w:left w:val="none" w:sz="0" w:space="0" w:color="auto"/>
                        <w:bottom w:val="none" w:sz="0" w:space="0" w:color="auto"/>
                        <w:right w:val="none" w:sz="0" w:space="0" w:color="auto"/>
                      </w:divBdr>
                    </w:div>
                  </w:divsChild>
                </w:div>
                <w:div w:id="544290534">
                  <w:marLeft w:val="0"/>
                  <w:marRight w:val="0"/>
                  <w:marTop w:val="0"/>
                  <w:marBottom w:val="0"/>
                  <w:divBdr>
                    <w:top w:val="none" w:sz="0" w:space="0" w:color="auto"/>
                    <w:left w:val="none" w:sz="0" w:space="0" w:color="auto"/>
                    <w:bottom w:val="none" w:sz="0" w:space="0" w:color="auto"/>
                    <w:right w:val="none" w:sz="0" w:space="0" w:color="auto"/>
                  </w:divBdr>
                  <w:divsChild>
                    <w:div w:id="688724844">
                      <w:marLeft w:val="0"/>
                      <w:marRight w:val="0"/>
                      <w:marTop w:val="0"/>
                      <w:marBottom w:val="0"/>
                      <w:divBdr>
                        <w:top w:val="none" w:sz="0" w:space="0" w:color="auto"/>
                        <w:left w:val="none" w:sz="0" w:space="0" w:color="auto"/>
                        <w:bottom w:val="none" w:sz="0" w:space="0" w:color="auto"/>
                        <w:right w:val="none" w:sz="0" w:space="0" w:color="auto"/>
                      </w:divBdr>
                    </w:div>
                  </w:divsChild>
                </w:div>
                <w:div w:id="565575977">
                  <w:marLeft w:val="0"/>
                  <w:marRight w:val="0"/>
                  <w:marTop w:val="0"/>
                  <w:marBottom w:val="0"/>
                  <w:divBdr>
                    <w:top w:val="none" w:sz="0" w:space="0" w:color="auto"/>
                    <w:left w:val="none" w:sz="0" w:space="0" w:color="auto"/>
                    <w:bottom w:val="none" w:sz="0" w:space="0" w:color="auto"/>
                    <w:right w:val="none" w:sz="0" w:space="0" w:color="auto"/>
                  </w:divBdr>
                  <w:divsChild>
                    <w:div w:id="361977216">
                      <w:marLeft w:val="0"/>
                      <w:marRight w:val="0"/>
                      <w:marTop w:val="0"/>
                      <w:marBottom w:val="0"/>
                      <w:divBdr>
                        <w:top w:val="none" w:sz="0" w:space="0" w:color="auto"/>
                        <w:left w:val="none" w:sz="0" w:space="0" w:color="auto"/>
                        <w:bottom w:val="none" w:sz="0" w:space="0" w:color="auto"/>
                        <w:right w:val="none" w:sz="0" w:space="0" w:color="auto"/>
                      </w:divBdr>
                    </w:div>
                  </w:divsChild>
                </w:div>
                <w:div w:id="668407189">
                  <w:marLeft w:val="0"/>
                  <w:marRight w:val="0"/>
                  <w:marTop w:val="0"/>
                  <w:marBottom w:val="0"/>
                  <w:divBdr>
                    <w:top w:val="none" w:sz="0" w:space="0" w:color="auto"/>
                    <w:left w:val="none" w:sz="0" w:space="0" w:color="auto"/>
                    <w:bottom w:val="none" w:sz="0" w:space="0" w:color="auto"/>
                    <w:right w:val="none" w:sz="0" w:space="0" w:color="auto"/>
                  </w:divBdr>
                  <w:divsChild>
                    <w:div w:id="283312593">
                      <w:marLeft w:val="0"/>
                      <w:marRight w:val="0"/>
                      <w:marTop w:val="0"/>
                      <w:marBottom w:val="0"/>
                      <w:divBdr>
                        <w:top w:val="none" w:sz="0" w:space="0" w:color="auto"/>
                        <w:left w:val="none" w:sz="0" w:space="0" w:color="auto"/>
                        <w:bottom w:val="none" w:sz="0" w:space="0" w:color="auto"/>
                        <w:right w:val="none" w:sz="0" w:space="0" w:color="auto"/>
                      </w:divBdr>
                    </w:div>
                  </w:divsChild>
                </w:div>
                <w:div w:id="681978868">
                  <w:marLeft w:val="0"/>
                  <w:marRight w:val="0"/>
                  <w:marTop w:val="0"/>
                  <w:marBottom w:val="0"/>
                  <w:divBdr>
                    <w:top w:val="none" w:sz="0" w:space="0" w:color="auto"/>
                    <w:left w:val="none" w:sz="0" w:space="0" w:color="auto"/>
                    <w:bottom w:val="none" w:sz="0" w:space="0" w:color="auto"/>
                    <w:right w:val="none" w:sz="0" w:space="0" w:color="auto"/>
                  </w:divBdr>
                  <w:divsChild>
                    <w:div w:id="1265724358">
                      <w:marLeft w:val="0"/>
                      <w:marRight w:val="0"/>
                      <w:marTop w:val="0"/>
                      <w:marBottom w:val="0"/>
                      <w:divBdr>
                        <w:top w:val="none" w:sz="0" w:space="0" w:color="auto"/>
                        <w:left w:val="none" w:sz="0" w:space="0" w:color="auto"/>
                        <w:bottom w:val="none" w:sz="0" w:space="0" w:color="auto"/>
                        <w:right w:val="none" w:sz="0" w:space="0" w:color="auto"/>
                      </w:divBdr>
                    </w:div>
                  </w:divsChild>
                </w:div>
                <w:div w:id="688796791">
                  <w:marLeft w:val="0"/>
                  <w:marRight w:val="0"/>
                  <w:marTop w:val="0"/>
                  <w:marBottom w:val="0"/>
                  <w:divBdr>
                    <w:top w:val="none" w:sz="0" w:space="0" w:color="auto"/>
                    <w:left w:val="none" w:sz="0" w:space="0" w:color="auto"/>
                    <w:bottom w:val="none" w:sz="0" w:space="0" w:color="auto"/>
                    <w:right w:val="none" w:sz="0" w:space="0" w:color="auto"/>
                  </w:divBdr>
                  <w:divsChild>
                    <w:div w:id="2037269236">
                      <w:marLeft w:val="0"/>
                      <w:marRight w:val="0"/>
                      <w:marTop w:val="0"/>
                      <w:marBottom w:val="0"/>
                      <w:divBdr>
                        <w:top w:val="none" w:sz="0" w:space="0" w:color="auto"/>
                        <w:left w:val="none" w:sz="0" w:space="0" w:color="auto"/>
                        <w:bottom w:val="none" w:sz="0" w:space="0" w:color="auto"/>
                        <w:right w:val="none" w:sz="0" w:space="0" w:color="auto"/>
                      </w:divBdr>
                    </w:div>
                  </w:divsChild>
                </w:div>
                <w:div w:id="724642955">
                  <w:marLeft w:val="0"/>
                  <w:marRight w:val="0"/>
                  <w:marTop w:val="0"/>
                  <w:marBottom w:val="0"/>
                  <w:divBdr>
                    <w:top w:val="none" w:sz="0" w:space="0" w:color="auto"/>
                    <w:left w:val="none" w:sz="0" w:space="0" w:color="auto"/>
                    <w:bottom w:val="none" w:sz="0" w:space="0" w:color="auto"/>
                    <w:right w:val="none" w:sz="0" w:space="0" w:color="auto"/>
                  </w:divBdr>
                  <w:divsChild>
                    <w:div w:id="599142561">
                      <w:marLeft w:val="0"/>
                      <w:marRight w:val="0"/>
                      <w:marTop w:val="0"/>
                      <w:marBottom w:val="0"/>
                      <w:divBdr>
                        <w:top w:val="none" w:sz="0" w:space="0" w:color="auto"/>
                        <w:left w:val="none" w:sz="0" w:space="0" w:color="auto"/>
                        <w:bottom w:val="none" w:sz="0" w:space="0" w:color="auto"/>
                        <w:right w:val="none" w:sz="0" w:space="0" w:color="auto"/>
                      </w:divBdr>
                    </w:div>
                  </w:divsChild>
                </w:div>
                <w:div w:id="739913502">
                  <w:marLeft w:val="0"/>
                  <w:marRight w:val="0"/>
                  <w:marTop w:val="0"/>
                  <w:marBottom w:val="0"/>
                  <w:divBdr>
                    <w:top w:val="none" w:sz="0" w:space="0" w:color="auto"/>
                    <w:left w:val="none" w:sz="0" w:space="0" w:color="auto"/>
                    <w:bottom w:val="none" w:sz="0" w:space="0" w:color="auto"/>
                    <w:right w:val="none" w:sz="0" w:space="0" w:color="auto"/>
                  </w:divBdr>
                  <w:divsChild>
                    <w:div w:id="1995841259">
                      <w:marLeft w:val="0"/>
                      <w:marRight w:val="0"/>
                      <w:marTop w:val="0"/>
                      <w:marBottom w:val="0"/>
                      <w:divBdr>
                        <w:top w:val="none" w:sz="0" w:space="0" w:color="auto"/>
                        <w:left w:val="none" w:sz="0" w:space="0" w:color="auto"/>
                        <w:bottom w:val="none" w:sz="0" w:space="0" w:color="auto"/>
                        <w:right w:val="none" w:sz="0" w:space="0" w:color="auto"/>
                      </w:divBdr>
                    </w:div>
                  </w:divsChild>
                </w:div>
                <w:div w:id="748817091">
                  <w:marLeft w:val="0"/>
                  <w:marRight w:val="0"/>
                  <w:marTop w:val="0"/>
                  <w:marBottom w:val="0"/>
                  <w:divBdr>
                    <w:top w:val="none" w:sz="0" w:space="0" w:color="auto"/>
                    <w:left w:val="none" w:sz="0" w:space="0" w:color="auto"/>
                    <w:bottom w:val="none" w:sz="0" w:space="0" w:color="auto"/>
                    <w:right w:val="none" w:sz="0" w:space="0" w:color="auto"/>
                  </w:divBdr>
                  <w:divsChild>
                    <w:div w:id="1773624825">
                      <w:marLeft w:val="0"/>
                      <w:marRight w:val="0"/>
                      <w:marTop w:val="0"/>
                      <w:marBottom w:val="0"/>
                      <w:divBdr>
                        <w:top w:val="none" w:sz="0" w:space="0" w:color="auto"/>
                        <w:left w:val="none" w:sz="0" w:space="0" w:color="auto"/>
                        <w:bottom w:val="none" w:sz="0" w:space="0" w:color="auto"/>
                        <w:right w:val="none" w:sz="0" w:space="0" w:color="auto"/>
                      </w:divBdr>
                    </w:div>
                  </w:divsChild>
                </w:div>
                <w:div w:id="874007675">
                  <w:marLeft w:val="0"/>
                  <w:marRight w:val="0"/>
                  <w:marTop w:val="0"/>
                  <w:marBottom w:val="0"/>
                  <w:divBdr>
                    <w:top w:val="none" w:sz="0" w:space="0" w:color="auto"/>
                    <w:left w:val="none" w:sz="0" w:space="0" w:color="auto"/>
                    <w:bottom w:val="none" w:sz="0" w:space="0" w:color="auto"/>
                    <w:right w:val="none" w:sz="0" w:space="0" w:color="auto"/>
                  </w:divBdr>
                  <w:divsChild>
                    <w:div w:id="178549606">
                      <w:marLeft w:val="0"/>
                      <w:marRight w:val="0"/>
                      <w:marTop w:val="0"/>
                      <w:marBottom w:val="0"/>
                      <w:divBdr>
                        <w:top w:val="none" w:sz="0" w:space="0" w:color="auto"/>
                        <w:left w:val="none" w:sz="0" w:space="0" w:color="auto"/>
                        <w:bottom w:val="none" w:sz="0" w:space="0" w:color="auto"/>
                        <w:right w:val="none" w:sz="0" w:space="0" w:color="auto"/>
                      </w:divBdr>
                    </w:div>
                  </w:divsChild>
                </w:div>
                <w:div w:id="891888353">
                  <w:marLeft w:val="0"/>
                  <w:marRight w:val="0"/>
                  <w:marTop w:val="0"/>
                  <w:marBottom w:val="0"/>
                  <w:divBdr>
                    <w:top w:val="none" w:sz="0" w:space="0" w:color="auto"/>
                    <w:left w:val="none" w:sz="0" w:space="0" w:color="auto"/>
                    <w:bottom w:val="none" w:sz="0" w:space="0" w:color="auto"/>
                    <w:right w:val="none" w:sz="0" w:space="0" w:color="auto"/>
                  </w:divBdr>
                  <w:divsChild>
                    <w:div w:id="188182340">
                      <w:marLeft w:val="0"/>
                      <w:marRight w:val="0"/>
                      <w:marTop w:val="0"/>
                      <w:marBottom w:val="0"/>
                      <w:divBdr>
                        <w:top w:val="none" w:sz="0" w:space="0" w:color="auto"/>
                        <w:left w:val="none" w:sz="0" w:space="0" w:color="auto"/>
                        <w:bottom w:val="none" w:sz="0" w:space="0" w:color="auto"/>
                        <w:right w:val="none" w:sz="0" w:space="0" w:color="auto"/>
                      </w:divBdr>
                    </w:div>
                  </w:divsChild>
                </w:div>
                <w:div w:id="896817346">
                  <w:marLeft w:val="0"/>
                  <w:marRight w:val="0"/>
                  <w:marTop w:val="0"/>
                  <w:marBottom w:val="0"/>
                  <w:divBdr>
                    <w:top w:val="none" w:sz="0" w:space="0" w:color="auto"/>
                    <w:left w:val="none" w:sz="0" w:space="0" w:color="auto"/>
                    <w:bottom w:val="none" w:sz="0" w:space="0" w:color="auto"/>
                    <w:right w:val="none" w:sz="0" w:space="0" w:color="auto"/>
                  </w:divBdr>
                  <w:divsChild>
                    <w:div w:id="1638145955">
                      <w:marLeft w:val="0"/>
                      <w:marRight w:val="0"/>
                      <w:marTop w:val="0"/>
                      <w:marBottom w:val="0"/>
                      <w:divBdr>
                        <w:top w:val="none" w:sz="0" w:space="0" w:color="auto"/>
                        <w:left w:val="none" w:sz="0" w:space="0" w:color="auto"/>
                        <w:bottom w:val="none" w:sz="0" w:space="0" w:color="auto"/>
                        <w:right w:val="none" w:sz="0" w:space="0" w:color="auto"/>
                      </w:divBdr>
                    </w:div>
                  </w:divsChild>
                </w:div>
                <w:div w:id="936988821">
                  <w:marLeft w:val="0"/>
                  <w:marRight w:val="0"/>
                  <w:marTop w:val="0"/>
                  <w:marBottom w:val="0"/>
                  <w:divBdr>
                    <w:top w:val="none" w:sz="0" w:space="0" w:color="auto"/>
                    <w:left w:val="none" w:sz="0" w:space="0" w:color="auto"/>
                    <w:bottom w:val="none" w:sz="0" w:space="0" w:color="auto"/>
                    <w:right w:val="none" w:sz="0" w:space="0" w:color="auto"/>
                  </w:divBdr>
                  <w:divsChild>
                    <w:div w:id="1741712540">
                      <w:marLeft w:val="0"/>
                      <w:marRight w:val="0"/>
                      <w:marTop w:val="0"/>
                      <w:marBottom w:val="0"/>
                      <w:divBdr>
                        <w:top w:val="none" w:sz="0" w:space="0" w:color="auto"/>
                        <w:left w:val="none" w:sz="0" w:space="0" w:color="auto"/>
                        <w:bottom w:val="none" w:sz="0" w:space="0" w:color="auto"/>
                        <w:right w:val="none" w:sz="0" w:space="0" w:color="auto"/>
                      </w:divBdr>
                    </w:div>
                  </w:divsChild>
                </w:div>
                <w:div w:id="959579549">
                  <w:marLeft w:val="0"/>
                  <w:marRight w:val="0"/>
                  <w:marTop w:val="0"/>
                  <w:marBottom w:val="0"/>
                  <w:divBdr>
                    <w:top w:val="none" w:sz="0" w:space="0" w:color="auto"/>
                    <w:left w:val="none" w:sz="0" w:space="0" w:color="auto"/>
                    <w:bottom w:val="none" w:sz="0" w:space="0" w:color="auto"/>
                    <w:right w:val="none" w:sz="0" w:space="0" w:color="auto"/>
                  </w:divBdr>
                  <w:divsChild>
                    <w:div w:id="1273435549">
                      <w:marLeft w:val="0"/>
                      <w:marRight w:val="0"/>
                      <w:marTop w:val="0"/>
                      <w:marBottom w:val="0"/>
                      <w:divBdr>
                        <w:top w:val="none" w:sz="0" w:space="0" w:color="auto"/>
                        <w:left w:val="none" w:sz="0" w:space="0" w:color="auto"/>
                        <w:bottom w:val="none" w:sz="0" w:space="0" w:color="auto"/>
                        <w:right w:val="none" w:sz="0" w:space="0" w:color="auto"/>
                      </w:divBdr>
                    </w:div>
                  </w:divsChild>
                </w:div>
                <w:div w:id="1042052204">
                  <w:marLeft w:val="0"/>
                  <w:marRight w:val="0"/>
                  <w:marTop w:val="0"/>
                  <w:marBottom w:val="0"/>
                  <w:divBdr>
                    <w:top w:val="none" w:sz="0" w:space="0" w:color="auto"/>
                    <w:left w:val="none" w:sz="0" w:space="0" w:color="auto"/>
                    <w:bottom w:val="none" w:sz="0" w:space="0" w:color="auto"/>
                    <w:right w:val="none" w:sz="0" w:space="0" w:color="auto"/>
                  </w:divBdr>
                  <w:divsChild>
                    <w:div w:id="18088328">
                      <w:marLeft w:val="0"/>
                      <w:marRight w:val="0"/>
                      <w:marTop w:val="0"/>
                      <w:marBottom w:val="0"/>
                      <w:divBdr>
                        <w:top w:val="none" w:sz="0" w:space="0" w:color="auto"/>
                        <w:left w:val="none" w:sz="0" w:space="0" w:color="auto"/>
                        <w:bottom w:val="none" w:sz="0" w:space="0" w:color="auto"/>
                        <w:right w:val="none" w:sz="0" w:space="0" w:color="auto"/>
                      </w:divBdr>
                    </w:div>
                  </w:divsChild>
                </w:div>
                <w:div w:id="1068726486">
                  <w:marLeft w:val="0"/>
                  <w:marRight w:val="0"/>
                  <w:marTop w:val="0"/>
                  <w:marBottom w:val="0"/>
                  <w:divBdr>
                    <w:top w:val="none" w:sz="0" w:space="0" w:color="auto"/>
                    <w:left w:val="none" w:sz="0" w:space="0" w:color="auto"/>
                    <w:bottom w:val="none" w:sz="0" w:space="0" w:color="auto"/>
                    <w:right w:val="none" w:sz="0" w:space="0" w:color="auto"/>
                  </w:divBdr>
                  <w:divsChild>
                    <w:div w:id="119804881">
                      <w:marLeft w:val="0"/>
                      <w:marRight w:val="0"/>
                      <w:marTop w:val="0"/>
                      <w:marBottom w:val="0"/>
                      <w:divBdr>
                        <w:top w:val="none" w:sz="0" w:space="0" w:color="auto"/>
                        <w:left w:val="none" w:sz="0" w:space="0" w:color="auto"/>
                        <w:bottom w:val="none" w:sz="0" w:space="0" w:color="auto"/>
                        <w:right w:val="none" w:sz="0" w:space="0" w:color="auto"/>
                      </w:divBdr>
                    </w:div>
                  </w:divsChild>
                </w:div>
                <w:div w:id="1086611970">
                  <w:marLeft w:val="0"/>
                  <w:marRight w:val="0"/>
                  <w:marTop w:val="0"/>
                  <w:marBottom w:val="0"/>
                  <w:divBdr>
                    <w:top w:val="none" w:sz="0" w:space="0" w:color="auto"/>
                    <w:left w:val="none" w:sz="0" w:space="0" w:color="auto"/>
                    <w:bottom w:val="none" w:sz="0" w:space="0" w:color="auto"/>
                    <w:right w:val="none" w:sz="0" w:space="0" w:color="auto"/>
                  </w:divBdr>
                  <w:divsChild>
                    <w:div w:id="683164728">
                      <w:marLeft w:val="0"/>
                      <w:marRight w:val="0"/>
                      <w:marTop w:val="0"/>
                      <w:marBottom w:val="0"/>
                      <w:divBdr>
                        <w:top w:val="none" w:sz="0" w:space="0" w:color="auto"/>
                        <w:left w:val="none" w:sz="0" w:space="0" w:color="auto"/>
                        <w:bottom w:val="none" w:sz="0" w:space="0" w:color="auto"/>
                        <w:right w:val="none" w:sz="0" w:space="0" w:color="auto"/>
                      </w:divBdr>
                    </w:div>
                  </w:divsChild>
                </w:div>
                <w:div w:id="1110707188">
                  <w:marLeft w:val="0"/>
                  <w:marRight w:val="0"/>
                  <w:marTop w:val="0"/>
                  <w:marBottom w:val="0"/>
                  <w:divBdr>
                    <w:top w:val="none" w:sz="0" w:space="0" w:color="auto"/>
                    <w:left w:val="none" w:sz="0" w:space="0" w:color="auto"/>
                    <w:bottom w:val="none" w:sz="0" w:space="0" w:color="auto"/>
                    <w:right w:val="none" w:sz="0" w:space="0" w:color="auto"/>
                  </w:divBdr>
                  <w:divsChild>
                    <w:div w:id="1345551871">
                      <w:marLeft w:val="0"/>
                      <w:marRight w:val="0"/>
                      <w:marTop w:val="0"/>
                      <w:marBottom w:val="0"/>
                      <w:divBdr>
                        <w:top w:val="none" w:sz="0" w:space="0" w:color="auto"/>
                        <w:left w:val="none" w:sz="0" w:space="0" w:color="auto"/>
                        <w:bottom w:val="none" w:sz="0" w:space="0" w:color="auto"/>
                        <w:right w:val="none" w:sz="0" w:space="0" w:color="auto"/>
                      </w:divBdr>
                    </w:div>
                  </w:divsChild>
                </w:div>
                <w:div w:id="1184981226">
                  <w:marLeft w:val="0"/>
                  <w:marRight w:val="0"/>
                  <w:marTop w:val="0"/>
                  <w:marBottom w:val="0"/>
                  <w:divBdr>
                    <w:top w:val="none" w:sz="0" w:space="0" w:color="auto"/>
                    <w:left w:val="none" w:sz="0" w:space="0" w:color="auto"/>
                    <w:bottom w:val="none" w:sz="0" w:space="0" w:color="auto"/>
                    <w:right w:val="none" w:sz="0" w:space="0" w:color="auto"/>
                  </w:divBdr>
                  <w:divsChild>
                    <w:div w:id="629866968">
                      <w:marLeft w:val="0"/>
                      <w:marRight w:val="0"/>
                      <w:marTop w:val="0"/>
                      <w:marBottom w:val="0"/>
                      <w:divBdr>
                        <w:top w:val="none" w:sz="0" w:space="0" w:color="auto"/>
                        <w:left w:val="none" w:sz="0" w:space="0" w:color="auto"/>
                        <w:bottom w:val="none" w:sz="0" w:space="0" w:color="auto"/>
                        <w:right w:val="none" w:sz="0" w:space="0" w:color="auto"/>
                      </w:divBdr>
                    </w:div>
                  </w:divsChild>
                </w:div>
                <w:div w:id="1191838562">
                  <w:marLeft w:val="0"/>
                  <w:marRight w:val="0"/>
                  <w:marTop w:val="0"/>
                  <w:marBottom w:val="0"/>
                  <w:divBdr>
                    <w:top w:val="none" w:sz="0" w:space="0" w:color="auto"/>
                    <w:left w:val="none" w:sz="0" w:space="0" w:color="auto"/>
                    <w:bottom w:val="none" w:sz="0" w:space="0" w:color="auto"/>
                    <w:right w:val="none" w:sz="0" w:space="0" w:color="auto"/>
                  </w:divBdr>
                  <w:divsChild>
                    <w:div w:id="262106315">
                      <w:marLeft w:val="0"/>
                      <w:marRight w:val="0"/>
                      <w:marTop w:val="0"/>
                      <w:marBottom w:val="0"/>
                      <w:divBdr>
                        <w:top w:val="none" w:sz="0" w:space="0" w:color="auto"/>
                        <w:left w:val="none" w:sz="0" w:space="0" w:color="auto"/>
                        <w:bottom w:val="none" w:sz="0" w:space="0" w:color="auto"/>
                        <w:right w:val="none" w:sz="0" w:space="0" w:color="auto"/>
                      </w:divBdr>
                    </w:div>
                  </w:divsChild>
                </w:div>
                <w:div w:id="1217428753">
                  <w:marLeft w:val="0"/>
                  <w:marRight w:val="0"/>
                  <w:marTop w:val="0"/>
                  <w:marBottom w:val="0"/>
                  <w:divBdr>
                    <w:top w:val="none" w:sz="0" w:space="0" w:color="auto"/>
                    <w:left w:val="none" w:sz="0" w:space="0" w:color="auto"/>
                    <w:bottom w:val="none" w:sz="0" w:space="0" w:color="auto"/>
                    <w:right w:val="none" w:sz="0" w:space="0" w:color="auto"/>
                  </w:divBdr>
                  <w:divsChild>
                    <w:div w:id="2068186661">
                      <w:marLeft w:val="0"/>
                      <w:marRight w:val="0"/>
                      <w:marTop w:val="0"/>
                      <w:marBottom w:val="0"/>
                      <w:divBdr>
                        <w:top w:val="none" w:sz="0" w:space="0" w:color="auto"/>
                        <w:left w:val="none" w:sz="0" w:space="0" w:color="auto"/>
                        <w:bottom w:val="none" w:sz="0" w:space="0" w:color="auto"/>
                        <w:right w:val="none" w:sz="0" w:space="0" w:color="auto"/>
                      </w:divBdr>
                    </w:div>
                  </w:divsChild>
                </w:div>
                <w:div w:id="1227255302">
                  <w:marLeft w:val="0"/>
                  <w:marRight w:val="0"/>
                  <w:marTop w:val="0"/>
                  <w:marBottom w:val="0"/>
                  <w:divBdr>
                    <w:top w:val="none" w:sz="0" w:space="0" w:color="auto"/>
                    <w:left w:val="none" w:sz="0" w:space="0" w:color="auto"/>
                    <w:bottom w:val="none" w:sz="0" w:space="0" w:color="auto"/>
                    <w:right w:val="none" w:sz="0" w:space="0" w:color="auto"/>
                  </w:divBdr>
                  <w:divsChild>
                    <w:div w:id="1838878770">
                      <w:marLeft w:val="0"/>
                      <w:marRight w:val="0"/>
                      <w:marTop w:val="0"/>
                      <w:marBottom w:val="0"/>
                      <w:divBdr>
                        <w:top w:val="none" w:sz="0" w:space="0" w:color="auto"/>
                        <w:left w:val="none" w:sz="0" w:space="0" w:color="auto"/>
                        <w:bottom w:val="none" w:sz="0" w:space="0" w:color="auto"/>
                        <w:right w:val="none" w:sz="0" w:space="0" w:color="auto"/>
                      </w:divBdr>
                    </w:div>
                  </w:divsChild>
                </w:div>
                <w:div w:id="1250240069">
                  <w:marLeft w:val="0"/>
                  <w:marRight w:val="0"/>
                  <w:marTop w:val="0"/>
                  <w:marBottom w:val="0"/>
                  <w:divBdr>
                    <w:top w:val="none" w:sz="0" w:space="0" w:color="auto"/>
                    <w:left w:val="none" w:sz="0" w:space="0" w:color="auto"/>
                    <w:bottom w:val="none" w:sz="0" w:space="0" w:color="auto"/>
                    <w:right w:val="none" w:sz="0" w:space="0" w:color="auto"/>
                  </w:divBdr>
                  <w:divsChild>
                    <w:div w:id="432408718">
                      <w:marLeft w:val="0"/>
                      <w:marRight w:val="0"/>
                      <w:marTop w:val="0"/>
                      <w:marBottom w:val="0"/>
                      <w:divBdr>
                        <w:top w:val="none" w:sz="0" w:space="0" w:color="auto"/>
                        <w:left w:val="none" w:sz="0" w:space="0" w:color="auto"/>
                        <w:bottom w:val="none" w:sz="0" w:space="0" w:color="auto"/>
                        <w:right w:val="none" w:sz="0" w:space="0" w:color="auto"/>
                      </w:divBdr>
                    </w:div>
                  </w:divsChild>
                </w:div>
                <w:div w:id="1250310867">
                  <w:marLeft w:val="0"/>
                  <w:marRight w:val="0"/>
                  <w:marTop w:val="0"/>
                  <w:marBottom w:val="0"/>
                  <w:divBdr>
                    <w:top w:val="none" w:sz="0" w:space="0" w:color="auto"/>
                    <w:left w:val="none" w:sz="0" w:space="0" w:color="auto"/>
                    <w:bottom w:val="none" w:sz="0" w:space="0" w:color="auto"/>
                    <w:right w:val="none" w:sz="0" w:space="0" w:color="auto"/>
                  </w:divBdr>
                  <w:divsChild>
                    <w:div w:id="585463007">
                      <w:marLeft w:val="0"/>
                      <w:marRight w:val="0"/>
                      <w:marTop w:val="0"/>
                      <w:marBottom w:val="0"/>
                      <w:divBdr>
                        <w:top w:val="none" w:sz="0" w:space="0" w:color="auto"/>
                        <w:left w:val="none" w:sz="0" w:space="0" w:color="auto"/>
                        <w:bottom w:val="none" w:sz="0" w:space="0" w:color="auto"/>
                        <w:right w:val="none" w:sz="0" w:space="0" w:color="auto"/>
                      </w:divBdr>
                    </w:div>
                  </w:divsChild>
                </w:div>
                <w:div w:id="1269385738">
                  <w:marLeft w:val="0"/>
                  <w:marRight w:val="0"/>
                  <w:marTop w:val="0"/>
                  <w:marBottom w:val="0"/>
                  <w:divBdr>
                    <w:top w:val="none" w:sz="0" w:space="0" w:color="auto"/>
                    <w:left w:val="none" w:sz="0" w:space="0" w:color="auto"/>
                    <w:bottom w:val="none" w:sz="0" w:space="0" w:color="auto"/>
                    <w:right w:val="none" w:sz="0" w:space="0" w:color="auto"/>
                  </w:divBdr>
                  <w:divsChild>
                    <w:div w:id="861092183">
                      <w:marLeft w:val="0"/>
                      <w:marRight w:val="0"/>
                      <w:marTop w:val="0"/>
                      <w:marBottom w:val="0"/>
                      <w:divBdr>
                        <w:top w:val="none" w:sz="0" w:space="0" w:color="auto"/>
                        <w:left w:val="none" w:sz="0" w:space="0" w:color="auto"/>
                        <w:bottom w:val="none" w:sz="0" w:space="0" w:color="auto"/>
                        <w:right w:val="none" w:sz="0" w:space="0" w:color="auto"/>
                      </w:divBdr>
                    </w:div>
                  </w:divsChild>
                </w:div>
                <w:div w:id="1282692010">
                  <w:marLeft w:val="0"/>
                  <w:marRight w:val="0"/>
                  <w:marTop w:val="0"/>
                  <w:marBottom w:val="0"/>
                  <w:divBdr>
                    <w:top w:val="none" w:sz="0" w:space="0" w:color="auto"/>
                    <w:left w:val="none" w:sz="0" w:space="0" w:color="auto"/>
                    <w:bottom w:val="none" w:sz="0" w:space="0" w:color="auto"/>
                    <w:right w:val="none" w:sz="0" w:space="0" w:color="auto"/>
                  </w:divBdr>
                  <w:divsChild>
                    <w:div w:id="222374089">
                      <w:marLeft w:val="0"/>
                      <w:marRight w:val="0"/>
                      <w:marTop w:val="0"/>
                      <w:marBottom w:val="0"/>
                      <w:divBdr>
                        <w:top w:val="none" w:sz="0" w:space="0" w:color="auto"/>
                        <w:left w:val="none" w:sz="0" w:space="0" w:color="auto"/>
                        <w:bottom w:val="none" w:sz="0" w:space="0" w:color="auto"/>
                        <w:right w:val="none" w:sz="0" w:space="0" w:color="auto"/>
                      </w:divBdr>
                    </w:div>
                  </w:divsChild>
                </w:div>
                <w:div w:id="1287007269">
                  <w:marLeft w:val="0"/>
                  <w:marRight w:val="0"/>
                  <w:marTop w:val="0"/>
                  <w:marBottom w:val="0"/>
                  <w:divBdr>
                    <w:top w:val="none" w:sz="0" w:space="0" w:color="auto"/>
                    <w:left w:val="none" w:sz="0" w:space="0" w:color="auto"/>
                    <w:bottom w:val="none" w:sz="0" w:space="0" w:color="auto"/>
                    <w:right w:val="none" w:sz="0" w:space="0" w:color="auto"/>
                  </w:divBdr>
                  <w:divsChild>
                    <w:div w:id="1933975016">
                      <w:marLeft w:val="0"/>
                      <w:marRight w:val="0"/>
                      <w:marTop w:val="0"/>
                      <w:marBottom w:val="0"/>
                      <w:divBdr>
                        <w:top w:val="none" w:sz="0" w:space="0" w:color="auto"/>
                        <w:left w:val="none" w:sz="0" w:space="0" w:color="auto"/>
                        <w:bottom w:val="none" w:sz="0" w:space="0" w:color="auto"/>
                        <w:right w:val="none" w:sz="0" w:space="0" w:color="auto"/>
                      </w:divBdr>
                    </w:div>
                  </w:divsChild>
                </w:div>
                <w:div w:id="1300577237">
                  <w:marLeft w:val="0"/>
                  <w:marRight w:val="0"/>
                  <w:marTop w:val="0"/>
                  <w:marBottom w:val="0"/>
                  <w:divBdr>
                    <w:top w:val="none" w:sz="0" w:space="0" w:color="auto"/>
                    <w:left w:val="none" w:sz="0" w:space="0" w:color="auto"/>
                    <w:bottom w:val="none" w:sz="0" w:space="0" w:color="auto"/>
                    <w:right w:val="none" w:sz="0" w:space="0" w:color="auto"/>
                  </w:divBdr>
                  <w:divsChild>
                    <w:div w:id="1624651565">
                      <w:marLeft w:val="0"/>
                      <w:marRight w:val="0"/>
                      <w:marTop w:val="0"/>
                      <w:marBottom w:val="0"/>
                      <w:divBdr>
                        <w:top w:val="none" w:sz="0" w:space="0" w:color="auto"/>
                        <w:left w:val="none" w:sz="0" w:space="0" w:color="auto"/>
                        <w:bottom w:val="none" w:sz="0" w:space="0" w:color="auto"/>
                        <w:right w:val="none" w:sz="0" w:space="0" w:color="auto"/>
                      </w:divBdr>
                    </w:div>
                  </w:divsChild>
                </w:div>
                <w:div w:id="1304625512">
                  <w:marLeft w:val="0"/>
                  <w:marRight w:val="0"/>
                  <w:marTop w:val="0"/>
                  <w:marBottom w:val="0"/>
                  <w:divBdr>
                    <w:top w:val="none" w:sz="0" w:space="0" w:color="auto"/>
                    <w:left w:val="none" w:sz="0" w:space="0" w:color="auto"/>
                    <w:bottom w:val="none" w:sz="0" w:space="0" w:color="auto"/>
                    <w:right w:val="none" w:sz="0" w:space="0" w:color="auto"/>
                  </w:divBdr>
                  <w:divsChild>
                    <w:div w:id="586572198">
                      <w:marLeft w:val="0"/>
                      <w:marRight w:val="0"/>
                      <w:marTop w:val="0"/>
                      <w:marBottom w:val="0"/>
                      <w:divBdr>
                        <w:top w:val="none" w:sz="0" w:space="0" w:color="auto"/>
                        <w:left w:val="none" w:sz="0" w:space="0" w:color="auto"/>
                        <w:bottom w:val="none" w:sz="0" w:space="0" w:color="auto"/>
                        <w:right w:val="none" w:sz="0" w:space="0" w:color="auto"/>
                      </w:divBdr>
                    </w:div>
                  </w:divsChild>
                </w:div>
                <w:div w:id="1365785106">
                  <w:marLeft w:val="0"/>
                  <w:marRight w:val="0"/>
                  <w:marTop w:val="0"/>
                  <w:marBottom w:val="0"/>
                  <w:divBdr>
                    <w:top w:val="none" w:sz="0" w:space="0" w:color="auto"/>
                    <w:left w:val="none" w:sz="0" w:space="0" w:color="auto"/>
                    <w:bottom w:val="none" w:sz="0" w:space="0" w:color="auto"/>
                    <w:right w:val="none" w:sz="0" w:space="0" w:color="auto"/>
                  </w:divBdr>
                  <w:divsChild>
                    <w:div w:id="1000499099">
                      <w:marLeft w:val="0"/>
                      <w:marRight w:val="0"/>
                      <w:marTop w:val="0"/>
                      <w:marBottom w:val="0"/>
                      <w:divBdr>
                        <w:top w:val="none" w:sz="0" w:space="0" w:color="auto"/>
                        <w:left w:val="none" w:sz="0" w:space="0" w:color="auto"/>
                        <w:bottom w:val="none" w:sz="0" w:space="0" w:color="auto"/>
                        <w:right w:val="none" w:sz="0" w:space="0" w:color="auto"/>
                      </w:divBdr>
                    </w:div>
                  </w:divsChild>
                </w:div>
                <w:div w:id="1439837120">
                  <w:marLeft w:val="0"/>
                  <w:marRight w:val="0"/>
                  <w:marTop w:val="0"/>
                  <w:marBottom w:val="0"/>
                  <w:divBdr>
                    <w:top w:val="none" w:sz="0" w:space="0" w:color="auto"/>
                    <w:left w:val="none" w:sz="0" w:space="0" w:color="auto"/>
                    <w:bottom w:val="none" w:sz="0" w:space="0" w:color="auto"/>
                    <w:right w:val="none" w:sz="0" w:space="0" w:color="auto"/>
                  </w:divBdr>
                  <w:divsChild>
                    <w:div w:id="164514767">
                      <w:marLeft w:val="0"/>
                      <w:marRight w:val="0"/>
                      <w:marTop w:val="0"/>
                      <w:marBottom w:val="0"/>
                      <w:divBdr>
                        <w:top w:val="none" w:sz="0" w:space="0" w:color="auto"/>
                        <w:left w:val="none" w:sz="0" w:space="0" w:color="auto"/>
                        <w:bottom w:val="none" w:sz="0" w:space="0" w:color="auto"/>
                        <w:right w:val="none" w:sz="0" w:space="0" w:color="auto"/>
                      </w:divBdr>
                    </w:div>
                  </w:divsChild>
                </w:div>
                <w:div w:id="1537233366">
                  <w:marLeft w:val="0"/>
                  <w:marRight w:val="0"/>
                  <w:marTop w:val="0"/>
                  <w:marBottom w:val="0"/>
                  <w:divBdr>
                    <w:top w:val="none" w:sz="0" w:space="0" w:color="auto"/>
                    <w:left w:val="none" w:sz="0" w:space="0" w:color="auto"/>
                    <w:bottom w:val="none" w:sz="0" w:space="0" w:color="auto"/>
                    <w:right w:val="none" w:sz="0" w:space="0" w:color="auto"/>
                  </w:divBdr>
                  <w:divsChild>
                    <w:div w:id="1399401641">
                      <w:marLeft w:val="0"/>
                      <w:marRight w:val="0"/>
                      <w:marTop w:val="0"/>
                      <w:marBottom w:val="0"/>
                      <w:divBdr>
                        <w:top w:val="none" w:sz="0" w:space="0" w:color="auto"/>
                        <w:left w:val="none" w:sz="0" w:space="0" w:color="auto"/>
                        <w:bottom w:val="none" w:sz="0" w:space="0" w:color="auto"/>
                        <w:right w:val="none" w:sz="0" w:space="0" w:color="auto"/>
                      </w:divBdr>
                    </w:div>
                  </w:divsChild>
                </w:div>
                <w:div w:id="1553956338">
                  <w:marLeft w:val="0"/>
                  <w:marRight w:val="0"/>
                  <w:marTop w:val="0"/>
                  <w:marBottom w:val="0"/>
                  <w:divBdr>
                    <w:top w:val="none" w:sz="0" w:space="0" w:color="auto"/>
                    <w:left w:val="none" w:sz="0" w:space="0" w:color="auto"/>
                    <w:bottom w:val="none" w:sz="0" w:space="0" w:color="auto"/>
                    <w:right w:val="none" w:sz="0" w:space="0" w:color="auto"/>
                  </w:divBdr>
                  <w:divsChild>
                    <w:div w:id="427047969">
                      <w:marLeft w:val="0"/>
                      <w:marRight w:val="0"/>
                      <w:marTop w:val="0"/>
                      <w:marBottom w:val="0"/>
                      <w:divBdr>
                        <w:top w:val="none" w:sz="0" w:space="0" w:color="auto"/>
                        <w:left w:val="none" w:sz="0" w:space="0" w:color="auto"/>
                        <w:bottom w:val="none" w:sz="0" w:space="0" w:color="auto"/>
                        <w:right w:val="none" w:sz="0" w:space="0" w:color="auto"/>
                      </w:divBdr>
                    </w:div>
                  </w:divsChild>
                </w:div>
                <w:div w:id="1617565331">
                  <w:marLeft w:val="0"/>
                  <w:marRight w:val="0"/>
                  <w:marTop w:val="0"/>
                  <w:marBottom w:val="0"/>
                  <w:divBdr>
                    <w:top w:val="none" w:sz="0" w:space="0" w:color="auto"/>
                    <w:left w:val="none" w:sz="0" w:space="0" w:color="auto"/>
                    <w:bottom w:val="none" w:sz="0" w:space="0" w:color="auto"/>
                    <w:right w:val="none" w:sz="0" w:space="0" w:color="auto"/>
                  </w:divBdr>
                  <w:divsChild>
                    <w:div w:id="1926256712">
                      <w:marLeft w:val="0"/>
                      <w:marRight w:val="0"/>
                      <w:marTop w:val="0"/>
                      <w:marBottom w:val="0"/>
                      <w:divBdr>
                        <w:top w:val="none" w:sz="0" w:space="0" w:color="auto"/>
                        <w:left w:val="none" w:sz="0" w:space="0" w:color="auto"/>
                        <w:bottom w:val="none" w:sz="0" w:space="0" w:color="auto"/>
                        <w:right w:val="none" w:sz="0" w:space="0" w:color="auto"/>
                      </w:divBdr>
                    </w:div>
                  </w:divsChild>
                </w:div>
                <w:div w:id="1620450294">
                  <w:marLeft w:val="0"/>
                  <w:marRight w:val="0"/>
                  <w:marTop w:val="0"/>
                  <w:marBottom w:val="0"/>
                  <w:divBdr>
                    <w:top w:val="none" w:sz="0" w:space="0" w:color="auto"/>
                    <w:left w:val="none" w:sz="0" w:space="0" w:color="auto"/>
                    <w:bottom w:val="none" w:sz="0" w:space="0" w:color="auto"/>
                    <w:right w:val="none" w:sz="0" w:space="0" w:color="auto"/>
                  </w:divBdr>
                  <w:divsChild>
                    <w:div w:id="229195022">
                      <w:marLeft w:val="0"/>
                      <w:marRight w:val="0"/>
                      <w:marTop w:val="0"/>
                      <w:marBottom w:val="0"/>
                      <w:divBdr>
                        <w:top w:val="none" w:sz="0" w:space="0" w:color="auto"/>
                        <w:left w:val="none" w:sz="0" w:space="0" w:color="auto"/>
                        <w:bottom w:val="none" w:sz="0" w:space="0" w:color="auto"/>
                        <w:right w:val="none" w:sz="0" w:space="0" w:color="auto"/>
                      </w:divBdr>
                    </w:div>
                  </w:divsChild>
                </w:div>
                <w:div w:id="1643776112">
                  <w:marLeft w:val="0"/>
                  <w:marRight w:val="0"/>
                  <w:marTop w:val="0"/>
                  <w:marBottom w:val="0"/>
                  <w:divBdr>
                    <w:top w:val="none" w:sz="0" w:space="0" w:color="auto"/>
                    <w:left w:val="none" w:sz="0" w:space="0" w:color="auto"/>
                    <w:bottom w:val="none" w:sz="0" w:space="0" w:color="auto"/>
                    <w:right w:val="none" w:sz="0" w:space="0" w:color="auto"/>
                  </w:divBdr>
                  <w:divsChild>
                    <w:div w:id="1960643327">
                      <w:marLeft w:val="0"/>
                      <w:marRight w:val="0"/>
                      <w:marTop w:val="0"/>
                      <w:marBottom w:val="0"/>
                      <w:divBdr>
                        <w:top w:val="none" w:sz="0" w:space="0" w:color="auto"/>
                        <w:left w:val="none" w:sz="0" w:space="0" w:color="auto"/>
                        <w:bottom w:val="none" w:sz="0" w:space="0" w:color="auto"/>
                        <w:right w:val="none" w:sz="0" w:space="0" w:color="auto"/>
                      </w:divBdr>
                    </w:div>
                  </w:divsChild>
                </w:div>
                <w:div w:id="1677002721">
                  <w:marLeft w:val="0"/>
                  <w:marRight w:val="0"/>
                  <w:marTop w:val="0"/>
                  <w:marBottom w:val="0"/>
                  <w:divBdr>
                    <w:top w:val="none" w:sz="0" w:space="0" w:color="auto"/>
                    <w:left w:val="none" w:sz="0" w:space="0" w:color="auto"/>
                    <w:bottom w:val="none" w:sz="0" w:space="0" w:color="auto"/>
                    <w:right w:val="none" w:sz="0" w:space="0" w:color="auto"/>
                  </w:divBdr>
                  <w:divsChild>
                    <w:div w:id="2134323943">
                      <w:marLeft w:val="0"/>
                      <w:marRight w:val="0"/>
                      <w:marTop w:val="0"/>
                      <w:marBottom w:val="0"/>
                      <w:divBdr>
                        <w:top w:val="none" w:sz="0" w:space="0" w:color="auto"/>
                        <w:left w:val="none" w:sz="0" w:space="0" w:color="auto"/>
                        <w:bottom w:val="none" w:sz="0" w:space="0" w:color="auto"/>
                        <w:right w:val="none" w:sz="0" w:space="0" w:color="auto"/>
                      </w:divBdr>
                    </w:div>
                  </w:divsChild>
                </w:div>
                <w:div w:id="1688871708">
                  <w:marLeft w:val="0"/>
                  <w:marRight w:val="0"/>
                  <w:marTop w:val="0"/>
                  <w:marBottom w:val="0"/>
                  <w:divBdr>
                    <w:top w:val="none" w:sz="0" w:space="0" w:color="auto"/>
                    <w:left w:val="none" w:sz="0" w:space="0" w:color="auto"/>
                    <w:bottom w:val="none" w:sz="0" w:space="0" w:color="auto"/>
                    <w:right w:val="none" w:sz="0" w:space="0" w:color="auto"/>
                  </w:divBdr>
                  <w:divsChild>
                    <w:div w:id="1567765523">
                      <w:marLeft w:val="0"/>
                      <w:marRight w:val="0"/>
                      <w:marTop w:val="0"/>
                      <w:marBottom w:val="0"/>
                      <w:divBdr>
                        <w:top w:val="none" w:sz="0" w:space="0" w:color="auto"/>
                        <w:left w:val="none" w:sz="0" w:space="0" w:color="auto"/>
                        <w:bottom w:val="none" w:sz="0" w:space="0" w:color="auto"/>
                        <w:right w:val="none" w:sz="0" w:space="0" w:color="auto"/>
                      </w:divBdr>
                    </w:div>
                  </w:divsChild>
                </w:div>
                <w:div w:id="1811509897">
                  <w:marLeft w:val="0"/>
                  <w:marRight w:val="0"/>
                  <w:marTop w:val="0"/>
                  <w:marBottom w:val="0"/>
                  <w:divBdr>
                    <w:top w:val="none" w:sz="0" w:space="0" w:color="auto"/>
                    <w:left w:val="none" w:sz="0" w:space="0" w:color="auto"/>
                    <w:bottom w:val="none" w:sz="0" w:space="0" w:color="auto"/>
                    <w:right w:val="none" w:sz="0" w:space="0" w:color="auto"/>
                  </w:divBdr>
                  <w:divsChild>
                    <w:div w:id="760639835">
                      <w:marLeft w:val="0"/>
                      <w:marRight w:val="0"/>
                      <w:marTop w:val="0"/>
                      <w:marBottom w:val="0"/>
                      <w:divBdr>
                        <w:top w:val="none" w:sz="0" w:space="0" w:color="auto"/>
                        <w:left w:val="none" w:sz="0" w:space="0" w:color="auto"/>
                        <w:bottom w:val="none" w:sz="0" w:space="0" w:color="auto"/>
                        <w:right w:val="none" w:sz="0" w:space="0" w:color="auto"/>
                      </w:divBdr>
                    </w:div>
                  </w:divsChild>
                </w:div>
                <w:div w:id="2013799570">
                  <w:marLeft w:val="0"/>
                  <w:marRight w:val="0"/>
                  <w:marTop w:val="0"/>
                  <w:marBottom w:val="0"/>
                  <w:divBdr>
                    <w:top w:val="none" w:sz="0" w:space="0" w:color="auto"/>
                    <w:left w:val="none" w:sz="0" w:space="0" w:color="auto"/>
                    <w:bottom w:val="none" w:sz="0" w:space="0" w:color="auto"/>
                    <w:right w:val="none" w:sz="0" w:space="0" w:color="auto"/>
                  </w:divBdr>
                  <w:divsChild>
                    <w:div w:id="2041978201">
                      <w:marLeft w:val="0"/>
                      <w:marRight w:val="0"/>
                      <w:marTop w:val="0"/>
                      <w:marBottom w:val="0"/>
                      <w:divBdr>
                        <w:top w:val="none" w:sz="0" w:space="0" w:color="auto"/>
                        <w:left w:val="none" w:sz="0" w:space="0" w:color="auto"/>
                        <w:bottom w:val="none" w:sz="0" w:space="0" w:color="auto"/>
                        <w:right w:val="none" w:sz="0" w:space="0" w:color="auto"/>
                      </w:divBdr>
                    </w:div>
                  </w:divsChild>
                </w:div>
                <w:div w:id="2041398716">
                  <w:marLeft w:val="0"/>
                  <w:marRight w:val="0"/>
                  <w:marTop w:val="0"/>
                  <w:marBottom w:val="0"/>
                  <w:divBdr>
                    <w:top w:val="none" w:sz="0" w:space="0" w:color="auto"/>
                    <w:left w:val="none" w:sz="0" w:space="0" w:color="auto"/>
                    <w:bottom w:val="none" w:sz="0" w:space="0" w:color="auto"/>
                    <w:right w:val="none" w:sz="0" w:space="0" w:color="auto"/>
                  </w:divBdr>
                  <w:divsChild>
                    <w:div w:id="512502380">
                      <w:marLeft w:val="0"/>
                      <w:marRight w:val="0"/>
                      <w:marTop w:val="0"/>
                      <w:marBottom w:val="0"/>
                      <w:divBdr>
                        <w:top w:val="none" w:sz="0" w:space="0" w:color="auto"/>
                        <w:left w:val="none" w:sz="0" w:space="0" w:color="auto"/>
                        <w:bottom w:val="none" w:sz="0" w:space="0" w:color="auto"/>
                        <w:right w:val="none" w:sz="0" w:space="0" w:color="auto"/>
                      </w:divBdr>
                    </w:div>
                  </w:divsChild>
                </w:div>
                <w:div w:id="2081248590">
                  <w:marLeft w:val="0"/>
                  <w:marRight w:val="0"/>
                  <w:marTop w:val="0"/>
                  <w:marBottom w:val="0"/>
                  <w:divBdr>
                    <w:top w:val="none" w:sz="0" w:space="0" w:color="auto"/>
                    <w:left w:val="none" w:sz="0" w:space="0" w:color="auto"/>
                    <w:bottom w:val="none" w:sz="0" w:space="0" w:color="auto"/>
                    <w:right w:val="none" w:sz="0" w:space="0" w:color="auto"/>
                  </w:divBdr>
                  <w:divsChild>
                    <w:div w:id="1330409169">
                      <w:marLeft w:val="0"/>
                      <w:marRight w:val="0"/>
                      <w:marTop w:val="0"/>
                      <w:marBottom w:val="0"/>
                      <w:divBdr>
                        <w:top w:val="none" w:sz="0" w:space="0" w:color="auto"/>
                        <w:left w:val="none" w:sz="0" w:space="0" w:color="auto"/>
                        <w:bottom w:val="none" w:sz="0" w:space="0" w:color="auto"/>
                        <w:right w:val="none" w:sz="0" w:space="0" w:color="auto"/>
                      </w:divBdr>
                    </w:div>
                  </w:divsChild>
                </w:div>
                <w:div w:id="2096590456">
                  <w:marLeft w:val="0"/>
                  <w:marRight w:val="0"/>
                  <w:marTop w:val="0"/>
                  <w:marBottom w:val="0"/>
                  <w:divBdr>
                    <w:top w:val="none" w:sz="0" w:space="0" w:color="auto"/>
                    <w:left w:val="none" w:sz="0" w:space="0" w:color="auto"/>
                    <w:bottom w:val="none" w:sz="0" w:space="0" w:color="auto"/>
                    <w:right w:val="none" w:sz="0" w:space="0" w:color="auto"/>
                  </w:divBdr>
                  <w:divsChild>
                    <w:div w:id="464978784">
                      <w:marLeft w:val="0"/>
                      <w:marRight w:val="0"/>
                      <w:marTop w:val="0"/>
                      <w:marBottom w:val="0"/>
                      <w:divBdr>
                        <w:top w:val="none" w:sz="0" w:space="0" w:color="auto"/>
                        <w:left w:val="none" w:sz="0" w:space="0" w:color="auto"/>
                        <w:bottom w:val="none" w:sz="0" w:space="0" w:color="auto"/>
                        <w:right w:val="none" w:sz="0" w:space="0" w:color="auto"/>
                      </w:divBdr>
                    </w:div>
                  </w:divsChild>
                </w:div>
                <w:div w:id="2111008384">
                  <w:marLeft w:val="0"/>
                  <w:marRight w:val="0"/>
                  <w:marTop w:val="0"/>
                  <w:marBottom w:val="0"/>
                  <w:divBdr>
                    <w:top w:val="none" w:sz="0" w:space="0" w:color="auto"/>
                    <w:left w:val="none" w:sz="0" w:space="0" w:color="auto"/>
                    <w:bottom w:val="none" w:sz="0" w:space="0" w:color="auto"/>
                    <w:right w:val="none" w:sz="0" w:space="0" w:color="auto"/>
                  </w:divBdr>
                  <w:divsChild>
                    <w:div w:id="106556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011490">
          <w:marLeft w:val="0"/>
          <w:marRight w:val="0"/>
          <w:marTop w:val="0"/>
          <w:marBottom w:val="0"/>
          <w:divBdr>
            <w:top w:val="none" w:sz="0" w:space="0" w:color="auto"/>
            <w:left w:val="none" w:sz="0" w:space="0" w:color="auto"/>
            <w:bottom w:val="none" w:sz="0" w:space="0" w:color="auto"/>
            <w:right w:val="none" w:sz="0" w:space="0" w:color="auto"/>
          </w:divBdr>
        </w:div>
        <w:div w:id="1317223450">
          <w:marLeft w:val="0"/>
          <w:marRight w:val="0"/>
          <w:marTop w:val="0"/>
          <w:marBottom w:val="0"/>
          <w:divBdr>
            <w:top w:val="none" w:sz="0" w:space="0" w:color="auto"/>
            <w:left w:val="none" w:sz="0" w:space="0" w:color="auto"/>
            <w:bottom w:val="none" w:sz="0" w:space="0" w:color="auto"/>
            <w:right w:val="none" w:sz="0" w:space="0" w:color="auto"/>
          </w:divBdr>
        </w:div>
      </w:divsChild>
    </w:div>
    <w:div w:id="226034492">
      <w:bodyDiv w:val="1"/>
      <w:marLeft w:val="0"/>
      <w:marRight w:val="0"/>
      <w:marTop w:val="0"/>
      <w:marBottom w:val="0"/>
      <w:divBdr>
        <w:top w:val="none" w:sz="0" w:space="0" w:color="auto"/>
        <w:left w:val="none" w:sz="0" w:space="0" w:color="auto"/>
        <w:bottom w:val="none" w:sz="0" w:space="0" w:color="auto"/>
        <w:right w:val="none" w:sz="0" w:space="0" w:color="auto"/>
      </w:divBdr>
    </w:div>
    <w:div w:id="294221221">
      <w:bodyDiv w:val="1"/>
      <w:marLeft w:val="0"/>
      <w:marRight w:val="0"/>
      <w:marTop w:val="0"/>
      <w:marBottom w:val="0"/>
      <w:divBdr>
        <w:top w:val="none" w:sz="0" w:space="0" w:color="auto"/>
        <w:left w:val="none" w:sz="0" w:space="0" w:color="auto"/>
        <w:bottom w:val="none" w:sz="0" w:space="0" w:color="auto"/>
        <w:right w:val="none" w:sz="0" w:space="0" w:color="auto"/>
      </w:divBdr>
    </w:div>
    <w:div w:id="305857205">
      <w:bodyDiv w:val="1"/>
      <w:marLeft w:val="0"/>
      <w:marRight w:val="0"/>
      <w:marTop w:val="0"/>
      <w:marBottom w:val="0"/>
      <w:divBdr>
        <w:top w:val="none" w:sz="0" w:space="0" w:color="auto"/>
        <w:left w:val="none" w:sz="0" w:space="0" w:color="auto"/>
        <w:bottom w:val="none" w:sz="0" w:space="0" w:color="auto"/>
        <w:right w:val="none" w:sz="0" w:space="0" w:color="auto"/>
      </w:divBdr>
    </w:div>
    <w:div w:id="321355184">
      <w:bodyDiv w:val="1"/>
      <w:marLeft w:val="0"/>
      <w:marRight w:val="0"/>
      <w:marTop w:val="0"/>
      <w:marBottom w:val="0"/>
      <w:divBdr>
        <w:top w:val="none" w:sz="0" w:space="0" w:color="auto"/>
        <w:left w:val="none" w:sz="0" w:space="0" w:color="auto"/>
        <w:bottom w:val="none" w:sz="0" w:space="0" w:color="auto"/>
        <w:right w:val="none" w:sz="0" w:space="0" w:color="auto"/>
      </w:divBdr>
    </w:div>
    <w:div w:id="336151585">
      <w:bodyDiv w:val="1"/>
      <w:marLeft w:val="0"/>
      <w:marRight w:val="0"/>
      <w:marTop w:val="0"/>
      <w:marBottom w:val="0"/>
      <w:divBdr>
        <w:top w:val="none" w:sz="0" w:space="0" w:color="auto"/>
        <w:left w:val="none" w:sz="0" w:space="0" w:color="auto"/>
        <w:bottom w:val="none" w:sz="0" w:space="0" w:color="auto"/>
        <w:right w:val="none" w:sz="0" w:space="0" w:color="auto"/>
      </w:divBdr>
    </w:div>
    <w:div w:id="349069383">
      <w:bodyDiv w:val="1"/>
      <w:marLeft w:val="0"/>
      <w:marRight w:val="0"/>
      <w:marTop w:val="0"/>
      <w:marBottom w:val="0"/>
      <w:divBdr>
        <w:top w:val="none" w:sz="0" w:space="0" w:color="auto"/>
        <w:left w:val="none" w:sz="0" w:space="0" w:color="auto"/>
        <w:bottom w:val="none" w:sz="0" w:space="0" w:color="auto"/>
        <w:right w:val="none" w:sz="0" w:space="0" w:color="auto"/>
      </w:divBdr>
    </w:div>
    <w:div w:id="373627411">
      <w:bodyDiv w:val="1"/>
      <w:marLeft w:val="0"/>
      <w:marRight w:val="0"/>
      <w:marTop w:val="0"/>
      <w:marBottom w:val="0"/>
      <w:divBdr>
        <w:top w:val="none" w:sz="0" w:space="0" w:color="auto"/>
        <w:left w:val="none" w:sz="0" w:space="0" w:color="auto"/>
        <w:bottom w:val="none" w:sz="0" w:space="0" w:color="auto"/>
        <w:right w:val="none" w:sz="0" w:space="0" w:color="auto"/>
      </w:divBdr>
      <w:divsChild>
        <w:div w:id="413550694">
          <w:marLeft w:val="0"/>
          <w:marRight w:val="0"/>
          <w:marTop w:val="0"/>
          <w:marBottom w:val="0"/>
          <w:divBdr>
            <w:top w:val="none" w:sz="0" w:space="0" w:color="auto"/>
            <w:left w:val="none" w:sz="0" w:space="0" w:color="auto"/>
            <w:bottom w:val="none" w:sz="0" w:space="0" w:color="auto"/>
            <w:right w:val="none" w:sz="0" w:space="0" w:color="auto"/>
          </w:divBdr>
        </w:div>
        <w:div w:id="1027826258">
          <w:marLeft w:val="0"/>
          <w:marRight w:val="0"/>
          <w:marTop w:val="0"/>
          <w:marBottom w:val="0"/>
          <w:divBdr>
            <w:top w:val="none" w:sz="0" w:space="0" w:color="auto"/>
            <w:left w:val="none" w:sz="0" w:space="0" w:color="auto"/>
            <w:bottom w:val="none" w:sz="0" w:space="0" w:color="auto"/>
            <w:right w:val="none" w:sz="0" w:space="0" w:color="auto"/>
          </w:divBdr>
        </w:div>
      </w:divsChild>
    </w:div>
    <w:div w:id="374353811">
      <w:bodyDiv w:val="1"/>
      <w:marLeft w:val="0"/>
      <w:marRight w:val="0"/>
      <w:marTop w:val="0"/>
      <w:marBottom w:val="0"/>
      <w:divBdr>
        <w:top w:val="none" w:sz="0" w:space="0" w:color="auto"/>
        <w:left w:val="none" w:sz="0" w:space="0" w:color="auto"/>
        <w:bottom w:val="none" w:sz="0" w:space="0" w:color="auto"/>
        <w:right w:val="none" w:sz="0" w:space="0" w:color="auto"/>
      </w:divBdr>
    </w:div>
    <w:div w:id="376204962">
      <w:bodyDiv w:val="1"/>
      <w:marLeft w:val="0"/>
      <w:marRight w:val="0"/>
      <w:marTop w:val="0"/>
      <w:marBottom w:val="0"/>
      <w:divBdr>
        <w:top w:val="none" w:sz="0" w:space="0" w:color="auto"/>
        <w:left w:val="none" w:sz="0" w:space="0" w:color="auto"/>
        <w:bottom w:val="none" w:sz="0" w:space="0" w:color="auto"/>
        <w:right w:val="none" w:sz="0" w:space="0" w:color="auto"/>
      </w:divBdr>
    </w:div>
    <w:div w:id="380985728">
      <w:bodyDiv w:val="1"/>
      <w:marLeft w:val="0"/>
      <w:marRight w:val="0"/>
      <w:marTop w:val="0"/>
      <w:marBottom w:val="0"/>
      <w:divBdr>
        <w:top w:val="none" w:sz="0" w:space="0" w:color="auto"/>
        <w:left w:val="none" w:sz="0" w:space="0" w:color="auto"/>
        <w:bottom w:val="none" w:sz="0" w:space="0" w:color="auto"/>
        <w:right w:val="none" w:sz="0" w:space="0" w:color="auto"/>
      </w:divBdr>
    </w:div>
    <w:div w:id="406654151">
      <w:bodyDiv w:val="1"/>
      <w:marLeft w:val="0"/>
      <w:marRight w:val="0"/>
      <w:marTop w:val="0"/>
      <w:marBottom w:val="0"/>
      <w:divBdr>
        <w:top w:val="none" w:sz="0" w:space="0" w:color="auto"/>
        <w:left w:val="none" w:sz="0" w:space="0" w:color="auto"/>
        <w:bottom w:val="none" w:sz="0" w:space="0" w:color="auto"/>
        <w:right w:val="none" w:sz="0" w:space="0" w:color="auto"/>
      </w:divBdr>
    </w:div>
    <w:div w:id="416444965">
      <w:bodyDiv w:val="1"/>
      <w:marLeft w:val="0"/>
      <w:marRight w:val="0"/>
      <w:marTop w:val="0"/>
      <w:marBottom w:val="0"/>
      <w:divBdr>
        <w:top w:val="none" w:sz="0" w:space="0" w:color="auto"/>
        <w:left w:val="none" w:sz="0" w:space="0" w:color="auto"/>
        <w:bottom w:val="none" w:sz="0" w:space="0" w:color="auto"/>
        <w:right w:val="none" w:sz="0" w:space="0" w:color="auto"/>
      </w:divBdr>
    </w:div>
    <w:div w:id="433020781">
      <w:bodyDiv w:val="1"/>
      <w:marLeft w:val="0"/>
      <w:marRight w:val="0"/>
      <w:marTop w:val="0"/>
      <w:marBottom w:val="0"/>
      <w:divBdr>
        <w:top w:val="none" w:sz="0" w:space="0" w:color="auto"/>
        <w:left w:val="none" w:sz="0" w:space="0" w:color="auto"/>
        <w:bottom w:val="none" w:sz="0" w:space="0" w:color="auto"/>
        <w:right w:val="none" w:sz="0" w:space="0" w:color="auto"/>
      </w:divBdr>
    </w:div>
    <w:div w:id="456725494">
      <w:bodyDiv w:val="1"/>
      <w:marLeft w:val="0"/>
      <w:marRight w:val="0"/>
      <w:marTop w:val="0"/>
      <w:marBottom w:val="0"/>
      <w:divBdr>
        <w:top w:val="none" w:sz="0" w:space="0" w:color="auto"/>
        <w:left w:val="none" w:sz="0" w:space="0" w:color="auto"/>
        <w:bottom w:val="none" w:sz="0" w:space="0" w:color="auto"/>
        <w:right w:val="none" w:sz="0" w:space="0" w:color="auto"/>
      </w:divBdr>
    </w:div>
    <w:div w:id="459570272">
      <w:bodyDiv w:val="1"/>
      <w:marLeft w:val="0"/>
      <w:marRight w:val="0"/>
      <w:marTop w:val="0"/>
      <w:marBottom w:val="0"/>
      <w:divBdr>
        <w:top w:val="none" w:sz="0" w:space="0" w:color="auto"/>
        <w:left w:val="none" w:sz="0" w:space="0" w:color="auto"/>
        <w:bottom w:val="none" w:sz="0" w:space="0" w:color="auto"/>
        <w:right w:val="none" w:sz="0" w:space="0" w:color="auto"/>
      </w:divBdr>
    </w:div>
    <w:div w:id="503281934">
      <w:bodyDiv w:val="1"/>
      <w:marLeft w:val="0"/>
      <w:marRight w:val="0"/>
      <w:marTop w:val="0"/>
      <w:marBottom w:val="0"/>
      <w:divBdr>
        <w:top w:val="none" w:sz="0" w:space="0" w:color="auto"/>
        <w:left w:val="none" w:sz="0" w:space="0" w:color="auto"/>
        <w:bottom w:val="none" w:sz="0" w:space="0" w:color="auto"/>
        <w:right w:val="none" w:sz="0" w:space="0" w:color="auto"/>
      </w:divBdr>
    </w:div>
    <w:div w:id="510295676">
      <w:bodyDiv w:val="1"/>
      <w:marLeft w:val="0"/>
      <w:marRight w:val="0"/>
      <w:marTop w:val="0"/>
      <w:marBottom w:val="0"/>
      <w:divBdr>
        <w:top w:val="none" w:sz="0" w:space="0" w:color="auto"/>
        <w:left w:val="none" w:sz="0" w:space="0" w:color="auto"/>
        <w:bottom w:val="none" w:sz="0" w:space="0" w:color="auto"/>
        <w:right w:val="none" w:sz="0" w:space="0" w:color="auto"/>
      </w:divBdr>
    </w:div>
    <w:div w:id="533348719">
      <w:bodyDiv w:val="1"/>
      <w:marLeft w:val="0"/>
      <w:marRight w:val="0"/>
      <w:marTop w:val="0"/>
      <w:marBottom w:val="0"/>
      <w:divBdr>
        <w:top w:val="none" w:sz="0" w:space="0" w:color="auto"/>
        <w:left w:val="none" w:sz="0" w:space="0" w:color="auto"/>
        <w:bottom w:val="none" w:sz="0" w:space="0" w:color="auto"/>
        <w:right w:val="none" w:sz="0" w:space="0" w:color="auto"/>
      </w:divBdr>
    </w:div>
    <w:div w:id="548960536">
      <w:bodyDiv w:val="1"/>
      <w:marLeft w:val="0"/>
      <w:marRight w:val="0"/>
      <w:marTop w:val="0"/>
      <w:marBottom w:val="0"/>
      <w:divBdr>
        <w:top w:val="none" w:sz="0" w:space="0" w:color="auto"/>
        <w:left w:val="none" w:sz="0" w:space="0" w:color="auto"/>
        <w:bottom w:val="none" w:sz="0" w:space="0" w:color="auto"/>
        <w:right w:val="none" w:sz="0" w:space="0" w:color="auto"/>
      </w:divBdr>
    </w:div>
    <w:div w:id="554239462">
      <w:bodyDiv w:val="1"/>
      <w:marLeft w:val="0"/>
      <w:marRight w:val="0"/>
      <w:marTop w:val="0"/>
      <w:marBottom w:val="0"/>
      <w:divBdr>
        <w:top w:val="none" w:sz="0" w:space="0" w:color="auto"/>
        <w:left w:val="none" w:sz="0" w:space="0" w:color="auto"/>
        <w:bottom w:val="none" w:sz="0" w:space="0" w:color="auto"/>
        <w:right w:val="none" w:sz="0" w:space="0" w:color="auto"/>
      </w:divBdr>
    </w:div>
    <w:div w:id="560797260">
      <w:bodyDiv w:val="1"/>
      <w:marLeft w:val="0"/>
      <w:marRight w:val="0"/>
      <w:marTop w:val="0"/>
      <w:marBottom w:val="0"/>
      <w:divBdr>
        <w:top w:val="none" w:sz="0" w:space="0" w:color="auto"/>
        <w:left w:val="none" w:sz="0" w:space="0" w:color="auto"/>
        <w:bottom w:val="none" w:sz="0" w:space="0" w:color="auto"/>
        <w:right w:val="none" w:sz="0" w:space="0" w:color="auto"/>
      </w:divBdr>
      <w:divsChild>
        <w:div w:id="159274081">
          <w:marLeft w:val="0"/>
          <w:marRight w:val="0"/>
          <w:marTop w:val="0"/>
          <w:marBottom w:val="0"/>
          <w:divBdr>
            <w:top w:val="none" w:sz="0" w:space="0" w:color="auto"/>
            <w:left w:val="none" w:sz="0" w:space="0" w:color="auto"/>
            <w:bottom w:val="none" w:sz="0" w:space="0" w:color="auto"/>
            <w:right w:val="none" w:sz="0" w:space="0" w:color="auto"/>
          </w:divBdr>
          <w:divsChild>
            <w:div w:id="1088884847">
              <w:marLeft w:val="0"/>
              <w:marRight w:val="0"/>
              <w:marTop w:val="0"/>
              <w:marBottom w:val="0"/>
              <w:divBdr>
                <w:top w:val="none" w:sz="0" w:space="0" w:color="auto"/>
                <w:left w:val="none" w:sz="0" w:space="0" w:color="auto"/>
                <w:bottom w:val="none" w:sz="0" w:space="0" w:color="auto"/>
                <w:right w:val="none" w:sz="0" w:space="0" w:color="auto"/>
              </w:divBdr>
            </w:div>
          </w:divsChild>
        </w:div>
        <w:div w:id="206920526">
          <w:marLeft w:val="0"/>
          <w:marRight w:val="0"/>
          <w:marTop w:val="0"/>
          <w:marBottom w:val="0"/>
          <w:divBdr>
            <w:top w:val="none" w:sz="0" w:space="0" w:color="auto"/>
            <w:left w:val="none" w:sz="0" w:space="0" w:color="auto"/>
            <w:bottom w:val="none" w:sz="0" w:space="0" w:color="auto"/>
            <w:right w:val="none" w:sz="0" w:space="0" w:color="auto"/>
          </w:divBdr>
          <w:divsChild>
            <w:div w:id="2782917">
              <w:marLeft w:val="0"/>
              <w:marRight w:val="0"/>
              <w:marTop w:val="0"/>
              <w:marBottom w:val="0"/>
              <w:divBdr>
                <w:top w:val="none" w:sz="0" w:space="0" w:color="auto"/>
                <w:left w:val="none" w:sz="0" w:space="0" w:color="auto"/>
                <w:bottom w:val="none" w:sz="0" w:space="0" w:color="auto"/>
                <w:right w:val="none" w:sz="0" w:space="0" w:color="auto"/>
              </w:divBdr>
            </w:div>
          </w:divsChild>
        </w:div>
        <w:div w:id="241183182">
          <w:marLeft w:val="0"/>
          <w:marRight w:val="0"/>
          <w:marTop w:val="0"/>
          <w:marBottom w:val="0"/>
          <w:divBdr>
            <w:top w:val="none" w:sz="0" w:space="0" w:color="auto"/>
            <w:left w:val="none" w:sz="0" w:space="0" w:color="auto"/>
            <w:bottom w:val="none" w:sz="0" w:space="0" w:color="auto"/>
            <w:right w:val="none" w:sz="0" w:space="0" w:color="auto"/>
          </w:divBdr>
          <w:divsChild>
            <w:div w:id="1574969884">
              <w:marLeft w:val="0"/>
              <w:marRight w:val="0"/>
              <w:marTop w:val="0"/>
              <w:marBottom w:val="0"/>
              <w:divBdr>
                <w:top w:val="none" w:sz="0" w:space="0" w:color="auto"/>
                <w:left w:val="none" w:sz="0" w:space="0" w:color="auto"/>
                <w:bottom w:val="none" w:sz="0" w:space="0" w:color="auto"/>
                <w:right w:val="none" w:sz="0" w:space="0" w:color="auto"/>
              </w:divBdr>
            </w:div>
          </w:divsChild>
        </w:div>
        <w:div w:id="468330292">
          <w:marLeft w:val="0"/>
          <w:marRight w:val="0"/>
          <w:marTop w:val="0"/>
          <w:marBottom w:val="0"/>
          <w:divBdr>
            <w:top w:val="none" w:sz="0" w:space="0" w:color="auto"/>
            <w:left w:val="none" w:sz="0" w:space="0" w:color="auto"/>
            <w:bottom w:val="none" w:sz="0" w:space="0" w:color="auto"/>
            <w:right w:val="none" w:sz="0" w:space="0" w:color="auto"/>
          </w:divBdr>
          <w:divsChild>
            <w:div w:id="1431583302">
              <w:marLeft w:val="0"/>
              <w:marRight w:val="0"/>
              <w:marTop w:val="0"/>
              <w:marBottom w:val="0"/>
              <w:divBdr>
                <w:top w:val="none" w:sz="0" w:space="0" w:color="auto"/>
                <w:left w:val="none" w:sz="0" w:space="0" w:color="auto"/>
                <w:bottom w:val="none" w:sz="0" w:space="0" w:color="auto"/>
                <w:right w:val="none" w:sz="0" w:space="0" w:color="auto"/>
              </w:divBdr>
            </w:div>
          </w:divsChild>
        </w:div>
        <w:div w:id="503058557">
          <w:marLeft w:val="0"/>
          <w:marRight w:val="0"/>
          <w:marTop w:val="0"/>
          <w:marBottom w:val="0"/>
          <w:divBdr>
            <w:top w:val="none" w:sz="0" w:space="0" w:color="auto"/>
            <w:left w:val="none" w:sz="0" w:space="0" w:color="auto"/>
            <w:bottom w:val="none" w:sz="0" w:space="0" w:color="auto"/>
            <w:right w:val="none" w:sz="0" w:space="0" w:color="auto"/>
          </w:divBdr>
          <w:divsChild>
            <w:div w:id="482964152">
              <w:marLeft w:val="0"/>
              <w:marRight w:val="0"/>
              <w:marTop w:val="0"/>
              <w:marBottom w:val="0"/>
              <w:divBdr>
                <w:top w:val="none" w:sz="0" w:space="0" w:color="auto"/>
                <w:left w:val="none" w:sz="0" w:space="0" w:color="auto"/>
                <w:bottom w:val="none" w:sz="0" w:space="0" w:color="auto"/>
                <w:right w:val="none" w:sz="0" w:space="0" w:color="auto"/>
              </w:divBdr>
            </w:div>
          </w:divsChild>
        </w:div>
        <w:div w:id="525487129">
          <w:marLeft w:val="0"/>
          <w:marRight w:val="0"/>
          <w:marTop w:val="0"/>
          <w:marBottom w:val="0"/>
          <w:divBdr>
            <w:top w:val="none" w:sz="0" w:space="0" w:color="auto"/>
            <w:left w:val="none" w:sz="0" w:space="0" w:color="auto"/>
            <w:bottom w:val="none" w:sz="0" w:space="0" w:color="auto"/>
            <w:right w:val="none" w:sz="0" w:space="0" w:color="auto"/>
          </w:divBdr>
          <w:divsChild>
            <w:div w:id="87895821">
              <w:marLeft w:val="0"/>
              <w:marRight w:val="0"/>
              <w:marTop w:val="0"/>
              <w:marBottom w:val="0"/>
              <w:divBdr>
                <w:top w:val="none" w:sz="0" w:space="0" w:color="auto"/>
                <w:left w:val="none" w:sz="0" w:space="0" w:color="auto"/>
                <w:bottom w:val="none" w:sz="0" w:space="0" w:color="auto"/>
                <w:right w:val="none" w:sz="0" w:space="0" w:color="auto"/>
              </w:divBdr>
            </w:div>
          </w:divsChild>
        </w:div>
        <w:div w:id="581377894">
          <w:marLeft w:val="0"/>
          <w:marRight w:val="0"/>
          <w:marTop w:val="0"/>
          <w:marBottom w:val="0"/>
          <w:divBdr>
            <w:top w:val="none" w:sz="0" w:space="0" w:color="auto"/>
            <w:left w:val="none" w:sz="0" w:space="0" w:color="auto"/>
            <w:bottom w:val="none" w:sz="0" w:space="0" w:color="auto"/>
            <w:right w:val="none" w:sz="0" w:space="0" w:color="auto"/>
          </w:divBdr>
          <w:divsChild>
            <w:div w:id="1071006342">
              <w:marLeft w:val="0"/>
              <w:marRight w:val="0"/>
              <w:marTop w:val="0"/>
              <w:marBottom w:val="0"/>
              <w:divBdr>
                <w:top w:val="none" w:sz="0" w:space="0" w:color="auto"/>
                <w:left w:val="none" w:sz="0" w:space="0" w:color="auto"/>
                <w:bottom w:val="none" w:sz="0" w:space="0" w:color="auto"/>
                <w:right w:val="none" w:sz="0" w:space="0" w:color="auto"/>
              </w:divBdr>
            </w:div>
          </w:divsChild>
        </w:div>
        <w:div w:id="632373178">
          <w:marLeft w:val="0"/>
          <w:marRight w:val="0"/>
          <w:marTop w:val="0"/>
          <w:marBottom w:val="0"/>
          <w:divBdr>
            <w:top w:val="none" w:sz="0" w:space="0" w:color="auto"/>
            <w:left w:val="none" w:sz="0" w:space="0" w:color="auto"/>
            <w:bottom w:val="none" w:sz="0" w:space="0" w:color="auto"/>
            <w:right w:val="none" w:sz="0" w:space="0" w:color="auto"/>
          </w:divBdr>
          <w:divsChild>
            <w:div w:id="511994201">
              <w:marLeft w:val="0"/>
              <w:marRight w:val="0"/>
              <w:marTop w:val="0"/>
              <w:marBottom w:val="0"/>
              <w:divBdr>
                <w:top w:val="none" w:sz="0" w:space="0" w:color="auto"/>
                <w:left w:val="none" w:sz="0" w:space="0" w:color="auto"/>
                <w:bottom w:val="none" w:sz="0" w:space="0" w:color="auto"/>
                <w:right w:val="none" w:sz="0" w:space="0" w:color="auto"/>
              </w:divBdr>
            </w:div>
          </w:divsChild>
        </w:div>
        <w:div w:id="834763036">
          <w:marLeft w:val="0"/>
          <w:marRight w:val="0"/>
          <w:marTop w:val="0"/>
          <w:marBottom w:val="0"/>
          <w:divBdr>
            <w:top w:val="none" w:sz="0" w:space="0" w:color="auto"/>
            <w:left w:val="none" w:sz="0" w:space="0" w:color="auto"/>
            <w:bottom w:val="none" w:sz="0" w:space="0" w:color="auto"/>
            <w:right w:val="none" w:sz="0" w:space="0" w:color="auto"/>
          </w:divBdr>
          <w:divsChild>
            <w:div w:id="35393078">
              <w:marLeft w:val="0"/>
              <w:marRight w:val="0"/>
              <w:marTop w:val="0"/>
              <w:marBottom w:val="0"/>
              <w:divBdr>
                <w:top w:val="none" w:sz="0" w:space="0" w:color="auto"/>
                <w:left w:val="none" w:sz="0" w:space="0" w:color="auto"/>
                <w:bottom w:val="none" w:sz="0" w:space="0" w:color="auto"/>
                <w:right w:val="none" w:sz="0" w:space="0" w:color="auto"/>
              </w:divBdr>
            </w:div>
          </w:divsChild>
        </w:div>
        <w:div w:id="864638023">
          <w:marLeft w:val="0"/>
          <w:marRight w:val="0"/>
          <w:marTop w:val="0"/>
          <w:marBottom w:val="0"/>
          <w:divBdr>
            <w:top w:val="none" w:sz="0" w:space="0" w:color="auto"/>
            <w:left w:val="none" w:sz="0" w:space="0" w:color="auto"/>
            <w:bottom w:val="none" w:sz="0" w:space="0" w:color="auto"/>
            <w:right w:val="none" w:sz="0" w:space="0" w:color="auto"/>
          </w:divBdr>
          <w:divsChild>
            <w:div w:id="516777936">
              <w:marLeft w:val="0"/>
              <w:marRight w:val="0"/>
              <w:marTop w:val="0"/>
              <w:marBottom w:val="0"/>
              <w:divBdr>
                <w:top w:val="none" w:sz="0" w:space="0" w:color="auto"/>
                <w:left w:val="none" w:sz="0" w:space="0" w:color="auto"/>
                <w:bottom w:val="none" w:sz="0" w:space="0" w:color="auto"/>
                <w:right w:val="none" w:sz="0" w:space="0" w:color="auto"/>
              </w:divBdr>
            </w:div>
          </w:divsChild>
        </w:div>
        <w:div w:id="883906572">
          <w:marLeft w:val="0"/>
          <w:marRight w:val="0"/>
          <w:marTop w:val="0"/>
          <w:marBottom w:val="0"/>
          <w:divBdr>
            <w:top w:val="none" w:sz="0" w:space="0" w:color="auto"/>
            <w:left w:val="none" w:sz="0" w:space="0" w:color="auto"/>
            <w:bottom w:val="none" w:sz="0" w:space="0" w:color="auto"/>
            <w:right w:val="none" w:sz="0" w:space="0" w:color="auto"/>
          </w:divBdr>
          <w:divsChild>
            <w:div w:id="473302448">
              <w:marLeft w:val="0"/>
              <w:marRight w:val="0"/>
              <w:marTop w:val="0"/>
              <w:marBottom w:val="0"/>
              <w:divBdr>
                <w:top w:val="none" w:sz="0" w:space="0" w:color="auto"/>
                <w:left w:val="none" w:sz="0" w:space="0" w:color="auto"/>
                <w:bottom w:val="none" w:sz="0" w:space="0" w:color="auto"/>
                <w:right w:val="none" w:sz="0" w:space="0" w:color="auto"/>
              </w:divBdr>
            </w:div>
          </w:divsChild>
        </w:div>
        <w:div w:id="1080326018">
          <w:marLeft w:val="0"/>
          <w:marRight w:val="0"/>
          <w:marTop w:val="0"/>
          <w:marBottom w:val="0"/>
          <w:divBdr>
            <w:top w:val="none" w:sz="0" w:space="0" w:color="auto"/>
            <w:left w:val="none" w:sz="0" w:space="0" w:color="auto"/>
            <w:bottom w:val="none" w:sz="0" w:space="0" w:color="auto"/>
            <w:right w:val="none" w:sz="0" w:space="0" w:color="auto"/>
          </w:divBdr>
          <w:divsChild>
            <w:div w:id="371806309">
              <w:marLeft w:val="0"/>
              <w:marRight w:val="0"/>
              <w:marTop w:val="0"/>
              <w:marBottom w:val="0"/>
              <w:divBdr>
                <w:top w:val="none" w:sz="0" w:space="0" w:color="auto"/>
                <w:left w:val="none" w:sz="0" w:space="0" w:color="auto"/>
                <w:bottom w:val="none" w:sz="0" w:space="0" w:color="auto"/>
                <w:right w:val="none" w:sz="0" w:space="0" w:color="auto"/>
              </w:divBdr>
            </w:div>
          </w:divsChild>
        </w:div>
        <w:div w:id="1100688108">
          <w:marLeft w:val="0"/>
          <w:marRight w:val="0"/>
          <w:marTop w:val="0"/>
          <w:marBottom w:val="0"/>
          <w:divBdr>
            <w:top w:val="none" w:sz="0" w:space="0" w:color="auto"/>
            <w:left w:val="none" w:sz="0" w:space="0" w:color="auto"/>
            <w:bottom w:val="none" w:sz="0" w:space="0" w:color="auto"/>
            <w:right w:val="none" w:sz="0" w:space="0" w:color="auto"/>
          </w:divBdr>
          <w:divsChild>
            <w:div w:id="1411266729">
              <w:marLeft w:val="0"/>
              <w:marRight w:val="0"/>
              <w:marTop w:val="0"/>
              <w:marBottom w:val="0"/>
              <w:divBdr>
                <w:top w:val="none" w:sz="0" w:space="0" w:color="auto"/>
                <w:left w:val="none" w:sz="0" w:space="0" w:color="auto"/>
                <w:bottom w:val="none" w:sz="0" w:space="0" w:color="auto"/>
                <w:right w:val="none" w:sz="0" w:space="0" w:color="auto"/>
              </w:divBdr>
            </w:div>
          </w:divsChild>
        </w:div>
        <w:div w:id="1118597245">
          <w:marLeft w:val="0"/>
          <w:marRight w:val="0"/>
          <w:marTop w:val="0"/>
          <w:marBottom w:val="0"/>
          <w:divBdr>
            <w:top w:val="none" w:sz="0" w:space="0" w:color="auto"/>
            <w:left w:val="none" w:sz="0" w:space="0" w:color="auto"/>
            <w:bottom w:val="none" w:sz="0" w:space="0" w:color="auto"/>
            <w:right w:val="none" w:sz="0" w:space="0" w:color="auto"/>
          </w:divBdr>
          <w:divsChild>
            <w:div w:id="1977291686">
              <w:marLeft w:val="0"/>
              <w:marRight w:val="0"/>
              <w:marTop w:val="0"/>
              <w:marBottom w:val="0"/>
              <w:divBdr>
                <w:top w:val="none" w:sz="0" w:space="0" w:color="auto"/>
                <w:left w:val="none" w:sz="0" w:space="0" w:color="auto"/>
                <w:bottom w:val="none" w:sz="0" w:space="0" w:color="auto"/>
                <w:right w:val="none" w:sz="0" w:space="0" w:color="auto"/>
              </w:divBdr>
            </w:div>
          </w:divsChild>
        </w:div>
        <w:div w:id="1172918071">
          <w:marLeft w:val="0"/>
          <w:marRight w:val="0"/>
          <w:marTop w:val="0"/>
          <w:marBottom w:val="0"/>
          <w:divBdr>
            <w:top w:val="none" w:sz="0" w:space="0" w:color="auto"/>
            <w:left w:val="none" w:sz="0" w:space="0" w:color="auto"/>
            <w:bottom w:val="none" w:sz="0" w:space="0" w:color="auto"/>
            <w:right w:val="none" w:sz="0" w:space="0" w:color="auto"/>
          </w:divBdr>
          <w:divsChild>
            <w:div w:id="1097554742">
              <w:marLeft w:val="0"/>
              <w:marRight w:val="0"/>
              <w:marTop w:val="0"/>
              <w:marBottom w:val="0"/>
              <w:divBdr>
                <w:top w:val="none" w:sz="0" w:space="0" w:color="auto"/>
                <w:left w:val="none" w:sz="0" w:space="0" w:color="auto"/>
                <w:bottom w:val="none" w:sz="0" w:space="0" w:color="auto"/>
                <w:right w:val="none" w:sz="0" w:space="0" w:color="auto"/>
              </w:divBdr>
            </w:div>
          </w:divsChild>
        </w:div>
        <w:div w:id="1175533850">
          <w:marLeft w:val="0"/>
          <w:marRight w:val="0"/>
          <w:marTop w:val="0"/>
          <w:marBottom w:val="0"/>
          <w:divBdr>
            <w:top w:val="none" w:sz="0" w:space="0" w:color="auto"/>
            <w:left w:val="none" w:sz="0" w:space="0" w:color="auto"/>
            <w:bottom w:val="none" w:sz="0" w:space="0" w:color="auto"/>
            <w:right w:val="none" w:sz="0" w:space="0" w:color="auto"/>
          </w:divBdr>
          <w:divsChild>
            <w:div w:id="1115750672">
              <w:marLeft w:val="0"/>
              <w:marRight w:val="0"/>
              <w:marTop w:val="0"/>
              <w:marBottom w:val="0"/>
              <w:divBdr>
                <w:top w:val="none" w:sz="0" w:space="0" w:color="auto"/>
                <w:left w:val="none" w:sz="0" w:space="0" w:color="auto"/>
                <w:bottom w:val="none" w:sz="0" w:space="0" w:color="auto"/>
                <w:right w:val="none" w:sz="0" w:space="0" w:color="auto"/>
              </w:divBdr>
            </w:div>
          </w:divsChild>
        </w:div>
        <w:div w:id="1200125002">
          <w:marLeft w:val="0"/>
          <w:marRight w:val="0"/>
          <w:marTop w:val="0"/>
          <w:marBottom w:val="0"/>
          <w:divBdr>
            <w:top w:val="none" w:sz="0" w:space="0" w:color="auto"/>
            <w:left w:val="none" w:sz="0" w:space="0" w:color="auto"/>
            <w:bottom w:val="none" w:sz="0" w:space="0" w:color="auto"/>
            <w:right w:val="none" w:sz="0" w:space="0" w:color="auto"/>
          </w:divBdr>
          <w:divsChild>
            <w:div w:id="1714381699">
              <w:marLeft w:val="0"/>
              <w:marRight w:val="0"/>
              <w:marTop w:val="30"/>
              <w:marBottom w:val="30"/>
              <w:divBdr>
                <w:top w:val="none" w:sz="0" w:space="0" w:color="auto"/>
                <w:left w:val="none" w:sz="0" w:space="0" w:color="auto"/>
                <w:bottom w:val="none" w:sz="0" w:space="0" w:color="auto"/>
                <w:right w:val="none" w:sz="0" w:space="0" w:color="auto"/>
              </w:divBdr>
              <w:divsChild>
                <w:div w:id="54209809">
                  <w:marLeft w:val="0"/>
                  <w:marRight w:val="0"/>
                  <w:marTop w:val="0"/>
                  <w:marBottom w:val="0"/>
                  <w:divBdr>
                    <w:top w:val="none" w:sz="0" w:space="0" w:color="auto"/>
                    <w:left w:val="none" w:sz="0" w:space="0" w:color="auto"/>
                    <w:bottom w:val="none" w:sz="0" w:space="0" w:color="auto"/>
                    <w:right w:val="none" w:sz="0" w:space="0" w:color="auto"/>
                  </w:divBdr>
                  <w:divsChild>
                    <w:div w:id="1438716055">
                      <w:marLeft w:val="0"/>
                      <w:marRight w:val="0"/>
                      <w:marTop w:val="0"/>
                      <w:marBottom w:val="0"/>
                      <w:divBdr>
                        <w:top w:val="none" w:sz="0" w:space="0" w:color="auto"/>
                        <w:left w:val="none" w:sz="0" w:space="0" w:color="auto"/>
                        <w:bottom w:val="none" w:sz="0" w:space="0" w:color="auto"/>
                        <w:right w:val="none" w:sz="0" w:space="0" w:color="auto"/>
                      </w:divBdr>
                    </w:div>
                  </w:divsChild>
                </w:div>
                <w:div w:id="58596449">
                  <w:marLeft w:val="0"/>
                  <w:marRight w:val="0"/>
                  <w:marTop w:val="0"/>
                  <w:marBottom w:val="0"/>
                  <w:divBdr>
                    <w:top w:val="none" w:sz="0" w:space="0" w:color="auto"/>
                    <w:left w:val="none" w:sz="0" w:space="0" w:color="auto"/>
                    <w:bottom w:val="none" w:sz="0" w:space="0" w:color="auto"/>
                    <w:right w:val="none" w:sz="0" w:space="0" w:color="auto"/>
                  </w:divBdr>
                  <w:divsChild>
                    <w:div w:id="694230265">
                      <w:marLeft w:val="0"/>
                      <w:marRight w:val="0"/>
                      <w:marTop w:val="0"/>
                      <w:marBottom w:val="0"/>
                      <w:divBdr>
                        <w:top w:val="none" w:sz="0" w:space="0" w:color="auto"/>
                        <w:left w:val="none" w:sz="0" w:space="0" w:color="auto"/>
                        <w:bottom w:val="none" w:sz="0" w:space="0" w:color="auto"/>
                        <w:right w:val="none" w:sz="0" w:space="0" w:color="auto"/>
                      </w:divBdr>
                    </w:div>
                  </w:divsChild>
                </w:div>
                <w:div w:id="84959013">
                  <w:marLeft w:val="0"/>
                  <w:marRight w:val="0"/>
                  <w:marTop w:val="0"/>
                  <w:marBottom w:val="0"/>
                  <w:divBdr>
                    <w:top w:val="none" w:sz="0" w:space="0" w:color="auto"/>
                    <w:left w:val="none" w:sz="0" w:space="0" w:color="auto"/>
                    <w:bottom w:val="none" w:sz="0" w:space="0" w:color="auto"/>
                    <w:right w:val="none" w:sz="0" w:space="0" w:color="auto"/>
                  </w:divBdr>
                  <w:divsChild>
                    <w:div w:id="2104911329">
                      <w:marLeft w:val="0"/>
                      <w:marRight w:val="0"/>
                      <w:marTop w:val="0"/>
                      <w:marBottom w:val="0"/>
                      <w:divBdr>
                        <w:top w:val="none" w:sz="0" w:space="0" w:color="auto"/>
                        <w:left w:val="none" w:sz="0" w:space="0" w:color="auto"/>
                        <w:bottom w:val="none" w:sz="0" w:space="0" w:color="auto"/>
                        <w:right w:val="none" w:sz="0" w:space="0" w:color="auto"/>
                      </w:divBdr>
                    </w:div>
                  </w:divsChild>
                </w:div>
                <w:div w:id="113594996">
                  <w:marLeft w:val="0"/>
                  <w:marRight w:val="0"/>
                  <w:marTop w:val="0"/>
                  <w:marBottom w:val="0"/>
                  <w:divBdr>
                    <w:top w:val="none" w:sz="0" w:space="0" w:color="auto"/>
                    <w:left w:val="none" w:sz="0" w:space="0" w:color="auto"/>
                    <w:bottom w:val="none" w:sz="0" w:space="0" w:color="auto"/>
                    <w:right w:val="none" w:sz="0" w:space="0" w:color="auto"/>
                  </w:divBdr>
                  <w:divsChild>
                    <w:div w:id="908419649">
                      <w:marLeft w:val="0"/>
                      <w:marRight w:val="0"/>
                      <w:marTop w:val="0"/>
                      <w:marBottom w:val="0"/>
                      <w:divBdr>
                        <w:top w:val="none" w:sz="0" w:space="0" w:color="auto"/>
                        <w:left w:val="none" w:sz="0" w:space="0" w:color="auto"/>
                        <w:bottom w:val="none" w:sz="0" w:space="0" w:color="auto"/>
                        <w:right w:val="none" w:sz="0" w:space="0" w:color="auto"/>
                      </w:divBdr>
                    </w:div>
                  </w:divsChild>
                </w:div>
                <w:div w:id="131145466">
                  <w:marLeft w:val="0"/>
                  <w:marRight w:val="0"/>
                  <w:marTop w:val="0"/>
                  <w:marBottom w:val="0"/>
                  <w:divBdr>
                    <w:top w:val="none" w:sz="0" w:space="0" w:color="auto"/>
                    <w:left w:val="none" w:sz="0" w:space="0" w:color="auto"/>
                    <w:bottom w:val="none" w:sz="0" w:space="0" w:color="auto"/>
                    <w:right w:val="none" w:sz="0" w:space="0" w:color="auto"/>
                  </w:divBdr>
                  <w:divsChild>
                    <w:div w:id="1294749248">
                      <w:marLeft w:val="0"/>
                      <w:marRight w:val="0"/>
                      <w:marTop w:val="0"/>
                      <w:marBottom w:val="0"/>
                      <w:divBdr>
                        <w:top w:val="none" w:sz="0" w:space="0" w:color="auto"/>
                        <w:left w:val="none" w:sz="0" w:space="0" w:color="auto"/>
                        <w:bottom w:val="none" w:sz="0" w:space="0" w:color="auto"/>
                        <w:right w:val="none" w:sz="0" w:space="0" w:color="auto"/>
                      </w:divBdr>
                    </w:div>
                  </w:divsChild>
                </w:div>
                <w:div w:id="179441763">
                  <w:marLeft w:val="0"/>
                  <w:marRight w:val="0"/>
                  <w:marTop w:val="0"/>
                  <w:marBottom w:val="0"/>
                  <w:divBdr>
                    <w:top w:val="none" w:sz="0" w:space="0" w:color="auto"/>
                    <w:left w:val="none" w:sz="0" w:space="0" w:color="auto"/>
                    <w:bottom w:val="none" w:sz="0" w:space="0" w:color="auto"/>
                    <w:right w:val="none" w:sz="0" w:space="0" w:color="auto"/>
                  </w:divBdr>
                  <w:divsChild>
                    <w:div w:id="221871416">
                      <w:marLeft w:val="0"/>
                      <w:marRight w:val="0"/>
                      <w:marTop w:val="0"/>
                      <w:marBottom w:val="0"/>
                      <w:divBdr>
                        <w:top w:val="none" w:sz="0" w:space="0" w:color="auto"/>
                        <w:left w:val="none" w:sz="0" w:space="0" w:color="auto"/>
                        <w:bottom w:val="none" w:sz="0" w:space="0" w:color="auto"/>
                        <w:right w:val="none" w:sz="0" w:space="0" w:color="auto"/>
                      </w:divBdr>
                    </w:div>
                  </w:divsChild>
                </w:div>
                <w:div w:id="192693342">
                  <w:marLeft w:val="0"/>
                  <w:marRight w:val="0"/>
                  <w:marTop w:val="0"/>
                  <w:marBottom w:val="0"/>
                  <w:divBdr>
                    <w:top w:val="none" w:sz="0" w:space="0" w:color="auto"/>
                    <w:left w:val="none" w:sz="0" w:space="0" w:color="auto"/>
                    <w:bottom w:val="none" w:sz="0" w:space="0" w:color="auto"/>
                    <w:right w:val="none" w:sz="0" w:space="0" w:color="auto"/>
                  </w:divBdr>
                  <w:divsChild>
                    <w:div w:id="1058631161">
                      <w:marLeft w:val="0"/>
                      <w:marRight w:val="0"/>
                      <w:marTop w:val="0"/>
                      <w:marBottom w:val="0"/>
                      <w:divBdr>
                        <w:top w:val="none" w:sz="0" w:space="0" w:color="auto"/>
                        <w:left w:val="none" w:sz="0" w:space="0" w:color="auto"/>
                        <w:bottom w:val="none" w:sz="0" w:space="0" w:color="auto"/>
                        <w:right w:val="none" w:sz="0" w:space="0" w:color="auto"/>
                      </w:divBdr>
                    </w:div>
                  </w:divsChild>
                </w:div>
                <w:div w:id="225147233">
                  <w:marLeft w:val="0"/>
                  <w:marRight w:val="0"/>
                  <w:marTop w:val="0"/>
                  <w:marBottom w:val="0"/>
                  <w:divBdr>
                    <w:top w:val="none" w:sz="0" w:space="0" w:color="auto"/>
                    <w:left w:val="none" w:sz="0" w:space="0" w:color="auto"/>
                    <w:bottom w:val="none" w:sz="0" w:space="0" w:color="auto"/>
                    <w:right w:val="none" w:sz="0" w:space="0" w:color="auto"/>
                  </w:divBdr>
                  <w:divsChild>
                    <w:div w:id="989284811">
                      <w:marLeft w:val="0"/>
                      <w:marRight w:val="0"/>
                      <w:marTop w:val="0"/>
                      <w:marBottom w:val="0"/>
                      <w:divBdr>
                        <w:top w:val="none" w:sz="0" w:space="0" w:color="auto"/>
                        <w:left w:val="none" w:sz="0" w:space="0" w:color="auto"/>
                        <w:bottom w:val="none" w:sz="0" w:space="0" w:color="auto"/>
                        <w:right w:val="none" w:sz="0" w:space="0" w:color="auto"/>
                      </w:divBdr>
                    </w:div>
                  </w:divsChild>
                </w:div>
                <w:div w:id="264503349">
                  <w:marLeft w:val="0"/>
                  <w:marRight w:val="0"/>
                  <w:marTop w:val="0"/>
                  <w:marBottom w:val="0"/>
                  <w:divBdr>
                    <w:top w:val="none" w:sz="0" w:space="0" w:color="auto"/>
                    <w:left w:val="none" w:sz="0" w:space="0" w:color="auto"/>
                    <w:bottom w:val="none" w:sz="0" w:space="0" w:color="auto"/>
                    <w:right w:val="none" w:sz="0" w:space="0" w:color="auto"/>
                  </w:divBdr>
                  <w:divsChild>
                    <w:div w:id="1164320450">
                      <w:marLeft w:val="0"/>
                      <w:marRight w:val="0"/>
                      <w:marTop w:val="0"/>
                      <w:marBottom w:val="0"/>
                      <w:divBdr>
                        <w:top w:val="none" w:sz="0" w:space="0" w:color="auto"/>
                        <w:left w:val="none" w:sz="0" w:space="0" w:color="auto"/>
                        <w:bottom w:val="none" w:sz="0" w:space="0" w:color="auto"/>
                        <w:right w:val="none" w:sz="0" w:space="0" w:color="auto"/>
                      </w:divBdr>
                    </w:div>
                  </w:divsChild>
                </w:div>
                <w:div w:id="287972262">
                  <w:marLeft w:val="0"/>
                  <w:marRight w:val="0"/>
                  <w:marTop w:val="0"/>
                  <w:marBottom w:val="0"/>
                  <w:divBdr>
                    <w:top w:val="none" w:sz="0" w:space="0" w:color="auto"/>
                    <w:left w:val="none" w:sz="0" w:space="0" w:color="auto"/>
                    <w:bottom w:val="none" w:sz="0" w:space="0" w:color="auto"/>
                    <w:right w:val="none" w:sz="0" w:space="0" w:color="auto"/>
                  </w:divBdr>
                  <w:divsChild>
                    <w:div w:id="877400653">
                      <w:marLeft w:val="0"/>
                      <w:marRight w:val="0"/>
                      <w:marTop w:val="0"/>
                      <w:marBottom w:val="0"/>
                      <w:divBdr>
                        <w:top w:val="none" w:sz="0" w:space="0" w:color="auto"/>
                        <w:left w:val="none" w:sz="0" w:space="0" w:color="auto"/>
                        <w:bottom w:val="none" w:sz="0" w:space="0" w:color="auto"/>
                        <w:right w:val="none" w:sz="0" w:space="0" w:color="auto"/>
                      </w:divBdr>
                    </w:div>
                  </w:divsChild>
                </w:div>
                <w:div w:id="301161882">
                  <w:marLeft w:val="0"/>
                  <w:marRight w:val="0"/>
                  <w:marTop w:val="0"/>
                  <w:marBottom w:val="0"/>
                  <w:divBdr>
                    <w:top w:val="none" w:sz="0" w:space="0" w:color="auto"/>
                    <w:left w:val="none" w:sz="0" w:space="0" w:color="auto"/>
                    <w:bottom w:val="none" w:sz="0" w:space="0" w:color="auto"/>
                    <w:right w:val="none" w:sz="0" w:space="0" w:color="auto"/>
                  </w:divBdr>
                  <w:divsChild>
                    <w:div w:id="1703944435">
                      <w:marLeft w:val="0"/>
                      <w:marRight w:val="0"/>
                      <w:marTop w:val="0"/>
                      <w:marBottom w:val="0"/>
                      <w:divBdr>
                        <w:top w:val="none" w:sz="0" w:space="0" w:color="auto"/>
                        <w:left w:val="none" w:sz="0" w:space="0" w:color="auto"/>
                        <w:bottom w:val="none" w:sz="0" w:space="0" w:color="auto"/>
                        <w:right w:val="none" w:sz="0" w:space="0" w:color="auto"/>
                      </w:divBdr>
                    </w:div>
                  </w:divsChild>
                </w:div>
                <w:div w:id="352149451">
                  <w:marLeft w:val="0"/>
                  <w:marRight w:val="0"/>
                  <w:marTop w:val="0"/>
                  <w:marBottom w:val="0"/>
                  <w:divBdr>
                    <w:top w:val="none" w:sz="0" w:space="0" w:color="auto"/>
                    <w:left w:val="none" w:sz="0" w:space="0" w:color="auto"/>
                    <w:bottom w:val="none" w:sz="0" w:space="0" w:color="auto"/>
                    <w:right w:val="none" w:sz="0" w:space="0" w:color="auto"/>
                  </w:divBdr>
                  <w:divsChild>
                    <w:div w:id="915439082">
                      <w:marLeft w:val="0"/>
                      <w:marRight w:val="0"/>
                      <w:marTop w:val="0"/>
                      <w:marBottom w:val="0"/>
                      <w:divBdr>
                        <w:top w:val="none" w:sz="0" w:space="0" w:color="auto"/>
                        <w:left w:val="none" w:sz="0" w:space="0" w:color="auto"/>
                        <w:bottom w:val="none" w:sz="0" w:space="0" w:color="auto"/>
                        <w:right w:val="none" w:sz="0" w:space="0" w:color="auto"/>
                      </w:divBdr>
                    </w:div>
                  </w:divsChild>
                </w:div>
                <w:div w:id="356347707">
                  <w:marLeft w:val="0"/>
                  <w:marRight w:val="0"/>
                  <w:marTop w:val="0"/>
                  <w:marBottom w:val="0"/>
                  <w:divBdr>
                    <w:top w:val="none" w:sz="0" w:space="0" w:color="auto"/>
                    <w:left w:val="none" w:sz="0" w:space="0" w:color="auto"/>
                    <w:bottom w:val="none" w:sz="0" w:space="0" w:color="auto"/>
                    <w:right w:val="none" w:sz="0" w:space="0" w:color="auto"/>
                  </w:divBdr>
                  <w:divsChild>
                    <w:div w:id="1608272281">
                      <w:marLeft w:val="0"/>
                      <w:marRight w:val="0"/>
                      <w:marTop w:val="0"/>
                      <w:marBottom w:val="0"/>
                      <w:divBdr>
                        <w:top w:val="none" w:sz="0" w:space="0" w:color="auto"/>
                        <w:left w:val="none" w:sz="0" w:space="0" w:color="auto"/>
                        <w:bottom w:val="none" w:sz="0" w:space="0" w:color="auto"/>
                        <w:right w:val="none" w:sz="0" w:space="0" w:color="auto"/>
                      </w:divBdr>
                    </w:div>
                  </w:divsChild>
                </w:div>
                <w:div w:id="374039122">
                  <w:marLeft w:val="0"/>
                  <w:marRight w:val="0"/>
                  <w:marTop w:val="0"/>
                  <w:marBottom w:val="0"/>
                  <w:divBdr>
                    <w:top w:val="none" w:sz="0" w:space="0" w:color="auto"/>
                    <w:left w:val="none" w:sz="0" w:space="0" w:color="auto"/>
                    <w:bottom w:val="none" w:sz="0" w:space="0" w:color="auto"/>
                    <w:right w:val="none" w:sz="0" w:space="0" w:color="auto"/>
                  </w:divBdr>
                  <w:divsChild>
                    <w:div w:id="335348103">
                      <w:marLeft w:val="0"/>
                      <w:marRight w:val="0"/>
                      <w:marTop w:val="0"/>
                      <w:marBottom w:val="0"/>
                      <w:divBdr>
                        <w:top w:val="none" w:sz="0" w:space="0" w:color="auto"/>
                        <w:left w:val="none" w:sz="0" w:space="0" w:color="auto"/>
                        <w:bottom w:val="none" w:sz="0" w:space="0" w:color="auto"/>
                        <w:right w:val="none" w:sz="0" w:space="0" w:color="auto"/>
                      </w:divBdr>
                    </w:div>
                  </w:divsChild>
                </w:div>
                <w:div w:id="441416838">
                  <w:marLeft w:val="0"/>
                  <w:marRight w:val="0"/>
                  <w:marTop w:val="0"/>
                  <w:marBottom w:val="0"/>
                  <w:divBdr>
                    <w:top w:val="none" w:sz="0" w:space="0" w:color="auto"/>
                    <w:left w:val="none" w:sz="0" w:space="0" w:color="auto"/>
                    <w:bottom w:val="none" w:sz="0" w:space="0" w:color="auto"/>
                    <w:right w:val="none" w:sz="0" w:space="0" w:color="auto"/>
                  </w:divBdr>
                  <w:divsChild>
                    <w:div w:id="990445802">
                      <w:marLeft w:val="0"/>
                      <w:marRight w:val="0"/>
                      <w:marTop w:val="0"/>
                      <w:marBottom w:val="0"/>
                      <w:divBdr>
                        <w:top w:val="none" w:sz="0" w:space="0" w:color="auto"/>
                        <w:left w:val="none" w:sz="0" w:space="0" w:color="auto"/>
                        <w:bottom w:val="none" w:sz="0" w:space="0" w:color="auto"/>
                        <w:right w:val="none" w:sz="0" w:space="0" w:color="auto"/>
                      </w:divBdr>
                    </w:div>
                  </w:divsChild>
                </w:div>
                <w:div w:id="450323189">
                  <w:marLeft w:val="0"/>
                  <w:marRight w:val="0"/>
                  <w:marTop w:val="0"/>
                  <w:marBottom w:val="0"/>
                  <w:divBdr>
                    <w:top w:val="none" w:sz="0" w:space="0" w:color="auto"/>
                    <w:left w:val="none" w:sz="0" w:space="0" w:color="auto"/>
                    <w:bottom w:val="none" w:sz="0" w:space="0" w:color="auto"/>
                    <w:right w:val="none" w:sz="0" w:space="0" w:color="auto"/>
                  </w:divBdr>
                  <w:divsChild>
                    <w:div w:id="1465074750">
                      <w:marLeft w:val="0"/>
                      <w:marRight w:val="0"/>
                      <w:marTop w:val="0"/>
                      <w:marBottom w:val="0"/>
                      <w:divBdr>
                        <w:top w:val="none" w:sz="0" w:space="0" w:color="auto"/>
                        <w:left w:val="none" w:sz="0" w:space="0" w:color="auto"/>
                        <w:bottom w:val="none" w:sz="0" w:space="0" w:color="auto"/>
                        <w:right w:val="none" w:sz="0" w:space="0" w:color="auto"/>
                      </w:divBdr>
                    </w:div>
                  </w:divsChild>
                </w:div>
                <w:div w:id="492110742">
                  <w:marLeft w:val="0"/>
                  <w:marRight w:val="0"/>
                  <w:marTop w:val="0"/>
                  <w:marBottom w:val="0"/>
                  <w:divBdr>
                    <w:top w:val="none" w:sz="0" w:space="0" w:color="auto"/>
                    <w:left w:val="none" w:sz="0" w:space="0" w:color="auto"/>
                    <w:bottom w:val="none" w:sz="0" w:space="0" w:color="auto"/>
                    <w:right w:val="none" w:sz="0" w:space="0" w:color="auto"/>
                  </w:divBdr>
                  <w:divsChild>
                    <w:div w:id="903688396">
                      <w:marLeft w:val="0"/>
                      <w:marRight w:val="0"/>
                      <w:marTop w:val="0"/>
                      <w:marBottom w:val="0"/>
                      <w:divBdr>
                        <w:top w:val="none" w:sz="0" w:space="0" w:color="auto"/>
                        <w:left w:val="none" w:sz="0" w:space="0" w:color="auto"/>
                        <w:bottom w:val="none" w:sz="0" w:space="0" w:color="auto"/>
                        <w:right w:val="none" w:sz="0" w:space="0" w:color="auto"/>
                      </w:divBdr>
                    </w:div>
                  </w:divsChild>
                </w:div>
                <w:div w:id="540870605">
                  <w:marLeft w:val="0"/>
                  <w:marRight w:val="0"/>
                  <w:marTop w:val="0"/>
                  <w:marBottom w:val="0"/>
                  <w:divBdr>
                    <w:top w:val="none" w:sz="0" w:space="0" w:color="auto"/>
                    <w:left w:val="none" w:sz="0" w:space="0" w:color="auto"/>
                    <w:bottom w:val="none" w:sz="0" w:space="0" w:color="auto"/>
                    <w:right w:val="none" w:sz="0" w:space="0" w:color="auto"/>
                  </w:divBdr>
                  <w:divsChild>
                    <w:div w:id="951203845">
                      <w:marLeft w:val="0"/>
                      <w:marRight w:val="0"/>
                      <w:marTop w:val="0"/>
                      <w:marBottom w:val="0"/>
                      <w:divBdr>
                        <w:top w:val="none" w:sz="0" w:space="0" w:color="auto"/>
                        <w:left w:val="none" w:sz="0" w:space="0" w:color="auto"/>
                        <w:bottom w:val="none" w:sz="0" w:space="0" w:color="auto"/>
                        <w:right w:val="none" w:sz="0" w:space="0" w:color="auto"/>
                      </w:divBdr>
                    </w:div>
                  </w:divsChild>
                </w:div>
                <w:div w:id="595989344">
                  <w:marLeft w:val="0"/>
                  <w:marRight w:val="0"/>
                  <w:marTop w:val="0"/>
                  <w:marBottom w:val="0"/>
                  <w:divBdr>
                    <w:top w:val="none" w:sz="0" w:space="0" w:color="auto"/>
                    <w:left w:val="none" w:sz="0" w:space="0" w:color="auto"/>
                    <w:bottom w:val="none" w:sz="0" w:space="0" w:color="auto"/>
                    <w:right w:val="none" w:sz="0" w:space="0" w:color="auto"/>
                  </w:divBdr>
                  <w:divsChild>
                    <w:div w:id="263347564">
                      <w:marLeft w:val="0"/>
                      <w:marRight w:val="0"/>
                      <w:marTop w:val="0"/>
                      <w:marBottom w:val="0"/>
                      <w:divBdr>
                        <w:top w:val="none" w:sz="0" w:space="0" w:color="auto"/>
                        <w:left w:val="none" w:sz="0" w:space="0" w:color="auto"/>
                        <w:bottom w:val="none" w:sz="0" w:space="0" w:color="auto"/>
                        <w:right w:val="none" w:sz="0" w:space="0" w:color="auto"/>
                      </w:divBdr>
                    </w:div>
                  </w:divsChild>
                </w:div>
                <w:div w:id="672610031">
                  <w:marLeft w:val="0"/>
                  <w:marRight w:val="0"/>
                  <w:marTop w:val="0"/>
                  <w:marBottom w:val="0"/>
                  <w:divBdr>
                    <w:top w:val="none" w:sz="0" w:space="0" w:color="auto"/>
                    <w:left w:val="none" w:sz="0" w:space="0" w:color="auto"/>
                    <w:bottom w:val="none" w:sz="0" w:space="0" w:color="auto"/>
                    <w:right w:val="none" w:sz="0" w:space="0" w:color="auto"/>
                  </w:divBdr>
                  <w:divsChild>
                    <w:div w:id="1068260286">
                      <w:marLeft w:val="0"/>
                      <w:marRight w:val="0"/>
                      <w:marTop w:val="0"/>
                      <w:marBottom w:val="0"/>
                      <w:divBdr>
                        <w:top w:val="none" w:sz="0" w:space="0" w:color="auto"/>
                        <w:left w:val="none" w:sz="0" w:space="0" w:color="auto"/>
                        <w:bottom w:val="none" w:sz="0" w:space="0" w:color="auto"/>
                        <w:right w:val="none" w:sz="0" w:space="0" w:color="auto"/>
                      </w:divBdr>
                    </w:div>
                  </w:divsChild>
                </w:div>
                <w:div w:id="677388702">
                  <w:marLeft w:val="0"/>
                  <w:marRight w:val="0"/>
                  <w:marTop w:val="0"/>
                  <w:marBottom w:val="0"/>
                  <w:divBdr>
                    <w:top w:val="none" w:sz="0" w:space="0" w:color="auto"/>
                    <w:left w:val="none" w:sz="0" w:space="0" w:color="auto"/>
                    <w:bottom w:val="none" w:sz="0" w:space="0" w:color="auto"/>
                    <w:right w:val="none" w:sz="0" w:space="0" w:color="auto"/>
                  </w:divBdr>
                  <w:divsChild>
                    <w:div w:id="1137843036">
                      <w:marLeft w:val="0"/>
                      <w:marRight w:val="0"/>
                      <w:marTop w:val="0"/>
                      <w:marBottom w:val="0"/>
                      <w:divBdr>
                        <w:top w:val="none" w:sz="0" w:space="0" w:color="auto"/>
                        <w:left w:val="none" w:sz="0" w:space="0" w:color="auto"/>
                        <w:bottom w:val="none" w:sz="0" w:space="0" w:color="auto"/>
                        <w:right w:val="none" w:sz="0" w:space="0" w:color="auto"/>
                      </w:divBdr>
                    </w:div>
                  </w:divsChild>
                </w:div>
                <w:div w:id="716272609">
                  <w:marLeft w:val="0"/>
                  <w:marRight w:val="0"/>
                  <w:marTop w:val="0"/>
                  <w:marBottom w:val="0"/>
                  <w:divBdr>
                    <w:top w:val="none" w:sz="0" w:space="0" w:color="auto"/>
                    <w:left w:val="none" w:sz="0" w:space="0" w:color="auto"/>
                    <w:bottom w:val="none" w:sz="0" w:space="0" w:color="auto"/>
                    <w:right w:val="none" w:sz="0" w:space="0" w:color="auto"/>
                  </w:divBdr>
                  <w:divsChild>
                    <w:div w:id="211356070">
                      <w:marLeft w:val="0"/>
                      <w:marRight w:val="0"/>
                      <w:marTop w:val="0"/>
                      <w:marBottom w:val="0"/>
                      <w:divBdr>
                        <w:top w:val="none" w:sz="0" w:space="0" w:color="auto"/>
                        <w:left w:val="none" w:sz="0" w:space="0" w:color="auto"/>
                        <w:bottom w:val="none" w:sz="0" w:space="0" w:color="auto"/>
                        <w:right w:val="none" w:sz="0" w:space="0" w:color="auto"/>
                      </w:divBdr>
                    </w:div>
                  </w:divsChild>
                </w:div>
                <w:div w:id="722603755">
                  <w:marLeft w:val="0"/>
                  <w:marRight w:val="0"/>
                  <w:marTop w:val="0"/>
                  <w:marBottom w:val="0"/>
                  <w:divBdr>
                    <w:top w:val="none" w:sz="0" w:space="0" w:color="auto"/>
                    <w:left w:val="none" w:sz="0" w:space="0" w:color="auto"/>
                    <w:bottom w:val="none" w:sz="0" w:space="0" w:color="auto"/>
                    <w:right w:val="none" w:sz="0" w:space="0" w:color="auto"/>
                  </w:divBdr>
                  <w:divsChild>
                    <w:div w:id="954412163">
                      <w:marLeft w:val="0"/>
                      <w:marRight w:val="0"/>
                      <w:marTop w:val="0"/>
                      <w:marBottom w:val="0"/>
                      <w:divBdr>
                        <w:top w:val="none" w:sz="0" w:space="0" w:color="auto"/>
                        <w:left w:val="none" w:sz="0" w:space="0" w:color="auto"/>
                        <w:bottom w:val="none" w:sz="0" w:space="0" w:color="auto"/>
                        <w:right w:val="none" w:sz="0" w:space="0" w:color="auto"/>
                      </w:divBdr>
                    </w:div>
                  </w:divsChild>
                </w:div>
                <w:div w:id="747386900">
                  <w:marLeft w:val="0"/>
                  <w:marRight w:val="0"/>
                  <w:marTop w:val="0"/>
                  <w:marBottom w:val="0"/>
                  <w:divBdr>
                    <w:top w:val="none" w:sz="0" w:space="0" w:color="auto"/>
                    <w:left w:val="none" w:sz="0" w:space="0" w:color="auto"/>
                    <w:bottom w:val="none" w:sz="0" w:space="0" w:color="auto"/>
                    <w:right w:val="none" w:sz="0" w:space="0" w:color="auto"/>
                  </w:divBdr>
                  <w:divsChild>
                    <w:div w:id="444618109">
                      <w:marLeft w:val="0"/>
                      <w:marRight w:val="0"/>
                      <w:marTop w:val="0"/>
                      <w:marBottom w:val="0"/>
                      <w:divBdr>
                        <w:top w:val="none" w:sz="0" w:space="0" w:color="auto"/>
                        <w:left w:val="none" w:sz="0" w:space="0" w:color="auto"/>
                        <w:bottom w:val="none" w:sz="0" w:space="0" w:color="auto"/>
                        <w:right w:val="none" w:sz="0" w:space="0" w:color="auto"/>
                      </w:divBdr>
                    </w:div>
                  </w:divsChild>
                </w:div>
                <w:div w:id="766537267">
                  <w:marLeft w:val="0"/>
                  <w:marRight w:val="0"/>
                  <w:marTop w:val="0"/>
                  <w:marBottom w:val="0"/>
                  <w:divBdr>
                    <w:top w:val="none" w:sz="0" w:space="0" w:color="auto"/>
                    <w:left w:val="none" w:sz="0" w:space="0" w:color="auto"/>
                    <w:bottom w:val="none" w:sz="0" w:space="0" w:color="auto"/>
                    <w:right w:val="none" w:sz="0" w:space="0" w:color="auto"/>
                  </w:divBdr>
                  <w:divsChild>
                    <w:div w:id="1594776283">
                      <w:marLeft w:val="0"/>
                      <w:marRight w:val="0"/>
                      <w:marTop w:val="0"/>
                      <w:marBottom w:val="0"/>
                      <w:divBdr>
                        <w:top w:val="none" w:sz="0" w:space="0" w:color="auto"/>
                        <w:left w:val="none" w:sz="0" w:space="0" w:color="auto"/>
                        <w:bottom w:val="none" w:sz="0" w:space="0" w:color="auto"/>
                        <w:right w:val="none" w:sz="0" w:space="0" w:color="auto"/>
                      </w:divBdr>
                    </w:div>
                  </w:divsChild>
                </w:div>
                <w:div w:id="790562544">
                  <w:marLeft w:val="0"/>
                  <w:marRight w:val="0"/>
                  <w:marTop w:val="0"/>
                  <w:marBottom w:val="0"/>
                  <w:divBdr>
                    <w:top w:val="none" w:sz="0" w:space="0" w:color="auto"/>
                    <w:left w:val="none" w:sz="0" w:space="0" w:color="auto"/>
                    <w:bottom w:val="none" w:sz="0" w:space="0" w:color="auto"/>
                    <w:right w:val="none" w:sz="0" w:space="0" w:color="auto"/>
                  </w:divBdr>
                  <w:divsChild>
                    <w:div w:id="1681659880">
                      <w:marLeft w:val="0"/>
                      <w:marRight w:val="0"/>
                      <w:marTop w:val="0"/>
                      <w:marBottom w:val="0"/>
                      <w:divBdr>
                        <w:top w:val="none" w:sz="0" w:space="0" w:color="auto"/>
                        <w:left w:val="none" w:sz="0" w:space="0" w:color="auto"/>
                        <w:bottom w:val="none" w:sz="0" w:space="0" w:color="auto"/>
                        <w:right w:val="none" w:sz="0" w:space="0" w:color="auto"/>
                      </w:divBdr>
                    </w:div>
                  </w:divsChild>
                </w:div>
                <w:div w:id="806169595">
                  <w:marLeft w:val="0"/>
                  <w:marRight w:val="0"/>
                  <w:marTop w:val="0"/>
                  <w:marBottom w:val="0"/>
                  <w:divBdr>
                    <w:top w:val="none" w:sz="0" w:space="0" w:color="auto"/>
                    <w:left w:val="none" w:sz="0" w:space="0" w:color="auto"/>
                    <w:bottom w:val="none" w:sz="0" w:space="0" w:color="auto"/>
                    <w:right w:val="none" w:sz="0" w:space="0" w:color="auto"/>
                  </w:divBdr>
                  <w:divsChild>
                    <w:div w:id="606694062">
                      <w:marLeft w:val="0"/>
                      <w:marRight w:val="0"/>
                      <w:marTop w:val="0"/>
                      <w:marBottom w:val="0"/>
                      <w:divBdr>
                        <w:top w:val="none" w:sz="0" w:space="0" w:color="auto"/>
                        <w:left w:val="none" w:sz="0" w:space="0" w:color="auto"/>
                        <w:bottom w:val="none" w:sz="0" w:space="0" w:color="auto"/>
                        <w:right w:val="none" w:sz="0" w:space="0" w:color="auto"/>
                      </w:divBdr>
                    </w:div>
                  </w:divsChild>
                </w:div>
                <w:div w:id="848065453">
                  <w:marLeft w:val="0"/>
                  <w:marRight w:val="0"/>
                  <w:marTop w:val="0"/>
                  <w:marBottom w:val="0"/>
                  <w:divBdr>
                    <w:top w:val="none" w:sz="0" w:space="0" w:color="auto"/>
                    <w:left w:val="none" w:sz="0" w:space="0" w:color="auto"/>
                    <w:bottom w:val="none" w:sz="0" w:space="0" w:color="auto"/>
                    <w:right w:val="none" w:sz="0" w:space="0" w:color="auto"/>
                  </w:divBdr>
                  <w:divsChild>
                    <w:div w:id="436095089">
                      <w:marLeft w:val="0"/>
                      <w:marRight w:val="0"/>
                      <w:marTop w:val="0"/>
                      <w:marBottom w:val="0"/>
                      <w:divBdr>
                        <w:top w:val="none" w:sz="0" w:space="0" w:color="auto"/>
                        <w:left w:val="none" w:sz="0" w:space="0" w:color="auto"/>
                        <w:bottom w:val="none" w:sz="0" w:space="0" w:color="auto"/>
                        <w:right w:val="none" w:sz="0" w:space="0" w:color="auto"/>
                      </w:divBdr>
                    </w:div>
                  </w:divsChild>
                </w:div>
                <w:div w:id="871697216">
                  <w:marLeft w:val="0"/>
                  <w:marRight w:val="0"/>
                  <w:marTop w:val="0"/>
                  <w:marBottom w:val="0"/>
                  <w:divBdr>
                    <w:top w:val="none" w:sz="0" w:space="0" w:color="auto"/>
                    <w:left w:val="none" w:sz="0" w:space="0" w:color="auto"/>
                    <w:bottom w:val="none" w:sz="0" w:space="0" w:color="auto"/>
                    <w:right w:val="none" w:sz="0" w:space="0" w:color="auto"/>
                  </w:divBdr>
                  <w:divsChild>
                    <w:div w:id="631374512">
                      <w:marLeft w:val="0"/>
                      <w:marRight w:val="0"/>
                      <w:marTop w:val="0"/>
                      <w:marBottom w:val="0"/>
                      <w:divBdr>
                        <w:top w:val="none" w:sz="0" w:space="0" w:color="auto"/>
                        <w:left w:val="none" w:sz="0" w:space="0" w:color="auto"/>
                        <w:bottom w:val="none" w:sz="0" w:space="0" w:color="auto"/>
                        <w:right w:val="none" w:sz="0" w:space="0" w:color="auto"/>
                      </w:divBdr>
                    </w:div>
                  </w:divsChild>
                </w:div>
                <w:div w:id="910702410">
                  <w:marLeft w:val="0"/>
                  <w:marRight w:val="0"/>
                  <w:marTop w:val="0"/>
                  <w:marBottom w:val="0"/>
                  <w:divBdr>
                    <w:top w:val="none" w:sz="0" w:space="0" w:color="auto"/>
                    <w:left w:val="none" w:sz="0" w:space="0" w:color="auto"/>
                    <w:bottom w:val="none" w:sz="0" w:space="0" w:color="auto"/>
                    <w:right w:val="none" w:sz="0" w:space="0" w:color="auto"/>
                  </w:divBdr>
                  <w:divsChild>
                    <w:div w:id="1370691650">
                      <w:marLeft w:val="0"/>
                      <w:marRight w:val="0"/>
                      <w:marTop w:val="0"/>
                      <w:marBottom w:val="0"/>
                      <w:divBdr>
                        <w:top w:val="none" w:sz="0" w:space="0" w:color="auto"/>
                        <w:left w:val="none" w:sz="0" w:space="0" w:color="auto"/>
                        <w:bottom w:val="none" w:sz="0" w:space="0" w:color="auto"/>
                        <w:right w:val="none" w:sz="0" w:space="0" w:color="auto"/>
                      </w:divBdr>
                    </w:div>
                  </w:divsChild>
                </w:div>
                <w:div w:id="958075713">
                  <w:marLeft w:val="0"/>
                  <w:marRight w:val="0"/>
                  <w:marTop w:val="0"/>
                  <w:marBottom w:val="0"/>
                  <w:divBdr>
                    <w:top w:val="none" w:sz="0" w:space="0" w:color="auto"/>
                    <w:left w:val="none" w:sz="0" w:space="0" w:color="auto"/>
                    <w:bottom w:val="none" w:sz="0" w:space="0" w:color="auto"/>
                    <w:right w:val="none" w:sz="0" w:space="0" w:color="auto"/>
                  </w:divBdr>
                  <w:divsChild>
                    <w:div w:id="1564947044">
                      <w:marLeft w:val="0"/>
                      <w:marRight w:val="0"/>
                      <w:marTop w:val="0"/>
                      <w:marBottom w:val="0"/>
                      <w:divBdr>
                        <w:top w:val="none" w:sz="0" w:space="0" w:color="auto"/>
                        <w:left w:val="none" w:sz="0" w:space="0" w:color="auto"/>
                        <w:bottom w:val="none" w:sz="0" w:space="0" w:color="auto"/>
                        <w:right w:val="none" w:sz="0" w:space="0" w:color="auto"/>
                      </w:divBdr>
                    </w:div>
                  </w:divsChild>
                </w:div>
                <w:div w:id="996768379">
                  <w:marLeft w:val="0"/>
                  <w:marRight w:val="0"/>
                  <w:marTop w:val="0"/>
                  <w:marBottom w:val="0"/>
                  <w:divBdr>
                    <w:top w:val="none" w:sz="0" w:space="0" w:color="auto"/>
                    <w:left w:val="none" w:sz="0" w:space="0" w:color="auto"/>
                    <w:bottom w:val="none" w:sz="0" w:space="0" w:color="auto"/>
                    <w:right w:val="none" w:sz="0" w:space="0" w:color="auto"/>
                  </w:divBdr>
                  <w:divsChild>
                    <w:div w:id="1011295293">
                      <w:marLeft w:val="0"/>
                      <w:marRight w:val="0"/>
                      <w:marTop w:val="0"/>
                      <w:marBottom w:val="0"/>
                      <w:divBdr>
                        <w:top w:val="none" w:sz="0" w:space="0" w:color="auto"/>
                        <w:left w:val="none" w:sz="0" w:space="0" w:color="auto"/>
                        <w:bottom w:val="none" w:sz="0" w:space="0" w:color="auto"/>
                        <w:right w:val="none" w:sz="0" w:space="0" w:color="auto"/>
                      </w:divBdr>
                    </w:div>
                  </w:divsChild>
                </w:div>
                <w:div w:id="1080829099">
                  <w:marLeft w:val="0"/>
                  <w:marRight w:val="0"/>
                  <w:marTop w:val="0"/>
                  <w:marBottom w:val="0"/>
                  <w:divBdr>
                    <w:top w:val="none" w:sz="0" w:space="0" w:color="auto"/>
                    <w:left w:val="none" w:sz="0" w:space="0" w:color="auto"/>
                    <w:bottom w:val="none" w:sz="0" w:space="0" w:color="auto"/>
                    <w:right w:val="none" w:sz="0" w:space="0" w:color="auto"/>
                  </w:divBdr>
                  <w:divsChild>
                    <w:div w:id="899487657">
                      <w:marLeft w:val="0"/>
                      <w:marRight w:val="0"/>
                      <w:marTop w:val="0"/>
                      <w:marBottom w:val="0"/>
                      <w:divBdr>
                        <w:top w:val="none" w:sz="0" w:space="0" w:color="auto"/>
                        <w:left w:val="none" w:sz="0" w:space="0" w:color="auto"/>
                        <w:bottom w:val="none" w:sz="0" w:space="0" w:color="auto"/>
                        <w:right w:val="none" w:sz="0" w:space="0" w:color="auto"/>
                      </w:divBdr>
                    </w:div>
                  </w:divsChild>
                </w:div>
                <w:div w:id="1099760385">
                  <w:marLeft w:val="0"/>
                  <w:marRight w:val="0"/>
                  <w:marTop w:val="0"/>
                  <w:marBottom w:val="0"/>
                  <w:divBdr>
                    <w:top w:val="none" w:sz="0" w:space="0" w:color="auto"/>
                    <w:left w:val="none" w:sz="0" w:space="0" w:color="auto"/>
                    <w:bottom w:val="none" w:sz="0" w:space="0" w:color="auto"/>
                    <w:right w:val="none" w:sz="0" w:space="0" w:color="auto"/>
                  </w:divBdr>
                  <w:divsChild>
                    <w:div w:id="1300262438">
                      <w:marLeft w:val="0"/>
                      <w:marRight w:val="0"/>
                      <w:marTop w:val="0"/>
                      <w:marBottom w:val="0"/>
                      <w:divBdr>
                        <w:top w:val="none" w:sz="0" w:space="0" w:color="auto"/>
                        <w:left w:val="none" w:sz="0" w:space="0" w:color="auto"/>
                        <w:bottom w:val="none" w:sz="0" w:space="0" w:color="auto"/>
                        <w:right w:val="none" w:sz="0" w:space="0" w:color="auto"/>
                      </w:divBdr>
                    </w:div>
                  </w:divsChild>
                </w:div>
                <w:div w:id="1143236301">
                  <w:marLeft w:val="0"/>
                  <w:marRight w:val="0"/>
                  <w:marTop w:val="0"/>
                  <w:marBottom w:val="0"/>
                  <w:divBdr>
                    <w:top w:val="none" w:sz="0" w:space="0" w:color="auto"/>
                    <w:left w:val="none" w:sz="0" w:space="0" w:color="auto"/>
                    <w:bottom w:val="none" w:sz="0" w:space="0" w:color="auto"/>
                    <w:right w:val="none" w:sz="0" w:space="0" w:color="auto"/>
                  </w:divBdr>
                  <w:divsChild>
                    <w:div w:id="552160717">
                      <w:marLeft w:val="0"/>
                      <w:marRight w:val="0"/>
                      <w:marTop w:val="0"/>
                      <w:marBottom w:val="0"/>
                      <w:divBdr>
                        <w:top w:val="none" w:sz="0" w:space="0" w:color="auto"/>
                        <w:left w:val="none" w:sz="0" w:space="0" w:color="auto"/>
                        <w:bottom w:val="none" w:sz="0" w:space="0" w:color="auto"/>
                        <w:right w:val="none" w:sz="0" w:space="0" w:color="auto"/>
                      </w:divBdr>
                    </w:div>
                  </w:divsChild>
                </w:div>
                <w:div w:id="1175027204">
                  <w:marLeft w:val="0"/>
                  <w:marRight w:val="0"/>
                  <w:marTop w:val="0"/>
                  <w:marBottom w:val="0"/>
                  <w:divBdr>
                    <w:top w:val="none" w:sz="0" w:space="0" w:color="auto"/>
                    <w:left w:val="none" w:sz="0" w:space="0" w:color="auto"/>
                    <w:bottom w:val="none" w:sz="0" w:space="0" w:color="auto"/>
                    <w:right w:val="none" w:sz="0" w:space="0" w:color="auto"/>
                  </w:divBdr>
                  <w:divsChild>
                    <w:div w:id="2037926702">
                      <w:marLeft w:val="0"/>
                      <w:marRight w:val="0"/>
                      <w:marTop w:val="0"/>
                      <w:marBottom w:val="0"/>
                      <w:divBdr>
                        <w:top w:val="none" w:sz="0" w:space="0" w:color="auto"/>
                        <w:left w:val="none" w:sz="0" w:space="0" w:color="auto"/>
                        <w:bottom w:val="none" w:sz="0" w:space="0" w:color="auto"/>
                        <w:right w:val="none" w:sz="0" w:space="0" w:color="auto"/>
                      </w:divBdr>
                    </w:div>
                  </w:divsChild>
                </w:div>
                <w:div w:id="1243373704">
                  <w:marLeft w:val="0"/>
                  <w:marRight w:val="0"/>
                  <w:marTop w:val="0"/>
                  <w:marBottom w:val="0"/>
                  <w:divBdr>
                    <w:top w:val="none" w:sz="0" w:space="0" w:color="auto"/>
                    <w:left w:val="none" w:sz="0" w:space="0" w:color="auto"/>
                    <w:bottom w:val="none" w:sz="0" w:space="0" w:color="auto"/>
                    <w:right w:val="none" w:sz="0" w:space="0" w:color="auto"/>
                  </w:divBdr>
                  <w:divsChild>
                    <w:div w:id="376316018">
                      <w:marLeft w:val="0"/>
                      <w:marRight w:val="0"/>
                      <w:marTop w:val="0"/>
                      <w:marBottom w:val="0"/>
                      <w:divBdr>
                        <w:top w:val="none" w:sz="0" w:space="0" w:color="auto"/>
                        <w:left w:val="none" w:sz="0" w:space="0" w:color="auto"/>
                        <w:bottom w:val="none" w:sz="0" w:space="0" w:color="auto"/>
                        <w:right w:val="none" w:sz="0" w:space="0" w:color="auto"/>
                      </w:divBdr>
                    </w:div>
                  </w:divsChild>
                </w:div>
                <w:div w:id="1325621829">
                  <w:marLeft w:val="0"/>
                  <w:marRight w:val="0"/>
                  <w:marTop w:val="0"/>
                  <w:marBottom w:val="0"/>
                  <w:divBdr>
                    <w:top w:val="none" w:sz="0" w:space="0" w:color="auto"/>
                    <w:left w:val="none" w:sz="0" w:space="0" w:color="auto"/>
                    <w:bottom w:val="none" w:sz="0" w:space="0" w:color="auto"/>
                    <w:right w:val="none" w:sz="0" w:space="0" w:color="auto"/>
                  </w:divBdr>
                  <w:divsChild>
                    <w:div w:id="1409427638">
                      <w:marLeft w:val="0"/>
                      <w:marRight w:val="0"/>
                      <w:marTop w:val="0"/>
                      <w:marBottom w:val="0"/>
                      <w:divBdr>
                        <w:top w:val="none" w:sz="0" w:space="0" w:color="auto"/>
                        <w:left w:val="none" w:sz="0" w:space="0" w:color="auto"/>
                        <w:bottom w:val="none" w:sz="0" w:space="0" w:color="auto"/>
                        <w:right w:val="none" w:sz="0" w:space="0" w:color="auto"/>
                      </w:divBdr>
                    </w:div>
                  </w:divsChild>
                </w:div>
                <w:div w:id="1329556045">
                  <w:marLeft w:val="0"/>
                  <w:marRight w:val="0"/>
                  <w:marTop w:val="0"/>
                  <w:marBottom w:val="0"/>
                  <w:divBdr>
                    <w:top w:val="none" w:sz="0" w:space="0" w:color="auto"/>
                    <w:left w:val="none" w:sz="0" w:space="0" w:color="auto"/>
                    <w:bottom w:val="none" w:sz="0" w:space="0" w:color="auto"/>
                    <w:right w:val="none" w:sz="0" w:space="0" w:color="auto"/>
                  </w:divBdr>
                  <w:divsChild>
                    <w:div w:id="1131098668">
                      <w:marLeft w:val="0"/>
                      <w:marRight w:val="0"/>
                      <w:marTop w:val="0"/>
                      <w:marBottom w:val="0"/>
                      <w:divBdr>
                        <w:top w:val="none" w:sz="0" w:space="0" w:color="auto"/>
                        <w:left w:val="none" w:sz="0" w:space="0" w:color="auto"/>
                        <w:bottom w:val="none" w:sz="0" w:space="0" w:color="auto"/>
                        <w:right w:val="none" w:sz="0" w:space="0" w:color="auto"/>
                      </w:divBdr>
                    </w:div>
                  </w:divsChild>
                </w:div>
                <w:div w:id="1340045079">
                  <w:marLeft w:val="0"/>
                  <w:marRight w:val="0"/>
                  <w:marTop w:val="0"/>
                  <w:marBottom w:val="0"/>
                  <w:divBdr>
                    <w:top w:val="none" w:sz="0" w:space="0" w:color="auto"/>
                    <w:left w:val="none" w:sz="0" w:space="0" w:color="auto"/>
                    <w:bottom w:val="none" w:sz="0" w:space="0" w:color="auto"/>
                    <w:right w:val="none" w:sz="0" w:space="0" w:color="auto"/>
                  </w:divBdr>
                  <w:divsChild>
                    <w:div w:id="452360679">
                      <w:marLeft w:val="0"/>
                      <w:marRight w:val="0"/>
                      <w:marTop w:val="0"/>
                      <w:marBottom w:val="0"/>
                      <w:divBdr>
                        <w:top w:val="none" w:sz="0" w:space="0" w:color="auto"/>
                        <w:left w:val="none" w:sz="0" w:space="0" w:color="auto"/>
                        <w:bottom w:val="none" w:sz="0" w:space="0" w:color="auto"/>
                        <w:right w:val="none" w:sz="0" w:space="0" w:color="auto"/>
                      </w:divBdr>
                    </w:div>
                  </w:divsChild>
                </w:div>
                <w:div w:id="1378355278">
                  <w:marLeft w:val="0"/>
                  <w:marRight w:val="0"/>
                  <w:marTop w:val="0"/>
                  <w:marBottom w:val="0"/>
                  <w:divBdr>
                    <w:top w:val="none" w:sz="0" w:space="0" w:color="auto"/>
                    <w:left w:val="none" w:sz="0" w:space="0" w:color="auto"/>
                    <w:bottom w:val="none" w:sz="0" w:space="0" w:color="auto"/>
                    <w:right w:val="none" w:sz="0" w:space="0" w:color="auto"/>
                  </w:divBdr>
                  <w:divsChild>
                    <w:div w:id="1274357918">
                      <w:marLeft w:val="0"/>
                      <w:marRight w:val="0"/>
                      <w:marTop w:val="0"/>
                      <w:marBottom w:val="0"/>
                      <w:divBdr>
                        <w:top w:val="none" w:sz="0" w:space="0" w:color="auto"/>
                        <w:left w:val="none" w:sz="0" w:space="0" w:color="auto"/>
                        <w:bottom w:val="none" w:sz="0" w:space="0" w:color="auto"/>
                        <w:right w:val="none" w:sz="0" w:space="0" w:color="auto"/>
                      </w:divBdr>
                    </w:div>
                  </w:divsChild>
                </w:div>
                <w:div w:id="1422678221">
                  <w:marLeft w:val="0"/>
                  <w:marRight w:val="0"/>
                  <w:marTop w:val="0"/>
                  <w:marBottom w:val="0"/>
                  <w:divBdr>
                    <w:top w:val="none" w:sz="0" w:space="0" w:color="auto"/>
                    <w:left w:val="none" w:sz="0" w:space="0" w:color="auto"/>
                    <w:bottom w:val="none" w:sz="0" w:space="0" w:color="auto"/>
                    <w:right w:val="none" w:sz="0" w:space="0" w:color="auto"/>
                  </w:divBdr>
                  <w:divsChild>
                    <w:div w:id="1252423604">
                      <w:marLeft w:val="0"/>
                      <w:marRight w:val="0"/>
                      <w:marTop w:val="0"/>
                      <w:marBottom w:val="0"/>
                      <w:divBdr>
                        <w:top w:val="none" w:sz="0" w:space="0" w:color="auto"/>
                        <w:left w:val="none" w:sz="0" w:space="0" w:color="auto"/>
                        <w:bottom w:val="none" w:sz="0" w:space="0" w:color="auto"/>
                        <w:right w:val="none" w:sz="0" w:space="0" w:color="auto"/>
                      </w:divBdr>
                    </w:div>
                  </w:divsChild>
                </w:div>
                <w:div w:id="1476600966">
                  <w:marLeft w:val="0"/>
                  <w:marRight w:val="0"/>
                  <w:marTop w:val="0"/>
                  <w:marBottom w:val="0"/>
                  <w:divBdr>
                    <w:top w:val="none" w:sz="0" w:space="0" w:color="auto"/>
                    <w:left w:val="none" w:sz="0" w:space="0" w:color="auto"/>
                    <w:bottom w:val="none" w:sz="0" w:space="0" w:color="auto"/>
                    <w:right w:val="none" w:sz="0" w:space="0" w:color="auto"/>
                  </w:divBdr>
                  <w:divsChild>
                    <w:div w:id="418869895">
                      <w:marLeft w:val="0"/>
                      <w:marRight w:val="0"/>
                      <w:marTop w:val="0"/>
                      <w:marBottom w:val="0"/>
                      <w:divBdr>
                        <w:top w:val="none" w:sz="0" w:space="0" w:color="auto"/>
                        <w:left w:val="none" w:sz="0" w:space="0" w:color="auto"/>
                        <w:bottom w:val="none" w:sz="0" w:space="0" w:color="auto"/>
                        <w:right w:val="none" w:sz="0" w:space="0" w:color="auto"/>
                      </w:divBdr>
                    </w:div>
                  </w:divsChild>
                </w:div>
                <w:div w:id="1493833339">
                  <w:marLeft w:val="0"/>
                  <w:marRight w:val="0"/>
                  <w:marTop w:val="0"/>
                  <w:marBottom w:val="0"/>
                  <w:divBdr>
                    <w:top w:val="none" w:sz="0" w:space="0" w:color="auto"/>
                    <w:left w:val="none" w:sz="0" w:space="0" w:color="auto"/>
                    <w:bottom w:val="none" w:sz="0" w:space="0" w:color="auto"/>
                    <w:right w:val="none" w:sz="0" w:space="0" w:color="auto"/>
                  </w:divBdr>
                  <w:divsChild>
                    <w:div w:id="1478062557">
                      <w:marLeft w:val="0"/>
                      <w:marRight w:val="0"/>
                      <w:marTop w:val="0"/>
                      <w:marBottom w:val="0"/>
                      <w:divBdr>
                        <w:top w:val="none" w:sz="0" w:space="0" w:color="auto"/>
                        <w:left w:val="none" w:sz="0" w:space="0" w:color="auto"/>
                        <w:bottom w:val="none" w:sz="0" w:space="0" w:color="auto"/>
                        <w:right w:val="none" w:sz="0" w:space="0" w:color="auto"/>
                      </w:divBdr>
                    </w:div>
                  </w:divsChild>
                </w:div>
                <w:div w:id="1511868342">
                  <w:marLeft w:val="0"/>
                  <w:marRight w:val="0"/>
                  <w:marTop w:val="0"/>
                  <w:marBottom w:val="0"/>
                  <w:divBdr>
                    <w:top w:val="none" w:sz="0" w:space="0" w:color="auto"/>
                    <w:left w:val="none" w:sz="0" w:space="0" w:color="auto"/>
                    <w:bottom w:val="none" w:sz="0" w:space="0" w:color="auto"/>
                    <w:right w:val="none" w:sz="0" w:space="0" w:color="auto"/>
                  </w:divBdr>
                  <w:divsChild>
                    <w:div w:id="880288079">
                      <w:marLeft w:val="0"/>
                      <w:marRight w:val="0"/>
                      <w:marTop w:val="0"/>
                      <w:marBottom w:val="0"/>
                      <w:divBdr>
                        <w:top w:val="none" w:sz="0" w:space="0" w:color="auto"/>
                        <w:left w:val="none" w:sz="0" w:space="0" w:color="auto"/>
                        <w:bottom w:val="none" w:sz="0" w:space="0" w:color="auto"/>
                        <w:right w:val="none" w:sz="0" w:space="0" w:color="auto"/>
                      </w:divBdr>
                    </w:div>
                  </w:divsChild>
                </w:div>
                <w:div w:id="1528718954">
                  <w:marLeft w:val="0"/>
                  <w:marRight w:val="0"/>
                  <w:marTop w:val="0"/>
                  <w:marBottom w:val="0"/>
                  <w:divBdr>
                    <w:top w:val="none" w:sz="0" w:space="0" w:color="auto"/>
                    <w:left w:val="none" w:sz="0" w:space="0" w:color="auto"/>
                    <w:bottom w:val="none" w:sz="0" w:space="0" w:color="auto"/>
                    <w:right w:val="none" w:sz="0" w:space="0" w:color="auto"/>
                  </w:divBdr>
                  <w:divsChild>
                    <w:div w:id="615218374">
                      <w:marLeft w:val="0"/>
                      <w:marRight w:val="0"/>
                      <w:marTop w:val="0"/>
                      <w:marBottom w:val="0"/>
                      <w:divBdr>
                        <w:top w:val="none" w:sz="0" w:space="0" w:color="auto"/>
                        <w:left w:val="none" w:sz="0" w:space="0" w:color="auto"/>
                        <w:bottom w:val="none" w:sz="0" w:space="0" w:color="auto"/>
                        <w:right w:val="none" w:sz="0" w:space="0" w:color="auto"/>
                      </w:divBdr>
                    </w:div>
                  </w:divsChild>
                </w:div>
                <w:div w:id="1557545290">
                  <w:marLeft w:val="0"/>
                  <w:marRight w:val="0"/>
                  <w:marTop w:val="0"/>
                  <w:marBottom w:val="0"/>
                  <w:divBdr>
                    <w:top w:val="none" w:sz="0" w:space="0" w:color="auto"/>
                    <w:left w:val="none" w:sz="0" w:space="0" w:color="auto"/>
                    <w:bottom w:val="none" w:sz="0" w:space="0" w:color="auto"/>
                    <w:right w:val="none" w:sz="0" w:space="0" w:color="auto"/>
                  </w:divBdr>
                  <w:divsChild>
                    <w:div w:id="1784766203">
                      <w:marLeft w:val="0"/>
                      <w:marRight w:val="0"/>
                      <w:marTop w:val="0"/>
                      <w:marBottom w:val="0"/>
                      <w:divBdr>
                        <w:top w:val="none" w:sz="0" w:space="0" w:color="auto"/>
                        <w:left w:val="none" w:sz="0" w:space="0" w:color="auto"/>
                        <w:bottom w:val="none" w:sz="0" w:space="0" w:color="auto"/>
                        <w:right w:val="none" w:sz="0" w:space="0" w:color="auto"/>
                      </w:divBdr>
                    </w:div>
                  </w:divsChild>
                </w:div>
                <w:div w:id="1561867166">
                  <w:marLeft w:val="0"/>
                  <w:marRight w:val="0"/>
                  <w:marTop w:val="0"/>
                  <w:marBottom w:val="0"/>
                  <w:divBdr>
                    <w:top w:val="none" w:sz="0" w:space="0" w:color="auto"/>
                    <w:left w:val="none" w:sz="0" w:space="0" w:color="auto"/>
                    <w:bottom w:val="none" w:sz="0" w:space="0" w:color="auto"/>
                    <w:right w:val="none" w:sz="0" w:space="0" w:color="auto"/>
                  </w:divBdr>
                  <w:divsChild>
                    <w:div w:id="2044092835">
                      <w:marLeft w:val="0"/>
                      <w:marRight w:val="0"/>
                      <w:marTop w:val="0"/>
                      <w:marBottom w:val="0"/>
                      <w:divBdr>
                        <w:top w:val="none" w:sz="0" w:space="0" w:color="auto"/>
                        <w:left w:val="none" w:sz="0" w:space="0" w:color="auto"/>
                        <w:bottom w:val="none" w:sz="0" w:space="0" w:color="auto"/>
                        <w:right w:val="none" w:sz="0" w:space="0" w:color="auto"/>
                      </w:divBdr>
                    </w:div>
                  </w:divsChild>
                </w:div>
                <w:div w:id="1562597817">
                  <w:marLeft w:val="0"/>
                  <w:marRight w:val="0"/>
                  <w:marTop w:val="0"/>
                  <w:marBottom w:val="0"/>
                  <w:divBdr>
                    <w:top w:val="none" w:sz="0" w:space="0" w:color="auto"/>
                    <w:left w:val="none" w:sz="0" w:space="0" w:color="auto"/>
                    <w:bottom w:val="none" w:sz="0" w:space="0" w:color="auto"/>
                    <w:right w:val="none" w:sz="0" w:space="0" w:color="auto"/>
                  </w:divBdr>
                  <w:divsChild>
                    <w:div w:id="1663044047">
                      <w:marLeft w:val="0"/>
                      <w:marRight w:val="0"/>
                      <w:marTop w:val="0"/>
                      <w:marBottom w:val="0"/>
                      <w:divBdr>
                        <w:top w:val="none" w:sz="0" w:space="0" w:color="auto"/>
                        <w:left w:val="none" w:sz="0" w:space="0" w:color="auto"/>
                        <w:bottom w:val="none" w:sz="0" w:space="0" w:color="auto"/>
                        <w:right w:val="none" w:sz="0" w:space="0" w:color="auto"/>
                      </w:divBdr>
                    </w:div>
                  </w:divsChild>
                </w:div>
                <w:div w:id="1618753582">
                  <w:marLeft w:val="0"/>
                  <w:marRight w:val="0"/>
                  <w:marTop w:val="0"/>
                  <w:marBottom w:val="0"/>
                  <w:divBdr>
                    <w:top w:val="none" w:sz="0" w:space="0" w:color="auto"/>
                    <w:left w:val="none" w:sz="0" w:space="0" w:color="auto"/>
                    <w:bottom w:val="none" w:sz="0" w:space="0" w:color="auto"/>
                    <w:right w:val="none" w:sz="0" w:space="0" w:color="auto"/>
                  </w:divBdr>
                  <w:divsChild>
                    <w:div w:id="83066671">
                      <w:marLeft w:val="0"/>
                      <w:marRight w:val="0"/>
                      <w:marTop w:val="0"/>
                      <w:marBottom w:val="0"/>
                      <w:divBdr>
                        <w:top w:val="none" w:sz="0" w:space="0" w:color="auto"/>
                        <w:left w:val="none" w:sz="0" w:space="0" w:color="auto"/>
                        <w:bottom w:val="none" w:sz="0" w:space="0" w:color="auto"/>
                        <w:right w:val="none" w:sz="0" w:space="0" w:color="auto"/>
                      </w:divBdr>
                    </w:div>
                  </w:divsChild>
                </w:div>
                <w:div w:id="1633946479">
                  <w:marLeft w:val="0"/>
                  <w:marRight w:val="0"/>
                  <w:marTop w:val="0"/>
                  <w:marBottom w:val="0"/>
                  <w:divBdr>
                    <w:top w:val="none" w:sz="0" w:space="0" w:color="auto"/>
                    <w:left w:val="none" w:sz="0" w:space="0" w:color="auto"/>
                    <w:bottom w:val="none" w:sz="0" w:space="0" w:color="auto"/>
                    <w:right w:val="none" w:sz="0" w:space="0" w:color="auto"/>
                  </w:divBdr>
                  <w:divsChild>
                    <w:div w:id="357239037">
                      <w:marLeft w:val="0"/>
                      <w:marRight w:val="0"/>
                      <w:marTop w:val="0"/>
                      <w:marBottom w:val="0"/>
                      <w:divBdr>
                        <w:top w:val="none" w:sz="0" w:space="0" w:color="auto"/>
                        <w:left w:val="none" w:sz="0" w:space="0" w:color="auto"/>
                        <w:bottom w:val="none" w:sz="0" w:space="0" w:color="auto"/>
                        <w:right w:val="none" w:sz="0" w:space="0" w:color="auto"/>
                      </w:divBdr>
                    </w:div>
                  </w:divsChild>
                </w:div>
                <w:div w:id="1648586877">
                  <w:marLeft w:val="0"/>
                  <w:marRight w:val="0"/>
                  <w:marTop w:val="0"/>
                  <w:marBottom w:val="0"/>
                  <w:divBdr>
                    <w:top w:val="none" w:sz="0" w:space="0" w:color="auto"/>
                    <w:left w:val="none" w:sz="0" w:space="0" w:color="auto"/>
                    <w:bottom w:val="none" w:sz="0" w:space="0" w:color="auto"/>
                    <w:right w:val="none" w:sz="0" w:space="0" w:color="auto"/>
                  </w:divBdr>
                  <w:divsChild>
                    <w:div w:id="431320478">
                      <w:marLeft w:val="0"/>
                      <w:marRight w:val="0"/>
                      <w:marTop w:val="0"/>
                      <w:marBottom w:val="0"/>
                      <w:divBdr>
                        <w:top w:val="none" w:sz="0" w:space="0" w:color="auto"/>
                        <w:left w:val="none" w:sz="0" w:space="0" w:color="auto"/>
                        <w:bottom w:val="none" w:sz="0" w:space="0" w:color="auto"/>
                        <w:right w:val="none" w:sz="0" w:space="0" w:color="auto"/>
                      </w:divBdr>
                    </w:div>
                  </w:divsChild>
                </w:div>
                <w:div w:id="1742563284">
                  <w:marLeft w:val="0"/>
                  <w:marRight w:val="0"/>
                  <w:marTop w:val="0"/>
                  <w:marBottom w:val="0"/>
                  <w:divBdr>
                    <w:top w:val="none" w:sz="0" w:space="0" w:color="auto"/>
                    <w:left w:val="none" w:sz="0" w:space="0" w:color="auto"/>
                    <w:bottom w:val="none" w:sz="0" w:space="0" w:color="auto"/>
                    <w:right w:val="none" w:sz="0" w:space="0" w:color="auto"/>
                  </w:divBdr>
                  <w:divsChild>
                    <w:div w:id="2002276020">
                      <w:marLeft w:val="0"/>
                      <w:marRight w:val="0"/>
                      <w:marTop w:val="0"/>
                      <w:marBottom w:val="0"/>
                      <w:divBdr>
                        <w:top w:val="none" w:sz="0" w:space="0" w:color="auto"/>
                        <w:left w:val="none" w:sz="0" w:space="0" w:color="auto"/>
                        <w:bottom w:val="none" w:sz="0" w:space="0" w:color="auto"/>
                        <w:right w:val="none" w:sz="0" w:space="0" w:color="auto"/>
                      </w:divBdr>
                    </w:div>
                  </w:divsChild>
                </w:div>
                <w:div w:id="1748384001">
                  <w:marLeft w:val="0"/>
                  <w:marRight w:val="0"/>
                  <w:marTop w:val="0"/>
                  <w:marBottom w:val="0"/>
                  <w:divBdr>
                    <w:top w:val="none" w:sz="0" w:space="0" w:color="auto"/>
                    <w:left w:val="none" w:sz="0" w:space="0" w:color="auto"/>
                    <w:bottom w:val="none" w:sz="0" w:space="0" w:color="auto"/>
                    <w:right w:val="none" w:sz="0" w:space="0" w:color="auto"/>
                  </w:divBdr>
                  <w:divsChild>
                    <w:div w:id="2005622383">
                      <w:marLeft w:val="0"/>
                      <w:marRight w:val="0"/>
                      <w:marTop w:val="0"/>
                      <w:marBottom w:val="0"/>
                      <w:divBdr>
                        <w:top w:val="none" w:sz="0" w:space="0" w:color="auto"/>
                        <w:left w:val="none" w:sz="0" w:space="0" w:color="auto"/>
                        <w:bottom w:val="none" w:sz="0" w:space="0" w:color="auto"/>
                        <w:right w:val="none" w:sz="0" w:space="0" w:color="auto"/>
                      </w:divBdr>
                    </w:div>
                  </w:divsChild>
                </w:div>
                <w:div w:id="1767925565">
                  <w:marLeft w:val="0"/>
                  <w:marRight w:val="0"/>
                  <w:marTop w:val="0"/>
                  <w:marBottom w:val="0"/>
                  <w:divBdr>
                    <w:top w:val="none" w:sz="0" w:space="0" w:color="auto"/>
                    <w:left w:val="none" w:sz="0" w:space="0" w:color="auto"/>
                    <w:bottom w:val="none" w:sz="0" w:space="0" w:color="auto"/>
                    <w:right w:val="none" w:sz="0" w:space="0" w:color="auto"/>
                  </w:divBdr>
                  <w:divsChild>
                    <w:div w:id="1699886797">
                      <w:marLeft w:val="0"/>
                      <w:marRight w:val="0"/>
                      <w:marTop w:val="0"/>
                      <w:marBottom w:val="0"/>
                      <w:divBdr>
                        <w:top w:val="none" w:sz="0" w:space="0" w:color="auto"/>
                        <w:left w:val="none" w:sz="0" w:space="0" w:color="auto"/>
                        <w:bottom w:val="none" w:sz="0" w:space="0" w:color="auto"/>
                        <w:right w:val="none" w:sz="0" w:space="0" w:color="auto"/>
                      </w:divBdr>
                    </w:div>
                  </w:divsChild>
                </w:div>
                <w:div w:id="1818178859">
                  <w:marLeft w:val="0"/>
                  <w:marRight w:val="0"/>
                  <w:marTop w:val="0"/>
                  <w:marBottom w:val="0"/>
                  <w:divBdr>
                    <w:top w:val="none" w:sz="0" w:space="0" w:color="auto"/>
                    <w:left w:val="none" w:sz="0" w:space="0" w:color="auto"/>
                    <w:bottom w:val="none" w:sz="0" w:space="0" w:color="auto"/>
                    <w:right w:val="none" w:sz="0" w:space="0" w:color="auto"/>
                  </w:divBdr>
                  <w:divsChild>
                    <w:div w:id="2032877749">
                      <w:marLeft w:val="0"/>
                      <w:marRight w:val="0"/>
                      <w:marTop w:val="0"/>
                      <w:marBottom w:val="0"/>
                      <w:divBdr>
                        <w:top w:val="none" w:sz="0" w:space="0" w:color="auto"/>
                        <w:left w:val="none" w:sz="0" w:space="0" w:color="auto"/>
                        <w:bottom w:val="none" w:sz="0" w:space="0" w:color="auto"/>
                        <w:right w:val="none" w:sz="0" w:space="0" w:color="auto"/>
                      </w:divBdr>
                    </w:div>
                  </w:divsChild>
                </w:div>
                <w:div w:id="1841508290">
                  <w:marLeft w:val="0"/>
                  <w:marRight w:val="0"/>
                  <w:marTop w:val="0"/>
                  <w:marBottom w:val="0"/>
                  <w:divBdr>
                    <w:top w:val="none" w:sz="0" w:space="0" w:color="auto"/>
                    <w:left w:val="none" w:sz="0" w:space="0" w:color="auto"/>
                    <w:bottom w:val="none" w:sz="0" w:space="0" w:color="auto"/>
                    <w:right w:val="none" w:sz="0" w:space="0" w:color="auto"/>
                  </w:divBdr>
                  <w:divsChild>
                    <w:div w:id="1336803441">
                      <w:marLeft w:val="0"/>
                      <w:marRight w:val="0"/>
                      <w:marTop w:val="0"/>
                      <w:marBottom w:val="0"/>
                      <w:divBdr>
                        <w:top w:val="none" w:sz="0" w:space="0" w:color="auto"/>
                        <w:left w:val="none" w:sz="0" w:space="0" w:color="auto"/>
                        <w:bottom w:val="none" w:sz="0" w:space="0" w:color="auto"/>
                        <w:right w:val="none" w:sz="0" w:space="0" w:color="auto"/>
                      </w:divBdr>
                    </w:div>
                  </w:divsChild>
                </w:div>
                <w:div w:id="1845128330">
                  <w:marLeft w:val="0"/>
                  <w:marRight w:val="0"/>
                  <w:marTop w:val="0"/>
                  <w:marBottom w:val="0"/>
                  <w:divBdr>
                    <w:top w:val="none" w:sz="0" w:space="0" w:color="auto"/>
                    <w:left w:val="none" w:sz="0" w:space="0" w:color="auto"/>
                    <w:bottom w:val="none" w:sz="0" w:space="0" w:color="auto"/>
                    <w:right w:val="none" w:sz="0" w:space="0" w:color="auto"/>
                  </w:divBdr>
                  <w:divsChild>
                    <w:div w:id="1401975445">
                      <w:marLeft w:val="0"/>
                      <w:marRight w:val="0"/>
                      <w:marTop w:val="0"/>
                      <w:marBottom w:val="0"/>
                      <w:divBdr>
                        <w:top w:val="none" w:sz="0" w:space="0" w:color="auto"/>
                        <w:left w:val="none" w:sz="0" w:space="0" w:color="auto"/>
                        <w:bottom w:val="none" w:sz="0" w:space="0" w:color="auto"/>
                        <w:right w:val="none" w:sz="0" w:space="0" w:color="auto"/>
                      </w:divBdr>
                    </w:div>
                  </w:divsChild>
                </w:div>
                <w:div w:id="1850481700">
                  <w:marLeft w:val="0"/>
                  <w:marRight w:val="0"/>
                  <w:marTop w:val="0"/>
                  <w:marBottom w:val="0"/>
                  <w:divBdr>
                    <w:top w:val="none" w:sz="0" w:space="0" w:color="auto"/>
                    <w:left w:val="none" w:sz="0" w:space="0" w:color="auto"/>
                    <w:bottom w:val="none" w:sz="0" w:space="0" w:color="auto"/>
                    <w:right w:val="none" w:sz="0" w:space="0" w:color="auto"/>
                  </w:divBdr>
                  <w:divsChild>
                    <w:div w:id="2144230793">
                      <w:marLeft w:val="0"/>
                      <w:marRight w:val="0"/>
                      <w:marTop w:val="0"/>
                      <w:marBottom w:val="0"/>
                      <w:divBdr>
                        <w:top w:val="none" w:sz="0" w:space="0" w:color="auto"/>
                        <w:left w:val="none" w:sz="0" w:space="0" w:color="auto"/>
                        <w:bottom w:val="none" w:sz="0" w:space="0" w:color="auto"/>
                        <w:right w:val="none" w:sz="0" w:space="0" w:color="auto"/>
                      </w:divBdr>
                    </w:div>
                  </w:divsChild>
                </w:div>
                <w:div w:id="1985743290">
                  <w:marLeft w:val="0"/>
                  <w:marRight w:val="0"/>
                  <w:marTop w:val="0"/>
                  <w:marBottom w:val="0"/>
                  <w:divBdr>
                    <w:top w:val="none" w:sz="0" w:space="0" w:color="auto"/>
                    <w:left w:val="none" w:sz="0" w:space="0" w:color="auto"/>
                    <w:bottom w:val="none" w:sz="0" w:space="0" w:color="auto"/>
                    <w:right w:val="none" w:sz="0" w:space="0" w:color="auto"/>
                  </w:divBdr>
                  <w:divsChild>
                    <w:div w:id="508642619">
                      <w:marLeft w:val="0"/>
                      <w:marRight w:val="0"/>
                      <w:marTop w:val="0"/>
                      <w:marBottom w:val="0"/>
                      <w:divBdr>
                        <w:top w:val="none" w:sz="0" w:space="0" w:color="auto"/>
                        <w:left w:val="none" w:sz="0" w:space="0" w:color="auto"/>
                        <w:bottom w:val="none" w:sz="0" w:space="0" w:color="auto"/>
                        <w:right w:val="none" w:sz="0" w:space="0" w:color="auto"/>
                      </w:divBdr>
                    </w:div>
                  </w:divsChild>
                </w:div>
                <w:div w:id="2003653873">
                  <w:marLeft w:val="0"/>
                  <w:marRight w:val="0"/>
                  <w:marTop w:val="0"/>
                  <w:marBottom w:val="0"/>
                  <w:divBdr>
                    <w:top w:val="none" w:sz="0" w:space="0" w:color="auto"/>
                    <w:left w:val="none" w:sz="0" w:space="0" w:color="auto"/>
                    <w:bottom w:val="none" w:sz="0" w:space="0" w:color="auto"/>
                    <w:right w:val="none" w:sz="0" w:space="0" w:color="auto"/>
                  </w:divBdr>
                  <w:divsChild>
                    <w:div w:id="1221137132">
                      <w:marLeft w:val="0"/>
                      <w:marRight w:val="0"/>
                      <w:marTop w:val="0"/>
                      <w:marBottom w:val="0"/>
                      <w:divBdr>
                        <w:top w:val="none" w:sz="0" w:space="0" w:color="auto"/>
                        <w:left w:val="none" w:sz="0" w:space="0" w:color="auto"/>
                        <w:bottom w:val="none" w:sz="0" w:space="0" w:color="auto"/>
                        <w:right w:val="none" w:sz="0" w:space="0" w:color="auto"/>
                      </w:divBdr>
                    </w:div>
                  </w:divsChild>
                </w:div>
                <w:div w:id="2087413890">
                  <w:marLeft w:val="0"/>
                  <w:marRight w:val="0"/>
                  <w:marTop w:val="0"/>
                  <w:marBottom w:val="0"/>
                  <w:divBdr>
                    <w:top w:val="none" w:sz="0" w:space="0" w:color="auto"/>
                    <w:left w:val="none" w:sz="0" w:space="0" w:color="auto"/>
                    <w:bottom w:val="none" w:sz="0" w:space="0" w:color="auto"/>
                    <w:right w:val="none" w:sz="0" w:space="0" w:color="auto"/>
                  </w:divBdr>
                  <w:divsChild>
                    <w:div w:id="1613129001">
                      <w:marLeft w:val="0"/>
                      <w:marRight w:val="0"/>
                      <w:marTop w:val="0"/>
                      <w:marBottom w:val="0"/>
                      <w:divBdr>
                        <w:top w:val="none" w:sz="0" w:space="0" w:color="auto"/>
                        <w:left w:val="none" w:sz="0" w:space="0" w:color="auto"/>
                        <w:bottom w:val="none" w:sz="0" w:space="0" w:color="auto"/>
                        <w:right w:val="none" w:sz="0" w:space="0" w:color="auto"/>
                      </w:divBdr>
                    </w:div>
                  </w:divsChild>
                </w:div>
                <w:div w:id="2093621372">
                  <w:marLeft w:val="0"/>
                  <w:marRight w:val="0"/>
                  <w:marTop w:val="0"/>
                  <w:marBottom w:val="0"/>
                  <w:divBdr>
                    <w:top w:val="none" w:sz="0" w:space="0" w:color="auto"/>
                    <w:left w:val="none" w:sz="0" w:space="0" w:color="auto"/>
                    <w:bottom w:val="none" w:sz="0" w:space="0" w:color="auto"/>
                    <w:right w:val="none" w:sz="0" w:space="0" w:color="auto"/>
                  </w:divBdr>
                  <w:divsChild>
                    <w:div w:id="1269892623">
                      <w:marLeft w:val="0"/>
                      <w:marRight w:val="0"/>
                      <w:marTop w:val="0"/>
                      <w:marBottom w:val="0"/>
                      <w:divBdr>
                        <w:top w:val="none" w:sz="0" w:space="0" w:color="auto"/>
                        <w:left w:val="none" w:sz="0" w:space="0" w:color="auto"/>
                        <w:bottom w:val="none" w:sz="0" w:space="0" w:color="auto"/>
                        <w:right w:val="none" w:sz="0" w:space="0" w:color="auto"/>
                      </w:divBdr>
                    </w:div>
                  </w:divsChild>
                </w:div>
                <w:div w:id="2115204027">
                  <w:marLeft w:val="0"/>
                  <w:marRight w:val="0"/>
                  <w:marTop w:val="0"/>
                  <w:marBottom w:val="0"/>
                  <w:divBdr>
                    <w:top w:val="none" w:sz="0" w:space="0" w:color="auto"/>
                    <w:left w:val="none" w:sz="0" w:space="0" w:color="auto"/>
                    <w:bottom w:val="none" w:sz="0" w:space="0" w:color="auto"/>
                    <w:right w:val="none" w:sz="0" w:space="0" w:color="auto"/>
                  </w:divBdr>
                  <w:divsChild>
                    <w:div w:id="92735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889962">
          <w:marLeft w:val="0"/>
          <w:marRight w:val="0"/>
          <w:marTop w:val="0"/>
          <w:marBottom w:val="0"/>
          <w:divBdr>
            <w:top w:val="none" w:sz="0" w:space="0" w:color="auto"/>
            <w:left w:val="none" w:sz="0" w:space="0" w:color="auto"/>
            <w:bottom w:val="none" w:sz="0" w:space="0" w:color="auto"/>
            <w:right w:val="none" w:sz="0" w:space="0" w:color="auto"/>
          </w:divBdr>
          <w:divsChild>
            <w:div w:id="1290697732">
              <w:marLeft w:val="0"/>
              <w:marRight w:val="0"/>
              <w:marTop w:val="0"/>
              <w:marBottom w:val="0"/>
              <w:divBdr>
                <w:top w:val="none" w:sz="0" w:space="0" w:color="auto"/>
                <w:left w:val="none" w:sz="0" w:space="0" w:color="auto"/>
                <w:bottom w:val="none" w:sz="0" w:space="0" w:color="auto"/>
                <w:right w:val="none" w:sz="0" w:space="0" w:color="auto"/>
              </w:divBdr>
            </w:div>
          </w:divsChild>
        </w:div>
        <w:div w:id="1363435304">
          <w:marLeft w:val="0"/>
          <w:marRight w:val="0"/>
          <w:marTop w:val="0"/>
          <w:marBottom w:val="0"/>
          <w:divBdr>
            <w:top w:val="none" w:sz="0" w:space="0" w:color="auto"/>
            <w:left w:val="none" w:sz="0" w:space="0" w:color="auto"/>
            <w:bottom w:val="none" w:sz="0" w:space="0" w:color="auto"/>
            <w:right w:val="none" w:sz="0" w:space="0" w:color="auto"/>
          </w:divBdr>
          <w:divsChild>
            <w:div w:id="1773935516">
              <w:marLeft w:val="0"/>
              <w:marRight w:val="0"/>
              <w:marTop w:val="0"/>
              <w:marBottom w:val="0"/>
              <w:divBdr>
                <w:top w:val="none" w:sz="0" w:space="0" w:color="auto"/>
                <w:left w:val="none" w:sz="0" w:space="0" w:color="auto"/>
                <w:bottom w:val="none" w:sz="0" w:space="0" w:color="auto"/>
                <w:right w:val="none" w:sz="0" w:space="0" w:color="auto"/>
              </w:divBdr>
            </w:div>
          </w:divsChild>
        </w:div>
        <w:div w:id="1394038559">
          <w:marLeft w:val="0"/>
          <w:marRight w:val="0"/>
          <w:marTop w:val="0"/>
          <w:marBottom w:val="0"/>
          <w:divBdr>
            <w:top w:val="none" w:sz="0" w:space="0" w:color="auto"/>
            <w:left w:val="none" w:sz="0" w:space="0" w:color="auto"/>
            <w:bottom w:val="none" w:sz="0" w:space="0" w:color="auto"/>
            <w:right w:val="none" w:sz="0" w:space="0" w:color="auto"/>
          </w:divBdr>
          <w:divsChild>
            <w:div w:id="824972688">
              <w:marLeft w:val="0"/>
              <w:marRight w:val="0"/>
              <w:marTop w:val="0"/>
              <w:marBottom w:val="0"/>
              <w:divBdr>
                <w:top w:val="none" w:sz="0" w:space="0" w:color="auto"/>
                <w:left w:val="none" w:sz="0" w:space="0" w:color="auto"/>
                <w:bottom w:val="none" w:sz="0" w:space="0" w:color="auto"/>
                <w:right w:val="none" w:sz="0" w:space="0" w:color="auto"/>
              </w:divBdr>
            </w:div>
          </w:divsChild>
        </w:div>
        <w:div w:id="1417630059">
          <w:marLeft w:val="0"/>
          <w:marRight w:val="0"/>
          <w:marTop w:val="0"/>
          <w:marBottom w:val="0"/>
          <w:divBdr>
            <w:top w:val="none" w:sz="0" w:space="0" w:color="auto"/>
            <w:left w:val="none" w:sz="0" w:space="0" w:color="auto"/>
            <w:bottom w:val="none" w:sz="0" w:space="0" w:color="auto"/>
            <w:right w:val="none" w:sz="0" w:space="0" w:color="auto"/>
          </w:divBdr>
          <w:divsChild>
            <w:div w:id="573901620">
              <w:marLeft w:val="0"/>
              <w:marRight w:val="0"/>
              <w:marTop w:val="0"/>
              <w:marBottom w:val="0"/>
              <w:divBdr>
                <w:top w:val="none" w:sz="0" w:space="0" w:color="auto"/>
                <w:left w:val="none" w:sz="0" w:space="0" w:color="auto"/>
                <w:bottom w:val="none" w:sz="0" w:space="0" w:color="auto"/>
                <w:right w:val="none" w:sz="0" w:space="0" w:color="auto"/>
              </w:divBdr>
            </w:div>
          </w:divsChild>
        </w:div>
        <w:div w:id="1423645718">
          <w:marLeft w:val="0"/>
          <w:marRight w:val="0"/>
          <w:marTop w:val="0"/>
          <w:marBottom w:val="0"/>
          <w:divBdr>
            <w:top w:val="none" w:sz="0" w:space="0" w:color="auto"/>
            <w:left w:val="none" w:sz="0" w:space="0" w:color="auto"/>
            <w:bottom w:val="none" w:sz="0" w:space="0" w:color="auto"/>
            <w:right w:val="none" w:sz="0" w:space="0" w:color="auto"/>
          </w:divBdr>
          <w:divsChild>
            <w:div w:id="972488843">
              <w:marLeft w:val="0"/>
              <w:marRight w:val="0"/>
              <w:marTop w:val="0"/>
              <w:marBottom w:val="0"/>
              <w:divBdr>
                <w:top w:val="none" w:sz="0" w:space="0" w:color="auto"/>
                <w:left w:val="none" w:sz="0" w:space="0" w:color="auto"/>
                <w:bottom w:val="none" w:sz="0" w:space="0" w:color="auto"/>
                <w:right w:val="none" w:sz="0" w:space="0" w:color="auto"/>
              </w:divBdr>
            </w:div>
          </w:divsChild>
        </w:div>
        <w:div w:id="1471745617">
          <w:marLeft w:val="0"/>
          <w:marRight w:val="0"/>
          <w:marTop w:val="0"/>
          <w:marBottom w:val="0"/>
          <w:divBdr>
            <w:top w:val="none" w:sz="0" w:space="0" w:color="auto"/>
            <w:left w:val="none" w:sz="0" w:space="0" w:color="auto"/>
            <w:bottom w:val="none" w:sz="0" w:space="0" w:color="auto"/>
            <w:right w:val="none" w:sz="0" w:space="0" w:color="auto"/>
          </w:divBdr>
          <w:divsChild>
            <w:div w:id="1469469374">
              <w:marLeft w:val="0"/>
              <w:marRight w:val="0"/>
              <w:marTop w:val="0"/>
              <w:marBottom w:val="0"/>
              <w:divBdr>
                <w:top w:val="none" w:sz="0" w:space="0" w:color="auto"/>
                <w:left w:val="none" w:sz="0" w:space="0" w:color="auto"/>
                <w:bottom w:val="none" w:sz="0" w:space="0" w:color="auto"/>
                <w:right w:val="none" w:sz="0" w:space="0" w:color="auto"/>
              </w:divBdr>
            </w:div>
          </w:divsChild>
        </w:div>
        <w:div w:id="1475219573">
          <w:marLeft w:val="0"/>
          <w:marRight w:val="0"/>
          <w:marTop w:val="0"/>
          <w:marBottom w:val="0"/>
          <w:divBdr>
            <w:top w:val="none" w:sz="0" w:space="0" w:color="auto"/>
            <w:left w:val="none" w:sz="0" w:space="0" w:color="auto"/>
            <w:bottom w:val="none" w:sz="0" w:space="0" w:color="auto"/>
            <w:right w:val="none" w:sz="0" w:space="0" w:color="auto"/>
          </w:divBdr>
          <w:divsChild>
            <w:div w:id="1842545486">
              <w:marLeft w:val="0"/>
              <w:marRight w:val="0"/>
              <w:marTop w:val="0"/>
              <w:marBottom w:val="0"/>
              <w:divBdr>
                <w:top w:val="none" w:sz="0" w:space="0" w:color="auto"/>
                <w:left w:val="none" w:sz="0" w:space="0" w:color="auto"/>
                <w:bottom w:val="none" w:sz="0" w:space="0" w:color="auto"/>
                <w:right w:val="none" w:sz="0" w:space="0" w:color="auto"/>
              </w:divBdr>
            </w:div>
          </w:divsChild>
        </w:div>
        <w:div w:id="1594625532">
          <w:marLeft w:val="0"/>
          <w:marRight w:val="0"/>
          <w:marTop w:val="0"/>
          <w:marBottom w:val="0"/>
          <w:divBdr>
            <w:top w:val="none" w:sz="0" w:space="0" w:color="auto"/>
            <w:left w:val="none" w:sz="0" w:space="0" w:color="auto"/>
            <w:bottom w:val="none" w:sz="0" w:space="0" w:color="auto"/>
            <w:right w:val="none" w:sz="0" w:space="0" w:color="auto"/>
          </w:divBdr>
          <w:divsChild>
            <w:div w:id="691611720">
              <w:marLeft w:val="0"/>
              <w:marRight w:val="0"/>
              <w:marTop w:val="0"/>
              <w:marBottom w:val="0"/>
              <w:divBdr>
                <w:top w:val="none" w:sz="0" w:space="0" w:color="auto"/>
                <w:left w:val="none" w:sz="0" w:space="0" w:color="auto"/>
                <w:bottom w:val="none" w:sz="0" w:space="0" w:color="auto"/>
                <w:right w:val="none" w:sz="0" w:space="0" w:color="auto"/>
              </w:divBdr>
            </w:div>
          </w:divsChild>
        </w:div>
        <w:div w:id="1597206293">
          <w:marLeft w:val="0"/>
          <w:marRight w:val="0"/>
          <w:marTop w:val="0"/>
          <w:marBottom w:val="0"/>
          <w:divBdr>
            <w:top w:val="none" w:sz="0" w:space="0" w:color="auto"/>
            <w:left w:val="none" w:sz="0" w:space="0" w:color="auto"/>
            <w:bottom w:val="none" w:sz="0" w:space="0" w:color="auto"/>
            <w:right w:val="none" w:sz="0" w:space="0" w:color="auto"/>
          </w:divBdr>
          <w:divsChild>
            <w:div w:id="2118206952">
              <w:marLeft w:val="0"/>
              <w:marRight w:val="0"/>
              <w:marTop w:val="0"/>
              <w:marBottom w:val="0"/>
              <w:divBdr>
                <w:top w:val="none" w:sz="0" w:space="0" w:color="auto"/>
                <w:left w:val="none" w:sz="0" w:space="0" w:color="auto"/>
                <w:bottom w:val="none" w:sz="0" w:space="0" w:color="auto"/>
                <w:right w:val="none" w:sz="0" w:space="0" w:color="auto"/>
              </w:divBdr>
            </w:div>
          </w:divsChild>
        </w:div>
        <w:div w:id="1695306875">
          <w:marLeft w:val="0"/>
          <w:marRight w:val="0"/>
          <w:marTop w:val="0"/>
          <w:marBottom w:val="0"/>
          <w:divBdr>
            <w:top w:val="none" w:sz="0" w:space="0" w:color="auto"/>
            <w:left w:val="none" w:sz="0" w:space="0" w:color="auto"/>
            <w:bottom w:val="none" w:sz="0" w:space="0" w:color="auto"/>
            <w:right w:val="none" w:sz="0" w:space="0" w:color="auto"/>
          </w:divBdr>
          <w:divsChild>
            <w:div w:id="462889919">
              <w:marLeft w:val="0"/>
              <w:marRight w:val="0"/>
              <w:marTop w:val="0"/>
              <w:marBottom w:val="0"/>
              <w:divBdr>
                <w:top w:val="none" w:sz="0" w:space="0" w:color="auto"/>
                <w:left w:val="none" w:sz="0" w:space="0" w:color="auto"/>
                <w:bottom w:val="none" w:sz="0" w:space="0" w:color="auto"/>
                <w:right w:val="none" w:sz="0" w:space="0" w:color="auto"/>
              </w:divBdr>
            </w:div>
          </w:divsChild>
        </w:div>
        <w:div w:id="1755662516">
          <w:marLeft w:val="0"/>
          <w:marRight w:val="0"/>
          <w:marTop w:val="0"/>
          <w:marBottom w:val="0"/>
          <w:divBdr>
            <w:top w:val="none" w:sz="0" w:space="0" w:color="auto"/>
            <w:left w:val="none" w:sz="0" w:space="0" w:color="auto"/>
            <w:bottom w:val="none" w:sz="0" w:space="0" w:color="auto"/>
            <w:right w:val="none" w:sz="0" w:space="0" w:color="auto"/>
          </w:divBdr>
          <w:divsChild>
            <w:div w:id="373576943">
              <w:marLeft w:val="0"/>
              <w:marRight w:val="0"/>
              <w:marTop w:val="0"/>
              <w:marBottom w:val="0"/>
              <w:divBdr>
                <w:top w:val="none" w:sz="0" w:space="0" w:color="auto"/>
                <w:left w:val="none" w:sz="0" w:space="0" w:color="auto"/>
                <w:bottom w:val="none" w:sz="0" w:space="0" w:color="auto"/>
                <w:right w:val="none" w:sz="0" w:space="0" w:color="auto"/>
              </w:divBdr>
            </w:div>
          </w:divsChild>
        </w:div>
        <w:div w:id="1759710284">
          <w:marLeft w:val="0"/>
          <w:marRight w:val="0"/>
          <w:marTop w:val="0"/>
          <w:marBottom w:val="0"/>
          <w:divBdr>
            <w:top w:val="none" w:sz="0" w:space="0" w:color="auto"/>
            <w:left w:val="none" w:sz="0" w:space="0" w:color="auto"/>
            <w:bottom w:val="none" w:sz="0" w:space="0" w:color="auto"/>
            <w:right w:val="none" w:sz="0" w:space="0" w:color="auto"/>
          </w:divBdr>
          <w:divsChild>
            <w:div w:id="861742809">
              <w:marLeft w:val="0"/>
              <w:marRight w:val="0"/>
              <w:marTop w:val="0"/>
              <w:marBottom w:val="0"/>
              <w:divBdr>
                <w:top w:val="none" w:sz="0" w:space="0" w:color="auto"/>
                <w:left w:val="none" w:sz="0" w:space="0" w:color="auto"/>
                <w:bottom w:val="none" w:sz="0" w:space="0" w:color="auto"/>
                <w:right w:val="none" w:sz="0" w:space="0" w:color="auto"/>
              </w:divBdr>
            </w:div>
          </w:divsChild>
        </w:div>
        <w:div w:id="1800607930">
          <w:marLeft w:val="0"/>
          <w:marRight w:val="0"/>
          <w:marTop w:val="0"/>
          <w:marBottom w:val="0"/>
          <w:divBdr>
            <w:top w:val="none" w:sz="0" w:space="0" w:color="auto"/>
            <w:left w:val="none" w:sz="0" w:space="0" w:color="auto"/>
            <w:bottom w:val="none" w:sz="0" w:space="0" w:color="auto"/>
            <w:right w:val="none" w:sz="0" w:space="0" w:color="auto"/>
          </w:divBdr>
          <w:divsChild>
            <w:div w:id="542331215">
              <w:marLeft w:val="0"/>
              <w:marRight w:val="0"/>
              <w:marTop w:val="0"/>
              <w:marBottom w:val="0"/>
              <w:divBdr>
                <w:top w:val="none" w:sz="0" w:space="0" w:color="auto"/>
                <w:left w:val="none" w:sz="0" w:space="0" w:color="auto"/>
                <w:bottom w:val="none" w:sz="0" w:space="0" w:color="auto"/>
                <w:right w:val="none" w:sz="0" w:space="0" w:color="auto"/>
              </w:divBdr>
            </w:div>
          </w:divsChild>
        </w:div>
        <w:div w:id="1837762587">
          <w:marLeft w:val="0"/>
          <w:marRight w:val="0"/>
          <w:marTop w:val="0"/>
          <w:marBottom w:val="0"/>
          <w:divBdr>
            <w:top w:val="none" w:sz="0" w:space="0" w:color="auto"/>
            <w:left w:val="none" w:sz="0" w:space="0" w:color="auto"/>
            <w:bottom w:val="none" w:sz="0" w:space="0" w:color="auto"/>
            <w:right w:val="none" w:sz="0" w:space="0" w:color="auto"/>
          </w:divBdr>
          <w:divsChild>
            <w:div w:id="1407264250">
              <w:marLeft w:val="0"/>
              <w:marRight w:val="0"/>
              <w:marTop w:val="0"/>
              <w:marBottom w:val="0"/>
              <w:divBdr>
                <w:top w:val="none" w:sz="0" w:space="0" w:color="auto"/>
                <w:left w:val="none" w:sz="0" w:space="0" w:color="auto"/>
                <w:bottom w:val="none" w:sz="0" w:space="0" w:color="auto"/>
                <w:right w:val="none" w:sz="0" w:space="0" w:color="auto"/>
              </w:divBdr>
            </w:div>
          </w:divsChild>
        </w:div>
        <w:div w:id="1868641127">
          <w:marLeft w:val="0"/>
          <w:marRight w:val="0"/>
          <w:marTop w:val="0"/>
          <w:marBottom w:val="0"/>
          <w:divBdr>
            <w:top w:val="none" w:sz="0" w:space="0" w:color="auto"/>
            <w:left w:val="none" w:sz="0" w:space="0" w:color="auto"/>
            <w:bottom w:val="none" w:sz="0" w:space="0" w:color="auto"/>
            <w:right w:val="none" w:sz="0" w:space="0" w:color="auto"/>
          </w:divBdr>
        </w:div>
        <w:div w:id="1873761641">
          <w:marLeft w:val="0"/>
          <w:marRight w:val="0"/>
          <w:marTop w:val="0"/>
          <w:marBottom w:val="0"/>
          <w:divBdr>
            <w:top w:val="none" w:sz="0" w:space="0" w:color="auto"/>
            <w:left w:val="none" w:sz="0" w:space="0" w:color="auto"/>
            <w:bottom w:val="none" w:sz="0" w:space="0" w:color="auto"/>
            <w:right w:val="none" w:sz="0" w:space="0" w:color="auto"/>
          </w:divBdr>
          <w:divsChild>
            <w:div w:id="1581670840">
              <w:marLeft w:val="0"/>
              <w:marRight w:val="0"/>
              <w:marTop w:val="0"/>
              <w:marBottom w:val="0"/>
              <w:divBdr>
                <w:top w:val="none" w:sz="0" w:space="0" w:color="auto"/>
                <w:left w:val="none" w:sz="0" w:space="0" w:color="auto"/>
                <w:bottom w:val="none" w:sz="0" w:space="0" w:color="auto"/>
                <w:right w:val="none" w:sz="0" w:space="0" w:color="auto"/>
              </w:divBdr>
            </w:div>
          </w:divsChild>
        </w:div>
        <w:div w:id="1901669468">
          <w:marLeft w:val="0"/>
          <w:marRight w:val="0"/>
          <w:marTop w:val="0"/>
          <w:marBottom w:val="0"/>
          <w:divBdr>
            <w:top w:val="none" w:sz="0" w:space="0" w:color="auto"/>
            <w:left w:val="none" w:sz="0" w:space="0" w:color="auto"/>
            <w:bottom w:val="none" w:sz="0" w:space="0" w:color="auto"/>
            <w:right w:val="none" w:sz="0" w:space="0" w:color="auto"/>
          </w:divBdr>
          <w:divsChild>
            <w:div w:id="1122723743">
              <w:marLeft w:val="0"/>
              <w:marRight w:val="0"/>
              <w:marTop w:val="0"/>
              <w:marBottom w:val="0"/>
              <w:divBdr>
                <w:top w:val="none" w:sz="0" w:space="0" w:color="auto"/>
                <w:left w:val="none" w:sz="0" w:space="0" w:color="auto"/>
                <w:bottom w:val="none" w:sz="0" w:space="0" w:color="auto"/>
                <w:right w:val="none" w:sz="0" w:space="0" w:color="auto"/>
              </w:divBdr>
            </w:div>
          </w:divsChild>
        </w:div>
        <w:div w:id="1905749428">
          <w:marLeft w:val="0"/>
          <w:marRight w:val="0"/>
          <w:marTop w:val="0"/>
          <w:marBottom w:val="0"/>
          <w:divBdr>
            <w:top w:val="none" w:sz="0" w:space="0" w:color="auto"/>
            <w:left w:val="none" w:sz="0" w:space="0" w:color="auto"/>
            <w:bottom w:val="none" w:sz="0" w:space="0" w:color="auto"/>
            <w:right w:val="none" w:sz="0" w:space="0" w:color="auto"/>
          </w:divBdr>
          <w:divsChild>
            <w:div w:id="1262228090">
              <w:marLeft w:val="0"/>
              <w:marRight w:val="0"/>
              <w:marTop w:val="0"/>
              <w:marBottom w:val="0"/>
              <w:divBdr>
                <w:top w:val="none" w:sz="0" w:space="0" w:color="auto"/>
                <w:left w:val="none" w:sz="0" w:space="0" w:color="auto"/>
                <w:bottom w:val="none" w:sz="0" w:space="0" w:color="auto"/>
                <w:right w:val="none" w:sz="0" w:space="0" w:color="auto"/>
              </w:divBdr>
            </w:div>
          </w:divsChild>
        </w:div>
        <w:div w:id="1937861880">
          <w:marLeft w:val="0"/>
          <w:marRight w:val="0"/>
          <w:marTop w:val="0"/>
          <w:marBottom w:val="0"/>
          <w:divBdr>
            <w:top w:val="none" w:sz="0" w:space="0" w:color="auto"/>
            <w:left w:val="none" w:sz="0" w:space="0" w:color="auto"/>
            <w:bottom w:val="none" w:sz="0" w:space="0" w:color="auto"/>
            <w:right w:val="none" w:sz="0" w:space="0" w:color="auto"/>
          </w:divBdr>
          <w:divsChild>
            <w:div w:id="1792043232">
              <w:marLeft w:val="0"/>
              <w:marRight w:val="0"/>
              <w:marTop w:val="0"/>
              <w:marBottom w:val="0"/>
              <w:divBdr>
                <w:top w:val="none" w:sz="0" w:space="0" w:color="auto"/>
                <w:left w:val="none" w:sz="0" w:space="0" w:color="auto"/>
                <w:bottom w:val="none" w:sz="0" w:space="0" w:color="auto"/>
                <w:right w:val="none" w:sz="0" w:space="0" w:color="auto"/>
              </w:divBdr>
            </w:div>
          </w:divsChild>
        </w:div>
        <w:div w:id="1983582737">
          <w:marLeft w:val="0"/>
          <w:marRight w:val="0"/>
          <w:marTop w:val="0"/>
          <w:marBottom w:val="0"/>
          <w:divBdr>
            <w:top w:val="none" w:sz="0" w:space="0" w:color="auto"/>
            <w:left w:val="none" w:sz="0" w:space="0" w:color="auto"/>
            <w:bottom w:val="none" w:sz="0" w:space="0" w:color="auto"/>
            <w:right w:val="none" w:sz="0" w:space="0" w:color="auto"/>
          </w:divBdr>
          <w:divsChild>
            <w:div w:id="458915839">
              <w:marLeft w:val="0"/>
              <w:marRight w:val="0"/>
              <w:marTop w:val="0"/>
              <w:marBottom w:val="0"/>
              <w:divBdr>
                <w:top w:val="none" w:sz="0" w:space="0" w:color="auto"/>
                <w:left w:val="none" w:sz="0" w:space="0" w:color="auto"/>
                <w:bottom w:val="none" w:sz="0" w:space="0" w:color="auto"/>
                <w:right w:val="none" w:sz="0" w:space="0" w:color="auto"/>
              </w:divBdr>
            </w:div>
          </w:divsChild>
        </w:div>
        <w:div w:id="2004578346">
          <w:marLeft w:val="0"/>
          <w:marRight w:val="0"/>
          <w:marTop w:val="0"/>
          <w:marBottom w:val="0"/>
          <w:divBdr>
            <w:top w:val="none" w:sz="0" w:space="0" w:color="auto"/>
            <w:left w:val="none" w:sz="0" w:space="0" w:color="auto"/>
            <w:bottom w:val="none" w:sz="0" w:space="0" w:color="auto"/>
            <w:right w:val="none" w:sz="0" w:space="0" w:color="auto"/>
          </w:divBdr>
          <w:divsChild>
            <w:div w:id="421948270">
              <w:marLeft w:val="0"/>
              <w:marRight w:val="0"/>
              <w:marTop w:val="0"/>
              <w:marBottom w:val="0"/>
              <w:divBdr>
                <w:top w:val="none" w:sz="0" w:space="0" w:color="auto"/>
                <w:left w:val="none" w:sz="0" w:space="0" w:color="auto"/>
                <w:bottom w:val="none" w:sz="0" w:space="0" w:color="auto"/>
                <w:right w:val="none" w:sz="0" w:space="0" w:color="auto"/>
              </w:divBdr>
            </w:div>
          </w:divsChild>
        </w:div>
        <w:div w:id="2122216060">
          <w:marLeft w:val="0"/>
          <w:marRight w:val="0"/>
          <w:marTop w:val="0"/>
          <w:marBottom w:val="0"/>
          <w:divBdr>
            <w:top w:val="none" w:sz="0" w:space="0" w:color="auto"/>
            <w:left w:val="none" w:sz="0" w:space="0" w:color="auto"/>
            <w:bottom w:val="none" w:sz="0" w:space="0" w:color="auto"/>
            <w:right w:val="none" w:sz="0" w:space="0" w:color="auto"/>
          </w:divBdr>
          <w:divsChild>
            <w:div w:id="148820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919473">
      <w:bodyDiv w:val="1"/>
      <w:marLeft w:val="0"/>
      <w:marRight w:val="0"/>
      <w:marTop w:val="0"/>
      <w:marBottom w:val="0"/>
      <w:divBdr>
        <w:top w:val="none" w:sz="0" w:space="0" w:color="auto"/>
        <w:left w:val="none" w:sz="0" w:space="0" w:color="auto"/>
        <w:bottom w:val="none" w:sz="0" w:space="0" w:color="auto"/>
        <w:right w:val="none" w:sz="0" w:space="0" w:color="auto"/>
      </w:divBdr>
      <w:divsChild>
        <w:div w:id="831340122">
          <w:marLeft w:val="0"/>
          <w:marRight w:val="0"/>
          <w:marTop w:val="0"/>
          <w:marBottom w:val="0"/>
          <w:divBdr>
            <w:top w:val="none" w:sz="0" w:space="0" w:color="auto"/>
            <w:left w:val="none" w:sz="0" w:space="0" w:color="auto"/>
            <w:bottom w:val="none" w:sz="0" w:space="0" w:color="auto"/>
            <w:right w:val="none" w:sz="0" w:space="0" w:color="auto"/>
          </w:divBdr>
        </w:div>
      </w:divsChild>
    </w:div>
    <w:div w:id="580602738">
      <w:bodyDiv w:val="1"/>
      <w:marLeft w:val="0"/>
      <w:marRight w:val="0"/>
      <w:marTop w:val="0"/>
      <w:marBottom w:val="0"/>
      <w:divBdr>
        <w:top w:val="none" w:sz="0" w:space="0" w:color="auto"/>
        <w:left w:val="none" w:sz="0" w:space="0" w:color="auto"/>
        <w:bottom w:val="none" w:sz="0" w:space="0" w:color="auto"/>
        <w:right w:val="none" w:sz="0" w:space="0" w:color="auto"/>
      </w:divBdr>
    </w:div>
    <w:div w:id="583145567">
      <w:bodyDiv w:val="1"/>
      <w:marLeft w:val="0"/>
      <w:marRight w:val="0"/>
      <w:marTop w:val="0"/>
      <w:marBottom w:val="0"/>
      <w:divBdr>
        <w:top w:val="none" w:sz="0" w:space="0" w:color="auto"/>
        <w:left w:val="none" w:sz="0" w:space="0" w:color="auto"/>
        <w:bottom w:val="none" w:sz="0" w:space="0" w:color="auto"/>
        <w:right w:val="none" w:sz="0" w:space="0" w:color="auto"/>
      </w:divBdr>
    </w:div>
    <w:div w:id="590356741">
      <w:bodyDiv w:val="1"/>
      <w:marLeft w:val="0"/>
      <w:marRight w:val="0"/>
      <w:marTop w:val="0"/>
      <w:marBottom w:val="0"/>
      <w:divBdr>
        <w:top w:val="none" w:sz="0" w:space="0" w:color="auto"/>
        <w:left w:val="none" w:sz="0" w:space="0" w:color="auto"/>
        <w:bottom w:val="none" w:sz="0" w:space="0" w:color="auto"/>
        <w:right w:val="none" w:sz="0" w:space="0" w:color="auto"/>
      </w:divBdr>
    </w:div>
    <w:div w:id="624503289">
      <w:bodyDiv w:val="1"/>
      <w:marLeft w:val="0"/>
      <w:marRight w:val="0"/>
      <w:marTop w:val="0"/>
      <w:marBottom w:val="0"/>
      <w:divBdr>
        <w:top w:val="none" w:sz="0" w:space="0" w:color="auto"/>
        <w:left w:val="none" w:sz="0" w:space="0" w:color="auto"/>
        <w:bottom w:val="none" w:sz="0" w:space="0" w:color="auto"/>
        <w:right w:val="none" w:sz="0" w:space="0" w:color="auto"/>
      </w:divBdr>
    </w:div>
    <w:div w:id="625620271">
      <w:bodyDiv w:val="1"/>
      <w:marLeft w:val="0"/>
      <w:marRight w:val="0"/>
      <w:marTop w:val="0"/>
      <w:marBottom w:val="0"/>
      <w:divBdr>
        <w:top w:val="none" w:sz="0" w:space="0" w:color="auto"/>
        <w:left w:val="none" w:sz="0" w:space="0" w:color="auto"/>
        <w:bottom w:val="none" w:sz="0" w:space="0" w:color="auto"/>
        <w:right w:val="none" w:sz="0" w:space="0" w:color="auto"/>
      </w:divBdr>
    </w:div>
    <w:div w:id="626131471">
      <w:bodyDiv w:val="1"/>
      <w:marLeft w:val="0"/>
      <w:marRight w:val="0"/>
      <w:marTop w:val="0"/>
      <w:marBottom w:val="0"/>
      <w:divBdr>
        <w:top w:val="none" w:sz="0" w:space="0" w:color="auto"/>
        <w:left w:val="none" w:sz="0" w:space="0" w:color="auto"/>
        <w:bottom w:val="none" w:sz="0" w:space="0" w:color="auto"/>
        <w:right w:val="none" w:sz="0" w:space="0" w:color="auto"/>
      </w:divBdr>
      <w:divsChild>
        <w:div w:id="30694657">
          <w:marLeft w:val="0"/>
          <w:marRight w:val="0"/>
          <w:marTop w:val="0"/>
          <w:marBottom w:val="0"/>
          <w:divBdr>
            <w:top w:val="none" w:sz="0" w:space="0" w:color="auto"/>
            <w:left w:val="none" w:sz="0" w:space="0" w:color="auto"/>
            <w:bottom w:val="none" w:sz="0" w:space="0" w:color="auto"/>
            <w:right w:val="none" w:sz="0" w:space="0" w:color="auto"/>
          </w:divBdr>
        </w:div>
        <w:div w:id="160658532">
          <w:marLeft w:val="0"/>
          <w:marRight w:val="0"/>
          <w:marTop w:val="0"/>
          <w:marBottom w:val="0"/>
          <w:divBdr>
            <w:top w:val="none" w:sz="0" w:space="0" w:color="auto"/>
            <w:left w:val="none" w:sz="0" w:space="0" w:color="auto"/>
            <w:bottom w:val="none" w:sz="0" w:space="0" w:color="auto"/>
            <w:right w:val="none" w:sz="0" w:space="0" w:color="auto"/>
          </w:divBdr>
        </w:div>
        <w:div w:id="275332715">
          <w:marLeft w:val="0"/>
          <w:marRight w:val="0"/>
          <w:marTop w:val="0"/>
          <w:marBottom w:val="0"/>
          <w:divBdr>
            <w:top w:val="none" w:sz="0" w:space="0" w:color="auto"/>
            <w:left w:val="none" w:sz="0" w:space="0" w:color="auto"/>
            <w:bottom w:val="none" w:sz="0" w:space="0" w:color="auto"/>
            <w:right w:val="none" w:sz="0" w:space="0" w:color="auto"/>
          </w:divBdr>
        </w:div>
        <w:div w:id="398133692">
          <w:marLeft w:val="0"/>
          <w:marRight w:val="0"/>
          <w:marTop w:val="0"/>
          <w:marBottom w:val="0"/>
          <w:divBdr>
            <w:top w:val="none" w:sz="0" w:space="0" w:color="auto"/>
            <w:left w:val="none" w:sz="0" w:space="0" w:color="auto"/>
            <w:bottom w:val="none" w:sz="0" w:space="0" w:color="auto"/>
            <w:right w:val="none" w:sz="0" w:space="0" w:color="auto"/>
          </w:divBdr>
          <w:divsChild>
            <w:div w:id="506021216">
              <w:marLeft w:val="-75"/>
              <w:marRight w:val="0"/>
              <w:marTop w:val="30"/>
              <w:marBottom w:val="30"/>
              <w:divBdr>
                <w:top w:val="none" w:sz="0" w:space="0" w:color="auto"/>
                <w:left w:val="none" w:sz="0" w:space="0" w:color="auto"/>
                <w:bottom w:val="none" w:sz="0" w:space="0" w:color="auto"/>
                <w:right w:val="none" w:sz="0" w:space="0" w:color="auto"/>
              </w:divBdr>
              <w:divsChild>
                <w:div w:id="6518518">
                  <w:marLeft w:val="0"/>
                  <w:marRight w:val="0"/>
                  <w:marTop w:val="0"/>
                  <w:marBottom w:val="0"/>
                  <w:divBdr>
                    <w:top w:val="none" w:sz="0" w:space="0" w:color="auto"/>
                    <w:left w:val="none" w:sz="0" w:space="0" w:color="auto"/>
                    <w:bottom w:val="none" w:sz="0" w:space="0" w:color="auto"/>
                    <w:right w:val="none" w:sz="0" w:space="0" w:color="auto"/>
                  </w:divBdr>
                  <w:divsChild>
                    <w:div w:id="569510335">
                      <w:marLeft w:val="0"/>
                      <w:marRight w:val="0"/>
                      <w:marTop w:val="0"/>
                      <w:marBottom w:val="0"/>
                      <w:divBdr>
                        <w:top w:val="none" w:sz="0" w:space="0" w:color="auto"/>
                        <w:left w:val="none" w:sz="0" w:space="0" w:color="auto"/>
                        <w:bottom w:val="none" w:sz="0" w:space="0" w:color="auto"/>
                        <w:right w:val="none" w:sz="0" w:space="0" w:color="auto"/>
                      </w:divBdr>
                    </w:div>
                  </w:divsChild>
                </w:div>
                <w:div w:id="24134350">
                  <w:marLeft w:val="0"/>
                  <w:marRight w:val="0"/>
                  <w:marTop w:val="0"/>
                  <w:marBottom w:val="0"/>
                  <w:divBdr>
                    <w:top w:val="none" w:sz="0" w:space="0" w:color="auto"/>
                    <w:left w:val="none" w:sz="0" w:space="0" w:color="auto"/>
                    <w:bottom w:val="none" w:sz="0" w:space="0" w:color="auto"/>
                    <w:right w:val="none" w:sz="0" w:space="0" w:color="auto"/>
                  </w:divBdr>
                  <w:divsChild>
                    <w:div w:id="272171869">
                      <w:marLeft w:val="0"/>
                      <w:marRight w:val="0"/>
                      <w:marTop w:val="0"/>
                      <w:marBottom w:val="0"/>
                      <w:divBdr>
                        <w:top w:val="none" w:sz="0" w:space="0" w:color="auto"/>
                        <w:left w:val="none" w:sz="0" w:space="0" w:color="auto"/>
                        <w:bottom w:val="none" w:sz="0" w:space="0" w:color="auto"/>
                        <w:right w:val="none" w:sz="0" w:space="0" w:color="auto"/>
                      </w:divBdr>
                    </w:div>
                  </w:divsChild>
                </w:div>
                <w:div w:id="43918319">
                  <w:marLeft w:val="0"/>
                  <w:marRight w:val="0"/>
                  <w:marTop w:val="0"/>
                  <w:marBottom w:val="0"/>
                  <w:divBdr>
                    <w:top w:val="none" w:sz="0" w:space="0" w:color="auto"/>
                    <w:left w:val="none" w:sz="0" w:space="0" w:color="auto"/>
                    <w:bottom w:val="none" w:sz="0" w:space="0" w:color="auto"/>
                    <w:right w:val="none" w:sz="0" w:space="0" w:color="auto"/>
                  </w:divBdr>
                  <w:divsChild>
                    <w:div w:id="362941394">
                      <w:marLeft w:val="0"/>
                      <w:marRight w:val="0"/>
                      <w:marTop w:val="0"/>
                      <w:marBottom w:val="0"/>
                      <w:divBdr>
                        <w:top w:val="none" w:sz="0" w:space="0" w:color="auto"/>
                        <w:left w:val="none" w:sz="0" w:space="0" w:color="auto"/>
                        <w:bottom w:val="none" w:sz="0" w:space="0" w:color="auto"/>
                        <w:right w:val="none" w:sz="0" w:space="0" w:color="auto"/>
                      </w:divBdr>
                    </w:div>
                  </w:divsChild>
                </w:div>
                <w:div w:id="102118700">
                  <w:marLeft w:val="0"/>
                  <w:marRight w:val="0"/>
                  <w:marTop w:val="0"/>
                  <w:marBottom w:val="0"/>
                  <w:divBdr>
                    <w:top w:val="none" w:sz="0" w:space="0" w:color="auto"/>
                    <w:left w:val="none" w:sz="0" w:space="0" w:color="auto"/>
                    <w:bottom w:val="none" w:sz="0" w:space="0" w:color="auto"/>
                    <w:right w:val="none" w:sz="0" w:space="0" w:color="auto"/>
                  </w:divBdr>
                  <w:divsChild>
                    <w:div w:id="1291329031">
                      <w:marLeft w:val="0"/>
                      <w:marRight w:val="0"/>
                      <w:marTop w:val="0"/>
                      <w:marBottom w:val="0"/>
                      <w:divBdr>
                        <w:top w:val="none" w:sz="0" w:space="0" w:color="auto"/>
                        <w:left w:val="none" w:sz="0" w:space="0" w:color="auto"/>
                        <w:bottom w:val="none" w:sz="0" w:space="0" w:color="auto"/>
                        <w:right w:val="none" w:sz="0" w:space="0" w:color="auto"/>
                      </w:divBdr>
                    </w:div>
                  </w:divsChild>
                </w:div>
                <w:div w:id="119224001">
                  <w:marLeft w:val="0"/>
                  <w:marRight w:val="0"/>
                  <w:marTop w:val="0"/>
                  <w:marBottom w:val="0"/>
                  <w:divBdr>
                    <w:top w:val="none" w:sz="0" w:space="0" w:color="auto"/>
                    <w:left w:val="none" w:sz="0" w:space="0" w:color="auto"/>
                    <w:bottom w:val="none" w:sz="0" w:space="0" w:color="auto"/>
                    <w:right w:val="none" w:sz="0" w:space="0" w:color="auto"/>
                  </w:divBdr>
                  <w:divsChild>
                    <w:div w:id="1440105030">
                      <w:marLeft w:val="0"/>
                      <w:marRight w:val="0"/>
                      <w:marTop w:val="0"/>
                      <w:marBottom w:val="0"/>
                      <w:divBdr>
                        <w:top w:val="none" w:sz="0" w:space="0" w:color="auto"/>
                        <w:left w:val="none" w:sz="0" w:space="0" w:color="auto"/>
                        <w:bottom w:val="none" w:sz="0" w:space="0" w:color="auto"/>
                        <w:right w:val="none" w:sz="0" w:space="0" w:color="auto"/>
                      </w:divBdr>
                    </w:div>
                  </w:divsChild>
                </w:div>
                <w:div w:id="166529969">
                  <w:marLeft w:val="0"/>
                  <w:marRight w:val="0"/>
                  <w:marTop w:val="0"/>
                  <w:marBottom w:val="0"/>
                  <w:divBdr>
                    <w:top w:val="none" w:sz="0" w:space="0" w:color="auto"/>
                    <w:left w:val="none" w:sz="0" w:space="0" w:color="auto"/>
                    <w:bottom w:val="none" w:sz="0" w:space="0" w:color="auto"/>
                    <w:right w:val="none" w:sz="0" w:space="0" w:color="auto"/>
                  </w:divBdr>
                  <w:divsChild>
                    <w:div w:id="1458334838">
                      <w:marLeft w:val="0"/>
                      <w:marRight w:val="0"/>
                      <w:marTop w:val="0"/>
                      <w:marBottom w:val="0"/>
                      <w:divBdr>
                        <w:top w:val="none" w:sz="0" w:space="0" w:color="auto"/>
                        <w:left w:val="none" w:sz="0" w:space="0" w:color="auto"/>
                        <w:bottom w:val="none" w:sz="0" w:space="0" w:color="auto"/>
                        <w:right w:val="none" w:sz="0" w:space="0" w:color="auto"/>
                      </w:divBdr>
                    </w:div>
                  </w:divsChild>
                </w:div>
                <w:div w:id="169835438">
                  <w:marLeft w:val="0"/>
                  <w:marRight w:val="0"/>
                  <w:marTop w:val="0"/>
                  <w:marBottom w:val="0"/>
                  <w:divBdr>
                    <w:top w:val="none" w:sz="0" w:space="0" w:color="auto"/>
                    <w:left w:val="none" w:sz="0" w:space="0" w:color="auto"/>
                    <w:bottom w:val="none" w:sz="0" w:space="0" w:color="auto"/>
                    <w:right w:val="none" w:sz="0" w:space="0" w:color="auto"/>
                  </w:divBdr>
                  <w:divsChild>
                    <w:div w:id="2105764875">
                      <w:marLeft w:val="0"/>
                      <w:marRight w:val="0"/>
                      <w:marTop w:val="0"/>
                      <w:marBottom w:val="0"/>
                      <w:divBdr>
                        <w:top w:val="none" w:sz="0" w:space="0" w:color="auto"/>
                        <w:left w:val="none" w:sz="0" w:space="0" w:color="auto"/>
                        <w:bottom w:val="none" w:sz="0" w:space="0" w:color="auto"/>
                        <w:right w:val="none" w:sz="0" w:space="0" w:color="auto"/>
                      </w:divBdr>
                    </w:div>
                  </w:divsChild>
                </w:div>
                <w:div w:id="177937697">
                  <w:marLeft w:val="0"/>
                  <w:marRight w:val="0"/>
                  <w:marTop w:val="0"/>
                  <w:marBottom w:val="0"/>
                  <w:divBdr>
                    <w:top w:val="none" w:sz="0" w:space="0" w:color="auto"/>
                    <w:left w:val="none" w:sz="0" w:space="0" w:color="auto"/>
                    <w:bottom w:val="none" w:sz="0" w:space="0" w:color="auto"/>
                    <w:right w:val="none" w:sz="0" w:space="0" w:color="auto"/>
                  </w:divBdr>
                  <w:divsChild>
                    <w:div w:id="881750047">
                      <w:marLeft w:val="0"/>
                      <w:marRight w:val="0"/>
                      <w:marTop w:val="0"/>
                      <w:marBottom w:val="0"/>
                      <w:divBdr>
                        <w:top w:val="none" w:sz="0" w:space="0" w:color="auto"/>
                        <w:left w:val="none" w:sz="0" w:space="0" w:color="auto"/>
                        <w:bottom w:val="none" w:sz="0" w:space="0" w:color="auto"/>
                        <w:right w:val="none" w:sz="0" w:space="0" w:color="auto"/>
                      </w:divBdr>
                    </w:div>
                  </w:divsChild>
                </w:div>
                <w:div w:id="232743559">
                  <w:marLeft w:val="0"/>
                  <w:marRight w:val="0"/>
                  <w:marTop w:val="0"/>
                  <w:marBottom w:val="0"/>
                  <w:divBdr>
                    <w:top w:val="none" w:sz="0" w:space="0" w:color="auto"/>
                    <w:left w:val="none" w:sz="0" w:space="0" w:color="auto"/>
                    <w:bottom w:val="none" w:sz="0" w:space="0" w:color="auto"/>
                    <w:right w:val="none" w:sz="0" w:space="0" w:color="auto"/>
                  </w:divBdr>
                  <w:divsChild>
                    <w:div w:id="1502156298">
                      <w:marLeft w:val="0"/>
                      <w:marRight w:val="0"/>
                      <w:marTop w:val="0"/>
                      <w:marBottom w:val="0"/>
                      <w:divBdr>
                        <w:top w:val="none" w:sz="0" w:space="0" w:color="auto"/>
                        <w:left w:val="none" w:sz="0" w:space="0" w:color="auto"/>
                        <w:bottom w:val="none" w:sz="0" w:space="0" w:color="auto"/>
                        <w:right w:val="none" w:sz="0" w:space="0" w:color="auto"/>
                      </w:divBdr>
                    </w:div>
                  </w:divsChild>
                </w:div>
                <w:div w:id="268201116">
                  <w:marLeft w:val="0"/>
                  <w:marRight w:val="0"/>
                  <w:marTop w:val="0"/>
                  <w:marBottom w:val="0"/>
                  <w:divBdr>
                    <w:top w:val="none" w:sz="0" w:space="0" w:color="auto"/>
                    <w:left w:val="none" w:sz="0" w:space="0" w:color="auto"/>
                    <w:bottom w:val="none" w:sz="0" w:space="0" w:color="auto"/>
                    <w:right w:val="none" w:sz="0" w:space="0" w:color="auto"/>
                  </w:divBdr>
                  <w:divsChild>
                    <w:div w:id="2013297893">
                      <w:marLeft w:val="0"/>
                      <w:marRight w:val="0"/>
                      <w:marTop w:val="0"/>
                      <w:marBottom w:val="0"/>
                      <w:divBdr>
                        <w:top w:val="none" w:sz="0" w:space="0" w:color="auto"/>
                        <w:left w:val="none" w:sz="0" w:space="0" w:color="auto"/>
                        <w:bottom w:val="none" w:sz="0" w:space="0" w:color="auto"/>
                        <w:right w:val="none" w:sz="0" w:space="0" w:color="auto"/>
                      </w:divBdr>
                    </w:div>
                  </w:divsChild>
                </w:div>
                <w:div w:id="311719092">
                  <w:marLeft w:val="0"/>
                  <w:marRight w:val="0"/>
                  <w:marTop w:val="0"/>
                  <w:marBottom w:val="0"/>
                  <w:divBdr>
                    <w:top w:val="none" w:sz="0" w:space="0" w:color="auto"/>
                    <w:left w:val="none" w:sz="0" w:space="0" w:color="auto"/>
                    <w:bottom w:val="none" w:sz="0" w:space="0" w:color="auto"/>
                    <w:right w:val="none" w:sz="0" w:space="0" w:color="auto"/>
                  </w:divBdr>
                  <w:divsChild>
                    <w:div w:id="389767529">
                      <w:marLeft w:val="0"/>
                      <w:marRight w:val="0"/>
                      <w:marTop w:val="0"/>
                      <w:marBottom w:val="0"/>
                      <w:divBdr>
                        <w:top w:val="none" w:sz="0" w:space="0" w:color="auto"/>
                        <w:left w:val="none" w:sz="0" w:space="0" w:color="auto"/>
                        <w:bottom w:val="none" w:sz="0" w:space="0" w:color="auto"/>
                        <w:right w:val="none" w:sz="0" w:space="0" w:color="auto"/>
                      </w:divBdr>
                    </w:div>
                  </w:divsChild>
                </w:div>
                <w:div w:id="340549706">
                  <w:marLeft w:val="0"/>
                  <w:marRight w:val="0"/>
                  <w:marTop w:val="0"/>
                  <w:marBottom w:val="0"/>
                  <w:divBdr>
                    <w:top w:val="none" w:sz="0" w:space="0" w:color="auto"/>
                    <w:left w:val="none" w:sz="0" w:space="0" w:color="auto"/>
                    <w:bottom w:val="none" w:sz="0" w:space="0" w:color="auto"/>
                    <w:right w:val="none" w:sz="0" w:space="0" w:color="auto"/>
                  </w:divBdr>
                  <w:divsChild>
                    <w:div w:id="2036231793">
                      <w:marLeft w:val="0"/>
                      <w:marRight w:val="0"/>
                      <w:marTop w:val="0"/>
                      <w:marBottom w:val="0"/>
                      <w:divBdr>
                        <w:top w:val="none" w:sz="0" w:space="0" w:color="auto"/>
                        <w:left w:val="none" w:sz="0" w:space="0" w:color="auto"/>
                        <w:bottom w:val="none" w:sz="0" w:space="0" w:color="auto"/>
                        <w:right w:val="none" w:sz="0" w:space="0" w:color="auto"/>
                      </w:divBdr>
                    </w:div>
                  </w:divsChild>
                </w:div>
                <w:div w:id="351149950">
                  <w:marLeft w:val="0"/>
                  <w:marRight w:val="0"/>
                  <w:marTop w:val="0"/>
                  <w:marBottom w:val="0"/>
                  <w:divBdr>
                    <w:top w:val="none" w:sz="0" w:space="0" w:color="auto"/>
                    <w:left w:val="none" w:sz="0" w:space="0" w:color="auto"/>
                    <w:bottom w:val="none" w:sz="0" w:space="0" w:color="auto"/>
                    <w:right w:val="none" w:sz="0" w:space="0" w:color="auto"/>
                  </w:divBdr>
                  <w:divsChild>
                    <w:div w:id="1607418041">
                      <w:marLeft w:val="0"/>
                      <w:marRight w:val="0"/>
                      <w:marTop w:val="0"/>
                      <w:marBottom w:val="0"/>
                      <w:divBdr>
                        <w:top w:val="none" w:sz="0" w:space="0" w:color="auto"/>
                        <w:left w:val="none" w:sz="0" w:space="0" w:color="auto"/>
                        <w:bottom w:val="none" w:sz="0" w:space="0" w:color="auto"/>
                        <w:right w:val="none" w:sz="0" w:space="0" w:color="auto"/>
                      </w:divBdr>
                    </w:div>
                  </w:divsChild>
                </w:div>
                <w:div w:id="389839572">
                  <w:marLeft w:val="0"/>
                  <w:marRight w:val="0"/>
                  <w:marTop w:val="0"/>
                  <w:marBottom w:val="0"/>
                  <w:divBdr>
                    <w:top w:val="none" w:sz="0" w:space="0" w:color="auto"/>
                    <w:left w:val="none" w:sz="0" w:space="0" w:color="auto"/>
                    <w:bottom w:val="none" w:sz="0" w:space="0" w:color="auto"/>
                    <w:right w:val="none" w:sz="0" w:space="0" w:color="auto"/>
                  </w:divBdr>
                  <w:divsChild>
                    <w:div w:id="1966885437">
                      <w:marLeft w:val="0"/>
                      <w:marRight w:val="0"/>
                      <w:marTop w:val="0"/>
                      <w:marBottom w:val="0"/>
                      <w:divBdr>
                        <w:top w:val="none" w:sz="0" w:space="0" w:color="auto"/>
                        <w:left w:val="none" w:sz="0" w:space="0" w:color="auto"/>
                        <w:bottom w:val="none" w:sz="0" w:space="0" w:color="auto"/>
                        <w:right w:val="none" w:sz="0" w:space="0" w:color="auto"/>
                      </w:divBdr>
                    </w:div>
                  </w:divsChild>
                </w:div>
                <w:div w:id="414590988">
                  <w:marLeft w:val="0"/>
                  <w:marRight w:val="0"/>
                  <w:marTop w:val="0"/>
                  <w:marBottom w:val="0"/>
                  <w:divBdr>
                    <w:top w:val="none" w:sz="0" w:space="0" w:color="auto"/>
                    <w:left w:val="none" w:sz="0" w:space="0" w:color="auto"/>
                    <w:bottom w:val="none" w:sz="0" w:space="0" w:color="auto"/>
                    <w:right w:val="none" w:sz="0" w:space="0" w:color="auto"/>
                  </w:divBdr>
                  <w:divsChild>
                    <w:div w:id="164055403">
                      <w:marLeft w:val="0"/>
                      <w:marRight w:val="0"/>
                      <w:marTop w:val="0"/>
                      <w:marBottom w:val="0"/>
                      <w:divBdr>
                        <w:top w:val="none" w:sz="0" w:space="0" w:color="auto"/>
                        <w:left w:val="none" w:sz="0" w:space="0" w:color="auto"/>
                        <w:bottom w:val="none" w:sz="0" w:space="0" w:color="auto"/>
                        <w:right w:val="none" w:sz="0" w:space="0" w:color="auto"/>
                      </w:divBdr>
                    </w:div>
                  </w:divsChild>
                </w:div>
                <w:div w:id="447164821">
                  <w:marLeft w:val="0"/>
                  <w:marRight w:val="0"/>
                  <w:marTop w:val="0"/>
                  <w:marBottom w:val="0"/>
                  <w:divBdr>
                    <w:top w:val="none" w:sz="0" w:space="0" w:color="auto"/>
                    <w:left w:val="none" w:sz="0" w:space="0" w:color="auto"/>
                    <w:bottom w:val="none" w:sz="0" w:space="0" w:color="auto"/>
                    <w:right w:val="none" w:sz="0" w:space="0" w:color="auto"/>
                  </w:divBdr>
                  <w:divsChild>
                    <w:div w:id="1593010054">
                      <w:marLeft w:val="0"/>
                      <w:marRight w:val="0"/>
                      <w:marTop w:val="0"/>
                      <w:marBottom w:val="0"/>
                      <w:divBdr>
                        <w:top w:val="none" w:sz="0" w:space="0" w:color="auto"/>
                        <w:left w:val="none" w:sz="0" w:space="0" w:color="auto"/>
                        <w:bottom w:val="none" w:sz="0" w:space="0" w:color="auto"/>
                        <w:right w:val="none" w:sz="0" w:space="0" w:color="auto"/>
                      </w:divBdr>
                    </w:div>
                  </w:divsChild>
                </w:div>
                <w:div w:id="447823036">
                  <w:marLeft w:val="0"/>
                  <w:marRight w:val="0"/>
                  <w:marTop w:val="0"/>
                  <w:marBottom w:val="0"/>
                  <w:divBdr>
                    <w:top w:val="none" w:sz="0" w:space="0" w:color="auto"/>
                    <w:left w:val="none" w:sz="0" w:space="0" w:color="auto"/>
                    <w:bottom w:val="none" w:sz="0" w:space="0" w:color="auto"/>
                    <w:right w:val="none" w:sz="0" w:space="0" w:color="auto"/>
                  </w:divBdr>
                  <w:divsChild>
                    <w:div w:id="1168062809">
                      <w:marLeft w:val="0"/>
                      <w:marRight w:val="0"/>
                      <w:marTop w:val="0"/>
                      <w:marBottom w:val="0"/>
                      <w:divBdr>
                        <w:top w:val="none" w:sz="0" w:space="0" w:color="auto"/>
                        <w:left w:val="none" w:sz="0" w:space="0" w:color="auto"/>
                        <w:bottom w:val="none" w:sz="0" w:space="0" w:color="auto"/>
                        <w:right w:val="none" w:sz="0" w:space="0" w:color="auto"/>
                      </w:divBdr>
                    </w:div>
                  </w:divsChild>
                </w:div>
                <w:div w:id="489713676">
                  <w:marLeft w:val="0"/>
                  <w:marRight w:val="0"/>
                  <w:marTop w:val="0"/>
                  <w:marBottom w:val="0"/>
                  <w:divBdr>
                    <w:top w:val="none" w:sz="0" w:space="0" w:color="auto"/>
                    <w:left w:val="none" w:sz="0" w:space="0" w:color="auto"/>
                    <w:bottom w:val="none" w:sz="0" w:space="0" w:color="auto"/>
                    <w:right w:val="none" w:sz="0" w:space="0" w:color="auto"/>
                  </w:divBdr>
                  <w:divsChild>
                    <w:div w:id="1408763545">
                      <w:marLeft w:val="0"/>
                      <w:marRight w:val="0"/>
                      <w:marTop w:val="0"/>
                      <w:marBottom w:val="0"/>
                      <w:divBdr>
                        <w:top w:val="none" w:sz="0" w:space="0" w:color="auto"/>
                        <w:left w:val="none" w:sz="0" w:space="0" w:color="auto"/>
                        <w:bottom w:val="none" w:sz="0" w:space="0" w:color="auto"/>
                        <w:right w:val="none" w:sz="0" w:space="0" w:color="auto"/>
                      </w:divBdr>
                    </w:div>
                  </w:divsChild>
                </w:div>
                <w:div w:id="506022334">
                  <w:marLeft w:val="0"/>
                  <w:marRight w:val="0"/>
                  <w:marTop w:val="0"/>
                  <w:marBottom w:val="0"/>
                  <w:divBdr>
                    <w:top w:val="none" w:sz="0" w:space="0" w:color="auto"/>
                    <w:left w:val="none" w:sz="0" w:space="0" w:color="auto"/>
                    <w:bottom w:val="none" w:sz="0" w:space="0" w:color="auto"/>
                    <w:right w:val="none" w:sz="0" w:space="0" w:color="auto"/>
                  </w:divBdr>
                  <w:divsChild>
                    <w:div w:id="1888881389">
                      <w:marLeft w:val="0"/>
                      <w:marRight w:val="0"/>
                      <w:marTop w:val="0"/>
                      <w:marBottom w:val="0"/>
                      <w:divBdr>
                        <w:top w:val="none" w:sz="0" w:space="0" w:color="auto"/>
                        <w:left w:val="none" w:sz="0" w:space="0" w:color="auto"/>
                        <w:bottom w:val="none" w:sz="0" w:space="0" w:color="auto"/>
                        <w:right w:val="none" w:sz="0" w:space="0" w:color="auto"/>
                      </w:divBdr>
                    </w:div>
                  </w:divsChild>
                </w:div>
                <w:div w:id="565265304">
                  <w:marLeft w:val="0"/>
                  <w:marRight w:val="0"/>
                  <w:marTop w:val="0"/>
                  <w:marBottom w:val="0"/>
                  <w:divBdr>
                    <w:top w:val="none" w:sz="0" w:space="0" w:color="auto"/>
                    <w:left w:val="none" w:sz="0" w:space="0" w:color="auto"/>
                    <w:bottom w:val="none" w:sz="0" w:space="0" w:color="auto"/>
                    <w:right w:val="none" w:sz="0" w:space="0" w:color="auto"/>
                  </w:divBdr>
                  <w:divsChild>
                    <w:div w:id="548221556">
                      <w:marLeft w:val="0"/>
                      <w:marRight w:val="0"/>
                      <w:marTop w:val="0"/>
                      <w:marBottom w:val="0"/>
                      <w:divBdr>
                        <w:top w:val="none" w:sz="0" w:space="0" w:color="auto"/>
                        <w:left w:val="none" w:sz="0" w:space="0" w:color="auto"/>
                        <w:bottom w:val="none" w:sz="0" w:space="0" w:color="auto"/>
                        <w:right w:val="none" w:sz="0" w:space="0" w:color="auto"/>
                      </w:divBdr>
                    </w:div>
                  </w:divsChild>
                </w:div>
                <w:div w:id="648899781">
                  <w:marLeft w:val="0"/>
                  <w:marRight w:val="0"/>
                  <w:marTop w:val="0"/>
                  <w:marBottom w:val="0"/>
                  <w:divBdr>
                    <w:top w:val="none" w:sz="0" w:space="0" w:color="auto"/>
                    <w:left w:val="none" w:sz="0" w:space="0" w:color="auto"/>
                    <w:bottom w:val="none" w:sz="0" w:space="0" w:color="auto"/>
                    <w:right w:val="none" w:sz="0" w:space="0" w:color="auto"/>
                  </w:divBdr>
                  <w:divsChild>
                    <w:div w:id="1445810569">
                      <w:marLeft w:val="0"/>
                      <w:marRight w:val="0"/>
                      <w:marTop w:val="0"/>
                      <w:marBottom w:val="0"/>
                      <w:divBdr>
                        <w:top w:val="none" w:sz="0" w:space="0" w:color="auto"/>
                        <w:left w:val="none" w:sz="0" w:space="0" w:color="auto"/>
                        <w:bottom w:val="none" w:sz="0" w:space="0" w:color="auto"/>
                        <w:right w:val="none" w:sz="0" w:space="0" w:color="auto"/>
                      </w:divBdr>
                    </w:div>
                  </w:divsChild>
                </w:div>
                <w:div w:id="665522740">
                  <w:marLeft w:val="0"/>
                  <w:marRight w:val="0"/>
                  <w:marTop w:val="0"/>
                  <w:marBottom w:val="0"/>
                  <w:divBdr>
                    <w:top w:val="none" w:sz="0" w:space="0" w:color="auto"/>
                    <w:left w:val="none" w:sz="0" w:space="0" w:color="auto"/>
                    <w:bottom w:val="none" w:sz="0" w:space="0" w:color="auto"/>
                    <w:right w:val="none" w:sz="0" w:space="0" w:color="auto"/>
                  </w:divBdr>
                  <w:divsChild>
                    <w:div w:id="1321470667">
                      <w:marLeft w:val="0"/>
                      <w:marRight w:val="0"/>
                      <w:marTop w:val="0"/>
                      <w:marBottom w:val="0"/>
                      <w:divBdr>
                        <w:top w:val="none" w:sz="0" w:space="0" w:color="auto"/>
                        <w:left w:val="none" w:sz="0" w:space="0" w:color="auto"/>
                        <w:bottom w:val="none" w:sz="0" w:space="0" w:color="auto"/>
                        <w:right w:val="none" w:sz="0" w:space="0" w:color="auto"/>
                      </w:divBdr>
                    </w:div>
                  </w:divsChild>
                </w:div>
                <w:div w:id="680742709">
                  <w:marLeft w:val="0"/>
                  <w:marRight w:val="0"/>
                  <w:marTop w:val="0"/>
                  <w:marBottom w:val="0"/>
                  <w:divBdr>
                    <w:top w:val="none" w:sz="0" w:space="0" w:color="auto"/>
                    <w:left w:val="none" w:sz="0" w:space="0" w:color="auto"/>
                    <w:bottom w:val="none" w:sz="0" w:space="0" w:color="auto"/>
                    <w:right w:val="none" w:sz="0" w:space="0" w:color="auto"/>
                  </w:divBdr>
                  <w:divsChild>
                    <w:div w:id="1394042014">
                      <w:marLeft w:val="0"/>
                      <w:marRight w:val="0"/>
                      <w:marTop w:val="0"/>
                      <w:marBottom w:val="0"/>
                      <w:divBdr>
                        <w:top w:val="none" w:sz="0" w:space="0" w:color="auto"/>
                        <w:left w:val="none" w:sz="0" w:space="0" w:color="auto"/>
                        <w:bottom w:val="none" w:sz="0" w:space="0" w:color="auto"/>
                        <w:right w:val="none" w:sz="0" w:space="0" w:color="auto"/>
                      </w:divBdr>
                    </w:div>
                  </w:divsChild>
                </w:div>
                <w:div w:id="705562785">
                  <w:marLeft w:val="0"/>
                  <w:marRight w:val="0"/>
                  <w:marTop w:val="0"/>
                  <w:marBottom w:val="0"/>
                  <w:divBdr>
                    <w:top w:val="none" w:sz="0" w:space="0" w:color="auto"/>
                    <w:left w:val="none" w:sz="0" w:space="0" w:color="auto"/>
                    <w:bottom w:val="none" w:sz="0" w:space="0" w:color="auto"/>
                    <w:right w:val="none" w:sz="0" w:space="0" w:color="auto"/>
                  </w:divBdr>
                  <w:divsChild>
                    <w:div w:id="1878275277">
                      <w:marLeft w:val="0"/>
                      <w:marRight w:val="0"/>
                      <w:marTop w:val="0"/>
                      <w:marBottom w:val="0"/>
                      <w:divBdr>
                        <w:top w:val="none" w:sz="0" w:space="0" w:color="auto"/>
                        <w:left w:val="none" w:sz="0" w:space="0" w:color="auto"/>
                        <w:bottom w:val="none" w:sz="0" w:space="0" w:color="auto"/>
                        <w:right w:val="none" w:sz="0" w:space="0" w:color="auto"/>
                      </w:divBdr>
                    </w:div>
                  </w:divsChild>
                </w:div>
                <w:div w:id="709065371">
                  <w:marLeft w:val="0"/>
                  <w:marRight w:val="0"/>
                  <w:marTop w:val="0"/>
                  <w:marBottom w:val="0"/>
                  <w:divBdr>
                    <w:top w:val="none" w:sz="0" w:space="0" w:color="auto"/>
                    <w:left w:val="none" w:sz="0" w:space="0" w:color="auto"/>
                    <w:bottom w:val="none" w:sz="0" w:space="0" w:color="auto"/>
                    <w:right w:val="none" w:sz="0" w:space="0" w:color="auto"/>
                  </w:divBdr>
                  <w:divsChild>
                    <w:div w:id="1932539906">
                      <w:marLeft w:val="0"/>
                      <w:marRight w:val="0"/>
                      <w:marTop w:val="0"/>
                      <w:marBottom w:val="0"/>
                      <w:divBdr>
                        <w:top w:val="none" w:sz="0" w:space="0" w:color="auto"/>
                        <w:left w:val="none" w:sz="0" w:space="0" w:color="auto"/>
                        <w:bottom w:val="none" w:sz="0" w:space="0" w:color="auto"/>
                        <w:right w:val="none" w:sz="0" w:space="0" w:color="auto"/>
                      </w:divBdr>
                    </w:div>
                  </w:divsChild>
                </w:div>
                <w:div w:id="806624955">
                  <w:marLeft w:val="0"/>
                  <w:marRight w:val="0"/>
                  <w:marTop w:val="0"/>
                  <w:marBottom w:val="0"/>
                  <w:divBdr>
                    <w:top w:val="none" w:sz="0" w:space="0" w:color="auto"/>
                    <w:left w:val="none" w:sz="0" w:space="0" w:color="auto"/>
                    <w:bottom w:val="none" w:sz="0" w:space="0" w:color="auto"/>
                    <w:right w:val="none" w:sz="0" w:space="0" w:color="auto"/>
                  </w:divBdr>
                  <w:divsChild>
                    <w:div w:id="466974873">
                      <w:marLeft w:val="0"/>
                      <w:marRight w:val="0"/>
                      <w:marTop w:val="0"/>
                      <w:marBottom w:val="0"/>
                      <w:divBdr>
                        <w:top w:val="none" w:sz="0" w:space="0" w:color="auto"/>
                        <w:left w:val="none" w:sz="0" w:space="0" w:color="auto"/>
                        <w:bottom w:val="none" w:sz="0" w:space="0" w:color="auto"/>
                        <w:right w:val="none" w:sz="0" w:space="0" w:color="auto"/>
                      </w:divBdr>
                    </w:div>
                    <w:div w:id="1699502911">
                      <w:marLeft w:val="0"/>
                      <w:marRight w:val="0"/>
                      <w:marTop w:val="0"/>
                      <w:marBottom w:val="0"/>
                      <w:divBdr>
                        <w:top w:val="none" w:sz="0" w:space="0" w:color="auto"/>
                        <w:left w:val="none" w:sz="0" w:space="0" w:color="auto"/>
                        <w:bottom w:val="none" w:sz="0" w:space="0" w:color="auto"/>
                        <w:right w:val="none" w:sz="0" w:space="0" w:color="auto"/>
                      </w:divBdr>
                    </w:div>
                  </w:divsChild>
                </w:div>
                <w:div w:id="824706064">
                  <w:marLeft w:val="0"/>
                  <w:marRight w:val="0"/>
                  <w:marTop w:val="0"/>
                  <w:marBottom w:val="0"/>
                  <w:divBdr>
                    <w:top w:val="none" w:sz="0" w:space="0" w:color="auto"/>
                    <w:left w:val="none" w:sz="0" w:space="0" w:color="auto"/>
                    <w:bottom w:val="none" w:sz="0" w:space="0" w:color="auto"/>
                    <w:right w:val="none" w:sz="0" w:space="0" w:color="auto"/>
                  </w:divBdr>
                  <w:divsChild>
                    <w:div w:id="1158380430">
                      <w:marLeft w:val="0"/>
                      <w:marRight w:val="0"/>
                      <w:marTop w:val="0"/>
                      <w:marBottom w:val="0"/>
                      <w:divBdr>
                        <w:top w:val="none" w:sz="0" w:space="0" w:color="auto"/>
                        <w:left w:val="none" w:sz="0" w:space="0" w:color="auto"/>
                        <w:bottom w:val="none" w:sz="0" w:space="0" w:color="auto"/>
                        <w:right w:val="none" w:sz="0" w:space="0" w:color="auto"/>
                      </w:divBdr>
                    </w:div>
                  </w:divsChild>
                </w:div>
                <w:div w:id="876745963">
                  <w:marLeft w:val="0"/>
                  <w:marRight w:val="0"/>
                  <w:marTop w:val="0"/>
                  <w:marBottom w:val="0"/>
                  <w:divBdr>
                    <w:top w:val="none" w:sz="0" w:space="0" w:color="auto"/>
                    <w:left w:val="none" w:sz="0" w:space="0" w:color="auto"/>
                    <w:bottom w:val="none" w:sz="0" w:space="0" w:color="auto"/>
                    <w:right w:val="none" w:sz="0" w:space="0" w:color="auto"/>
                  </w:divBdr>
                  <w:divsChild>
                    <w:div w:id="1020473726">
                      <w:marLeft w:val="0"/>
                      <w:marRight w:val="0"/>
                      <w:marTop w:val="0"/>
                      <w:marBottom w:val="0"/>
                      <w:divBdr>
                        <w:top w:val="none" w:sz="0" w:space="0" w:color="auto"/>
                        <w:left w:val="none" w:sz="0" w:space="0" w:color="auto"/>
                        <w:bottom w:val="none" w:sz="0" w:space="0" w:color="auto"/>
                        <w:right w:val="none" w:sz="0" w:space="0" w:color="auto"/>
                      </w:divBdr>
                    </w:div>
                  </w:divsChild>
                </w:div>
                <w:div w:id="881097231">
                  <w:marLeft w:val="0"/>
                  <w:marRight w:val="0"/>
                  <w:marTop w:val="0"/>
                  <w:marBottom w:val="0"/>
                  <w:divBdr>
                    <w:top w:val="none" w:sz="0" w:space="0" w:color="auto"/>
                    <w:left w:val="none" w:sz="0" w:space="0" w:color="auto"/>
                    <w:bottom w:val="none" w:sz="0" w:space="0" w:color="auto"/>
                    <w:right w:val="none" w:sz="0" w:space="0" w:color="auto"/>
                  </w:divBdr>
                  <w:divsChild>
                    <w:div w:id="172837454">
                      <w:marLeft w:val="0"/>
                      <w:marRight w:val="0"/>
                      <w:marTop w:val="0"/>
                      <w:marBottom w:val="0"/>
                      <w:divBdr>
                        <w:top w:val="none" w:sz="0" w:space="0" w:color="auto"/>
                        <w:left w:val="none" w:sz="0" w:space="0" w:color="auto"/>
                        <w:bottom w:val="none" w:sz="0" w:space="0" w:color="auto"/>
                        <w:right w:val="none" w:sz="0" w:space="0" w:color="auto"/>
                      </w:divBdr>
                    </w:div>
                  </w:divsChild>
                </w:div>
                <w:div w:id="910967838">
                  <w:marLeft w:val="0"/>
                  <w:marRight w:val="0"/>
                  <w:marTop w:val="0"/>
                  <w:marBottom w:val="0"/>
                  <w:divBdr>
                    <w:top w:val="none" w:sz="0" w:space="0" w:color="auto"/>
                    <w:left w:val="none" w:sz="0" w:space="0" w:color="auto"/>
                    <w:bottom w:val="none" w:sz="0" w:space="0" w:color="auto"/>
                    <w:right w:val="none" w:sz="0" w:space="0" w:color="auto"/>
                  </w:divBdr>
                  <w:divsChild>
                    <w:div w:id="1046100213">
                      <w:marLeft w:val="0"/>
                      <w:marRight w:val="0"/>
                      <w:marTop w:val="0"/>
                      <w:marBottom w:val="0"/>
                      <w:divBdr>
                        <w:top w:val="none" w:sz="0" w:space="0" w:color="auto"/>
                        <w:left w:val="none" w:sz="0" w:space="0" w:color="auto"/>
                        <w:bottom w:val="none" w:sz="0" w:space="0" w:color="auto"/>
                        <w:right w:val="none" w:sz="0" w:space="0" w:color="auto"/>
                      </w:divBdr>
                    </w:div>
                  </w:divsChild>
                </w:div>
                <w:div w:id="953026685">
                  <w:marLeft w:val="0"/>
                  <w:marRight w:val="0"/>
                  <w:marTop w:val="0"/>
                  <w:marBottom w:val="0"/>
                  <w:divBdr>
                    <w:top w:val="none" w:sz="0" w:space="0" w:color="auto"/>
                    <w:left w:val="none" w:sz="0" w:space="0" w:color="auto"/>
                    <w:bottom w:val="none" w:sz="0" w:space="0" w:color="auto"/>
                    <w:right w:val="none" w:sz="0" w:space="0" w:color="auto"/>
                  </w:divBdr>
                  <w:divsChild>
                    <w:div w:id="1316683921">
                      <w:marLeft w:val="0"/>
                      <w:marRight w:val="0"/>
                      <w:marTop w:val="0"/>
                      <w:marBottom w:val="0"/>
                      <w:divBdr>
                        <w:top w:val="none" w:sz="0" w:space="0" w:color="auto"/>
                        <w:left w:val="none" w:sz="0" w:space="0" w:color="auto"/>
                        <w:bottom w:val="none" w:sz="0" w:space="0" w:color="auto"/>
                        <w:right w:val="none" w:sz="0" w:space="0" w:color="auto"/>
                      </w:divBdr>
                    </w:div>
                  </w:divsChild>
                </w:div>
                <w:div w:id="956181583">
                  <w:marLeft w:val="0"/>
                  <w:marRight w:val="0"/>
                  <w:marTop w:val="0"/>
                  <w:marBottom w:val="0"/>
                  <w:divBdr>
                    <w:top w:val="none" w:sz="0" w:space="0" w:color="auto"/>
                    <w:left w:val="none" w:sz="0" w:space="0" w:color="auto"/>
                    <w:bottom w:val="none" w:sz="0" w:space="0" w:color="auto"/>
                    <w:right w:val="none" w:sz="0" w:space="0" w:color="auto"/>
                  </w:divBdr>
                  <w:divsChild>
                    <w:div w:id="1267691960">
                      <w:marLeft w:val="0"/>
                      <w:marRight w:val="0"/>
                      <w:marTop w:val="0"/>
                      <w:marBottom w:val="0"/>
                      <w:divBdr>
                        <w:top w:val="none" w:sz="0" w:space="0" w:color="auto"/>
                        <w:left w:val="none" w:sz="0" w:space="0" w:color="auto"/>
                        <w:bottom w:val="none" w:sz="0" w:space="0" w:color="auto"/>
                        <w:right w:val="none" w:sz="0" w:space="0" w:color="auto"/>
                      </w:divBdr>
                    </w:div>
                  </w:divsChild>
                </w:div>
                <w:div w:id="1059208958">
                  <w:marLeft w:val="0"/>
                  <w:marRight w:val="0"/>
                  <w:marTop w:val="0"/>
                  <w:marBottom w:val="0"/>
                  <w:divBdr>
                    <w:top w:val="none" w:sz="0" w:space="0" w:color="auto"/>
                    <w:left w:val="none" w:sz="0" w:space="0" w:color="auto"/>
                    <w:bottom w:val="none" w:sz="0" w:space="0" w:color="auto"/>
                    <w:right w:val="none" w:sz="0" w:space="0" w:color="auto"/>
                  </w:divBdr>
                  <w:divsChild>
                    <w:div w:id="840857363">
                      <w:marLeft w:val="0"/>
                      <w:marRight w:val="0"/>
                      <w:marTop w:val="0"/>
                      <w:marBottom w:val="0"/>
                      <w:divBdr>
                        <w:top w:val="none" w:sz="0" w:space="0" w:color="auto"/>
                        <w:left w:val="none" w:sz="0" w:space="0" w:color="auto"/>
                        <w:bottom w:val="none" w:sz="0" w:space="0" w:color="auto"/>
                        <w:right w:val="none" w:sz="0" w:space="0" w:color="auto"/>
                      </w:divBdr>
                    </w:div>
                  </w:divsChild>
                </w:div>
                <w:div w:id="1071658379">
                  <w:marLeft w:val="0"/>
                  <w:marRight w:val="0"/>
                  <w:marTop w:val="0"/>
                  <w:marBottom w:val="0"/>
                  <w:divBdr>
                    <w:top w:val="none" w:sz="0" w:space="0" w:color="auto"/>
                    <w:left w:val="none" w:sz="0" w:space="0" w:color="auto"/>
                    <w:bottom w:val="none" w:sz="0" w:space="0" w:color="auto"/>
                    <w:right w:val="none" w:sz="0" w:space="0" w:color="auto"/>
                  </w:divBdr>
                  <w:divsChild>
                    <w:div w:id="1115321397">
                      <w:marLeft w:val="0"/>
                      <w:marRight w:val="0"/>
                      <w:marTop w:val="0"/>
                      <w:marBottom w:val="0"/>
                      <w:divBdr>
                        <w:top w:val="none" w:sz="0" w:space="0" w:color="auto"/>
                        <w:left w:val="none" w:sz="0" w:space="0" w:color="auto"/>
                        <w:bottom w:val="none" w:sz="0" w:space="0" w:color="auto"/>
                        <w:right w:val="none" w:sz="0" w:space="0" w:color="auto"/>
                      </w:divBdr>
                    </w:div>
                  </w:divsChild>
                </w:div>
                <w:div w:id="1084834465">
                  <w:marLeft w:val="0"/>
                  <w:marRight w:val="0"/>
                  <w:marTop w:val="0"/>
                  <w:marBottom w:val="0"/>
                  <w:divBdr>
                    <w:top w:val="none" w:sz="0" w:space="0" w:color="auto"/>
                    <w:left w:val="none" w:sz="0" w:space="0" w:color="auto"/>
                    <w:bottom w:val="none" w:sz="0" w:space="0" w:color="auto"/>
                    <w:right w:val="none" w:sz="0" w:space="0" w:color="auto"/>
                  </w:divBdr>
                  <w:divsChild>
                    <w:div w:id="750810756">
                      <w:marLeft w:val="0"/>
                      <w:marRight w:val="0"/>
                      <w:marTop w:val="0"/>
                      <w:marBottom w:val="0"/>
                      <w:divBdr>
                        <w:top w:val="none" w:sz="0" w:space="0" w:color="auto"/>
                        <w:left w:val="none" w:sz="0" w:space="0" w:color="auto"/>
                        <w:bottom w:val="none" w:sz="0" w:space="0" w:color="auto"/>
                        <w:right w:val="none" w:sz="0" w:space="0" w:color="auto"/>
                      </w:divBdr>
                    </w:div>
                  </w:divsChild>
                </w:div>
                <w:div w:id="1107500458">
                  <w:marLeft w:val="0"/>
                  <w:marRight w:val="0"/>
                  <w:marTop w:val="0"/>
                  <w:marBottom w:val="0"/>
                  <w:divBdr>
                    <w:top w:val="none" w:sz="0" w:space="0" w:color="auto"/>
                    <w:left w:val="none" w:sz="0" w:space="0" w:color="auto"/>
                    <w:bottom w:val="none" w:sz="0" w:space="0" w:color="auto"/>
                    <w:right w:val="none" w:sz="0" w:space="0" w:color="auto"/>
                  </w:divBdr>
                  <w:divsChild>
                    <w:div w:id="129905149">
                      <w:marLeft w:val="0"/>
                      <w:marRight w:val="0"/>
                      <w:marTop w:val="0"/>
                      <w:marBottom w:val="0"/>
                      <w:divBdr>
                        <w:top w:val="none" w:sz="0" w:space="0" w:color="auto"/>
                        <w:left w:val="none" w:sz="0" w:space="0" w:color="auto"/>
                        <w:bottom w:val="none" w:sz="0" w:space="0" w:color="auto"/>
                        <w:right w:val="none" w:sz="0" w:space="0" w:color="auto"/>
                      </w:divBdr>
                    </w:div>
                  </w:divsChild>
                </w:div>
                <w:div w:id="1121874240">
                  <w:marLeft w:val="0"/>
                  <w:marRight w:val="0"/>
                  <w:marTop w:val="0"/>
                  <w:marBottom w:val="0"/>
                  <w:divBdr>
                    <w:top w:val="none" w:sz="0" w:space="0" w:color="auto"/>
                    <w:left w:val="none" w:sz="0" w:space="0" w:color="auto"/>
                    <w:bottom w:val="none" w:sz="0" w:space="0" w:color="auto"/>
                    <w:right w:val="none" w:sz="0" w:space="0" w:color="auto"/>
                  </w:divBdr>
                  <w:divsChild>
                    <w:div w:id="496649759">
                      <w:marLeft w:val="0"/>
                      <w:marRight w:val="0"/>
                      <w:marTop w:val="0"/>
                      <w:marBottom w:val="0"/>
                      <w:divBdr>
                        <w:top w:val="none" w:sz="0" w:space="0" w:color="auto"/>
                        <w:left w:val="none" w:sz="0" w:space="0" w:color="auto"/>
                        <w:bottom w:val="none" w:sz="0" w:space="0" w:color="auto"/>
                        <w:right w:val="none" w:sz="0" w:space="0" w:color="auto"/>
                      </w:divBdr>
                    </w:div>
                  </w:divsChild>
                </w:div>
                <w:div w:id="1135098871">
                  <w:marLeft w:val="0"/>
                  <w:marRight w:val="0"/>
                  <w:marTop w:val="0"/>
                  <w:marBottom w:val="0"/>
                  <w:divBdr>
                    <w:top w:val="none" w:sz="0" w:space="0" w:color="auto"/>
                    <w:left w:val="none" w:sz="0" w:space="0" w:color="auto"/>
                    <w:bottom w:val="none" w:sz="0" w:space="0" w:color="auto"/>
                    <w:right w:val="none" w:sz="0" w:space="0" w:color="auto"/>
                  </w:divBdr>
                  <w:divsChild>
                    <w:div w:id="785924072">
                      <w:marLeft w:val="0"/>
                      <w:marRight w:val="0"/>
                      <w:marTop w:val="0"/>
                      <w:marBottom w:val="0"/>
                      <w:divBdr>
                        <w:top w:val="none" w:sz="0" w:space="0" w:color="auto"/>
                        <w:left w:val="none" w:sz="0" w:space="0" w:color="auto"/>
                        <w:bottom w:val="none" w:sz="0" w:space="0" w:color="auto"/>
                        <w:right w:val="none" w:sz="0" w:space="0" w:color="auto"/>
                      </w:divBdr>
                    </w:div>
                  </w:divsChild>
                </w:div>
                <w:div w:id="1136678146">
                  <w:marLeft w:val="0"/>
                  <w:marRight w:val="0"/>
                  <w:marTop w:val="0"/>
                  <w:marBottom w:val="0"/>
                  <w:divBdr>
                    <w:top w:val="none" w:sz="0" w:space="0" w:color="auto"/>
                    <w:left w:val="none" w:sz="0" w:space="0" w:color="auto"/>
                    <w:bottom w:val="none" w:sz="0" w:space="0" w:color="auto"/>
                    <w:right w:val="none" w:sz="0" w:space="0" w:color="auto"/>
                  </w:divBdr>
                  <w:divsChild>
                    <w:div w:id="263461117">
                      <w:marLeft w:val="0"/>
                      <w:marRight w:val="0"/>
                      <w:marTop w:val="0"/>
                      <w:marBottom w:val="0"/>
                      <w:divBdr>
                        <w:top w:val="none" w:sz="0" w:space="0" w:color="auto"/>
                        <w:left w:val="none" w:sz="0" w:space="0" w:color="auto"/>
                        <w:bottom w:val="none" w:sz="0" w:space="0" w:color="auto"/>
                        <w:right w:val="none" w:sz="0" w:space="0" w:color="auto"/>
                      </w:divBdr>
                    </w:div>
                  </w:divsChild>
                </w:div>
                <w:div w:id="1213956011">
                  <w:marLeft w:val="0"/>
                  <w:marRight w:val="0"/>
                  <w:marTop w:val="0"/>
                  <w:marBottom w:val="0"/>
                  <w:divBdr>
                    <w:top w:val="none" w:sz="0" w:space="0" w:color="auto"/>
                    <w:left w:val="none" w:sz="0" w:space="0" w:color="auto"/>
                    <w:bottom w:val="none" w:sz="0" w:space="0" w:color="auto"/>
                    <w:right w:val="none" w:sz="0" w:space="0" w:color="auto"/>
                  </w:divBdr>
                  <w:divsChild>
                    <w:div w:id="254902072">
                      <w:marLeft w:val="0"/>
                      <w:marRight w:val="0"/>
                      <w:marTop w:val="0"/>
                      <w:marBottom w:val="0"/>
                      <w:divBdr>
                        <w:top w:val="none" w:sz="0" w:space="0" w:color="auto"/>
                        <w:left w:val="none" w:sz="0" w:space="0" w:color="auto"/>
                        <w:bottom w:val="none" w:sz="0" w:space="0" w:color="auto"/>
                        <w:right w:val="none" w:sz="0" w:space="0" w:color="auto"/>
                      </w:divBdr>
                    </w:div>
                  </w:divsChild>
                </w:div>
                <w:div w:id="1291984310">
                  <w:marLeft w:val="0"/>
                  <w:marRight w:val="0"/>
                  <w:marTop w:val="0"/>
                  <w:marBottom w:val="0"/>
                  <w:divBdr>
                    <w:top w:val="none" w:sz="0" w:space="0" w:color="auto"/>
                    <w:left w:val="none" w:sz="0" w:space="0" w:color="auto"/>
                    <w:bottom w:val="none" w:sz="0" w:space="0" w:color="auto"/>
                    <w:right w:val="none" w:sz="0" w:space="0" w:color="auto"/>
                  </w:divBdr>
                  <w:divsChild>
                    <w:div w:id="505481882">
                      <w:marLeft w:val="0"/>
                      <w:marRight w:val="0"/>
                      <w:marTop w:val="0"/>
                      <w:marBottom w:val="0"/>
                      <w:divBdr>
                        <w:top w:val="none" w:sz="0" w:space="0" w:color="auto"/>
                        <w:left w:val="none" w:sz="0" w:space="0" w:color="auto"/>
                        <w:bottom w:val="none" w:sz="0" w:space="0" w:color="auto"/>
                        <w:right w:val="none" w:sz="0" w:space="0" w:color="auto"/>
                      </w:divBdr>
                    </w:div>
                  </w:divsChild>
                </w:div>
                <w:div w:id="1311204721">
                  <w:marLeft w:val="0"/>
                  <w:marRight w:val="0"/>
                  <w:marTop w:val="0"/>
                  <w:marBottom w:val="0"/>
                  <w:divBdr>
                    <w:top w:val="none" w:sz="0" w:space="0" w:color="auto"/>
                    <w:left w:val="none" w:sz="0" w:space="0" w:color="auto"/>
                    <w:bottom w:val="none" w:sz="0" w:space="0" w:color="auto"/>
                    <w:right w:val="none" w:sz="0" w:space="0" w:color="auto"/>
                  </w:divBdr>
                  <w:divsChild>
                    <w:div w:id="1766225503">
                      <w:marLeft w:val="0"/>
                      <w:marRight w:val="0"/>
                      <w:marTop w:val="0"/>
                      <w:marBottom w:val="0"/>
                      <w:divBdr>
                        <w:top w:val="none" w:sz="0" w:space="0" w:color="auto"/>
                        <w:left w:val="none" w:sz="0" w:space="0" w:color="auto"/>
                        <w:bottom w:val="none" w:sz="0" w:space="0" w:color="auto"/>
                        <w:right w:val="none" w:sz="0" w:space="0" w:color="auto"/>
                      </w:divBdr>
                    </w:div>
                  </w:divsChild>
                </w:div>
                <w:div w:id="1337029442">
                  <w:marLeft w:val="0"/>
                  <w:marRight w:val="0"/>
                  <w:marTop w:val="0"/>
                  <w:marBottom w:val="0"/>
                  <w:divBdr>
                    <w:top w:val="none" w:sz="0" w:space="0" w:color="auto"/>
                    <w:left w:val="none" w:sz="0" w:space="0" w:color="auto"/>
                    <w:bottom w:val="none" w:sz="0" w:space="0" w:color="auto"/>
                    <w:right w:val="none" w:sz="0" w:space="0" w:color="auto"/>
                  </w:divBdr>
                  <w:divsChild>
                    <w:div w:id="1727876934">
                      <w:marLeft w:val="0"/>
                      <w:marRight w:val="0"/>
                      <w:marTop w:val="0"/>
                      <w:marBottom w:val="0"/>
                      <w:divBdr>
                        <w:top w:val="none" w:sz="0" w:space="0" w:color="auto"/>
                        <w:left w:val="none" w:sz="0" w:space="0" w:color="auto"/>
                        <w:bottom w:val="none" w:sz="0" w:space="0" w:color="auto"/>
                        <w:right w:val="none" w:sz="0" w:space="0" w:color="auto"/>
                      </w:divBdr>
                    </w:div>
                  </w:divsChild>
                </w:div>
                <w:div w:id="1355039280">
                  <w:marLeft w:val="0"/>
                  <w:marRight w:val="0"/>
                  <w:marTop w:val="0"/>
                  <w:marBottom w:val="0"/>
                  <w:divBdr>
                    <w:top w:val="none" w:sz="0" w:space="0" w:color="auto"/>
                    <w:left w:val="none" w:sz="0" w:space="0" w:color="auto"/>
                    <w:bottom w:val="none" w:sz="0" w:space="0" w:color="auto"/>
                    <w:right w:val="none" w:sz="0" w:space="0" w:color="auto"/>
                  </w:divBdr>
                  <w:divsChild>
                    <w:div w:id="1867865046">
                      <w:marLeft w:val="0"/>
                      <w:marRight w:val="0"/>
                      <w:marTop w:val="0"/>
                      <w:marBottom w:val="0"/>
                      <w:divBdr>
                        <w:top w:val="none" w:sz="0" w:space="0" w:color="auto"/>
                        <w:left w:val="none" w:sz="0" w:space="0" w:color="auto"/>
                        <w:bottom w:val="none" w:sz="0" w:space="0" w:color="auto"/>
                        <w:right w:val="none" w:sz="0" w:space="0" w:color="auto"/>
                      </w:divBdr>
                    </w:div>
                  </w:divsChild>
                </w:div>
                <w:div w:id="1360428666">
                  <w:marLeft w:val="0"/>
                  <w:marRight w:val="0"/>
                  <w:marTop w:val="0"/>
                  <w:marBottom w:val="0"/>
                  <w:divBdr>
                    <w:top w:val="none" w:sz="0" w:space="0" w:color="auto"/>
                    <w:left w:val="none" w:sz="0" w:space="0" w:color="auto"/>
                    <w:bottom w:val="none" w:sz="0" w:space="0" w:color="auto"/>
                    <w:right w:val="none" w:sz="0" w:space="0" w:color="auto"/>
                  </w:divBdr>
                  <w:divsChild>
                    <w:div w:id="425883375">
                      <w:marLeft w:val="0"/>
                      <w:marRight w:val="0"/>
                      <w:marTop w:val="0"/>
                      <w:marBottom w:val="0"/>
                      <w:divBdr>
                        <w:top w:val="none" w:sz="0" w:space="0" w:color="auto"/>
                        <w:left w:val="none" w:sz="0" w:space="0" w:color="auto"/>
                        <w:bottom w:val="none" w:sz="0" w:space="0" w:color="auto"/>
                        <w:right w:val="none" w:sz="0" w:space="0" w:color="auto"/>
                      </w:divBdr>
                    </w:div>
                  </w:divsChild>
                </w:div>
                <w:div w:id="1397360694">
                  <w:marLeft w:val="0"/>
                  <w:marRight w:val="0"/>
                  <w:marTop w:val="0"/>
                  <w:marBottom w:val="0"/>
                  <w:divBdr>
                    <w:top w:val="none" w:sz="0" w:space="0" w:color="auto"/>
                    <w:left w:val="none" w:sz="0" w:space="0" w:color="auto"/>
                    <w:bottom w:val="none" w:sz="0" w:space="0" w:color="auto"/>
                    <w:right w:val="none" w:sz="0" w:space="0" w:color="auto"/>
                  </w:divBdr>
                  <w:divsChild>
                    <w:div w:id="1272710236">
                      <w:marLeft w:val="0"/>
                      <w:marRight w:val="0"/>
                      <w:marTop w:val="0"/>
                      <w:marBottom w:val="0"/>
                      <w:divBdr>
                        <w:top w:val="none" w:sz="0" w:space="0" w:color="auto"/>
                        <w:left w:val="none" w:sz="0" w:space="0" w:color="auto"/>
                        <w:bottom w:val="none" w:sz="0" w:space="0" w:color="auto"/>
                        <w:right w:val="none" w:sz="0" w:space="0" w:color="auto"/>
                      </w:divBdr>
                    </w:div>
                  </w:divsChild>
                </w:div>
                <w:div w:id="1440687445">
                  <w:marLeft w:val="0"/>
                  <w:marRight w:val="0"/>
                  <w:marTop w:val="0"/>
                  <w:marBottom w:val="0"/>
                  <w:divBdr>
                    <w:top w:val="none" w:sz="0" w:space="0" w:color="auto"/>
                    <w:left w:val="none" w:sz="0" w:space="0" w:color="auto"/>
                    <w:bottom w:val="none" w:sz="0" w:space="0" w:color="auto"/>
                    <w:right w:val="none" w:sz="0" w:space="0" w:color="auto"/>
                  </w:divBdr>
                  <w:divsChild>
                    <w:div w:id="316425930">
                      <w:marLeft w:val="0"/>
                      <w:marRight w:val="0"/>
                      <w:marTop w:val="0"/>
                      <w:marBottom w:val="0"/>
                      <w:divBdr>
                        <w:top w:val="none" w:sz="0" w:space="0" w:color="auto"/>
                        <w:left w:val="none" w:sz="0" w:space="0" w:color="auto"/>
                        <w:bottom w:val="none" w:sz="0" w:space="0" w:color="auto"/>
                        <w:right w:val="none" w:sz="0" w:space="0" w:color="auto"/>
                      </w:divBdr>
                    </w:div>
                  </w:divsChild>
                </w:div>
                <w:div w:id="1448115720">
                  <w:marLeft w:val="0"/>
                  <w:marRight w:val="0"/>
                  <w:marTop w:val="0"/>
                  <w:marBottom w:val="0"/>
                  <w:divBdr>
                    <w:top w:val="none" w:sz="0" w:space="0" w:color="auto"/>
                    <w:left w:val="none" w:sz="0" w:space="0" w:color="auto"/>
                    <w:bottom w:val="none" w:sz="0" w:space="0" w:color="auto"/>
                    <w:right w:val="none" w:sz="0" w:space="0" w:color="auto"/>
                  </w:divBdr>
                  <w:divsChild>
                    <w:div w:id="537279234">
                      <w:marLeft w:val="0"/>
                      <w:marRight w:val="0"/>
                      <w:marTop w:val="0"/>
                      <w:marBottom w:val="0"/>
                      <w:divBdr>
                        <w:top w:val="none" w:sz="0" w:space="0" w:color="auto"/>
                        <w:left w:val="none" w:sz="0" w:space="0" w:color="auto"/>
                        <w:bottom w:val="none" w:sz="0" w:space="0" w:color="auto"/>
                        <w:right w:val="none" w:sz="0" w:space="0" w:color="auto"/>
                      </w:divBdr>
                    </w:div>
                  </w:divsChild>
                </w:div>
                <w:div w:id="1479573435">
                  <w:marLeft w:val="0"/>
                  <w:marRight w:val="0"/>
                  <w:marTop w:val="0"/>
                  <w:marBottom w:val="0"/>
                  <w:divBdr>
                    <w:top w:val="none" w:sz="0" w:space="0" w:color="auto"/>
                    <w:left w:val="none" w:sz="0" w:space="0" w:color="auto"/>
                    <w:bottom w:val="none" w:sz="0" w:space="0" w:color="auto"/>
                    <w:right w:val="none" w:sz="0" w:space="0" w:color="auto"/>
                  </w:divBdr>
                  <w:divsChild>
                    <w:div w:id="1817868359">
                      <w:marLeft w:val="0"/>
                      <w:marRight w:val="0"/>
                      <w:marTop w:val="0"/>
                      <w:marBottom w:val="0"/>
                      <w:divBdr>
                        <w:top w:val="none" w:sz="0" w:space="0" w:color="auto"/>
                        <w:left w:val="none" w:sz="0" w:space="0" w:color="auto"/>
                        <w:bottom w:val="none" w:sz="0" w:space="0" w:color="auto"/>
                        <w:right w:val="none" w:sz="0" w:space="0" w:color="auto"/>
                      </w:divBdr>
                    </w:div>
                  </w:divsChild>
                </w:div>
                <w:div w:id="1502308442">
                  <w:marLeft w:val="0"/>
                  <w:marRight w:val="0"/>
                  <w:marTop w:val="0"/>
                  <w:marBottom w:val="0"/>
                  <w:divBdr>
                    <w:top w:val="none" w:sz="0" w:space="0" w:color="auto"/>
                    <w:left w:val="none" w:sz="0" w:space="0" w:color="auto"/>
                    <w:bottom w:val="none" w:sz="0" w:space="0" w:color="auto"/>
                    <w:right w:val="none" w:sz="0" w:space="0" w:color="auto"/>
                  </w:divBdr>
                  <w:divsChild>
                    <w:div w:id="987514093">
                      <w:marLeft w:val="0"/>
                      <w:marRight w:val="0"/>
                      <w:marTop w:val="0"/>
                      <w:marBottom w:val="0"/>
                      <w:divBdr>
                        <w:top w:val="none" w:sz="0" w:space="0" w:color="auto"/>
                        <w:left w:val="none" w:sz="0" w:space="0" w:color="auto"/>
                        <w:bottom w:val="none" w:sz="0" w:space="0" w:color="auto"/>
                        <w:right w:val="none" w:sz="0" w:space="0" w:color="auto"/>
                      </w:divBdr>
                    </w:div>
                  </w:divsChild>
                </w:div>
                <w:div w:id="1512184126">
                  <w:marLeft w:val="0"/>
                  <w:marRight w:val="0"/>
                  <w:marTop w:val="0"/>
                  <w:marBottom w:val="0"/>
                  <w:divBdr>
                    <w:top w:val="none" w:sz="0" w:space="0" w:color="auto"/>
                    <w:left w:val="none" w:sz="0" w:space="0" w:color="auto"/>
                    <w:bottom w:val="none" w:sz="0" w:space="0" w:color="auto"/>
                    <w:right w:val="none" w:sz="0" w:space="0" w:color="auto"/>
                  </w:divBdr>
                  <w:divsChild>
                    <w:div w:id="1612318573">
                      <w:marLeft w:val="0"/>
                      <w:marRight w:val="0"/>
                      <w:marTop w:val="0"/>
                      <w:marBottom w:val="0"/>
                      <w:divBdr>
                        <w:top w:val="none" w:sz="0" w:space="0" w:color="auto"/>
                        <w:left w:val="none" w:sz="0" w:space="0" w:color="auto"/>
                        <w:bottom w:val="none" w:sz="0" w:space="0" w:color="auto"/>
                        <w:right w:val="none" w:sz="0" w:space="0" w:color="auto"/>
                      </w:divBdr>
                    </w:div>
                  </w:divsChild>
                </w:div>
                <w:div w:id="1552421121">
                  <w:marLeft w:val="0"/>
                  <w:marRight w:val="0"/>
                  <w:marTop w:val="0"/>
                  <w:marBottom w:val="0"/>
                  <w:divBdr>
                    <w:top w:val="none" w:sz="0" w:space="0" w:color="auto"/>
                    <w:left w:val="none" w:sz="0" w:space="0" w:color="auto"/>
                    <w:bottom w:val="none" w:sz="0" w:space="0" w:color="auto"/>
                    <w:right w:val="none" w:sz="0" w:space="0" w:color="auto"/>
                  </w:divBdr>
                  <w:divsChild>
                    <w:div w:id="1229415280">
                      <w:marLeft w:val="0"/>
                      <w:marRight w:val="0"/>
                      <w:marTop w:val="0"/>
                      <w:marBottom w:val="0"/>
                      <w:divBdr>
                        <w:top w:val="none" w:sz="0" w:space="0" w:color="auto"/>
                        <w:left w:val="none" w:sz="0" w:space="0" w:color="auto"/>
                        <w:bottom w:val="none" w:sz="0" w:space="0" w:color="auto"/>
                        <w:right w:val="none" w:sz="0" w:space="0" w:color="auto"/>
                      </w:divBdr>
                    </w:div>
                  </w:divsChild>
                </w:div>
                <w:div w:id="1556234642">
                  <w:marLeft w:val="0"/>
                  <w:marRight w:val="0"/>
                  <w:marTop w:val="0"/>
                  <w:marBottom w:val="0"/>
                  <w:divBdr>
                    <w:top w:val="none" w:sz="0" w:space="0" w:color="auto"/>
                    <w:left w:val="none" w:sz="0" w:space="0" w:color="auto"/>
                    <w:bottom w:val="none" w:sz="0" w:space="0" w:color="auto"/>
                    <w:right w:val="none" w:sz="0" w:space="0" w:color="auto"/>
                  </w:divBdr>
                  <w:divsChild>
                    <w:div w:id="121777277">
                      <w:marLeft w:val="0"/>
                      <w:marRight w:val="0"/>
                      <w:marTop w:val="0"/>
                      <w:marBottom w:val="0"/>
                      <w:divBdr>
                        <w:top w:val="none" w:sz="0" w:space="0" w:color="auto"/>
                        <w:left w:val="none" w:sz="0" w:space="0" w:color="auto"/>
                        <w:bottom w:val="none" w:sz="0" w:space="0" w:color="auto"/>
                        <w:right w:val="none" w:sz="0" w:space="0" w:color="auto"/>
                      </w:divBdr>
                    </w:div>
                  </w:divsChild>
                </w:div>
                <w:div w:id="1567567094">
                  <w:marLeft w:val="0"/>
                  <w:marRight w:val="0"/>
                  <w:marTop w:val="0"/>
                  <w:marBottom w:val="0"/>
                  <w:divBdr>
                    <w:top w:val="none" w:sz="0" w:space="0" w:color="auto"/>
                    <w:left w:val="none" w:sz="0" w:space="0" w:color="auto"/>
                    <w:bottom w:val="none" w:sz="0" w:space="0" w:color="auto"/>
                    <w:right w:val="none" w:sz="0" w:space="0" w:color="auto"/>
                  </w:divBdr>
                  <w:divsChild>
                    <w:div w:id="1997807430">
                      <w:marLeft w:val="0"/>
                      <w:marRight w:val="0"/>
                      <w:marTop w:val="0"/>
                      <w:marBottom w:val="0"/>
                      <w:divBdr>
                        <w:top w:val="none" w:sz="0" w:space="0" w:color="auto"/>
                        <w:left w:val="none" w:sz="0" w:space="0" w:color="auto"/>
                        <w:bottom w:val="none" w:sz="0" w:space="0" w:color="auto"/>
                        <w:right w:val="none" w:sz="0" w:space="0" w:color="auto"/>
                      </w:divBdr>
                    </w:div>
                  </w:divsChild>
                </w:div>
                <w:div w:id="1681351247">
                  <w:marLeft w:val="0"/>
                  <w:marRight w:val="0"/>
                  <w:marTop w:val="0"/>
                  <w:marBottom w:val="0"/>
                  <w:divBdr>
                    <w:top w:val="none" w:sz="0" w:space="0" w:color="auto"/>
                    <w:left w:val="none" w:sz="0" w:space="0" w:color="auto"/>
                    <w:bottom w:val="none" w:sz="0" w:space="0" w:color="auto"/>
                    <w:right w:val="none" w:sz="0" w:space="0" w:color="auto"/>
                  </w:divBdr>
                  <w:divsChild>
                    <w:div w:id="1735084123">
                      <w:marLeft w:val="0"/>
                      <w:marRight w:val="0"/>
                      <w:marTop w:val="0"/>
                      <w:marBottom w:val="0"/>
                      <w:divBdr>
                        <w:top w:val="none" w:sz="0" w:space="0" w:color="auto"/>
                        <w:left w:val="none" w:sz="0" w:space="0" w:color="auto"/>
                        <w:bottom w:val="none" w:sz="0" w:space="0" w:color="auto"/>
                        <w:right w:val="none" w:sz="0" w:space="0" w:color="auto"/>
                      </w:divBdr>
                    </w:div>
                  </w:divsChild>
                </w:div>
                <w:div w:id="1696077993">
                  <w:marLeft w:val="0"/>
                  <w:marRight w:val="0"/>
                  <w:marTop w:val="0"/>
                  <w:marBottom w:val="0"/>
                  <w:divBdr>
                    <w:top w:val="none" w:sz="0" w:space="0" w:color="auto"/>
                    <w:left w:val="none" w:sz="0" w:space="0" w:color="auto"/>
                    <w:bottom w:val="none" w:sz="0" w:space="0" w:color="auto"/>
                    <w:right w:val="none" w:sz="0" w:space="0" w:color="auto"/>
                  </w:divBdr>
                  <w:divsChild>
                    <w:div w:id="599459433">
                      <w:marLeft w:val="0"/>
                      <w:marRight w:val="0"/>
                      <w:marTop w:val="0"/>
                      <w:marBottom w:val="0"/>
                      <w:divBdr>
                        <w:top w:val="none" w:sz="0" w:space="0" w:color="auto"/>
                        <w:left w:val="none" w:sz="0" w:space="0" w:color="auto"/>
                        <w:bottom w:val="none" w:sz="0" w:space="0" w:color="auto"/>
                        <w:right w:val="none" w:sz="0" w:space="0" w:color="auto"/>
                      </w:divBdr>
                    </w:div>
                  </w:divsChild>
                </w:div>
                <w:div w:id="1763523226">
                  <w:marLeft w:val="0"/>
                  <w:marRight w:val="0"/>
                  <w:marTop w:val="0"/>
                  <w:marBottom w:val="0"/>
                  <w:divBdr>
                    <w:top w:val="none" w:sz="0" w:space="0" w:color="auto"/>
                    <w:left w:val="none" w:sz="0" w:space="0" w:color="auto"/>
                    <w:bottom w:val="none" w:sz="0" w:space="0" w:color="auto"/>
                    <w:right w:val="none" w:sz="0" w:space="0" w:color="auto"/>
                  </w:divBdr>
                  <w:divsChild>
                    <w:div w:id="2056613168">
                      <w:marLeft w:val="0"/>
                      <w:marRight w:val="0"/>
                      <w:marTop w:val="0"/>
                      <w:marBottom w:val="0"/>
                      <w:divBdr>
                        <w:top w:val="none" w:sz="0" w:space="0" w:color="auto"/>
                        <w:left w:val="none" w:sz="0" w:space="0" w:color="auto"/>
                        <w:bottom w:val="none" w:sz="0" w:space="0" w:color="auto"/>
                        <w:right w:val="none" w:sz="0" w:space="0" w:color="auto"/>
                      </w:divBdr>
                    </w:div>
                  </w:divsChild>
                </w:div>
                <w:div w:id="1783917471">
                  <w:marLeft w:val="0"/>
                  <w:marRight w:val="0"/>
                  <w:marTop w:val="0"/>
                  <w:marBottom w:val="0"/>
                  <w:divBdr>
                    <w:top w:val="none" w:sz="0" w:space="0" w:color="auto"/>
                    <w:left w:val="none" w:sz="0" w:space="0" w:color="auto"/>
                    <w:bottom w:val="none" w:sz="0" w:space="0" w:color="auto"/>
                    <w:right w:val="none" w:sz="0" w:space="0" w:color="auto"/>
                  </w:divBdr>
                  <w:divsChild>
                    <w:div w:id="1095632105">
                      <w:marLeft w:val="0"/>
                      <w:marRight w:val="0"/>
                      <w:marTop w:val="0"/>
                      <w:marBottom w:val="0"/>
                      <w:divBdr>
                        <w:top w:val="none" w:sz="0" w:space="0" w:color="auto"/>
                        <w:left w:val="none" w:sz="0" w:space="0" w:color="auto"/>
                        <w:bottom w:val="none" w:sz="0" w:space="0" w:color="auto"/>
                        <w:right w:val="none" w:sz="0" w:space="0" w:color="auto"/>
                      </w:divBdr>
                    </w:div>
                  </w:divsChild>
                </w:div>
                <w:div w:id="1816095089">
                  <w:marLeft w:val="0"/>
                  <w:marRight w:val="0"/>
                  <w:marTop w:val="0"/>
                  <w:marBottom w:val="0"/>
                  <w:divBdr>
                    <w:top w:val="none" w:sz="0" w:space="0" w:color="auto"/>
                    <w:left w:val="none" w:sz="0" w:space="0" w:color="auto"/>
                    <w:bottom w:val="none" w:sz="0" w:space="0" w:color="auto"/>
                    <w:right w:val="none" w:sz="0" w:space="0" w:color="auto"/>
                  </w:divBdr>
                  <w:divsChild>
                    <w:div w:id="1126849932">
                      <w:marLeft w:val="0"/>
                      <w:marRight w:val="0"/>
                      <w:marTop w:val="0"/>
                      <w:marBottom w:val="0"/>
                      <w:divBdr>
                        <w:top w:val="none" w:sz="0" w:space="0" w:color="auto"/>
                        <w:left w:val="none" w:sz="0" w:space="0" w:color="auto"/>
                        <w:bottom w:val="none" w:sz="0" w:space="0" w:color="auto"/>
                        <w:right w:val="none" w:sz="0" w:space="0" w:color="auto"/>
                      </w:divBdr>
                    </w:div>
                  </w:divsChild>
                </w:div>
                <w:div w:id="1816871108">
                  <w:marLeft w:val="0"/>
                  <w:marRight w:val="0"/>
                  <w:marTop w:val="0"/>
                  <w:marBottom w:val="0"/>
                  <w:divBdr>
                    <w:top w:val="none" w:sz="0" w:space="0" w:color="auto"/>
                    <w:left w:val="none" w:sz="0" w:space="0" w:color="auto"/>
                    <w:bottom w:val="none" w:sz="0" w:space="0" w:color="auto"/>
                    <w:right w:val="none" w:sz="0" w:space="0" w:color="auto"/>
                  </w:divBdr>
                  <w:divsChild>
                    <w:div w:id="519779678">
                      <w:marLeft w:val="0"/>
                      <w:marRight w:val="0"/>
                      <w:marTop w:val="0"/>
                      <w:marBottom w:val="0"/>
                      <w:divBdr>
                        <w:top w:val="none" w:sz="0" w:space="0" w:color="auto"/>
                        <w:left w:val="none" w:sz="0" w:space="0" w:color="auto"/>
                        <w:bottom w:val="none" w:sz="0" w:space="0" w:color="auto"/>
                        <w:right w:val="none" w:sz="0" w:space="0" w:color="auto"/>
                      </w:divBdr>
                    </w:div>
                  </w:divsChild>
                </w:div>
                <w:div w:id="1834644558">
                  <w:marLeft w:val="0"/>
                  <w:marRight w:val="0"/>
                  <w:marTop w:val="0"/>
                  <w:marBottom w:val="0"/>
                  <w:divBdr>
                    <w:top w:val="none" w:sz="0" w:space="0" w:color="auto"/>
                    <w:left w:val="none" w:sz="0" w:space="0" w:color="auto"/>
                    <w:bottom w:val="none" w:sz="0" w:space="0" w:color="auto"/>
                    <w:right w:val="none" w:sz="0" w:space="0" w:color="auto"/>
                  </w:divBdr>
                  <w:divsChild>
                    <w:div w:id="1767656159">
                      <w:marLeft w:val="0"/>
                      <w:marRight w:val="0"/>
                      <w:marTop w:val="0"/>
                      <w:marBottom w:val="0"/>
                      <w:divBdr>
                        <w:top w:val="none" w:sz="0" w:space="0" w:color="auto"/>
                        <w:left w:val="none" w:sz="0" w:space="0" w:color="auto"/>
                        <w:bottom w:val="none" w:sz="0" w:space="0" w:color="auto"/>
                        <w:right w:val="none" w:sz="0" w:space="0" w:color="auto"/>
                      </w:divBdr>
                    </w:div>
                  </w:divsChild>
                </w:div>
                <w:div w:id="1854610609">
                  <w:marLeft w:val="0"/>
                  <w:marRight w:val="0"/>
                  <w:marTop w:val="0"/>
                  <w:marBottom w:val="0"/>
                  <w:divBdr>
                    <w:top w:val="none" w:sz="0" w:space="0" w:color="auto"/>
                    <w:left w:val="none" w:sz="0" w:space="0" w:color="auto"/>
                    <w:bottom w:val="none" w:sz="0" w:space="0" w:color="auto"/>
                    <w:right w:val="none" w:sz="0" w:space="0" w:color="auto"/>
                  </w:divBdr>
                  <w:divsChild>
                    <w:div w:id="1404639447">
                      <w:marLeft w:val="0"/>
                      <w:marRight w:val="0"/>
                      <w:marTop w:val="0"/>
                      <w:marBottom w:val="0"/>
                      <w:divBdr>
                        <w:top w:val="none" w:sz="0" w:space="0" w:color="auto"/>
                        <w:left w:val="none" w:sz="0" w:space="0" w:color="auto"/>
                        <w:bottom w:val="none" w:sz="0" w:space="0" w:color="auto"/>
                        <w:right w:val="none" w:sz="0" w:space="0" w:color="auto"/>
                      </w:divBdr>
                    </w:div>
                  </w:divsChild>
                </w:div>
                <w:div w:id="1896698541">
                  <w:marLeft w:val="0"/>
                  <w:marRight w:val="0"/>
                  <w:marTop w:val="0"/>
                  <w:marBottom w:val="0"/>
                  <w:divBdr>
                    <w:top w:val="none" w:sz="0" w:space="0" w:color="auto"/>
                    <w:left w:val="none" w:sz="0" w:space="0" w:color="auto"/>
                    <w:bottom w:val="none" w:sz="0" w:space="0" w:color="auto"/>
                    <w:right w:val="none" w:sz="0" w:space="0" w:color="auto"/>
                  </w:divBdr>
                  <w:divsChild>
                    <w:div w:id="60104005">
                      <w:marLeft w:val="0"/>
                      <w:marRight w:val="0"/>
                      <w:marTop w:val="0"/>
                      <w:marBottom w:val="0"/>
                      <w:divBdr>
                        <w:top w:val="none" w:sz="0" w:space="0" w:color="auto"/>
                        <w:left w:val="none" w:sz="0" w:space="0" w:color="auto"/>
                        <w:bottom w:val="none" w:sz="0" w:space="0" w:color="auto"/>
                        <w:right w:val="none" w:sz="0" w:space="0" w:color="auto"/>
                      </w:divBdr>
                    </w:div>
                  </w:divsChild>
                </w:div>
                <w:div w:id="1901670526">
                  <w:marLeft w:val="0"/>
                  <w:marRight w:val="0"/>
                  <w:marTop w:val="0"/>
                  <w:marBottom w:val="0"/>
                  <w:divBdr>
                    <w:top w:val="none" w:sz="0" w:space="0" w:color="auto"/>
                    <w:left w:val="none" w:sz="0" w:space="0" w:color="auto"/>
                    <w:bottom w:val="none" w:sz="0" w:space="0" w:color="auto"/>
                    <w:right w:val="none" w:sz="0" w:space="0" w:color="auto"/>
                  </w:divBdr>
                  <w:divsChild>
                    <w:div w:id="1811821201">
                      <w:marLeft w:val="0"/>
                      <w:marRight w:val="0"/>
                      <w:marTop w:val="0"/>
                      <w:marBottom w:val="0"/>
                      <w:divBdr>
                        <w:top w:val="none" w:sz="0" w:space="0" w:color="auto"/>
                        <w:left w:val="none" w:sz="0" w:space="0" w:color="auto"/>
                        <w:bottom w:val="none" w:sz="0" w:space="0" w:color="auto"/>
                        <w:right w:val="none" w:sz="0" w:space="0" w:color="auto"/>
                      </w:divBdr>
                    </w:div>
                  </w:divsChild>
                </w:div>
                <w:div w:id="1939750111">
                  <w:marLeft w:val="0"/>
                  <w:marRight w:val="0"/>
                  <w:marTop w:val="0"/>
                  <w:marBottom w:val="0"/>
                  <w:divBdr>
                    <w:top w:val="none" w:sz="0" w:space="0" w:color="auto"/>
                    <w:left w:val="none" w:sz="0" w:space="0" w:color="auto"/>
                    <w:bottom w:val="none" w:sz="0" w:space="0" w:color="auto"/>
                    <w:right w:val="none" w:sz="0" w:space="0" w:color="auto"/>
                  </w:divBdr>
                  <w:divsChild>
                    <w:div w:id="796988133">
                      <w:marLeft w:val="0"/>
                      <w:marRight w:val="0"/>
                      <w:marTop w:val="0"/>
                      <w:marBottom w:val="0"/>
                      <w:divBdr>
                        <w:top w:val="none" w:sz="0" w:space="0" w:color="auto"/>
                        <w:left w:val="none" w:sz="0" w:space="0" w:color="auto"/>
                        <w:bottom w:val="none" w:sz="0" w:space="0" w:color="auto"/>
                        <w:right w:val="none" w:sz="0" w:space="0" w:color="auto"/>
                      </w:divBdr>
                    </w:div>
                  </w:divsChild>
                </w:div>
                <w:div w:id="1991787575">
                  <w:marLeft w:val="0"/>
                  <w:marRight w:val="0"/>
                  <w:marTop w:val="0"/>
                  <w:marBottom w:val="0"/>
                  <w:divBdr>
                    <w:top w:val="none" w:sz="0" w:space="0" w:color="auto"/>
                    <w:left w:val="none" w:sz="0" w:space="0" w:color="auto"/>
                    <w:bottom w:val="none" w:sz="0" w:space="0" w:color="auto"/>
                    <w:right w:val="none" w:sz="0" w:space="0" w:color="auto"/>
                  </w:divBdr>
                  <w:divsChild>
                    <w:div w:id="961226084">
                      <w:marLeft w:val="0"/>
                      <w:marRight w:val="0"/>
                      <w:marTop w:val="0"/>
                      <w:marBottom w:val="0"/>
                      <w:divBdr>
                        <w:top w:val="none" w:sz="0" w:space="0" w:color="auto"/>
                        <w:left w:val="none" w:sz="0" w:space="0" w:color="auto"/>
                        <w:bottom w:val="none" w:sz="0" w:space="0" w:color="auto"/>
                        <w:right w:val="none" w:sz="0" w:space="0" w:color="auto"/>
                      </w:divBdr>
                    </w:div>
                  </w:divsChild>
                </w:div>
                <w:div w:id="2047289531">
                  <w:marLeft w:val="0"/>
                  <w:marRight w:val="0"/>
                  <w:marTop w:val="0"/>
                  <w:marBottom w:val="0"/>
                  <w:divBdr>
                    <w:top w:val="none" w:sz="0" w:space="0" w:color="auto"/>
                    <w:left w:val="none" w:sz="0" w:space="0" w:color="auto"/>
                    <w:bottom w:val="none" w:sz="0" w:space="0" w:color="auto"/>
                    <w:right w:val="none" w:sz="0" w:space="0" w:color="auto"/>
                  </w:divBdr>
                  <w:divsChild>
                    <w:div w:id="758717031">
                      <w:marLeft w:val="0"/>
                      <w:marRight w:val="0"/>
                      <w:marTop w:val="0"/>
                      <w:marBottom w:val="0"/>
                      <w:divBdr>
                        <w:top w:val="none" w:sz="0" w:space="0" w:color="auto"/>
                        <w:left w:val="none" w:sz="0" w:space="0" w:color="auto"/>
                        <w:bottom w:val="none" w:sz="0" w:space="0" w:color="auto"/>
                        <w:right w:val="none" w:sz="0" w:space="0" w:color="auto"/>
                      </w:divBdr>
                    </w:div>
                  </w:divsChild>
                </w:div>
                <w:div w:id="2103184248">
                  <w:marLeft w:val="0"/>
                  <w:marRight w:val="0"/>
                  <w:marTop w:val="0"/>
                  <w:marBottom w:val="0"/>
                  <w:divBdr>
                    <w:top w:val="none" w:sz="0" w:space="0" w:color="auto"/>
                    <w:left w:val="none" w:sz="0" w:space="0" w:color="auto"/>
                    <w:bottom w:val="none" w:sz="0" w:space="0" w:color="auto"/>
                    <w:right w:val="none" w:sz="0" w:space="0" w:color="auto"/>
                  </w:divBdr>
                  <w:divsChild>
                    <w:div w:id="107311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317930">
          <w:marLeft w:val="0"/>
          <w:marRight w:val="0"/>
          <w:marTop w:val="0"/>
          <w:marBottom w:val="0"/>
          <w:divBdr>
            <w:top w:val="none" w:sz="0" w:space="0" w:color="auto"/>
            <w:left w:val="none" w:sz="0" w:space="0" w:color="auto"/>
            <w:bottom w:val="none" w:sz="0" w:space="0" w:color="auto"/>
            <w:right w:val="none" w:sz="0" w:space="0" w:color="auto"/>
          </w:divBdr>
        </w:div>
        <w:div w:id="1261447120">
          <w:marLeft w:val="0"/>
          <w:marRight w:val="0"/>
          <w:marTop w:val="0"/>
          <w:marBottom w:val="0"/>
          <w:divBdr>
            <w:top w:val="none" w:sz="0" w:space="0" w:color="auto"/>
            <w:left w:val="none" w:sz="0" w:space="0" w:color="auto"/>
            <w:bottom w:val="none" w:sz="0" w:space="0" w:color="auto"/>
            <w:right w:val="none" w:sz="0" w:space="0" w:color="auto"/>
          </w:divBdr>
          <w:divsChild>
            <w:div w:id="981272982">
              <w:marLeft w:val="-75"/>
              <w:marRight w:val="0"/>
              <w:marTop w:val="30"/>
              <w:marBottom w:val="30"/>
              <w:divBdr>
                <w:top w:val="none" w:sz="0" w:space="0" w:color="auto"/>
                <w:left w:val="none" w:sz="0" w:space="0" w:color="auto"/>
                <w:bottom w:val="none" w:sz="0" w:space="0" w:color="auto"/>
                <w:right w:val="none" w:sz="0" w:space="0" w:color="auto"/>
              </w:divBdr>
              <w:divsChild>
                <w:div w:id="42950199">
                  <w:marLeft w:val="0"/>
                  <w:marRight w:val="0"/>
                  <w:marTop w:val="0"/>
                  <w:marBottom w:val="0"/>
                  <w:divBdr>
                    <w:top w:val="none" w:sz="0" w:space="0" w:color="auto"/>
                    <w:left w:val="none" w:sz="0" w:space="0" w:color="auto"/>
                    <w:bottom w:val="none" w:sz="0" w:space="0" w:color="auto"/>
                    <w:right w:val="none" w:sz="0" w:space="0" w:color="auto"/>
                  </w:divBdr>
                  <w:divsChild>
                    <w:div w:id="1329553405">
                      <w:marLeft w:val="0"/>
                      <w:marRight w:val="0"/>
                      <w:marTop w:val="0"/>
                      <w:marBottom w:val="0"/>
                      <w:divBdr>
                        <w:top w:val="none" w:sz="0" w:space="0" w:color="auto"/>
                        <w:left w:val="none" w:sz="0" w:space="0" w:color="auto"/>
                        <w:bottom w:val="none" w:sz="0" w:space="0" w:color="auto"/>
                        <w:right w:val="none" w:sz="0" w:space="0" w:color="auto"/>
                      </w:divBdr>
                    </w:div>
                  </w:divsChild>
                </w:div>
                <w:div w:id="77140884">
                  <w:marLeft w:val="0"/>
                  <w:marRight w:val="0"/>
                  <w:marTop w:val="0"/>
                  <w:marBottom w:val="0"/>
                  <w:divBdr>
                    <w:top w:val="none" w:sz="0" w:space="0" w:color="auto"/>
                    <w:left w:val="none" w:sz="0" w:space="0" w:color="auto"/>
                    <w:bottom w:val="none" w:sz="0" w:space="0" w:color="auto"/>
                    <w:right w:val="none" w:sz="0" w:space="0" w:color="auto"/>
                  </w:divBdr>
                  <w:divsChild>
                    <w:div w:id="1561400618">
                      <w:marLeft w:val="0"/>
                      <w:marRight w:val="0"/>
                      <w:marTop w:val="0"/>
                      <w:marBottom w:val="0"/>
                      <w:divBdr>
                        <w:top w:val="none" w:sz="0" w:space="0" w:color="auto"/>
                        <w:left w:val="none" w:sz="0" w:space="0" w:color="auto"/>
                        <w:bottom w:val="none" w:sz="0" w:space="0" w:color="auto"/>
                        <w:right w:val="none" w:sz="0" w:space="0" w:color="auto"/>
                      </w:divBdr>
                    </w:div>
                  </w:divsChild>
                </w:div>
                <w:div w:id="107046507">
                  <w:marLeft w:val="0"/>
                  <w:marRight w:val="0"/>
                  <w:marTop w:val="0"/>
                  <w:marBottom w:val="0"/>
                  <w:divBdr>
                    <w:top w:val="none" w:sz="0" w:space="0" w:color="auto"/>
                    <w:left w:val="none" w:sz="0" w:space="0" w:color="auto"/>
                    <w:bottom w:val="none" w:sz="0" w:space="0" w:color="auto"/>
                    <w:right w:val="none" w:sz="0" w:space="0" w:color="auto"/>
                  </w:divBdr>
                  <w:divsChild>
                    <w:div w:id="135729543">
                      <w:marLeft w:val="0"/>
                      <w:marRight w:val="0"/>
                      <w:marTop w:val="0"/>
                      <w:marBottom w:val="0"/>
                      <w:divBdr>
                        <w:top w:val="none" w:sz="0" w:space="0" w:color="auto"/>
                        <w:left w:val="none" w:sz="0" w:space="0" w:color="auto"/>
                        <w:bottom w:val="none" w:sz="0" w:space="0" w:color="auto"/>
                        <w:right w:val="none" w:sz="0" w:space="0" w:color="auto"/>
                      </w:divBdr>
                    </w:div>
                  </w:divsChild>
                </w:div>
                <w:div w:id="113863914">
                  <w:marLeft w:val="0"/>
                  <w:marRight w:val="0"/>
                  <w:marTop w:val="0"/>
                  <w:marBottom w:val="0"/>
                  <w:divBdr>
                    <w:top w:val="none" w:sz="0" w:space="0" w:color="auto"/>
                    <w:left w:val="none" w:sz="0" w:space="0" w:color="auto"/>
                    <w:bottom w:val="none" w:sz="0" w:space="0" w:color="auto"/>
                    <w:right w:val="none" w:sz="0" w:space="0" w:color="auto"/>
                  </w:divBdr>
                  <w:divsChild>
                    <w:div w:id="1799256346">
                      <w:marLeft w:val="0"/>
                      <w:marRight w:val="0"/>
                      <w:marTop w:val="0"/>
                      <w:marBottom w:val="0"/>
                      <w:divBdr>
                        <w:top w:val="none" w:sz="0" w:space="0" w:color="auto"/>
                        <w:left w:val="none" w:sz="0" w:space="0" w:color="auto"/>
                        <w:bottom w:val="none" w:sz="0" w:space="0" w:color="auto"/>
                        <w:right w:val="none" w:sz="0" w:space="0" w:color="auto"/>
                      </w:divBdr>
                    </w:div>
                  </w:divsChild>
                </w:div>
                <w:div w:id="242615995">
                  <w:marLeft w:val="0"/>
                  <w:marRight w:val="0"/>
                  <w:marTop w:val="0"/>
                  <w:marBottom w:val="0"/>
                  <w:divBdr>
                    <w:top w:val="none" w:sz="0" w:space="0" w:color="auto"/>
                    <w:left w:val="none" w:sz="0" w:space="0" w:color="auto"/>
                    <w:bottom w:val="none" w:sz="0" w:space="0" w:color="auto"/>
                    <w:right w:val="none" w:sz="0" w:space="0" w:color="auto"/>
                  </w:divBdr>
                  <w:divsChild>
                    <w:div w:id="2039116515">
                      <w:marLeft w:val="0"/>
                      <w:marRight w:val="0"/>
                      <w:marTop w:val="0"/>
                      <w:marBottom w:val="0"/>
                      <w:divBdr>
                        <w:top w:val="none" w:sz="0" w:space="0" w:color="auto"/>
                        <w:left w:val="none" w:sz="0" w:space="0" w:color="auto"/>
                        <w:bottom w:val="none" w:sz="0" w:space="0" w:color="auto"/>
                        <w:right w:val="none" w:sz="0" w:space="0" w:color="auto"/>
                      </w:divBdr>
                    </w:div>
                  </w:divsChild>
                </w:div>
                <w:div w:id="249050403">
                  <w:marLeft w:val="0"/>
                  <w:marRight w:val="0"/>
                  <w:marTop w:val="0"/>
                  <w:marBottom w:val="0"/>
                  <w:divBdr>
                    <w:top w:val="none" w:sz="0" w:space="0" w:color="auto"/>
                    <w:left w:val="none" w:sz="0" w:space="0" w:color="auto"/>
                    <w:bottom w:val="none" w:sz="0" w:space="0" w:color="auto"/>
                    <w:right w:val="none" w:sz="0" w:space="0" w:color="auto"/>
                  </w:divBdr>
                  <w:divsChild>
                    <w:div w:id="1716738698">
                      <w:marLeft w:val="0"/>
                      <w:marRight w:val="0"/>
                      <w:marTop w:val="0"/>
                      <w:marBottom w:val="0"/>
                      <w:divBdr>
                        <w:top w:val="none" w:sz="0" w:space="0" w:color="auto"/>
                        <w:left w:val="none" w:sz="0" w:space="0" w:color="auto"/>
                        <w:bottom w:val="none" w:sz="0" w:space="0" w:color="auto"/>
                        <w:right w:val="none" w:sz="0" w:space="0" w:color="auto"/>
                      </w:divBdr>
                    </w:div>
                  </w:divsChild>
                </w:div>
                <w:div w:id="367413498">
                  <w:marLeft w:val="0"/>
                  <w:marRight w:val="0"/>
                  <w:marTop w:val="0"/>
                  <w:marBottom w:val="0"/>
                  <w:divBdr>
                    <w:top w:val="none" w:sz="0" w:space="0" w:color="auto"/>
                    <w:left w:val="none" w:sz="0" w:space="0" w:color="auto"/>
                    <w:bottom w:val="none" w:sz="0" w:space="0" w:color="auto"/>
                    <w:right w:val="none" w:sz="0" w:space="0" w:color="auto"/>
                  </w:divBdr>
                  <w:divsChild>
                    <w:div w:id="1301228527">
                      <w:marLeft w:val="0"/>
                      <w:marRight w:val="0"/>
                      <w:marTop w:val="0"/>
                      <w:marBottom w:val="0"/>
                      <w:divBdr>
                        <w:top w:val="none" w:sz="0" w:space="0" w:color="auto"/>
                        <w:left w:val="none" w:sz="0" w:space="0" w:color="auto"/>
                        <w:bottom w:val="none" w:sz="0" w:space="0" w:color="auto"/>
                        <w:right w:val="none" w:sz="0" w:space="0" w:color="auto"/>
                      </w:divBdr>
                    </w:div>
                  </w:divsChild>
                </w:div>
                <w:div w:id="378674696">
                  <w:marLeft w:val="0"/>
                  <w:marRight w:val="0"/>
                  <w:marTop w:val="0"/>
                  <w:marBottom w:val="0"/>
                  <w:divBdr>
                    <w:top w:val="none" w:sz="0" w:space="0" w:color="auto"/>
                    <w:left w:val="none" w:sz="0" w:space="0" w:color="auto"/>
                    <w:bottom w:val="none" w:sz="0" w:space="0" w:color="auto"/>
                    <w:right w:val="none" w:sz="0" w:space="0" w:color="auto"/>
                  </w:divBdr>
                  <w:divsChild>
                    <w:div w:id="1804039240">
                      <w:marLeft w:val="0"/>
                      <w:marRight w:val="0"/>
                      <w:marTop w:val="0"/>
                      <w:marBottom w:val="0"/>
                      <w:divBdr>
                        <w:top w:val="none" w:sz="0" w:space="0" w:color="auto"/>
                        <w:left w:val="none" w:sz="0" w:space="0" w:color="auto"/>
                        <w:bottom w:val="none" w:sz="0" w:space="0" w:color="auto"/>
                        <w:right w:val="none" w:sz="0" w:space="0" w:color="auto"/>
                      </w:divBdr>
                    </w:div>
                  </w:divsChild>
                </w:div>
                <w:div w:id="386686059">
                  <w:marLeft w:val="0"/>
                  <w:marRight w:val="0"/>
                  <w:marTop w:val="0"/>
                  <w:marBottom w:val="0"/>
                  <w:divBdr>
                    <w:top w:val="none" w:sz="0" w:space="0" w:color="auto"/>
                    <w:left w:val="none" w:sz="0" w:space="0" w:color="auto"/>
                    <w:bottom w:val="none" w:sz="0" w:space="0" w:color="auto"/>
                    <w:right w:val="none" w:sz="0" w:space="0" w:color="auto"/>
                  </w:divBdr>
                  <w:divsChild>
                    <w:div w:id="1819300043">
                      <w:marLeft w:val="0"/>
                      <w:marRight w:val="0"/>
                      <w:marTop w:val="0"/>
                      <w:marBottom w:val="0"/>
                      <w:divBdr>
                        <w:top w:val="none" w:sz="0" w:space="0" w:color="auto"/>
                        <w:left w:val="none" w:sz="0" w:space="0" w:color="auto"/>
                        <w:bottom w:val="none" w:sz="0" w:space="0" w:color="auto"/>
                        <w:right w:val="none" w:sz="0" w:space="0" w:color="auto"/>
                      </w:divBdr>
                    </w:div>
                  </w:divsChild>
                </w:div>
                <w:div w:id="388185890">
                  <w:marLeft w:val="0"/>
                  <w:marRight w:val="0"/>
                  <w:marTop w:val="0"/>
                  <w:marBottom w:val="0"/>
                  <w:divBdr>
                    <w:top w:val="none" w:sz="0" w:space="0" w:color="auto"/>
                    <w:left w:val="none" w:sz="0" w:space="0" w:color="auto"/>
                    <w:bottom w:val="none" w:sz="0" w:space="0" w:color="auto"/>
                    <w:right w:val="none" w:sz="0" w:space="0" w:color="auto"/>
                  </w:divBdr>
                  <w:divsChild>
                    <w:div w:id="1917085847">
                      <w:marLeft w:val="0"/>
                      <w:marRight w:val="0"/>
                      <w:marTop w:val="0"/>
                      <w:marBottom w:val="0"/>
                      <w:divBdr>
                        <w:top w:val="none" w:sz="0" w:space="0" w:color="auto"/>
                        <w:left w:val="none" w:sz="0" w:space="0" w:color="auto"/>
                        <w:bottom w:val="none" w:sz="0" w:space="0" w:color="auto"/>
                        <w:right w:val="none" w:sz="0" w:space="0" w:color="auto"/>
                      </w:divBdr>
                    </w:div>
                  </w:divsChild>
                </w:div>
                <w:div w:id="529689236">
                  <w:marLeft w:val="0"/>
                  <w:marRight w:val="0"/>
                  <w:marTop w:val="0"/>
                  <w:marBottom w:val="0"/>
                  <w:divBdr>
                    <w:top w:val="none" w:sz="0" w:space="0" w:color="auto"/>
                    <w:left w:val="none" w:sz="0" w:space="0" w:color="auto"/>
                    <w:bottom w:val="none" w:sz="0" w:space="0" w:color="auto"/>
                    <w:right w:val="none" w:sz="0" w:space="0" w:color="auto"/>
                  </w:divBdr>
                  <w:divsChild>
                    <w:div w:id="1288589402">
                      <w:marLeft w:val="0"/>
                      <w:marRight w:val="0"/>
                      <w:marTop w:val="0"/>
                      <w:marBottom w:val="0"/>
                      <w:divBdr>
                        <w:top w:val="none" w:sz="0" w:space="0" w:color="auto"/>
                        <w:left w:val="none" w:sz="0" w:space="0" w:color="auto"/>
                        <w:bottom w:val="none" w:sz="0" w:space="0" w:color="auto"/>
                        <w:right w:val="none" w:sz="0" w:space="0" w:color="auto"/>
                      </w:divBdr>
                    </w:div>
                  </w:divsChild>
                </w:div>
                <w:div w:id="555627041">
                  <w:marLeft w:val="0"/>
                  <w:marRight w:val="0"/>
                  <w:marTop w:val="0"/>
                  <w:marBottom w:val="0"/>
                  <w:divBdr>
                    <w:top w:val="none" w:sz="0" w:space="0" w:color="auto"/>
                    <w:left w:val="none" w:sz="0" w:space="0" w:color="auto"/>
                    <w:bottom w:val="none" w:sz="0" w:space="0" w:color="auto"/>
                    <w:right w:val="none" w:sz="0" w:space="0" w:color="auto"/>
                  </w:divBdr>
                  <w:divsChild>
                    <w:div w:id="387653742">
                      <w:marLeft w:val="0"/>
                      <w:marRight w:val="0"/>
                      <w:marTop w:val="0"/>
                      <w:marBottom w:val="0"/>
                      <w:divBdr>
                        <w:top w:val="none" w:sz="0" w:space="0" w:color="auto"/>
                        <w:left w:val="none" w:sz="0" w:space="0" w:color="auto"/>
                        <w:bottom w:val="none" w:sz="0" w:space="0" w:color="auto"/>
                        <w:right w:val="none" w:sz="0" w:space="0" w:color="auto"/>
                      </w:divBdr>
                    </w:div>
                  </w:divsChild>
                </w:div>
                <w:div w:id="581373506">
                  <w:marLeft w:val="0"/>
                  <w:marRight w:val="0"/>
                  <w:marTop w:val="0"/>
                  <w:marBottom w:val="0"/>
                  <w:divBdr>
                    <w:top w:val="none" w:sz="0" w:space="0" w:color="auto"/>
                    <w:left w:val="none" w:sz="0" w:space="0" w:color="auto"/>
                    <w:bottom w:val="none" w:sz="0" w:space="0" w:color="auto"/>
                    <w:right w:val="none" w:sz="0" w:space="0" w:color="auto"/>
                  </w:divBdr>
                  <w:divsChild>
                    <w:div w:id="100076055">
                      <w:marLeft w:val="0"/>
                      <w:marRight w:val="0"/>
                      <w:marTop w:val="0"/>
                      <w:marBottom w:val="0"/>
                      <w:divBdr>
                        <w:top w:val="none" w:sz="0" w:space="0" w:color="auto"/>
                        <w:left w:val="none" w:sz="0" w:space="0" w:color="auto"/>
                        <w:bottom w:val="none" w:sz="0" w:space="0" w:color="auto"/>
                        <w:right w:val="none" w:sz="0" w:space="0" w:color="auto"/>
                      </w:divBdr>
                    </w:div>
                  </w:divsChild>
                </w:div>
                <w:div w:id="599336566">
                  <w:marLeft w:val="0"/>
                  <w:marRight w:val="0"/>
                  <w:marTop w:val="0"/>
                  <w:marBottom w:val="0"/>
                  <w:divBdr>
                    <w:top w:val="none" w:sz="0" w:space="0" w:color="auto"/>
                    <w:left w:val="none" w:sz="0" w:space="0" w:color="auto"/>
                    <w:bottom w:val="none" w:sz="0" w:space="0" w:color="auto"/>
                    <w:right w:val="none" w:sz="0" w:space="0" w:color="auto"/>
                  </w:divBdr>
                  <w:divsChild>
                    <w:div w:id="506676573">
                      <w:marLeft w:val="0"/>
                      <w:marRight w:val="0"/>
                      <w:marTop w:val="0"/>
                      <w:marBottom w:val="0"/>
                      <w:divBdr>
                        <w:top w:val="none" w:sz="0" w:space="0" w:color="auto"/>
                        <w:left w:val="none" w:sz="0" w:space="0" w:color="auto"/>
                        <w:bottom w:val="none" w:sz="0" w:space="0" w:color="auto"/>
                        <w:right w:val="none" w:sz="0" w:space="0" w:color="auto"/>
                      </w:divBdr>
                    </w:div>
                  </w:divsChild>
                </w:div>
                <w:div w:id="624390771">
                  <w:marLeft w:val="0"/>
                  <w:marRight w:val="0"/>
                  <w:marTop w:val="0"/>
                  <w:marBottom w:val="0"/>
                  <w:divBdr>
                    <w:top w:val="none" w:sz="0" w:space="0" w:color="auto"/>
                    <w:left w:val="none" w:sz="0" w:space="0" w:color="auto"/>
                    <w:bottom w:val="none" w:sz="0" w:space="0" w:color="auto"/>
                    <w:right w:val="none" w:sz="0" w:space="0" w:color="auto"/>
                  </w:divBdr>
                  <w:divsChild>
                    <w:div w:id="1801993334">
                      <w:marLeft w:val="0"/>
                      <w:marRight w:val="0"/>
                      <w:marTop w:val="0"/>
                      <w:marBottom w:val="0"/>
                      <w:divBdr>
                        <w:top w:val="none" w:sz="0" w:space="0" w:color="auto"/>
                        <w:left w:val="none" w:sz="0" w:space="0" w:color="auto"/>
                        <w:bottom w:val="none" w:sz="0" w:space="0" w:color="auto"/>
                        <w:right w:val="none" w:sz="0" w:space="0" w:color="auto"/>
                      </w:divBdr>
                    </w:div>
                  </w:divsChild>
                </w:div>
                <w:div w:id="624889854">
                  <w:marLeft w:val="0"/>
                  <w:marRight w:val="0"/>
                  <w:marTop w:val="0"/>
                  <w:marBottom w:val="0"/>
                  <w:divBdr>
                    <w:top w:val="none" w:sz="0" w:space="0" w:color="auto"/>
                    <w:left w:val="none" w:sz="0" w:space="0" w:color="auto"/>
                    <w:bottom w:val="none" w:sz="0" w:space="0" w:color="auto"/>
                    <w:right w:val="none" w:sz="0" w:space="0" w:color="auto"/>
                  </w:divBdr>
                  <w:divsChild>
                    <w:div w:id="2002006567">
                      <w:marLeft w:val="0"/>
                      <w:marRight w:val="0"/>
                      <w:marTop w:val="0"/>
                      <w:marBottom w:val="0"/>
                      <w:divBdr>
                        <w:top w:val="none" w:sz="0" w:space="0" w:color="auto"/>
                        <w:left w:val="none" w:sz="0" w:space="0" w:color="auto"/>
                        <w:bottom w:val="none" w:sz="0" w:space="0" w:color="auto"/>
                        <w:right w:val="none" w:sz="0" w:space="0" w:color="auto"/>
                      </w:divBdr>
                    </w:div>
                  </w:divsChild>
                </w:div>
                <w:div w:id="709570015">
                  <w:marLeft w:val="0"/>
                  <w:marRight w:val="0"/>
                  <w:marTop w:val="0"/>
                  <w:marBottom w:val="0"/>
                  <w:divBdr>
                    <w:top w:val="none" w:sz="0" w:space="0" w:color="auto"/>
                    <w:left w:val="none" w:sz="0" w:space="0" w:color="auto"/>
                    <w:bottom w:val="none" w:sz="0" w:space="0" w:color="auto"/>
                    <w:right w:val="none" w:sz="0" w:space="0" w:color="auto"/>
                  </w:divBdr>
                  <w:divsChild>
                    <w:div w:id="536087187">
                      <w:marLeft w:val="0"/>
                      <w:marRight w:val="0"/>
                      <w:marTop w:val="0"/>
                      <w:marBottom w:val="0"/>
                      <w:divBdr>
                        <w:top w:val="none" w:sz="0" w:space="0" w:color="auto"/>
                        <w:left w:val="none" w:sz="0" w:space="0" w:color="auto"/>
                        <w:bottom w:val="none" w:sz="0" w:space="0" w:color="auto"/>
                        <w:right w:val="none" w:sz="0" w:space="0" w:color="auto"/>
                      </w:divBdr>
                    </w:div>
                  </w:divsChild>
                </w:div>
                <w:div w:id="825631672">
                  <w:marLeft w:val="0"/>
                  <w:marRight w:val="0"/>
                  <w:marTop w:val="0"/>
                  <w:marBottom w:val="0"/>
                  <w:divBdr>
                    <w:top w:val="none" w:sz="0" w:space="0" w:color="auto"/>
                    <w:left w:val="none" w:sz="0" w:space="0" w:color="auto"/>
                    <w:bottom w:val="none" w:sz="0" w:space="0" w:color="auto"/>
                    <w:right w:val="none" w:sz="0" w:space="0" w:color="auto"/>
                  </w:divBdr>
                  <w:divsChild>
                    <w:div w:id="800465783">
                      <w:marLeft w:val="0"/>
                      <w:marRight w:val="0"/>
                      <w:marTop w:val="0"/>
                      <w:marBottom w:val="0"/>
                      <w:divBdr>
                        <w:top w:val="none" w:sz="0" w:space="0" w:color="auto"/>
                        <w:left w:val="none" w:sz="0" w:space="0" w:color="auto"/>
                        <w:bottom w:val="none" w:sz="0" w:space="0" w:color="auto"/>
                        <w:right w:val="none" w:sz="0" w:space="0" w:color="auto"/>
                      </w:divBdr>
                    </w:div>
                  </w:divsChild>
                </w:div>
                <w:div w:id="902332243">
                  <w:marLeft w:val="0"/>
                  <w:marRight w:val="0"/>
                  <w:marTop w:val="0"/>
                  <w:marBottom w:val="0"/>
                  <w:divBdr>
                    <w:top w:val="none" w:sz="0" w:space="0" w:color="auto"/>
                    <w:left w:val="none" w:sz="0" w:space="0" w:color="auto"/>
                    <w:bottom w:val="none" w:sz="0" w:space="0" w:color="auto"/>
                    <w:right w:val="none" w:sz="0" w:space="0" w:color="auto"/>
                  </w:divBdr>
                  <w:divsChild>
                    <w:div w:id="359625277">
                      <w:marLeft w:val="0"/>
                      <w:marRight w:val="0"/>
                      <w:marTop w:val="0"/>
                      <w:marBottom w:val="0"/>
                      <w:divBdr>
                        <w:top w:val="none" w:sz="0" w:space="0" w:color="auto"/>
                        <w:left w:val="none" w:sz="0" w:space="0" w:color="auto"/>
                        <w:bottom w:val="none" w:sz="0" w:space="0" w:color="auto"/>
                        <w:right w:val="none" w:sz="0" w:space="0" w:color="auto"/>
                      </w:divBdr>
                    </w:div>
                  </w:divsChild>
                </w:div>
                <w:div w:id="930746011">
                  <w:marLeft w:val="0"/>
                  <w:marRight w:val="0"/>
                  <w:marTop w:val="0"/>
                  <w:marBottom w:val="0"/>
                  <w:divBdr>
                    <w:top w:val="none" w:sz="0" w:space="0" w:color="auto"/>
                    <w:left w:val="none" w:sz="0" w:space="0" w:color="auto"/>
                    <w:bottom w:val="none" w:sz="0" w:space="0" w:color="auto"/>
                    <w:right w:val="none" w:sz="0" w:space="0" w:color="auto"/>
                  </w:divBdr>
                  <w:divsChild>
                    <w:div w:id="56780448">
                      <w:marLeft w:val="0"/>
                      <w:marRight w:val="0"/>
                      <w:marTop w:val="0"/>
                      <w:marBottom w:val="0"/>
                      <w:divBdr>
                        <w:top w:val="none" w:sz="0" w:space="0" w:color="auto"/>
                        <w:left w:val="none" w:sz="0" w:space="0" w:color="auto"/>
                        <w:bottom w:val="none" w:sz="0" w:space="0" w:color="auto"/>
                        <w:right w:val="none" w:sz="0" w:space="0" w:color="auto"/>
                      </w:divBdr>
                    </w:div>
                  </w:divsChild>
                </w:div>
                <w:div w:id="945817051">
                  <w:marLeft w:val="0"/>
                  <w:marRight w:val="0"/>
                  <w:marTop w:val="0"/>
                  <w:marBottom w:val="0"/>
                  <w:divBdr>
                    <w:top w:val="none" w:sz="0" w:space="0" w:color="auto"/>
                    <w:left w:val="none" w:sz="0" w:space="0" w:color="auto"/>
                    <w:bottom w:val="none" w:sz="0" w:space="0" w:color="auto"/>
                    <w:right w:val="none" w:sz="0" w:space="0" w:color="auto"/>
                  </w:divBdr>
                  <w:divsChild>
                    <w:div w:id="1521894339">
                      <w:marLeft w:val="0"/>
                      <w:marRight w:val="0"/>
                      <w:marTop w:val="0"/>
                      <w:marBottom w:val="0"/>
                      <w:divBdr>
                        <w:top w:val="none" w:sz="0" w:space="0" w:color="auto"/>
                        <w:left w:val="none" w:sz="0" w:space="0" w:color="auto"/>
                        <w:bottom w:val="none" w:sz="0" w:space="0" w:color="auto"/>
                        <w:right w:val="none" w:sz="0" w:space="0" w:color="auto"/>
                      </w:divBdr>
                    </w:div>
                  </w:divsChild>
                </w:div>
                <w:div w:id="962619652">
                  <w:marLeft w:val="0"/>
                  <w:marRight w:val="0"/>
                  <w:marTop w:val="0"/>
                  <w:marBottom w:val="0"/>
                  <w:divBdr>
                    <w:top w:val="none" w:sz="0" w:space="0" w:color="auto"/>
                    <w:left w:val="none" w:sz="0" w:space="0" w:color="auto"/>
                    <w:bottom w:val="none" w:sz="0" w:space="0" w:color="auto"/>
                    <w:right w:val="none" w:sz="0" w:space="0" w:color="auto"/>
                  </w:divBdr>
                  <w:divsChild>
                    <w:div w:id="347296712">
                      <w:marLeft w:val="0"/>
                      <w:marRight w:val="0"/>
                      <w:marTop w:val="0"/>
                      <w:marBottom w:val="0"/>
                      <w:divBdr>
                        <w:top w:val="none" w:sz="0" w:space="0" w:color="auto"/>
                        <w:left w:val="none" w:sz="0" w:space="0" w:color="auto"/>
                        <w:bottom w:val="none" w:sz="0" w:space="0" w:color="auto"/>
                        <w:right w:val="none" w:sz="0" w:space="0" w:color="auto"/>
                      </w:divBdr>
                    </w:div>
                  </w:divsChild>
                </w:div>
                <w:div w:id="1055811601">
                  <w:marLeft w:val="0"/>
                  <w:marRight w:val="0"/>
                  <w:marTop w:val="0"/>
                  <w:marBottom w:val="0"/>
                  <w:divBdr>
                    <w:top w:val="none" w:sz="0" w:space="0" w:color="auto"/>
                    <w:left w:val="none" w:sz="0" w:space="0" w:color="auto"/>
                    <w:bottom w:val="none" w:sz="0" w:space="0" w:color="auto"/>
                    <w:right w:val="none" w:sz="0" w:space="0" w:color="auto"/>
                  </w:divBdr>
                  <w:divsChild>
                    <w:div w:id="435561870">
                      <w:marLeft w:val="0"/>
                      <w:marRight w:val="0"/>
                      <w:marTop w:val="0"/>
                      <w:marBottom w:val="0"/>
                      <w:divBdr>
                        <w:top w:val="none" w:sz="0" w:space="0" w:color="auto"/>
                        <w:left w:val="none" w:sz="0" w:space="0" w:color="auto"/>
                        <w:bottom w:val="none" w:sz="0" w:space="0" w:color="auto"/>
                        <w:right w:val="none" w:sz="0" w:space="0" w:color="auto"/>
                      </w:divBdr>
                    </w:div>
                  </w:divsChild>
                </w:div>
                <w:div w:id="1093892878">
                  <w:marLeft w:val="0"/>
                  <w:marRight w:val="0"/>
                  <w:marTop w:val="0"/>
                  <w:marBottom w:val="0"/>
                  <w:divBdr>
                    <w:top w:val="none" w:sz="0" w:space="0" w:color="auto"/>
                    <w:left w:val="none" w:sz="0" w:space="0" w:color="auto"/>
                    <w:bottom w:val="none" w:sz="0" w:space="0" w:color="auto"/>
                    <w:right w:val="none" w:sz="0" w:space="0" w:color="auto"/>
                  </w:divBdr>
                  <w:divsChild>
                    <w:div w:id="1962878120">
                      <w:marLeft w:val="0"/>
                      <w:marRight w:val="0"/>
                      <w:marTop w:val="0"/>
                      <w:marBottom w:val="0"/>
                      <w:divBdr>
                        <w:top w:val="none" w:sz="0" w:space="0" w:color="auto"/>
                        <w:left w:val="none" w:sz="0" w:space="0" w:color="auto"/>
                        <w:bottom w:val="none" w:sz="0" w:space="0" w:color="auto"/>
                        <w:right w:val="none" w:sz="0" w:space="0" w:color="auto"/>
                      </w:divBdr>
                    </w:div>
                  </w:divsChild>
                </w:div>
                <w:div w:id="1098410348">
                  <w:marLeft w:val="0"/>
                  <w:marRight w:val="0"/>
                  <w:marTop w:val="0"/>
                  <w:marBottom w:val="0"/>
                  <w:divBdr>
                    <w:top w:val="none" w:sz="0" w:space="0" w:color="auto"/>
                    <w:left w:val="none" w:sz="0" w:space="0" w:color="auto"/>
                    <w:bottom w:val="none" w:sz="0" w:space="0" w:color="auto"/>
                    <w:right w:val="none" w:sz="0" w:space="0" w:color="auto"/>
                  </w:divBdr>
                  <w:divsChild>
                    <w:div w:id="402685415">
                      <w:marLeft w:val="0"/>
                      <w:marRight w:val="0"/>
                      <w:marTop w:val="0"/>
                      <w:marBottom w:val="0"/>
                      <w:divBdr>
                        <w:top w:val="none" w:sz="0" w:space="0" w:color="auto"/>
                        <w:left w:val="none" w:sz="0" w:space="0" w:color="auto"/>
                        <w:bottom w:val="none" w:sz="0" w:space="0" w:color="auto"/>
                        <w:right w:val="none" w:sz="0" w:space="0" w:color="auto"/>
                      </w:divBdr>
                    </w:div>
                  </w:divsChild>
                </w:div>
                <w:div w:id="1126267059">
                  <w:marLeft w:val="0"/>
                  <w:marRight w:val="0"/>
                  <w:marTop w:val="0"/>
                  <w:marBottom w:val="0"/>
                  <w:divBdr>
                    <w:top w:val="none" w:sz="0" w:space="0" w:color="auto"/>
                    <w:left w:val="none" w:sz="0" w:space="0" w:color="auto"/>
                    <w:bottom w:val="none" w:sz="0" w:space="0" w:color="auto"/>
                    <w:right w:val="none" w:sz="0" w:space="0" w:color="auto"/>
                  </w:divBdr>
                  <w:divsChild>
                    <w:div w:id="1685395332">
                      <w:marLeft w:val="0"/>
                      <w:marRight w:val="0"/>
                      <w:marTop w:val="0"/>
                      <w:marBottom w:val="0"/>
                      <w:divBdr>
                        <w:top w:val="none" w:sz="0" w:space="0" w:color="auto"/>
                        <w:left w:val="none" w:sz="0" w:space="0" w:color="auto"/>
                        <w:bottom w:val="none" w:sz="0" w:space="0" w:color="auto"/>
                        <w:right w:val="none" w:sz="0" w:space="0" w:color="auto"/>
                      </w:divBdr>
                    </w:div>
                  </w:divsChild>
                </w:div>
                <w:div w:id="1138911293">
                  <w:marLeft w:val="0"/>
                  <w:marRight w:val="0"/>
                  <w:marTop w:val="0"/>
                  <w:marBottom w:val="0"/>
                  <w:divBdr>
                    <w:top w:val="none" w:sz="0" w:space="0" w:color="auto"/>
                    <w:left w:val="none" w:sz="0" w:space="0" w:color="auto"/>
                    <w:bottom w:val="none" w:sz="0" w:space="0" w:color="auto"/>
                    <w:right w:val="none" w:sz="0" w:space="0" w:color="auto"/>
                  </w:divBdr>
                  <w:divsChild>
                    <w:div w:id="1244535955">
                      <w:marLeft w:val="0"/>
                      <w:marRight w:val="0"/>
                      <w:marTop w:val="0"/>
                      <w:marBottom w:val="0"/>
                      <w:divBdr>
                        <w:top w:val="none" w:sz="0" w:space="0" w:color="auto"/>
                        <w:left w:val="none" w:sz="0" w:space="0" w:color="auto"/>
                        <w:bottom w:val="none" w:sz="0" w:space="0" w:color="auto"/>
                        <w:right w:val="none" w:sz="0" w:space="0" w:color="auto"/>
                      </w:divBdr>
                    </w:div>
                  </w:divsChild>
                </w:div>
                <w:div w:id="1157107727">
                  <w:marLeft w:val="0"/>
                  <w:marRight w:val="0"/>
                  <w:marTop w:val="0"/>
                  <w:marBottom w:val="0"/>
                  <w:divBdr>
                    <w:top w:val="none" w:sz="0" w:space="0" w:color="auto"/>
                    <w:left w:val="none" w:sz="0" w:space="0" w:color="auto"/>
                    <w:bottom w:val="none" w:sz="0" w:space="0" w:color="auto"/>
                    <w:right w:val="none" w:sz="0" w:space="0" w:color="auto"/>
                  </w:divBdr>
                  <w:divsChild>
                    <w:div w:id="429816278">
                      <w:marLeft w:val="0"/>
                      <w:marRight w:val="0"/>
                      <w:marTop w:val="0"/>
                      <w:marBottom w:val="0"/>
                      <w:divBdr>
                        <w:top w:val="none" w:sz="0" w:space="0" w:color="auto"/>
                        <w:left w:val="none" w:sz="0" w:space="0" w:color="auto"/>
                        <w:bottom w:val="none" w:sz="0" w:space="0" w:color="auto"/>
                        <w:right w:val="none" w:sz="0" w:space="0" w:color="auto"/>
                      </w:divBdr>
                    </w:div>
                  </w:divsChild>
                </w:div>
                <w:div w:id="1161503737">
                  <w:marLeft w:val="0"/>
                  <w:marRight w:val="0"/>
                  <w:marTop w:val="0"/>
                  <w:marBottom w:val="0"/>
                  <w:divBdr>
                    <w:top w:val="none" w:sz="0" w:space="0" w:color="auto"/>
                    <w:left w:val="none" w:sz="0" w:space="0" w:color="auto"/>
                    <w:bottom w:val="none" w:sz="0" w:space="0" w:color="auto"/>
                    <w:right w:val="none" w:sz="0" w:space="0" w:color="auto"/>
                  </w:divBdr>
                  <w:divsChild>
                    <w:div w:id="1955475915">
                      <w:marLeft w:val="0"/>
                      <w:marRight w:val="0"/>
                      <w:marTop w:val="0"/>
                      <w:marBottom w:val="0"/>
                      <w:divBdr>
                        <w:top w:val="none" w:sz="0" w:space="0" w:color="auto"/>
                        <w:left w:val="none" w:sz="0" w:space="0" w:color="auto"/>
                        <w:bottom w:val="none" w:sz="0" w:space="0" w:color="auto"/>
                        <w:right w:val="none" w:sz="0" w:space="0" w:color="auto"/>
                      </w:divBdr>
                    </w:div>
                  </w:divsChild>
                </w:div>
                <w:div w:id="1168404079">
                  <w:marLeft w:val="0"/>
                  <w:marRight w:val="0"/>
                  <w:marTop w:val="0"/>
                  <w:marBottom w:val="0"/>
                  <w:divBdr>
                    <w:top w:val="none" w:sz="0" w:space="0" w:color="auto"/>
                    <w:left w:val="none" w:sz="0" w:space="0" w:color="auto"/>
                    <w:bottom w:val="none" w:sz="0" w:space="0" w:color="auto"/>
                    <w:right w:val="none" w:sz="0" w:space="0" w:color="auto"/>
                  </w:divBdr>
                  <w:divsChild>
                    <w:div w:id="253633500">
                      <w:marLeft w:val="0"/>
                      <w:marRight w:val="0"/>
                      <w:marTop w:val="0"/>
                      <w:marBottom w:val="0"/>
                      <w:divBdr>
                        <w:top w:val="none" w:sz="0" w:space="0" w:color="auto"/>
                        <w:left w:val="none" w:sz="0" w:space="0" w:color="auto"/>
                        <w:bottom w:val="none" w:sz="0" w:space="0" w:color="auto"/>
                        <w:right w:val="none" w:sz="0" w:space="0" w:color="auto"/>
                      </w:divBdr>
                    </w:div>
                  </w:divsChild>
                </w:div>
                <w:div w:id="1178814131">
                  <w:marLeft w:val="0"/>
                  <w:marRight w:val="0"/>
                  <w:marTop w:val="0"/>
                  <w:marBottom w:val="0"/>
                  <w:divBdr>
                    <w:top w:val="none" w:sz="0" w:space="0" w:color="auto"/>
                    <w:left w:val="none" w:sz="0" w:space="0" w:color="auto"/>
                    <w:bottom w:val="none" w:sz="0" w:space="0" w:color="auto"/>
                    <w:right w:val="none" w:sz="0" w:space="0" w:color="auto"/>
                  </w:divBdr>
                  <w:divsChild>
                    <w:div w:id="1689870314">
                      <w:marLeft w:val="0"/>
                      <w:marRight w:val="0"/>
                      <w:marTop w:val="0"/>
                      <w:marBottom w:val="0"/>
                      <w:divBdr>
                        <w:top w:val="none" w:sz="0" w:space="0" w:color="auto"/>
                        <w:left w:val="none" w:sz="0" w:space="0" w:color="auto"/>
                        <w:bottom w:val="none" w:sz="0" w:space="0" w:color="auto"/>
                        <w:right w:val="none" w:sz="0" w:space="0" w:color="auto"/>
                      </w:divBdr>
                    </w:div>
                  </w:divsChild>
                </w:div>
                <w:div w:id="1180705526">
                  <w:marLeft w:val="0"/>
                  <w:marRight w:val="0"/>
                  <w:marTop w:val="0"/>
                  <w:marBottom w:val="0"/>
                  <w:divBdr>
                    <w:top w:val="none" w:sz="0" w:space="0" w:color="auto"/>
                    <w:left w:val="none" w:sz="0" w:space="0" w:color="auto"/>
                    <w:bottom w:val="none" w:sz="0" w:space="0" w:color="auto"/>
                    <w:right w:val="none" w:sz="0" w:space="0" w:color="auto"/>
                  </w:divBdr>
                  <w:divsChild>
                    <w:div w:id="818687211">
                      <w:marLeft w:val="0"/>
                      <w:marRight w:val="0"/>
                      <w:marTop w:val="0"/>
                      <w:marBottom w:val="0"/>
                      <w:divBdr>
                        <w:top w:val="none" w:sz="0" w:space="0" w:color="auto"/>
                        <w:left w:val="none" w:sz="0" w:space="0" w:color="auto"/>
                        <w:bottom w:val="none" w:sz="0" w:space="0" w:color="auto"/>
                        <w:right w:val="none" w:sz="0" w:space="0" w:color="auto"/>
                      </w:divBdr>
                    </w:div>
                  </w:divsChild>
                </w:div>
                <w:div w:id="1253323212">
                  <w:marLeft w:val="0"/>
                  <w:marRight w:val="0"/>
                  <w:marTop w:val="0"/>
                  <w:marBottom w:val="0"/>
                  <w:divBdr>
                    <w:top w:val="none" w:sz="0" w:space="0" w:color="auto"/>
                    <w:left w:val="none" w:sz="0" w:space="0" w:color="auto"/>
                    <w:bottom w:val="none" w:sz="0" w:space="0" w:color="auto"/>
                    <w:right w:val="none" w:sz="0" w:space="0" w:color="auto"/>
                  </w:divBdr>
                  <w:divsChild>
                    <w:div w:id="1733625638">
                      <w:marLeft w:val="0"/>
                      <w:marRight w:val="0"/>
                      <w:marTop w:val="0"/>
                      <w:marBottom w:val="0"/>
                      <w:divBdr>
                        <w:top w:val="none" w:sz="0" w:space="0" w:color="auto"/>
                        <w:left w:val="none" w:sz="0" w:space="0" w:color="auto"/>
                        <w:bottom w:val="none" w:sz="0" w:space="0" w:color="auto"/>
                        <w:right w:val="none" w:sz="0" w:space="0" w:color="auto"/>
                      </w:divBdr>
                    </w:div>
                  </w:divsChild>
                </w:div>
                <w:div w:id="1312101880">
                  <w:marLeft w:val="0"/>
                  <w:marRight w:val="0"/>
                  <w:marTop w:val="0"/>
                  <w:marBottom w:val="0"/>
                  <w:divBdr>
                    <w:top w:val="none" w:sz="0" w:space="0" w:color="auto"/>
                    <w:left w:val="none" w:sz="0" w:space="0" w:color="auto"/>
                    <w:bottom w:val="none" w:sz="0" w:space="0" w:color="auto"/>
                    <w:right w:val="none" w:sz="0" w:space="0" w:color="auto"/>
                  </w:divBdr>
                  <w:divsChild>
                    <w:div w:id="903294638">
                      <w:marLeft w:val="0"/>
                      <w:marRight w:val="0"/>
                      <w:marTop w:val="0"/>
                      <w:marBottom w:val="0"/>
                      <w:divBdr>
                        <w:top w:val="none" w:sz="0" w:space="0" w:color="auto"/>
                        <w:left w:val="none" w:sz="0" w:space="0" w:color="auto"/>
                        <w:bottom w:val="none" w:sz="0" w:space="0" w:color="auto"/>
                        <w:right w:val="none" w:sz="0" w:space="0" w:color="auto"/>
                      </w:divBdr>
                    </w:div>
                  </w:divsChild>
                </w:div>
                <w:div w:id="1325355199">
                  <w:marLeft w:val="0"/>
                  <w:marRight w:val="0"/>
                  <w:marTop w:val="0"/>
                  <w:marBottom w:val="0"/>
                  <w:divBdr>
                    <w:top w:val="none" w:sz="0" w:space="0" w:color="auto"/>
                    <w:left w:val="none" w:sz="0" w:space="0" w:color="auto"/>
                    <w:bottom w:val="none" w:sz="0" w:space="0" w:color="auto"/>
                    <w:right w:val="none" w:sz="0" w:space="0" w:color="auto"/>
                  </w:divBdr>
                  <w:divsChild>
                    <w:div w:id="888879544">
                      <w:marLeft w:val="0"/>
                      <w:marRight w:val="0"/>
                      <w:marTop w:val="0"/>
                      <w:marBottom w:val="0"/>
                      <w:divBdr>
                        <w:top w:val="none" w:sz="0" w:space="0" w:color="auto"/>
                        <w:left w:val="none" w:sz="0" w:space="0" w:color="auto"/>
                        <w:bottom w:val="none" w:sz="0" w:space="0" w:color="auto"/>
                        <w:right w:val="none" w:sz="0" w:space="0" w:color="auto"/>
                      </w:divBdr>
                    </w:div>
                  </w:divsChild>
                </w:div>
                <w:div w:id="1367868169">
                  <w:marLeft w:val="0"/>
                  <w:marRight w:val="0"/>
                  <w:marTop w:val="0"/>
                  <w:marBottom w:val="0"/>
                  <w:divBdr>
                    <w:top w:val="none" w:sz="0" w:space="0" w:color="auto"/>
                    <w:left w:val="none" w:sz="0" w:space="0" w:color="auto"/>
                    <w:bottom w:val="none" w:sz="0" w:space="0" w:color="auto"/>
                    <w:right w:val="none" w:sz="0" w:space="0" w:color="auto"/>
                  </w:divBdr>
                  <w:divsChild>
                    <w:div w:id="1235507208">
                      <w:marLeft w:val="0"/>
                      <w:marRight w:val="0"/>
                      <w:marTop w:val="0"/>
                      <w:marBottom w:val="0"/>
                      <w:divBdr>
                        <w:top w:val="none" w:sz="0" w:space="0" w:color="auto"/>
                        <w:left w:val="none" w:sz="0" w:space="0" w:color="auto"/>
                        <w:bottom w:val="none" w:sz="0" w:space="0" w:color="auto"/>
                        <w:right w:val="none" w:sz="0" w:space="0" w:color="auto"/>
                      </w:divBdr>
                    </w:div>
                  </w:divsChild>
                </w:div>
                <w:div w:id="1432042874">
                  <w:marLeft w:val="0"/>
                  <w:marRight w:val="0"/>
                  <w:marTop w:val="0"/>
                  <w:marBottom w:val="0"/>
                  <w:divBdr>
                    <w:top w:val="none" w:sz="0" w:space="0" w:color="auto"/>
                    <w:left w:val="none" w:sz="0" w:space="0" w:color="auto"/>
                    <w:bottom w:val="none" w:sz="0" w:space="0" w:color="auto"/>
                    <w:right w:val="none" w:sz="0" w:space="0" w:color="auto"/>
                  </w:divBdr>
                  <w:divsChild>
                    <w:div w:id="1592665743">
                      <w:marLeft w:val="0"/>
                      <w:marRight w:val="0"/>
                      <w:marTop w:val="0"/>
                      <w:marBottom w:val="0"/>
                      <w:divBdr>
                        <w:top w:val="none" w:sz="0" w:space="0" w:color="auto"/>
                        <w:left w:val="none" w:sz="0" w:space="0" w:color="auto"/>
                        <w:bottom w:val="none" w:sz="0" w:space="0" w:color="auto"/>
                        <w:right w:val="none" w:sz="0" w:space="0" w:color="auto"/>
                      </w:divBdr>
                    </w:div>
                  </w:divsChild>
                </w:div>
                <w:div w:id="1532380412">
                  <w:marLeft w:val="0"/>
                  <w:marRight w:val="0"/>
                  <w:marTop w:val="0"/>
                  <w:marBottom w:val="0"/>
                  <w:divBdr>
                    <w:top w:val="none" w:sz="0" w:space="0" w:color="auto"/>
                    <w:left w:val="none" w:sz="0" w:space="0" w:color="auto"/>
                    <w:bottom w:val="none" w:sz="0" w:space="0" w:color="auto"/>
                    <w:right w:val="none" w:sz="0" w:space="0" w:color="auto"/>
                  </w:divBdr>
                  <w:divsChild>
                    <w:div w:id="2072191141">
                      <w:marLeft w:val="0"/>
                      <w:marRight w:val="0"/>
                      <w:marTop w:val="0"/>
                      <w:marBottom w:val="0"/>
                      <w:divBdr>
                        <w:top w:val="none" w:sz="0" w:space="0" w:color="auto"/>
                        <w:left w:val="none" w:sz="0" w:space="0" w:color="auto"/>
                        <w:bottom w:val="none" w:sz="0" w:space="0" w:color="auto"/>
                        <w:right w:val="none" w:sz="0" w:space="0" w:color="auto"/>
                      </w:divBdr>
                    </w:div>
                  </w:divsChild>
                </w:div>
                <w:div w:id="1539853579">
                  <w:marLeft w:val="0"/>
                  <w:marRight w:val="0"/>
                  <w:marTop w:val="0"/>
                  <w:marBottom w:val="0"/>
                  <w:divBdr>
                    <w:top w:val="none" w:sz="0" w:space="0" w:color="auto"/>
                    <w:left w:val="none" w:sz="0" w:space="0" w:color="auto"/>
                    <w:bottom w:val="none" w:sz="0" w:space="0" w:color="auto"/>
                    <w:right w:val="none" w:sz="0" w:space="0" w:color="auto"/>
                  </w:divBdr>
                  <w:divsChild>
                    <w:div w:id="328558391">
                      <w:marLeft w:val="0"/>
                      <w:marRight w:val="0"/>
                      <w:marTop w:val="0"/>
                      <w:marBottom w:val="0"/>
                      <w:divBdr>
                        <w:top w:val="none" w:sz="0" w:space="0" w:color="auto"/>
                        <w:left w:val="none" w:sz="0" w:space="0" w:color="auto"/>
                        <w:bottom w:val="none" w:sz="0" w:space="0" w:color="auto"/>
                        <w:right w:val="none" w:sz="0" w:space="0" w:color="auto"/>
                      </w:divBdr>
                    </w:div>
                  </w:divsChild>
                </w:div>
                <w:div w:id="1554341662">
                  <w:marLeft w:val="0"/>
                  <w:marRight w:val="0"/>
                  <w:marTop w:val="0"/>
                  <w:marBottom w:val="0"/>
                  <w:divBdr>
                    <w:top w:val="none" w:sz="0" w:space="0" w:color="auto"/>
                    <w:left w:val="none" w:sz="0" w:space="0" w:color="auto"/>
                    <w:bottom w:val="none" w:sz="0" w:space="0" w:color="auto"/>
                    <w:right w:val="none" w:sz="0" w:space="0" w:color="auto"/>
                  </w:divBdr>
                  <w:divsChild>
                    <w:div w:id="146744795">
                      <w:marLeft w:val="0"/>
                      <w:marRight w:val="0"/>
                      <w:marTop w:val="0"/>
                      <w:marBottom w:val="0"/>
                      <w:divBdr>
                        <w:top w:val="none" w:sz="0" w:space="0" w:color="auto"/>
                        <w:left w:val="none" w:sz="0" w:space="0" w:color="auto"/>
                        <w:bottom w:val="none" w:sz="0" w:space="0" w:color="auto"/>
                        <w:right w:val="none" w:sz="0" w:space="0" w:color="auto"/>
                      </w:divBdr>
                    </w:div>
                  </w:divsChild>
                </w:div>
                <w:div w:id="1568880261">
                  <w:marLeft w:val="0"/>
                  <w:marRight w:val="0"/>
                  <w:marTop w:val="0"/>
                  <w:marBottom w:val="0"/>
                  <w:divBdr>
                    <w:top w:val="none" w:sz="0" w:space="0" w:color="auto"/>
                    <w:left w:val="none" w:sz="0" w:space="0" w:color="auto"/>
                    <w:bottom w:val="none" w:sz="0" w:space="0" w:color="auto"/>
                    <w:right w:val="none" w:sz="0" w:space="0" w:color="auto"/>
                  </w:divBdr>
                  <w:divsChild>
                    <w:div w:id="184947342">
                      <w:marLeft w:val="0"/>
                      <w:marRight w:val="0"/>
                      <w:marTop w:val="0"/>
                      <w:marBottom w:val="0"/>
                      <w:divBdr>
                        <w:top w:val="none" w:sz="0" w:space="0" w:color="auto"/>
                        <w:left w:val="none" w:sz="0" w:space="0" w:color="auto"/>
                        <w:bottom w:val="none" w:sz="0" w:space="0" w:color="auto"/>
                        <w:right w:val="none" w:sz="0" w:space="0" w:color="auto"/>
                      </w:divBdr>
                    </w:div>
                  </w:divsChild>
                </w:div>
                <w:div w:id="1603607278">
                  <w:marLeft w:val="0"/>
                  <w:marRight w:val="0"/>
                  <w:marTop w:val="0"/>
                  <w:marBottom w:val="0"/>
                  <w:divBdr>
                    <w:top w:val="none" w:sz="0" w:space="0" w:color="auto"/>
                    <w:left w:val="none" w:sz="0" w:space="0" w:color="auto"/>
                    <w:bottom w:val="none" w:sz="0" w:space="0" w:color="auto"/>
                    <w:right w:val="none" w:sz="0" w:space="0" w:color="auto"/>
                  </w:divBdr>
                  <w:divsChild>
                    <w:div w:id="345442874">
                      <w:marLeft w:val="0"/>
                      <w:marRight w:val="0"/>
                      <w:marTop w:val="0"/>
                      <w:marBottom w:val="0"/>
                      <w:divBdr>
                        <w:top w:val="none" w:sz="0" w:space="0" w:color="auto"/>
                        <w:left w:val="none" w:sz="0" w:space="0" w:color="auto"/>
                        <w:bottom w:val="none" w:sz="0" w:space="0" w:color="auto"/>
                        <w:right w:val="none" w:sz="0" w:space="0" w:color="auto"/>
                      </w:divBdr>
                    </w:div>
                  </w:divsChild>
                </w:div>
                <w:div w:id="1609892401">
                  <w:marLeft w:val="0"/>
                  <w:marRight w:val="0"/>
                  <w:marTop w:val="0"/>
                  <w:marBottom w:val="0"/>
                  <w:divBdr>
                    <w:top w:val="none" w:sz="0" w:space="0" w:color="auto"/>
                    <w:left w:val="none" w:sz="0" w:space="0" w:color="auto"/>
                    <w:bottom w:val="none" w:sz="0" w:space="0" w:color="auto"/>
                    <w:right w:val="none" w:sz="0" w:space="0" w:color="auto"/>
                  </w:divBdr>
                  <w:divsChild>
                    <w:div w:id="1303929428">
                      <w:marLeft w:val="0"/>
                      <w:marRight w:val="0"/>
                      <w:marTop w:val="0"/>
                      <w:marBottom w:val="0"/>
                      <w:divBdr>
                        <w:top w:val="none" w:sz="0" w:space="0" w:color="auto"/>
                        <w:left w:val="none" w:sz="0" w:space="0" w:color="auto"/>
                        <w:bottom w:val="none" w:sz="0" w:space="0" w:color="auto"/>
                        <w:right w:val="none" w:sz="0" w:space="0" w:color="auto"/>
                      </w:divBdr>
                    </w:div>
                  </w:divsChild>
                </w:div>
                <w:div w:id="1617953588">
                  <w:marLeft w:val="0"/>
                  <w:marRight w:val="0"/>
                  <w:marTop w:val="0"/>
                  <w:marBottom w:val="0"/>
                  <w:divBdr>
                    <w:top w:val="none" w:sz="0" w:space="0" w:color="auto"/>
                    <w:left w:val="none" w:sz="0" w:space="0" w:color="auto"/>
                    <w:bottom w:val="none" w:sz="0" w:space="0" w:color="auto"/>
                    <w:right w:val="none" w:sz="0" w:space="0" w:color="auto"/>
                  </w:divBdr>
                  <w:divsChild>
                    <w:div w:id="1278565421">
                      <w:marLeft w:val="0"/>
                      <w:marRight w:val="0"/>
                      <w:marTop w:val="0"/>
                      <w:marBottom w:val="0"/>
                      <w:divBdr>
                        <w:top w:val="none" w:sz="0" w:space="0" w:color="auto"/>
                        <w:left w:val="none" w:sz="0" w:space="0" w:color="auto"/>
                        <w:bottom w:val="none" w:sz="0" w:space="0" w:color="auto"/>
                        <w:right w:val="none" w:sz="0" w:space="0" w:color="auto"/>
                      </w:divBdr>
                    </w:div>
                  </w:divsChild>
                </w:div>
                <w:div w:id="1711807699">
                  <w:marLeft w:val="0"/>
                  <w:marRight w:val="0"/>
                  <w:marTop w:val="0"/>
                  <w:marBottom w:val="0"/>
                  <w:divBdr>
                    <w:top w:val="none" w:sz="0" w:space="0" w:color="auto"/>
                    <w:left w:val="none" w:sz="0" w:space="0" w:color="auto"/>
                    <w:bottom w:val="none" w:sz="0" w:space="0" w:color="auto"/>
                    <w:right w:val="none" w:sz="0" w:space="0" w:color="auto"/>
                  </w:divBdr>
                  <w:divsChild>
                    <w:div w:id="785542708">
                      <w:marLeft w:val="0"/>
                      <w:marRight w:val="0"/>
                      <w:marTop w:val="0"/>
                      <w:marBottom w:val="0"/>
                      <w:divBdr>
                        <w:top w:val="none" w:sz="0" w:space="0" w:color="auto"/>
                        <w:left w:val="none" w:sz="0" w:space="0" w:color="auto"/>
                        <w:bottom w:val="none" w:sz="0" w:space="0" w:color="auto"/>
                        <w:right w:val="none" w:sz="0" w:space="0" w:color="auto"/>
                      </w:divBdr>
                    </w:div>
                  </w:divsChild>
                </w:div>
                <w:div w:id="1822118092">
                  <w:marLeft w:val="0"/>
                  <w:marRight w:val="0"/>
                  <w:marTop w:val="0"/>
                  <w:marBottom w:val="0"/>
                  <w:divBdr>
                    <w:top w:val="none" w:sz="0" w:space="0" w:color="auto"/>
                    <w:left w:val="none" w:sz="0" w:space="0" w:color="auto"/>
                    <w:bottom w:val="none" w:sz="0" w:space="0" w:color="auto"/>
                    <w:right w:val="none" w:sz="0" w:space="0" w:color="auto"/>
                  </w:divBdr>
                  <w:divsChild>
                    <w:div w:id="1996685565">
                      <w:marLeft w:val="0"/>
                      <w:marRight w:val="0"/>
                      <w:marTop w:val="0"/>
                      <w:marBottom w:val="0"/>
                      <w:divBdr>
                        <w:top w:val="none" w:sz="0" w:space="0" w:color="auto"/>
                        <w:left w:val="none" w:sz="0" w:space="0" w:color="auto"/>
                        <w:bottom w:val="none" w:sz="0" w:space="0" w:color="auto"/>
                        <w:right w:val="none" w:sz="0" w:space="0" w:color="auto"/>
                      </w:divBdr>
                    </w:div>
                  </w:divsChild>
                </w:div>
                <w:div w:id="1838030147">
                  <w:marLeft w:val="0"/>
                  <w:marRight w:val="0"/>
                  <w:marTop w:val="0"/>
                  <w:marBottom w:val="0"/>
                  <w:divBdr>
                    <w:top w:val="none" w:sz="0" w:space="0" w:color="auto"/>
                    <w:left w:val="none" w:sz="0" w:space="0" w:color="auto"/>
                    <w:bottom w:val="none" w:sz="0" w:space="0" w:color="auto"/>
                    <w:right w:val="none" w:sz="0" w:space="0" w:color="auto"/>
                  </w:divBdr>
                  <w:divsChild>
                    <w:div w:id="351687538">
                      <w:marLeft w:val="0"/>
                      <w:marRight w:val="0"/>
                      <w:marTop w:val="0"/>
                      <w:marBottom w:val="0"/>
                      <w:divBdr>
                        <w:top w:val="none" w:sz="0" w:space="0" w:color="auto"/>
                        <w:left w:val="none" w:sz="0" w:space="0" w:color="auto"/>
                        <w:bottom w:val="none" w:sz="0" w:space="0" w:color="auto"/>
                        <w:right w:val="none" w:sz="0" w:space="0" w:color="auto"/>
                      </w:divBdr>
                    </w:div>
                  </w:divsChild>
                </w:div>
                <w:div w:id="1877769212">
                  <w:marLeft w:val="0"/>
                  <w:marRight w:val="0"/>
                  <w:marTop w:val="0"/>
                  <w:marBottom w:val="0"/>
                  <w:divBdr>
                    <w:top w:val="none" w:sz="0" w:space="0" w:color="auto"/>
                    <w:left w:val="none" w:sz="0" w:space="0" w:color="auto"/>
                    <w:bottom w:val="none" w:sz="0" w:space="0" w:color="auto"/>
                    <w:right w:val="none" w:sz="0" w:space="0" w:color="auto"/>
                  </w:divBdr>
                  <w:divsChild>
                    <w:div w:id="1502356252">
                      <w:marLeft w:val="0"/>
                      <w:marRight w:val="0"/>
                      <w:marTop w:val="0"/>
                      <w:marBottom w:val="0"/>
                      <w:divBdr>
                        <w:top w:val="none" w:sz="0" w:space="0" w:color="auto"/>
                        <w:left w:val="none" w:sz="0" w:space="0" w:color="auto"/>
                        <w:bottom w:val="none" w:sz="0" w:space="0" w:color="auto"/>
                        <w:right w:val="none" w:sz="0" w:space="0" w:color="auto"/>
                      </w:divBdr>
                    </w:div>
                  </w:divsChild>
                </w:div>
                <w:div w:id="1923634824">
                  <w:marLeft w:val="0"/>
                  <w:marRight w:val="0"/>
                  <w:marTop w:val="0"/>
                  <w:marBottom w:val="0"/>
                  <w:divBdr>
                    <w:top w:val="none" w:sz="0" w:space="0" w:color="auto"/>
                    <w:left w:val="none" w:sz="0" w:space="0" w:color="auto"/>
                    <w:bottom w:val="none" w:sz="0" w:space="0" w:color="auto"/>
                    <w:right w:val="none" w:sz="0" w:space="0" w:color="auto"/>
                  </w:divBdr>
                  <w:divsChild>
                    <w:div w:id="920868106">
                      <w:marLeft w:val="0"/>
                      <w:marRight w:val="0"/>
                      <w:marTop w:val="0"/>
                      <w:marBottom w:val="0"/>
                      <w:divBdr>
                        <w:top w:val="none" w:sz="0" w:space="0" w:color="auto"/>
                        <w:left w:val="none" w:sz="0" w:space="0" w:color="auto"/>
                        <w:bottom w:val="none" w:sz="0" w:space="0" w:color="auto"/>
                        <w:right w:val="none" w:sz="0" w:space="0" w:color="auto"/>
                      </w:divBdr>
                    </w:div>
                  </w:divsChild>
                </w:div>
                <w:div w:id="1935282359">
                  <w:marLeft w:val="0"/>
                  <w:marRight w:val="0"/>
                  <w:marTop w:val="0"/>
                  <w:marBottom w:val="0"/>
                  <w:divBdr>
                    <w:top w:val="none" w:sz="0" w:space="0" w:color="auto"/>
                    <w:left w:val="none" w:sz="0" w:space="0" w:color="auto"/>
                    <w:bottom w:val="none" w:sz="0" w:space="0" w:color="auto"/>
                    <w:right w:val="none" w:sz="0" w:space="0" w:color="auto"/>
                  </w:divBdr>
                  <w:divsChild>
                    <w:div w:id="759912037">
                      <w:marLeft w:val="0"/>
                      <w:marRight w:val="0"/>
                      <w:marTop w:val="0"/>
                      <w:marBottom w:val="0"/>
                      <w:divBdr>
                        <w:top w:val="none" w:sz="0" w:space="0" w:color="auto"/>
                        <w:left w:val="none" w:sz="0" w:space="0" w:color="auto"/>
                        <w:bottom w:val="none" w:sz="0" w:space="0" w:color="auto"/>
                        <w:right w:val="none" w:sz="0" w:space="0" w:color="auto"/>
                      </w:divBdr>
                    </w:div>
                  </w:divsChild>
                </w:div>
                <w:div w:id="1995334599">
                  <w:marLeft w:val="0"/>
                  <w:marRight w:val="0"/>
                  <w:marTop w:val="0"/>
                  <w:marBottom w:val="0"/>
                  <w:divBdr>
                    <w:top w:val="none" w:sz="0" w:space="0" w:color="auto"/>
                    <w:left w:val="none" w:sz="0" w:space="0" w:color="auto"/>
                    <w:bottom w:val="none" w:sz="0" w:space="0" w:color="auto"/>
                    <w:right w:val="none" w:sz="0" w:space="0" w:color="auto"/>
                  </w:divBdr>
                  <w:divsChild>
                    <w:div w:id="458844207">
                      <w:marLeft w:val="0"/>
                      <w:marRight w:val="0"/>
                      <w:marTop w:val="0"/>
                      <w:marBottom w:val="0"/>
                      <w:divBdr>
                        <w:top w:val="none" w:sz="0" w:space="0" w:color="auto"/>
                        <w:left w:val="none" w:sz="0" w:space="0" w:color="auto"/>
                        <w:bottom w:val="none" w:sz="0" w:space="0" w:color="auto"/>
                        <w:right w:val="none" w:sz="0" w:space="0" w:color="auto"/>
                      </w:divBdr>
                    </w:div>
                  </w:divsChild>
                </w:div>
                <w:div w:id="2000376697">
                  <w:marLeft w:val="0"/>
                  <w:marRight w:val="0"/>
                  <w:marTop w:val="0"/>
                  <w:marBottom w:val="0"/>
                  <w:divBdr>
                    <w:top w:val="none" w:sz="0" w:space="0" w:color="auto"/>
                    <w:left w:val="none" w:sz="0" w:space="0" w:color="auto"/>
                    <w:bottom w:val="none" w:sz="0" w:space="0" w:color="auto"/>
                    <w:right w:val="none" w:sz="0" w:space="0" w:color="auto"/>
                  </w:divBdr>
                  <w:divsChild>
                    <w:div w:id="1538742108">
                      <w:marLeft w:val="0"/>
                      <w:marRight w:val="0"/>
                      <w:marTop w:val="0"/>
                      <w:marBottom w:val="0"/>
                      <w:divBdr>
                        <w:top w:val="none" w:sz="0" w:space="0" w:color="auto"/>
                        <w:left w:val="none" w:sz="0" w:space="0" w:color="auto"/>
                        <w:bottom w:val="none" w:sz="0" w:space="0" w:color="auto"/>
                        <w:right w:val="none" w:sz="0" w:space="0" w:color="auto"/>
                      </w:divBdr>
                    </w:div>
                  </w:divsChild>
                </w:div>
                <w:div w:id="2070298962">
                  <w:marLeft w:val="0"/>
                  <w:marRight w:val="0"/>
                  <w:marTop w:val="0"/>
                  <w:marBottom w:val="0"/>
                  <w:divBdr>
                    <w:top w:val="none" w:sz="0" w:space="0" w:color="auto"/>
                    <w:left w:val="none" w:sz="0" w:space="0" w:color="auto"/>
                    <w:bottom w:val="none" w:sz="0" w:space="0" w:color="auto"/>
                    <w:right w:val="none" w:sz="0" w:space="0" w:color="auto"/>
                  </w:divBdr>
                  <w:divsChild>
                    <w:div w:id="1011377336">
                      <w:marLeft w:val="0"/>
                      <w:marRight w:val="0"/>
                      <w:marTop w:val="0"/>
                      <w:marBottom w:val="0"/>
                      <w:divBdr>
                        <w:top w:val="none" w:sz="0" w:space="0" w:color="auto"/>
                        <w:left w:val="none" w:sz="0" w:space="0" w:color="auto"/>
                        <w:bottom w:val="none" w:sz="0" w:space="0" w:color="auto"/>
                        <w:right w:val="none" w:sz="0" w:space="0" w:color="auto"/>
                      </w:divBdr>
                    </w:div>
                  </w:divsChild>
                </w:div>
                <w:div w:id="2074547480">
                  <w:marLeft w:val="0"/>
                  <w:marRight w:val="0"/>
                  <w:marTop w:val="0"/>
                  <w:marBottom w:val="0"/>
                  <w:divBdr>
                    <w:top w:val="none" w:sz="0" w:space="0" w:color="auto"/>
                    <w:left w:val="none" w:sz="0" w:space="0" w:color="auto"/>
                    <w:bottom w:val="none" w:sz="0" w:space="0" w:color="auto"/>
                    <w:right w:val="none" w:sz="0" w:space="0" w:color="auto"/>
                  </w:divBdr>
                  <w:divsChild>
                    <w:div w:id="115414007">
                      <w:marLeft w:val="0"/>
                      <w:marRight w:val="0"/>
                      <w:marTop w:val="0"/>
                      <w:marBottom w:val="0"/>
                      <w:divBdr>
                        <w:top w:val="none" w:sz="0" w:space="0" w:color="auto"/>
                        <w:left w:val="none" w:sz="0" w:space="0" w:color="auto"/>
                        <w:bottom w:val="none" w:sz="0" w:space="0" w:color="auto"/>
                        <w:right w:val="none" w:sz="0" w:space="0" w:color="auto"/>
                      </w:divBdr>
                    </w:div>
                  </w:divsChild>
                </w:div>
                <w:div w:id="2084986516">
                  <w:marLeft w:val="0"/>
                  <w:marRight w:val="0"/>
                  <w:marTop w:val="0"/>
                  <w:marBottom w:val="0"/>
                  <w:divBdr>
                    <w:top w:val="none" w:sz="0" w:space="0" w:color="auto"/>
                    <w:left w:val="none" w:sz="0" w:space="0" w:color="auto"/>
                    <w:bottom w:val="none" w:sz="0" w:space="0" w:color="auto"/>
                    <w:right w:val="none" w:sz="0" w:space="0" w:color="auto"/>
                  </w:divBdr>
                  <w:divsChild>
                    <w:div w:id="1416509420">
                      <w:marLeft w:val="0"/>
                      <w:marRight w:val="0"/>
                      <w:marTop w:val="0"/>
                      <w:marBottom w:val="0"/>
                      <w:divBdr>
                        <w:top w:val="none" w:sz="0" w:space="0" w:color="auto"/>
                        <w:left w:val="none" w:sz="0" w:space="0" w:color="auto"/>
                        <w:bottom w:val="none" w:sz="0" w:space="0" w:color="auto"/>
                        <w:right w:val="none" w:sz="0" w:space="0" w:color="auto"/>
                      </w:divBdr>
                    </w:div>
                  </w:divsChild>
                </w:div>
                <w:div w:id="2125417184">
                  <w:marLeft w:val="0"/>
                  <w:marRight w:val="0"/>
                  <w:marTop w:val="0"/>
                  <w:marBottom w:val="0"/>
                  <w:divBdr>
                    <w:top w:val="none" w:sz="0" w:space="0" w:color="auto"/>
                    <w:left w:val="none" w:sz="0" w:space="0" w:color="auto"/>
                    <w:bottom w:val="none" w:sz="0" w:space="0" w:color="auto"/>
                    <w:right w:val="none" w:sz="0" w:space="0" w:color="auto"/>
                  </w:divBdr>
                  <w:divsChild>
                    <w:div w:id="94935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061978">
          <w:marLeft w:val="0"/>
          <w:marRight w:val="0"/>
          <w:marTop w:val="0"/>
          <w:marBottom w:val="0"/>
          <w:divBdr>
            <w:top w:val="none" w:sz="0" w:space="0" w:color="auto"/>
            <w:left w:val="none" w:sz="0" w:space="0" w:color="auto"/>
            <w:bottom w:val="none" w:sz="0" w:space="0" w:color="auto"/>
            <w:right w:val="none" w:sz="0" w:space="0" w:color="auto"/>
          </w:divBdr>
        </w:div>
        <w:div w:id="2051569336">
          <w:marLeft w:val="0"/>
          <w:marRight w:val="0"/>
          <w:marTop w:val="0"/>
          <w:marBottom w:val="0"/>
          <w:divBdr>
            <w:top w:val="none" w:sz="0" w:space="0" w:color="auto"/>
            <w:left w:val="none" w:sz="0" w:space="0" w:color="auto"/>
            <w:bottom w:val="none" w:sz="0" w:space="0" w:color="auto"/>
            <w:right w:val="none" w:sz="0" w:space="0" w:color="auto"/>
          </w:divBdr>
        </w:div>
      </w:divsChild>
    </w:div>
    <w:div w:id="641928600">
      <w:bodyDiv w:val="1"/>
      <w:marLeft w:val="0"/>
      <w:marRight w:val="0"/>
      <w:marTop w:val="0"/>
      <w:marBottom w:val="0"/>
      <w:divBdr>
        <w:top w:val="none" w:sz="0" w:space="0" w:color="auto"/>
        <w:left w:val="none" w:sz="0" w:space="0" w:color="auto"/>
        <w:bottom w:val="none" w:sz="0" w:space="0" w:color="auto"/>
        <w:right w:val="none" w:sz="0" w:space="0" w:color="auto"/>
      </w:divBdr>
    </w:div>
    <w:div w:id="659116592">
      <w:bodyDiv w:val="1"/>
      <w:marLeft w:val="0"/>
      <w:marRight w:val="0"/>
      <w:marTop w:val="0"/>
      <w:marBottom w:val="0"/>
      <w:divBdr>
        <w:top w:val="none" w:sz="0" w:space="0" w:color="auto"/>
        <w:left w:val="none" w:sz="0" w:space="0" w:color="auto"/>
        <w:bottom w:val="none" w:sz="0" w:space="0" w:color="auto"/>
        <w:right w:val="none" w:sz="0" w:space="0" w:color="auto"/>
      </w:divBdr>
    </w:div>
    <w:div w:id="660158713">
      <w:bodyDiv w:val="1"/>
      <w:marLeft w:val="0"/>
      <w:marRight w:val="0"/>
      <w:marTop w:val="0"/>
      <w:marBottom w:val="0"/>
      <w:divBdr>
        <w:top w:val="none" w:sz="0" w:space="0" w:color="auto"/>
        <w:left w:val="none" w:sz="0" w:space="0" w:color="auto"/>
        <w:bottom w:val="none" w:sz="0" w:space="0" w:color="auto"/>
        <w:right w:val="none" w:sz="0" w:space="0" w:color="auto"/>
      </w:divBdr>
    </w:div>
    <w:div w:id="683944849">
      <w:bodyDiv w:val="1"/>
      <w:marLeft w:val="0"/>
      <w:marRight w:val="0"/>
      <w:marTop w:val="0"/>
      <w:marBottom w:val="0"/>
      <w:divBdr>
        <w:top w:val="none" w:sz="0" w:space="0" w:color="auto"/>
        <w:left w:val="none" w:sz="0" w:space="0" w:color="auto"/>
        <w:bottom w:val="none" w:sz="0" w:space="0" w:color="auto"/>
        <w:right w:val="none" w:sz="0" w:space="0" w:color="auto"/>
      </w:divBdr>
    </w:div>
    <w:div w:id="699890526">
      <w:bodyDiv w:val="1"/>
      <w:marLeft w:val="0"/>
      <w:marRight w:val="0"/>
      <w:marTop w:val="0"/>
      <w:marBottom w:val="0"/>
      <w:divBdr>
        <w:top w:val="none" w:sz="0" w:space="0" w:color="auto"/>
        <w:left w:val="none" w:sz="0" w:space="0" w:color="auto"/>
        <w:bottom w:val="none" w:sz="0" w:space="0" w:color="auto"/>
        <w:right w:val="none" w:sz="0" w:space="0" w:color="auto"/>
      </w:divBdr>
    </w:div>
    <w:div w:id="726877487">
      <w:bodyDiv w:val="1"/>
      <w:marLeft w:val="0"/>
      <w:marRight w:val="0"/>
      <w:marTop w:val="0"/>
      <w:marBottom w:val="0"/>
      <w:divBdr>
        <w:top w:val="none" w:sz="0" w:space="0" w:color="auto"/>
        <w:left w:val="none" w:sz="0" w:space="0" w:color="auto"/>
        <w:bottom w:val="none" w:sz="0" w:space="0" w:color="auto"/>
        <w:right w:val="none" w:sz="0" w:space="0" w:color="auto"/>
      </w:divBdr>
    </w:div>
    <w:div w:id="735082636">
      <w:bodyDiv w:val="1"/>
      <w:marLeft w:val="0"/>
      <w:marRight w:val="0"/>
      <w:marTop w:val="0"/>
      <w:marBottom w:val="0"/>
      <w:divBdr>
        <w:top w:val="none" w:sz="0" w:space="0" w:color="auto"/>
        <w:left w:val="none" w:sz="0" w:space="0" w:color="auto"/>
        <w:bottom w:val="none" w:sz="0" w:space="0" w:color="auto"/>
        <w:right w:val="none" w:sz="0" w:space="0" w:color="auto"/>
      </w:divBdr>
    </w:div>
    <w:div w:id="736975817">
      <w:bodyDiv w:val="1"/>
      <w:marLeft w:val="0"/>
      <w:marRight w:val="0"/>
      <w:marTop w:val="0"/>
      <w:marBottom w:val="0"/>
      <w:divBdr>
        <w:top w:val="none" w:sz="0" w:space="0" w:color="auto"/>
        <w:left w:val="none" w:sz="0" w:space="0" w:color="auto"/>
        <w:bottom w:val="none" w:sz="0" w:space="0" w:color="auto"/>
        <w:right w:val="none" w:sz="0" w:space="0" w:color="auto"/>
      </w:divBdr>
      <w:divsChild>
        <w:div w:id="712968404">
          <w:marLeft w:val="0"/>
          <w:marRight w:val="0"/>
          <w:marTop w:val="0"/>
          <w:marBottom w:val="0"/>
          <w:divBdr>
            <w:top w:val="none" w:sz="0" w:space="0" w:color="auto"/>
            <w:left w:val="none" w:sz="0" w:space="0" w:color="auto"/>
            <w:bottom w:val="none" w:sz="0" w:space="0" w:color="auto"/>
            <w:right w:val="none" w:sz="0" w:space="0" w:color="auto"/>
          </w:divBdr>
        </w:div>
        <w:div w:id="744842239">
          <w:marLeft w:val="0"/>
          <w:marRight w:val="0"/>
          <w:marTop w:val="0"/>
          <w:marBottom w:val="0"/>
          <w:divBdr>
            <w:top w:val="none" w:sz="0" w:space="0" w:color="auto"/>
            <w:left w:val="none" w:sz="0" w:space="0" w:color="auto"/>
            <w:bottom w:val="none" w:sz="0" w:space="0" w:color="auto"/>
            <w:right w:val="none" w:sz="0" w:space="0" w:color="auto"/>
          </w:divBdr>
          <w:divsChild>
            <w:div w:id="774909883">
              <w:marLeft w:val="0"/>
              <w:marRight w:val="0"/>
              <w:marTop w:val="30"/>
              <w:marBottom w:val="30"/>
              <w:divBdr>
                <w:top w:val="none" w:sz="0" w:space="0" w:color="auto"/>
                <w:left w:val="none" w:sz="0" w:space="0" w:color="auto"/>
                <w:bottom w:val="none" w:sz="0" w:space="0" w:color="auto"/>
                <w:right w:val="none" w:sz="0" w:space="0" w:color="auto"/>
              </w:divBdr>
              <w:divsChild>
                <w:div w:id="68893536">
                  <w:marLeft w:val="0"/>
                  <w:marRight w:val="0"/>
                  <w:marTop w:val="0"/>
                  <w:marBottom w:val="0"/>
                  <w:divBdr>
                    <w:top w:val="none" w:sz="0" w:space="0" w:color="auto"/>
                    <w:left w:val="none" w:sz="0" w:space="0" w:color="auto"/>
                    <w:bottom w:val="none" w:sz="0" w:space="0" w:color="auto"/>
                    <w:right w:val="none" w:sz="0" w:space="0" w:color="auto"/>
                  </w:divBdr>
                  <w:divsChild>
                    <w:div w:id="686831149">
                      <w:marLeft w:val="0"/>
                      <w:marRight w:val="0"/>
                      <w:marTop w:val="0"/>
                      <w:marBottom w:val="0"/>
                      <w:divBdr>
                        <w:top w:val="none" w:sz="0" w:space="0" w:color="auto"/>
                        <w:left w:val="none" w:sz="0" w:space="0" w:color="auto"/>
                        <w:bottom w:val="none" w:sz="0" w:space="0" w:color="auto"/>
                        <w:right w:val="none" w:sz="0" w:space="0" w:color="auto"/>
                      </w:divBdr>
                    </w:div>
                  </w:divsChild>
                </w:div>
                <w:div w:id="83839550">
                  <w:marLeft w:val="0"/>
                  <w:marRight w:val="0"/>
                  <w:marTop w:val="0"/>
                  <w:marBottom w:val="0"/>
                  <w:divBdr>
                    <w:top w:val="none" w:sz="0" w:space="0" w:color="auto"/>
                    <w:left w:val="none" w:sz="0" w:space="0" w:color="auto"/>
                    <w:bottom w:val="none" w:sz="0" w:space="0" w:color="auto"/>
                    <w:right w:val="none" w:sz="0" w:space="0" w:color="auto"/>
                  </w:divBdr>
                  <w:divsChild>
                    <w:div w:id="697894889">
                      <w:marLeft w:val="0"/>
                      <w:marRight w:val="0"/>
                      <w:marTop w:val="0"/>
                      <w:marBottom w:val="0"/>
                      <w:divBdr>
                        <w:top w:val="none" w:sz="0" w:space="0" w:color="auto"/>
                        <w:left w:val="none" w:sz="0" w:space="0" w:color="auto"/>
                        <w:bottom w:val="none" w:sz="0" w:space="0" w:color="auto"/>
                        <w:right w:val="none" w:sz="0" w:space="0" w:color="auto"/>
                      </w:divBdr>
                    </w:div>
                  </w:divsChild>
                </w:div>
                <w:div w:id="86659768">
                  <w:marLeft w:val="0"/>
                  <w:marRight w:val="0"/>
                  <w:marTop w:val="0"/>
                  <w:marBottom w:val="0"/>
                  <w:divBdr>
                    <w:top w:val="none" w:sz="0" w:space="0" w:color="auto"/>
                    <w:left w:val="none" w:sz="0" w:space="0" w:color="auto"/>
                    <w:bottom w:val="none" w:sz="0" w:space="0" w:color="auto"/>
                    <w:right w:val="none" w:sz="0" w:space="0" w:color="auto"/>
                  </w:divBdr>
                  <w:divsChild>
                    <w:div w:id="958878996">
                      <w:marLeft w:val="0"/>
                      <w:marRight w:val="0"/>
                      <w:marTop w:val="0"/>
                      <w:marBottom w:val="0"/>
                      <w:divBdr>
                        <w:top w:val="none" w:sz="0" w:space="0" w:color="auto"/>
                        <w:left w:val="none" w:sz="0" w:space="0" w:color="auto"/>
                        <w:bottom w:val="none" w:sz="0" w:space="0" w:color="auto"/>
                        <w:right w:val="none" w:sz="0" w:space="0" w:color="auto"/>
                      </w:divBdr>
                    </w:div>
                  </w:divsChild>
                </w:div>
                <w:div w:id="115878945">
                  <w:marLeft w:val="0"/>
                  <w:marRight w:val="0"/>
                  <w:marTop w:val="0"/>
                  <w:marBottom w:val="0"/>
                  <w:divBdr>
                    <w:top w:val="none" w:sz="0" w:space="0" w:color="auto"/>
                    <w:left w:val="none" w:sz="0" w:space="0" w:color="auto"/>
                    <w:bottom w:val="none" w:sz="0" w:space="0" w:color="auto"/>
                    <w:right w:val="none" w:sz="0" w:space="0" w:color="auto"/>
                  </w:divBdr>
                  <w:divsChild>
                    <w:div w:id="1032806100">
                      <w:marLeft w:val="0"/>
                      <w:marRight w:val="0"/>
                      <w:marTop w:val="0"/>
                      <w:marBottom w:val="0"/>
                      <w:divBdr>
                        <w:top w:val="none" w:sz="0" w:space="0" w:color="auto"/>
                        <w:left w:val="none" w:sz="0" w:space="0" w:color="auto"/>
                        <w:bottom w:val="none" w:sz="0" w:space="0" w:color="auto"/>
                        <w:right w:val="none" w:sz="0" w:space="0" w:color="auto"/>
                      </w:divBdr>
                    </w:div>
                  </w:divsChild>
                </w:div>
                <w:div w:id="116340984">
                  <w:marLeft w:val="0"/>
                  <w:marRight w:val="0"/>
                  <w:marTop w:val="0"/>
                  <w:marBottom w:val="0"/>
                  <w:divBdr>
                    <w:top w:val="none" w:sz="0" w:space="0" w:color="auto"/>
                    <w:left w:val="none" w:sz="0" w:space="0" w:color="auto"/>
                    <w:bottom w:val="none" w:sz="0" w:space="0" w:color="auto"/>
                    <w:right w:val="none" w:sz="0" w:space="0" w:color="auto"/>
                  </w:divBdr>
                  <w:divsChild>
                    <w:div w:id="670064597">
                      <w:marLeft w:val="0"/>
                      <w:marRight w:val="0"/>
                      <w:marTop w:val="0"/>
                      <w:marBottom w:val="0"/>
                      <w:divBdr>
                        <w:top w:val="none" w:sz="0" w:space="0" w:color="auto"/>
                        <w:left w:val="none" w:sz="0" w:space="0" w:color="auto"/>
                        <w:bottom w:val="none" w:sz="0" w:space="0" w:color="auto"/>
                        <w:right w:val="none" w:sz="0" w:space="0" w:color="auto"/>
                      </w:divBdr>
                    </w:div>
                  </w:divsChild>
                </w:div>
                <w:div w:id="228804670">
                  <w:marLeft w:val="0"/>
                  <w:marRight w:val="0"/>
                  <w:marTop w:val="0"/>
                  <w:marBottom w:val="0"/>
                  <w:divBdr>
                    <w:top w:val="none" w:sz="0" w:space="0" w:color="auto"/>
                    <w:left w:val="none" w:sz="0" w:space="0" w:color="auto"/>
                    <w:bottom w:val="none" w:sz="0" w:space="0" w:color="auto"/>
                    <w:right w:val="none" w:sz="0" w:space="0" w:color="auto"/>
                  </w:divBdr>
                  <w:divsChild>
                    <w:div w:id="1185245538">
                      <w:marLeft w:val="0"/>
                      <w:marRight w:val="0"/>
                      <w:marTop w:val="0"/>
                      <w:marBottom w:val="0"/>
                      <w:divBdr>
                        <w:top w:val="none" w:sz="0" w:space="0" w:color="auto"/>
                        <w:left w:val="none" w:sz="0" w:space="0" w:color="auto"/>
                        <w:bottom w:val="none" w:sz="0" w:space="0" w:color="auto"/>
                        <w:right w:val="none" w:sz="0" w:space="0" w:color="auto"/>
                      </w:divBdr>
                    </w:div>
                  </w:divsChild>
                </w:div>
                <w:div w:id="242953893">
                  <w:marLeft w:val="0"/>
                  <w:marRight w:val="0"/>
                  <w:marTop w:val="0"/>
                  <w:marBottom w:val="0"/>
                  <w:divBdr>
                    <w:top w:val="none" w:sz="0" w:space="0" w:color="auto"/>
                    <w:left w:val="none" w:sz="0" w:space="0" w:color="auto"/>
                    <w:bottom w:val="none" w:sz="0" w:space="0" w:color="auto"/>
                    <w:right w:val="none" w:sz="0" w:space="0" w:color="auto"/>
                  </w:divBdr>
                  <w:divsChild>
                    <w:div w:id="12535073">
                      <w:marLeft w:val="0"/>
                      <w:marRight w:val="0"/>
                      <w:marTop w:val="0"/>
                      <w:marBottom w:val="0"/>
                      <w:divBdr>
                        <w:top w:val="none" w:sz="0" w:space="0" w:color="auto"/>
                        <w:left w:val="none" w:sz="0" w:space="0" w:color="auto"/>
                        <w:bottom w:val="none" w:sz="0" w:space="0" w:color="auto"/>
                        <w:right w:val="none" w:sz="0" w:space="0" w:color="auto"/>
                      </w:divBdr>
                    </w:div>
                  </w:divsChild>
                </w:div>
                <w:div w:id="294221898">
                  <w:marLeft w:val="0"/>
                  <w:marRight w:val="0"/>
                  <w:marTop w:val="0"/>
                  <w:marBottom w:val="0"/>
                  <w:divBdr>
                    <w:top w:val="none" w:sz="0" w:space="0" w:color="auto"/>
                    <w:left w:val="none" w:sz="0" w:space="0" w:color="auto"/>
                    <w:bottom w:val="none" w:sz="0" w:space="0" w:color="auto"/>
                    <w:right w:val="none" w:sz="0" w:space="0" w:color="auto"/>
                  </w:divBdr>
                  <w:divsChild>
                    <w:div w:id="1363361466">
                      <w:marLeft w:val="0"/>
                      <w:marRight w:val="0"/>
                      <w:marTop w:val="0"/>
                      <w:marBottom w:val="0"/>
                      <w:divBdr>
                        <w:top w:val="none" w:sz="0" w:space="0" w:color="auto"/>
                        <w:left w:val="none" w:sz="0" w:space="0" w:color="auto"/>
                        <w:bottom w:val="none" w:sz="0" w:space="0" w:color="auto"/>
                        <w:right w:val="none" w:sz="0" w:space="0" w:color="auto"/>
                      </w:divBdr>
                    </w:div>
                  </w:divsChild>
                </w:div>
                <w:div w:id="318000304">
                  <w:marLeft w:val="0"/>
                  <w:marRight w:val="0"/>
                  <w:marTop w:val="0"/>
                  <w:marBottom w:val="0"/>
                  <w:divBdr>
                    <w:top w:val="none" w:sz="0" w:space="0" w:color="auto"/>
                    <w:left w:val="none" w:sz="0" w:space="0" w:color="auto"/>
                    <w:bottom w:val="none" w:sz="0" w:space="0" w:color="auto"/>
                    <w:right w:val="none" w:sz="0" w:space="0" w:color="auto"/>
                  </w:divBdr>
                  <w:divsChild>
                    <w:div w:id="587807382">
                      <w:marLeft w:val="0"/>
                      <w:marRight w:val="0"/>
                      <w:marTop w:val="0"/>
                      <w:marBottom w:val="0"/>
                      <w:divBdr>
                        <w:top w:val="none" w:sz="0" w:space="0" w:color="auto"/>
                        <w:left w:val="none" w:sz="0" w:space="0" w:color="auto"/>
                        <w:bottom w:val="none" w:sz="0" w:space="0" w:color="auto"/>
                        <w:right w:val="none" w:sz="0" w:space="0" w:color="auto"/>
                      </w:divBdr>
                    </w:div>
                  </w:divsChild>
                </w:div>
                <w:div w:id="327443425">
                  <w:marLeft w:val="0"/>
                  <w:marRight w:val="0"/>
                  <w:marTop w:val="0"/>
                  <w:marBottom w:val="0"/>
                  <w:divBdr>
                    <w:top w:val="none" w:sz="0" w:space="0" w:color="auto"/>
                    <w:left w:val="none" w:sz="0" w:space="0" w:color="auto"/>
                    <w:bottom w:val="none" w:sz="0" w:space="0" w:color="auto"/>
                    <w:right w:val="none" w:sz="0" w:space="0" w:color="auto"/>
                  </w:divBdr>
                  <w:divsChild>
                    <w:div w:id="2105032705">
                      <w:marLeft w:val="0"/>
                      <w:marRight w:val="0"/>
                      <w:marTop w:val="0"/>
                      <w:marBottom w:val="0"/>
                      <w:divBdr>
                        <w:top w:val="none" w:sz="0" w:space="0" w:color="auto"/>
                        <w:left w:val="none" w:sz="0" w:space="0" w:color="auto"/>
                        <w:bottom w:val="none" w:sz="0" w:space="0" w:color="auto"/>
                        <w:right w:val="none" w:sz="0" w:space="0" w:color="auto"/>
                      </w:divBdr>
                    </w:div>
                  </w:divsChild>
                </w:div>
                <w:div w:id="359209579">
                  <w:marLeft w:val="0"/>
                  <w:marRight w:val="0"/>
                  <w:marTop w:val="0"/>
                  <w:marBottom w:val="0"/>
                  <w:divBdr>
                    <w:top w:val="none" w:sz="0" w:space="0" w:color="auto"/>
                    <w:left w:val="none" w:sz="0" w:space="0" w:color="auto"/>
                    <w:bottom w:val="none" w:sz="0" w:space="0" w:color="auto"/>
                    <w:right w:val="none" w:sz="0" w:space="0" w:color="auto"/>
                  </w:divBdr>
                  <w:divsChild>
                    <w:div w:id="131145724">
                      <w:marLeft w:val="0"/>
                      <w:marRight w:val="0"/>
                      <w:marTop w:val="0"/>
                      <w:marBottom w:val="0"/>
                      <w:divBdr>
                        <w:top w:val="none" w:sz="0" w:space="0" w:color="auto"/>
                        <w:left w:val="none" w:sz="0" w:space="0" w:color="auto"/>
                        <w:bottom w:val="none" w:sz="0" w:space="0" w:color="auto"/>
                        <w:right w:val="none" w:sz="0" w:space="0" w:color="auto"/>
                      </w:divBdr>
                    </w:div>
                  </w:divsChild>
                </w:div>
                <w:div w:id="362904362">
                  <w:marLeft w:val="0"/>
                  <w:marRight w:val="0"/>
                  <w:marTop w:val="0"/>
                  <w:marBottom w:val="0"/>
                  <w:divBdr>
                    <w:top w:val="none" w:sz="0" w:space="0" w:color="auto"/>
                    <w:left w:val="none" w:sz="0" w:space="0" w:color="auto"/>
                    <w:bottom w:val="none" w:sz="0" w:space="0" w:color="auto"/>
                    <w:right w:val="none" w:sz="0" w:space="0" w:color="auto"/>
                  </w:divBdr>
                  <w:divsChild>
                    <w:div w:id="625165661">
                      <w:marLeft w:val="0"/>
                      <w:marRight w:val="0"/>
                      <w:marTop w:val="0"/>
                      <w:marBottom w:val="0"/>
                      <w:divBdr>
                        <w:top w:val="none" w:sz="0" w:space="0" w:color="auto"/>
                        <w:left w:val="none" w:sz="0" w:space="0" w:color="auto"/>
                        <w:bottom w:val="none" w:sz="0" w:space="0" w:color="auto"/>
                        <w:right w:val="none" w:sz="0" w:space="0" w:color="auto"/>
                      </w:divBdr>
                    </w:div>
                  </w:divsChild>
                </w:div>
                <w:div w:id="380710571">
                  <w:marLeft w:val="0"/>
                  <w:marRight w:val="0"/>
                  <w:marTop w:val="0"/>
                  <w:marBottom w:val="0"/>
                  <w:divBdr>
                    <w:top w:val="none" w:sz="0" w:space="0" w:color="auto"/>
                    <w:left w:val="none" w:sz="0" w:space="0" w:color="auto"/>
                    <w:bottom w:val="none" w:sz="0" w:space="0" w:color="auto"/>
                    <w:right w:val="none" w:sz="0" w:space="0" w:color="auto"/>
                  </w:divBdr>
                  <w:divsChild>
                    <w:div w:id="847789608">
                      <w:marLeft w:val="0"/>
                      <w:marRight w:val="0"/>
                      <w:marTop w:val="0"/>
                      <w:marBottom w:val="0"/>
                      <w:divBdr>
                        <w:top w:val="none" w:sz="0" w:space="0" w:color="auto"/>
                        <w:left w:val="none" w:sz="0" w:space="0" w:color="auto"/>
                        <w:bottom w:val="none" w:sz="0" w:space="0" w:color="auto"/>
                        <w:right w:val="none" w:sz="0" w:space="0" w:color="auto"/>
                      </w:divBdr>
                    </w:div>
                  </w:divsChild>
                </w:div>
                <w:div w:id="380978941">
                  <w:marLeft w:val="0"/>
                  <w:marRight w:val="0"/>
                  <w:marTop w:val="0"/>
                  <w:marBottom w:val="0"/>
                  <w:divBdr>
                    <w:top w:val="none" w:sz="0" w:space="0" w:color="auto"/>
                    <w:left w:val="none" w:sz="0" w:space="0" w:color="auto"/>
                    <w:bottom w:val="none" w:sz="0" w:space="0" w:color="auto"/>
                    <w:right w:val="none" w:sz="0" w:space="0" w:color="auto"/>
                  </w:divBdr>
                  <w:divsChild>
                    <w:div w:id="1658269833">
                      <w:marLeft w:val="0"/>
                      <w:marRight w:val="0"/>
                      <w:marTop w:val="0"/>
                      <w:marBottom w:val="0"/>
                      <w:divBdr>
                        <w:top w:val="none" w:sz="0" w:space="0" w:color="auto"/>
                        <w:left w:val="none" w:sz="0" w:space="0" w:color="auto"/>
                        <w:bottom w:val="none" w:sz="0" w:space="0" w:color="auto"/>
                        <w:right w:val="none" w:sz="0" w:space="0" w:color="auto"/>
                      </w:divBdr>
                    </w:div>
                  </w:divsChild>
                </w:div>
                <w:div w:id="387385065">
                  <w:marLeft w:val="0"/>
                  <w:marRight w:val="0"/>
                  <w:marTop w:val="0"/>
                  <w:marBottom w:val="0"/>
                  <w:divBdr>
                    <w:top w:val="none" w:sz="0" w:space="0" w:color="auto"/>
                    <w:left w:val="none" w:sz="0" w:space="0" w:color="auto"/>
                    <w:bottom w:val="none" w:sz="0" w:space="0" w:color="auto"/>
                    <w:right w:val="none" w:sz="0" w:space="0" w:color="auto"/>
                  </w:divBdr>
                  <w:divsChild>
                    <w:div w:id="103618288">
                      <w:marLeft w:val="0"/>
                      <w:marRight w:val="0"/>
                      <w:marTop w:val="0"/>
                      <w:marBottom w:val="0"/>
                      <w:divBdr>
                        <w:top w:val="none" w:sz="0" w:space="0" w:color="auto"/>
                        <w:left w:val="none" w:sz="0" w:space="0" w:color="auto"/>
                        <w:bottom w:val="none" w:sz="0" w:space="0" w:color="auto"/>
                        <w:right w:val="none" w:sz="0" w:space="0" w:color="auto"/>
                      </w:divBdr>
                    </w:div>
                  </w:divsChild>
                </w:div>
                <w:div w:id="447429947">
                  <w:marLeft w:val="0"/>
                  <w:marRight w:val="0"/>
                  <w:marTop w:val="0"/>
                  <w:marBottom w:val="0"/>
                  <w:divBdr>
                    <w:top w:val="none" w:sz="0" w:space="0" w:color="auto"/>
                    <w:left w:val="none" w:sz="0" w:space="0" w:color="auto"/>
                    <w:bottom w:val="none" w:sz="0" w:space="0" w:color="auto"/>
                    <w:right w:val="none" w:sz="0" w:space="0" w:color="auto"/>
                  </w:divBdr>
                  <w:divsChild>
                    <w:div w:id="229970042">
                      <w:marLeft w:val="0"/>
                      <w:marRight w:val="0"/>
                      <w:marTop w:val="0"/>
                      <w:marBottom w:val="0"/>
                      <w:divBdr>
                        <w:top w:val="none" w:sz="0" w:space="0" w:color="auto"/>
                        <w:left w:val="none" w:sz="0" w:space="0" w:color="auto"/>
                        <w:bottom w:val="none" w:sz="0" w:space="0" w:color="auto"/>
                        <w:right w:val="none" w:sz="0" w:space="0" w:color="auto"/>
                      </w:divBdr>
                    </w:div>
                  </w:divsChild>
                </w:div>
                <w:div w:id="516238624">
                  <w:marLeft w:val="0"/>
                  <w:marRight w:val="0"/>
                  <w:marTop w:val="0"/>
                  <w:marBottom w:val="0"/>
                  <w:divBdr>
                    <w:top w:val="none" w:sz="0" w:space="0" w:color="auto"/>
                    <w:left w:val="none" w:sz="0" w:space="0" w:color="auto"/>
                    <w:bottom w:val="none" w:sz="0" w:space="0" w:color="auto"/>
                    <w:right w:val="none" w:sz="0" w:space="0" w:color="auto"/>
                  </w:divBdr>
                  <w:divsChild>
                    <w:div w:id="2041709602">
                      <w:marLeft w:val="0"/>
                      <w:marRight w:val="0"/>
                      <w:marTop w:val="0"/>
                      <w:marBottom w:val="0"/>
                      <w:divBdr>
                        <w:top w:val="none" w:sz="0" w:space="0" w:color="auto"/>
                        <w:left w:val="none" w:sz="0" w:space="0" w:color="auto"/>
                        <w:bottom w:val="none" w:sz="0" w:space="0" w:color="auto"/>
                        <w:right w:val="none" w:sz="0" w:space="0" w:color="auto"/>
                      </w:divBdr>
                    </w:div>
                  </w:divsChild>
                </w:div>
                <w:div w:id="532422290">
                  <w:marLeft w:val="0"/>
                  <w:marRight w:val="0"/>
                  <w:marTop w:val="0"/>
                  <w:marBottom w:val="0"/>
                  <w:divBdr>
                    <w:top w:val="none" w:sz="0" w:space="0" w:color="auto"/>
                    <w:left w:val="none" w:sz="0" w:space="0" w:color="auto"/>
                    <w:bottom w:val="none" w:sz="0" w:space="0" w:color="auto"/>
                    <w:right w:val="none" w:sz="0" w:space="0" w:color="auto"/>
                  </w:divBdr>
                  <w:divsChild>
                    <w:div w:id="2090424604">
                      <w:marLeft w:val="0"/>
                      <w:marRight w:val="0"/>
                      <w:marTop w:val="0"/>
                      <w:marBottom w:val="0"/>
                      <w:divBdr>
                        <w:top w:val="none" w:sz="0" w:space="0" w:color="auto"/>
                        <w:left w:val="none" w:sz="0" w:space="0" w:color="auto"/>
                        <w:bottom w:val="none" w:sz="0" w:space="0" w:color="auto"/>
                        <w:right w:val="none" w:sz="0" w:space="0" w:color="auto"/>
                      </w:divBdr>
                    </w:div>
                  </w:divsChild>
                </w:div>
                <w:div w:id="585724642">
                  <w:marLeft w:val="0"/>
                  <w:marRight w:val="0"/>
                  <w:marTop w:val="0"/>
                  <w:marBottom w:val="0"/>
                  <w:divBdr>
                    <w:top w:val="none" w:sz="0" w:space="0" w:color="auto"/>
                    <w:left w:val="none" w:sz="0" w:space="0" w:color="auto"/>
                    <w:bottom w:val="none" w:sz="0" w:space="0" w:color="auto"/>
                    <w:right w:val="none" w:sz="0" w:space="0" w:color="auto"/>
                  </w:divBdr>
                  <w:divsChild>
                    <w:div w:id="1985887604">
                      <w:marLeft w:val="0"/>
                      <w:marRight w:val="0"/>
                      <w:marTop w:val="0"/>
                      <w:marBottom w:val="0"/>
                      <w:divBdr>
                        <w:top w:val="none" w:sz="0" w:space="0" w:color="auto"/>
                        <w:left w:val="none" w:sz="0" w:space="0" w:color="auto"/>
                        <w:bottom w:val="none" w:sz="0" w:space="0" w:color="auto"/>
                        <w:right w:val="none" w:sz="0" w:space="0" w:color="auto"/>
                      </w:divBdr>
                    </w:div>
                  </w:divsChild>
                </w:div>
                <w:div w:id="651375083">
                  <w:marLeft w:val="0"/>
                  <w:marRight w:val="0"/>
                  <w:marTop w:val="0"/>
                  <w:marBottom w:val="0"/>
                  <w:divBdr>
                    <w:top w:val="none" w:sz="0" w:space="0" w:color="auto"/>
                    <w:left w:val="none" w:sz="0" w:space="0" w:color="auto"/>
                    <w:bottom w:val="none" w:sz="0" w:space="0" w:color="auto"/>
                    <w:right w:val="none" w:sz="0" w:space="0" w:color="auto"/>
                  </w:divBdr>
                  <w:divsChild>
                    <w:div w:id="963972808">
                      <w:marLeft w:val="0"/>
                      <w:marRight w:val="0"/>
                      <w:marTop w:val="0"/>
                      <w:marBottom w:val="0"/>
                      <w:divBdr>
                        <w:top w:val="none" w:sz="0" w:space="0" w:color="auto"/>
                        <w:left w:val="none" w:sz="0" w:space="0" w:color="auto"/>
                        <w:bottom w:val="none" w:sz="0" w:space="0" w:color="auto"/>
                        <w:right w:val="none" w:sz="0" w:space="0" w:color="auto"/>
                      </w:divBdr>
                    </w:div>
                  </w:divsChild>
                </w:div>
                <w:div w:id="660158844">
                  <w:marLeft w:val="0"/>
                  <w:marRight w:val="0"/>
                  <w:marTop w:val="0"/>
                  <w:marBottom w:val="0"/>
                  <w:divBdr>
                    <w:top w:val="none" w:sz="0" w:space="0" w:color="auto"/>
                    <w:left w:val="none" w:sz="0" w:space="0" w:color="auto"/>
                    <w:bottom w:val="none" w:sz="0" w:space="0" w:color="auto"/>
                    <w:right w:val="none" w:sz="0" w:space="0" w:color="auto"/>
                  </w:divBdr>
                  <w:divsChild>
                    <w:div w:id="1537500915">
                      <w:marLeft w:val="0"/>
                      <w:marRight w:val="0"/>
                      <w:marTop w:val="0"/>
                      <w:marBottom w:val="0"/>
                      <w:divBdr>
                        <w:top w:val="none" w:sz="0" w:space="0" w:color="auto"/>
                        <w:left w:val="none" w:sz="0" w:space="0" w:color="auto"/>
                        <w:bottom w:val="none" w:sz="0" w:space="0" w:color="auto"/>
                        <w:right w:val="none" w:sz="0" w:space="0" w:color="auto"/>
                      </w:divBdr>
                    </w:div>
                  </w:divsChild>
                </w:div>
                <w:div w:id="672536417">
                  <w:marLeft w:val="0"/>
                  <w:marRight w:val="0"/>
                  <w:marTop w:val="0"/>
                  <w:marBottom w:val="0"/>
                  <w:divBdr>
                    <w:top w:val="none" w:sz="0" w:space="0" w:color="auto"/>
                    <w:left w:val="none" w:sz="0" w:space="0" w:color="auto"/>
                    <w:bottom w:val="none" w:sz="0" w:space="0" w:color="auto"/>
                    <w:right w:val="none" w:sz="0" w:space="0" w:color="auto"/>
                  </w:divBdr>
                  <w:divsChild>
                    <w:div w:id="1906841729">
                      <w:marLeft w:val="0"/>
                      <w:marRight w:val="0"/>
                      <w:marTop w:val="0"/>
                      <w:marBottom w:val="0"/>
                      <w:divBdr>
                        <w:top w:val="none" w:sz="0" w:space="0" w:color="auto"/>
                        <w:left w:val="none" w:sz="0" w:space="0" w:color="auto"/>
                        <w:bottom w:val="none" w:sz="0" w:space="0" w:color="auto"/>
                        <w:right w:val="none" w:sz="0" w:space="0" w:color="auto"/>
                      </w:divBdr>
                    </w:div>
                  </w:divsChild>
                </w:div>
                <w:div w:id="714234929">
                  <w:marLeft w:val="0"/>
                  <w:marRight w:val="0"/>
                  <w:marTop w:val="0"/>
                  <w:marBottom w:val="0"/>
                  <w:divBdr>
                    <w:top w:val="none" w:sz="0" w:space="0" w:color="auto"/>
                    <w:left w:val="none" w:sz="0" w:space="0" w:color="auto"/>
                    <w:bottom w:val="none" w:sz="0" w:space="0" w:color="auto"/>
                    <w:right w:val="none" w:sz="0" w:space="0" w:color="auto"/>
                  </w:divBdr>
                  <w:divsChild>
                    <w:div w:id="649790081">
                      <w:marLeft w:val="0"/>
                      <w:marRight w:val="0"/>
                      <w:marTop w:val="0"/>
                      <w:marBottom w:val="0"/>
                      <w:divBdr>
                        <w:top w:val="none" w:sz="0" w:space="0" w:color="auto"/>
                        <w:left w:val="none" w:sz="0" w:space="0" w:color="auto"/>
                        <w:bottom w:val="none" w:sz="0" w:space="0" w:color="auto"/>
                        <w:right w:val="none" w:sz="0" w:space="0" w:color="auto"/>
                      </w:divBdr>
                    </w:div>
                  </w:divsChild>
                </w:div>
                <w:div w:id="760419147">
                  <w:marLeft w:val="0"/>
                  <w:marRight w:val="0"/>
                  <w:marTop w:val="0"/>
                  <w:marBottom w:val="0"/>
                  <w:divBdr>
                    <w:top w:val="none" w:sz="0" w:space="0" w:color="auto"/>
                    <w:left w:val="none" w:sz="0" w:space="0" w:color="auto"/>
                    <w:bottom w:val="none" w:sz="0" w:space="0" w:color="auto"/>
                    <w:right w:val="none" w:sz="0" w:space="0" w:color="auto"/>
                  </w:divBdr>
                  <w:divsChild>
                    <w:div w:id="1976446877">
                      <w:marLeft w:val="0"/>
                      <w:marRight w:val="0"/>
                      <w:marTop w:val="0"/>
                      <w:marBottom w:val="0"/>
                      <w:divBdr>
                        <w:top w:val="none" w:sz="0" w:space="0" w:color="auto"/>
                        <w:left w:val="none" w:sz="0" w:space="0" w:color="auto"/>
                        <w:bottom w:val="none" w:sz="0" w:space="0" w:color="auto"/>
                        <w:right w:val="none" w:sz="0" w:space="0" w:color="auto"/>
                      </w:divBdr>
                    </w:div>
                  </w:divsChild>
                </w:div>
                <w:div w:id="803353307">
                  <w:marLeft w:val="0"/>
                  <w:marRight w:val="0"/>
                  <w:marTop w:val="0"/>
                  <w:marBottom w:val="0"/>
                  <w:divBdr>
                    <w:top w:val="none" w:sz="0" w:space="0" w:color="auto"/>
                    <w:left w:val="none" w:sz="0" w:space="0" w:color="auto"/>
                    <w:bottom w:val="none" w:sz="0" w:space="0" w:color="auto"/>
                    <w:right w:val="none" w:sz="0" w:space="0" w:color="auto"/>
                  </w:divBdr>
                  <w:divsChild>
                    <w:div w:id="1309478550">
                      <w:marLeft w:val="0"/>
                      <w:marRight w:val="0"/>
                      <w:marTop w:val="0"/>
                      <w:marBottom w:val="0"/>
                      <w:divBdr>
                        <w:top w:val="none" w:sz="0" w:space="0" w:color="auto"/>
                        <w:left w:val="none" w:sz="0" w:space="0" w:color="auto"/>
                        <w:bottom w:val="none" w:sz="0" w:space="0" w:color="auto"/>
                        <w:right w:val="none" w:sz="0" w:space="0" w:color="auto"/>
                      </w:divBdr>
                    </w:div>
                  </w:divsChild>
                </w:div>
                <w:div w:id="826556457">
                  <w:marLeft w:val="0"/>
                  <w:marRight w:val="0"/>
                  <w:marTop w:val="0"/>
                  <w:marBottom w:val="0"/>
                  <w:divBdr>
                    <w:top w:val="none" w:sz="0" w:space="0" w:color="auto"/>
                    <w:left w:val="none" w:sz="0" w:space="0" w:color="auto"/>
                    <w:bottom w:val="none" w:sz="0" w:space="0" w:color="auto"/>
                    <w:right w:val="none" w:sz="0" w:space="0" w:color="auto"/>
                  </w:divBdr>
                  <w:divsChild>
                    <w:div w:id="1843423057">
                      <w:marLeft w:val="0"/>
                      <w:marRight w:val="0"/>
                      <w:marTop w:val="0"/>
                      <w:marBottom w:val="0"/>
                      <w:divBdr>
                        <w:top w:val="none" w:sz="0" w:space="0" w:color="auto"/>
                        <w:left w:val="none" w:sz="0" w:space="0" w:color="auto"/>
                        <w:bottom w:val="none" w:sz="0" w:space="0" w:color="auto"/>
                        <w:right w:val="none" w:sz="0" w:space="0" w:color="auto"/>
                      </w:divBdr>
                    </w:div>
                  </w:divsChild>
                </w:div>
                <w:div w:id="847135586">
                  <w:marLeft w:val="0"/>
                  <w:marRight w:val="0"/>
                  <w:marTop w:val="0"/>
                  <w:marBottom w:val="0"/>
                  <w:divBdr>
                    <w:top w:val="none" w:sz="0" w:space="0" w:color="auto"/>
                    <w:left w:val="none" w:sz="0" w:space="0" w:color="auto"/>
                    <w:bottom w:val="none" w:sz="0" w:space="0" w:color="auto"/>
                    <w:right w:val="none" w:sz="0" w:space="0" w:color="auto"/>
                  </w:divBdr>
                  <w:divsChild>
                    <w:div w:id="1204945998">
                      <w:marLeft w:val="0"/>
                      <w:marRight w:val="0"/>
                      <w:marTop w:val="0"/>
                      <w:marBottom w:val="0"/>
                      <w:divBdr>
                        <w:top w:val="none" w:sz="0" w:space="0" w:color="auto"/>
                        <w:left w:val="none" w:sz="0" w:space="0" w:color="auto"/>
                        <w:bottom w:val="none" w:sz="0" w:space="0" w:color="auto"/>
                        <w:right w:val="none" w:sz="0" w:space="0" w:color="auto"/>
                      </w:divBdr>
                    </w:div>
                  </w:divsChild>
                </w:div>
                <w:div w:id="882449628">
                  <w:marLeft w:val="0"/>
                  <w:marRight w:val="0"/>
                  <w:marTop w:val="0"/>
                  <w:marBottom w:val="0"/>
                  <w:divBdr>
                    <w:top w:val="none" w:sz="0" w:space="0" w:color="auto"/>
                    <w:left w:val="none" w:sz="0" w:space="0" w:color="auto"/>
                    <w:bottom w:val="none" w:sz="0" w:space="0" w:color="auto"/>
                    <w:right w:val="none" w:sz="0" w:space="0" w:color="auto"/>
                  </w:divBdr>
                  <w:divsChild>
                    <w:div w:id="1809469547">
                      <w:marLeft w:val="0"/>
                      <w:marRight w:val="0"/>
                      <w:marTop w:val="0"/>
                      <w:marBottom w:val="0"/>
                      <w:divBdr>
                        <w:top w:val="none" w:sz="0" w:space="0" w:color="auto"/>
                        <w:left w:val="none" w:sz="0" w:space="0" w:color="auto"/>
                        <w:bottom w:val="none" w:sz="0" w:space="0" w:color="auto"/>
                        <w:right w:val="none" w:sz="0" w:space="0" w:color="auto"/>
                      </w:divBdr>
                    </w:div>
                  </w:divsChild>
                </w:div>
                <w:div w:id="890652200">
                  <w:marLeft w:val="0"/>
                  <w:marRight w:val="0"/>
                  <w:marTop w:val="0"/>
                  <w:marBottom w:val="0"/>
                  <w:divBdr>
                    <w:top w:val="none" w:sz="0" w:space="0" w:color="auto"/>
                    <w:left w:val="none" w:sz="0" w:space="0" w:color="auto"/>
                    <w:bottom w:val="none" w:sz="0" w:space="0" w:color="auto"/>
                    <w:right w:val="none" w:sz="0" w:space="0" w:color="auto"/>
                  </w:divBdr>
                  <w:divsChild>
                    <w:div w:id="1119183713">
                      <w:marLeft w:val="0"/>
                      <w:marRight w:val="0"/>
                      <w:marTop w:val="0"/>
                      <w:marBottom w:val="0"/>
                      <w:divBdr>
                        <w:top w:val="none" w:sz="0" w:space="0" w:color="auto"/>
                        <w:left w:val="none" w:sz="0" w:space="0" w:color="auto"/>
                        <w:bottom w:val="none" w:sz="0" w:space="0" w:color="auto"/>
                        <w:right w:val="none" w:sz="0" w:space="0" w:color="auto"/>
                      </w:divBdr>
                    </w:div>
                  </w:divsChild>
                </w:div>
                <w:div w:id="930703285">
                  <w:marLeft w:val="0"/>
                  <w:marRight w:val="0"/>
                  <w:marTop w:val="0"/>
                  <w:marBottom w:val="0"/>
                  <w:divBdr>
                    <w:top w:val="none" w:sz="0" w:space="0" w:color="auto"/>
                    <w:left w:val="none" w:sz="0" w:space="0" w:color="auto"/>
                    <w:bottom w:val="none" w:sz="0" w:space="0" w:color="auto"/>
                    <w:right w:val="none" w:sz="0" w:space="0" w:color="auto"/>
                  </w:divBdr>
                  <w:divsChild>
                    <w:div w:id="596062446">
                      <w:marLeft w:val="0"/>
                      <w:marRight w:val="0"/>
                      <w:marTop w:val="0"/>
                      <w:marBottom w:val="0"/>
                      <w:divBdr>
                        <w:top w:val="none" w:sz="0" w:space="0" w:color="auto"/>
                        <w:left w:val="none" w:sz="0" w:space="0" w:color="auto"/>
                        <w:bottom w:val="none" w:sz="0" w:space="0" w:color="auto"/>
                        <w:right w:val="none" w:sz="0" w:space="0" w:color="auto"/>
                      </w:divBdr>
                    </w:div>
                  </w:divsChild>
                </w:div>
                <w:div w:id="973363554">
                  <w:marLeft w:val="0"/>
                  <w:marRight w:val="0"/>
                  <w:marTop w:val="0"/>
                  <w:marBottom w:val="0"/>
                  <w:divBdr>
                    <w:top w:val="none" w:sz="0" w:space="0" w:color="auto"/>
                    <w:left w:val="none" w:sz="0" w:space="0" w:color="auto"/>
                    <w:bottom w:val="none" w:sz="0" w:space="0" w:color="auto"/>
                    <w:right w:val="none" w:sz="0" w:space="0" w:color="auto"/>
                  </w:divBdr>
                  <w:divsChild>
                    <w:div w:id="906378689">
                      <w:marLeft w:val="0"/>
                      <w:marRight w:val="0"/>
                      <w:marTop w:val="0"/>
                      <w:marBottom w:val="0"/>
                      <w:divBdr>
                        <w:top w:val="none" w:sz="0" w:space="0" w:color="auto"/>
                        <w:left w:val="none" w:sz="0" w:space="0" w:color="auto"/>
                        <w:bottom w:val="none" w:sz="0" w:space="0" w:color="auto"/>
                        <w:right w:val="none" w:sz="0" w:space="0" w:color="auto"/>
                      </w:divBdr>
                    </w:div>
                  </w:divsChild>
                </w:div>
                <w:div w:id="997730105">
                  <w:marLeft w:val="0"/>
                  <w:marRight w:val="0"/>
                  <w:marTop w:val="0"/>
                  <w:marBottom w:val="0"/>
                  <w:divBdr>
                    <w:top w:val="none" w:sz="0" w:space="0" w:color="auto"/>
                    <w:left w:val="none" w:sz="0" w:space="0" w:color="auto"/>
                    <w:bottom w:val="none" w:sz="0" w:space="0" w:color="auto"/>
                    <w:right w:val="none" w:sz="0" w:space="0" w:color="auto"/>
                  </w:divBdr>
                  <w:divsChild>
                    <w:div w:id="1679623026">
                      <w:marLeft w:val="0"/>
                      <w:marRight w:val="0"/>
                      <w:marTop w:val="0"/>
                      <w:marBottom w:val="0"/>
                      <w:divBdr>
                        <w:top w:val="none" w:sz="0" w:space="0" w:color="auto"/>
                        <w:left w:val="none" w:sz="0" w:space="0" w:color="auto"/>
                        <w:bottom w:val="none" w:sz="0" w:space="0" w:color="auto"/>
                        <w:right w:val="none" w:sz="0" w:space="0" w:color="auto"/>
                      </w:divBdr>
                    </w:div>
                  </w:divsChild>
                </w:div>
                <w:div w:id="1041444745">
                  <w:marLeft w:val="0"/>
                  <w:marRight w:val="0"/>
                  <w:marTop w:val="0"/>
                  <w:marBottom w:val="0"/>
                  <w:divBdr>
                    <w:top w:val="none" w:sz="0" w:space="0" w:color="auto"/>
                    <w:left w:val="none" w:sz="0" w:space="0" w:color="auto"/>
                    <w:bottom w:val="none" w:sz="0" w:space="0" w:color="auto"/>
                    <w:right w:val="none" w:sz="0" w:space="0" w:color="auto"/>
                  </w:divBdr>
                  <w:divsChild>
                    <w:div w:id="1047490192">
                      <w:marLeft w:val="0"/>
                      <w:marRight w:val="0"/>
                      <w:marTop w:val="0"/>
                      <w:marBottom w:val="0"/>
                      <w:divBdr>
                        <w:top w:val="none" w:sz="0" w:space="0" w:color="auto"/>
                        <w:left w:val="none" w:sz="0" w:space="0" w:color="auto"/>
                        <w:bottom w:val="none" w:sz="0" w:space="0" w:color="auto"/>
                        <w:right w:val="none" w:sz="0" w:space="0" w:color="auto"/>
                      </w:divBdr>
                    </w:div>
                  </w:divsChild>
                </w:div>
                <w:div w:id="1053695275">
                  <w:marLeft w:val="0"/>
                  <w:marRight w:val="0"/>
                  <w:marTop w:val="0"/>
                  <w:marBottom w:val="0"/>
                  <w:divBdr>
                    <w:top w:val="none" w:sz="0" w:space="0" w:color="auto"/>
                    <w:left w:val="none" w:sz="0" w:space="0" w:color="auto"/>
                    <w:bottom w:val="none" w:sz="0" w:space="0" w:color="auto"/>
                    <w:right w:val="none" w:sz="0" w:space="0" w:color="auto"/>
                  </w:divBdr>
                  <w:divsChild>
                    <w:div w:id="1467896299">
                      <w:marLeft w:val="0"/>
                      <w:marRight w:val="0"/>
                      <w:marTop w:val="0"/>
                      <w:marBottom w:val="0"/>
                      <w:divBdr>
                        <w:top w:val="none" w:sz="0" w:space="0" w:color="auto"/>
                        <w:left w:val="none" w:sz="0" w:space="0" w:color="auto"/>
                        <w:bottom w:val="none" w:sz="0" w:space="0" w:color="auto"/>
                        <w:right w:val="none" w:sz="0" w:space="0" w:color="auto"/>
                      </w:divBdr>
                    </w:div>
                  </w:divsChild>
                </w:div>
                <w:div w:id="1145006511">
                  <w:marLeft w:val="0"/>
                  <w:marRight w:val="0"/>
                  <w:marTop w:val="0"/>
                  <w:marBottom w:val="0"/>
                  <w:divBdr>
                    <w:top w:val="none" w:sz="0" w:space="0" w:color="auto"/>
                    <w:left w:val="none" w:sz="0" w:space="0" w:color="auto"/>
                    <w:bottom w:val="none" w:sz="0" w:space="0" w:color="auto"/>
                    <w:right w:val="none" w:sz="0" w:space="0" w:color="auto"/>
                  </w:divBdr>
                  <w:divsChild>
                    <w:div w:id="3365579">
                      <w:marLeft w:val="0"/>
                      <w:marRight w:val="0"/>
                      <w:marTop w:val="0"/>
                      <w:marBottom w:val="0"/>
                      <w:divBdr>
                        <w:top w:val="none" w:sz="0" w:space="0" w:color="auto"/>
                        <w:left w:val="none" w:sz="0" w:space="0" w:color="auto"/>
                        <w:bottom w:val="none" w:sz="0" w:space="0" w:color="auto"/>
                        <w:right w:val="none" w:sz="0" w:space="0" w:color="auto"/>
                      </w:divBdr>
                    </w:div>
                  </w:divsChild>
                </w:div>
                <w:div w:id="1262564217">
                  <w:marLeft w:val="0"/>
                  <w:marRight w:val="0"/>
                  <w:marTop w:val="0"/>
                  <w:marBottom w:val="0"/>
                  <w:divBdr>
                    <w:top w:val="none" w:sz="0" w:space="0" w:color="auto"/>
                    <w:left w:val="none" w:sz="0" w:space="0" w:color="auto"/>
                    <w:bottom w:val="none" w:sz="0" w:space="0" w:color="auto"/>
                    <w:right w:val="none" w:sz="0" w:space="0" w:color="auto"/>
                  </w:divBdr>
                  <w:divsChild>
                    <w:div w:id="541097815">
                      <w:marLeft w:val="0"/>
                      <w:marRight w:val="0"/>
                      <w:marTop w:val="0"/>
                      <w:marBottom w:val="0"/>
                      <w:divBdr>
                        <w:top w:val="none" w:sz="0" w:space="0" w:color="auto"/>
                        <w:left w:val="none" w:sz="0" w:space="0" w:color="auto"/>
                        <w:bottom w:val="none" w:sz="0" w:space="0" w:color="auto"/>
                        <w:right w:val="none" w:sz="0" w:space="0" w:color="auto"/>
                      </w:divBdr>
                    </w:div>
                  </w:divsChild>
                </w:div>
                <w:div w:id="1296835511">
                  <w:marLeft w:val="0"/>
                  <w:marRight w:val="0"/>
                  <w:marTop w:val="0"/>
                  <w:marBottom w:val="0"/>
                  <w:divBdr>
                    <w:top w:val="none" w:sz="0" w:space="0" w:color="auto"/>
                    <w:left w:val="none" w:sz="0" w:space="0" w:color="auto"/>
                    <w:bottom w:val="none" w:sz="0" w:space="0" w:color="auto"/>
                    <w:right w:val="none" w:sz="0" w:space="0" w:color="auto"/>
                  </w:divBdr>
                  <w:divsChild>
                    <w:div w:id="346099601">
                      <w:marLeft w:val="0"/>
                      <w:marRight w:val="0"/>
                      <w:marTop w:val="0"/>
                      <w:marBottom w:val="0"/>
                      <w:divBdr>
                        <w:top w:val="none" w:sz="0" w:space="0" w:color="auto"/>
                        <w:left w:val="none" w:sz="0" w:space="0" w:color="auto"/>
                        <w:bottom w:val="none" w:sz="0" w:space="0" w:color="auto"/>
                        <w:right w:val="none" w:sz="0" w:space="0" w:color="auto"/>
                      </w:divBdr>
                    </w:div>
                  </w:divsChild>
                </w:div>
                <w:div w:id="1298953551">
                  <w:marLeft w:val="0"/>
                  <w:marRight w:val="0"/>
                  <w:marTop w:val="0"/>
                  <w:marBottom w:val="0"/>
                  <w:divBdr>
                    <w:top w:val="none" w:sz="0" w:space="0" w:color="auto"/>
                    <w:left w:val="none" w:sz="0" w:space="0" w:color="auto"/>
                    <w:bottom w:val="none" w:sz="0" w:space="0" w:color="auto"/>
                    <w:right w:val="none" w:sz="0" w:space="0" w:color="auto"/>
                  </w:divBdr>
                  <w:divsChild>
                    <w:div w:id="98450255">
                      <w:marLeft w:val="0"/>
                      <w:marRight w:val="0"/>
                      <w:marTop w:val="0"/>
                      <w:marBottom w:val="0"/>
                      <w:divBdr>
                        <w:top w:val="none" w:sz="0" w:space="0" w:color="auto"/>
                        <w:left w:val="none" w:sz="0" w:space="0" w:color="auto"/>
                        <w:bottom w:val="none" w:sz="0" w:space="0" w:color="auto"/>
                        <w:right w:val="none" w:sz="0" w:space="0" w:color="auto"/>
                      </w:divBdr>
                    </w:div>
                  </w:divsChild>
                </w:div>
                <w:div w:id="1314680721">
                  <w:marLeft w:val="0"/>
                  <w:marRight w:val="0"/>
                  <w:marTop w:val="0"/>
                  <w:marBottom w:val="0"/>
                  <w:divBdr>
                    <w:top w:val="none" w:sz="0" w:space="0" w:color="auto"/>
                    <w:left w:val="none" w:sz="0" w:space="0" w:color="auto"/>
                    <w:bottom w:val="none" w:sz="0" w:space="0" w:color="auto"/>
                    <w:right w:val="none" w:sz="0" w:space="0" w:color="auto"/>
                  </w:divBdr>
                  <w:divsChild>
                    <w:div w:id="657731042">
                      <w:marLeft w:val="0"/>
                      <w:marRight w:val="0"/>
                      <w:marTop w:val="0"/>
                      <w:marBottom w:val="0"/>
                      <w:divBdr>
                        <w:top w:val="none" w:sz="0" w:space="0" w:color="auto"/>
                        <w:left w:val="none" w:sz="0" w:space="0" w:color="auto"/>
                        <w:bottom w:val="none" w:sz="0" w:space="0" w:color="auto"/>
                        <w:right w:val="none" w:sz="0" w:space="0" w:color="auto"/>
                      </w:divBdr>
                    </w:div>
                  </w:divsChild>
                </w:div>
                <w:div w:id="1332372292">
                  <w:marLeft w:val="0"/>
                  <w:marRight w:val="0"/>
                  <w:marTop w:val="0"/>
                  <w:marBottom w:val="0"/>
                  <w:divBdr>
                    <w:top w:val="none" w:sz="0" w:space="0" w:color="auto"/>
                    <w:left w:val="none" w:sz="0" w:space="0" w:color="auto"/>
                    <w:bottom w:val="none" w:sz="0" w:space="0" w:color="auto"/>
                    <w:right w:val="none" w:sz="0" w:space="0" w:color="auto"/>
                  </w:divBdr>
                  <w:divsChild>
                    <w:div w:id="1180776971">
                      <w:marLeft w:val="0"/>
                      <w:marRight w:val="0"/>
                      <w:marTop w:val="0"/>
                      <w:marBottom w:val="0"/>
                      <w:divBdr>
                        <w:top w:val="none" w:sz="0" w:space="0" w:color="auto"/>
                        <w:left w:val="none" w:sz="0" w:space="0" w:color="auto"/>
                        <w:bottom w:val="none" w:sz="0" w:space="0" w:color="auto"/>
                        <w:right w:val="none" w:sz="0" w:space="0" w:color="auto"/>
                      </w:divBdr>
                    </w:div>
                  </w:divsChild>
                </w:div>
                <w:div w:id="1339774119">
                  <w:marLeft w:val="0"/>
                  <w:marRight w:val="0"/>
                  <w:marTop w:val="0"/>
                  <w:marBottom w:val="0"/>
                  <w:divBdr>
                    <w:top w:val="none" w:sz="0" w:space="0" w:color="auto"/>
                    <w:left w:val="none" w:sz="0" w:space="0" w:color="auto"/>
                    <w:bottom w:val="none" w:sz="0" w:space="0" w:color="auto"/>
                    <w:right w:val="none" w:sz="0" w:space="0" w:color="auto"/>
                  </w:divBdr>
                  <w:divsChild>
                    <w:div w:id="825635912">
                      <w:marLeft w:val="0"/>
                      <w:marRight w:val="0"/>
                      <w:marTop w:val="0"/>
                      <w:marBottom w:val="0"/>
                      <w:divBdr>
                        <w:top w:val="none" w:sz="0" w:space="0" w:color="auto"/>
                        <w:left w:val="none" w:sz="0" w:space="0" w:color="auto"/>
                        <w:bottom w:val="none" w:sz="0" w:space="0" w:color="auto"/>
                        <w:right w:val="none" w:sz="0" w:space="0" w:color="auto"/>
                      </w:divBdr>
                    </w:div>
                  </w:divsChild>
                </w:div>
                <w:div w:id="1393039907">
                  <w:marLeft w:val="0"/>
                  <w:marRight w:val="0"/>
                  <w:marTop w:val="0"/>
                  <w:marBottom w:val="0"/>
                  <w:divBdr>
                    <w:top w:val="none" w:sz="0" w:space="0" w:color="auto"/>
                    <w:left w:val="none" w:sz="0" w:space="0" w:color="auto"/>
                    <w:bottom w:val="none" w:sz="0" w:space="0" w:color="auto"/>
                    <w:right w:val="none" w:sz="0" w:space="0" w:color="auto"/>
                  </w:divBdr>
                  <w:divsChild>
                    <w:div w:id="967510859">
                      <w:marLeft w:val="0"/>
                      <w:marRight w:val="0"/>
                      <w:marTop w:val="0"/>
                      <w:marBottom w:val="0"/>
                      <w:divBdr>
                        <w:top w:val="none" w:sz="0" w:space="0" w:color="auto"/>
                        <w:left w:val="none" w:sz="0" w:space="0" w:color="auto"/>
                        <w:bottom w:val="none" w:sz="0" w:space="0" w:color="auto"/>
                        <w:right w:val="none" w:sz="0" w:space="0" w:color="auto"/>
                      </w:divBdr>
                    </w:div>
                  </w:divsChild>
                </w:div>
                <w:div w:id="1432234975">
                  <w:marLeft w:val="0"/>
                  <w:marRight w:val="0"/>
                  <w:marTop w:val="0"/>
                  <w:marBottom w:val="0"/>
                  <w:divBdr>
                    <w:top w:val="none" w:sz="0" w:space="0" w:color="auto"/>
                    <w:left w:val="none" w:sz="0" w:space="0" w:color="auto"/>
                    <w:bottom w:val="none" w:sz="0" w:space="0" w:color="auto"/>
                    <w:right w:val="none" w:sz="0" w:space="0" w:color="auto"/>
                  </w:divBdr>
                  <w:divsChild>
                    <w:div w:id="160899437">
                      <w:marLeft w:val="0"/>
                      <w:marRight w:val="0"/>
                      <w:marTop w:val="0"/>
                      <w:marBottom w:val="0"/>
                      <w:divBdr>
                        <w:top w:val="none" w:sz="0" w:space="0" w:color="auto"/>
                        <w:left w:val="none" w:sz="0" w:space="0" w:color="auto"/>
                        <w:bottom w:val="none" w:sz="0" w:space="0" w:color="auto"/>
                        <w:right w:val="none" w:sz="0" w:space="0" w:color="auto"/>
                      </w:divBdr>
                    </w:div>
                  </w:divsChild>
                </w:div>
                <w:div w:id="1457992959">
                  <w:marLeft w:val="0"/>
                  <w:marRight w:val="0"/>
                  <w:marTop w:val="0"/>
                  <w:marBottom w:val="0"/>
                  <w:divBdr>
                    <w:top w:val="none" w:sz="0" w:space="0" w:color="auto"/>
                    <w:left w:val="none" w:sz="0" w:space="0" w:color="auto"/>
                    <w:bottom w:val="none" w:sz="0" w:space="0" w:color="auto"/>
                    <w:right w:val="none" w:sz="0" w:space="0" w:color="auto"/>
                  </w:divBdr>
                  <w:divsChild>
                    <w:div w:id="444471336">
                      <w:marLeft w:val="0"/>
                      <w:marRight w:val="0"/>
                      <w:marTop w:val="0"/>
                      <w:marBottom w:val="0"/>
                      <w:divBdr>
                        <w:top w:val="none" w:sz="0" w:space="0" w:color="auto"/>
                        <w:left w:val="none" w:sz="0" w:space="0" w:color="auto"/>
                        <w:bottom w:val="none" w:sz="0" w:space="0" w:color="auto"/>
                        <w:right w:val="none" w:sz="0" w:space="0" w:color="auto"/>
                      </w:divBdr>
                    </w:div>
                  </w:divsChild>
                </w:div>
                <w:div w:id="1465810101">
                  <w:marLeft w:val="0"/>
                  <w:marRight w:val="0"/>
                  <w:marTop w:val="0"/>
                  <w:marBottom w:val="0"/>
                  <w:divBdr>
                    <w:top w:val="none" w:sz="0" w:space="0" w:color="auto"/>
                    <w:left w:val="none" w:sz="0" w:space="0" w:color="auto"/>
                    <w:bottom w:val="none" w:sz="0" w:space="0" w:color="auto"/>
                    <w:right w:val="none" w:sz="0" w:space="0" w:color="auto"/>
                  </w:divBdr>
                  <w:divsChild>
                    <w:div w:id="1879466970">
                      <w:marLeft w:val="0"/>
                      <w:marRight w:val="0"/>
                      <w:marTop w:val="0"/>
                      <w:marBottom w:val="0"/>
                      <w:divBdr>
                        <w:top w:val="none" w:sz="0" w:space="0" w:color="auto"/>
                        <w:left w:val="none" w:sz="0" w:space="0" w:color="auto"/>
                        <w:bottom w:val="none" w:sz="0" w:space="0" w:color="auto"/>
                        <w:right w:val="none" w:sz="0" w:space="0" w:color="auto"/>
                      </w:divBdr>
                    </w:div>
                  </w:divsChild>
                </w:div>
                <w:div w:id="1499686812">
                  <w:marLeft w:val="0"/>
                  <w:marRight w:val="0"/>
                  <w:marTop w:val="0"/>
                  <w:marBottom w:val="0"/>
                  <w:divBdr>
                    <w:top w:val="none" w:sz="0" w:space="0" w:color="auto"/>
                    <w:left w:val="none" w:sz="0" w:space="0" w:color="auto"/>
                    <w:bottom w:val="none" w:sz="0" w:space="0" w:color="auto"/>
                    <w:right w:val="none" w:sz="0" w:space="0" w:color="auto"/>
                  </w:divBdr>
                  <w:divsChild>
                    <w:div w:id="2030139459">
                      <w:marLeft w:val="0"/>
                      <w:marRight w:val="0"/>
                      <w:marTop w:val="0"/>
                      <w:marBottom w:val="0"/>
                      <w:divBdr>
                        <w:top w:val="none" w:sz="0" w:space="0" w:color="auto"/>
                        <w:left w:val="none" w:sz="0" w:space="0" w:color="auto"/>
                        <w:bottom w:val="none" w:sz="0" w:space="0" w:color="auto"/>
                        <w:right w:val="none" w:sz="0" w:space="0" w:color="auto"/>
                      </w:divBdr>
                    </w:div>
                  </w:divsChild>
                </w:div>
                <w:div w:id="1512840713">
                  <w:marLeft w:val="0"/>
                  <w:marRight w:val="0"/>
                  <w:marTop w:val="0"/>
                  <w:marBottom w:val="0"/>
                  <w:divBdr>
                    <w:top w:val="none" w:sz="0" w:space="0" w:color="auto"/>
                    <w:left w:val="none" w:sz="0" w:space="0" w:color="auto"/>
                    <w:bottom w:val="none" w:sz="0" w:space="0" w:color="auto"/>
                    <w:right w:val="none" w:sz="0" w:space="0" w:color="auto"/>
                  </w:divBdr>
                  <w:divsChild>
                    <w:div w:id="104735982">
                      <w:marLeft w:val="0"/>
                      <w:marRight w:val="0"/>
                      <w:marTop w:val="0"/>
                      <w:marBottom w:val="0"/>
                      <w:divBdr>
                        <w:top w:val="none" w:sz="0" w:space="0" w:color="auto"/>
                        <w:left w:val="none" w:sz="0" w:space="0" w:color="auto"/>
                        <w:bottom w:val="none" w:sz="0" w:space="0" w:color="auto"/>
                        <w:right w:val="none" w:sz="0" w:space="0" w:color="auto"/>
                      </w:divBdr>
                    </w:div>
                  </w:divsChild>
                </w:div>
                <w:div w:id="1520197396">
                  <w:marLeft w:val="0"/>
                  <w:marRight w:val="0"/>
                  <w:marTop w:val="0"/>
                  <w:marBottom w:val="0"/>
                  <w:divBdr>
                    <w:top w:val="none" w:sz="0" w:space="0" w:color="auto"/>
                    <w:left w:val="none" w:sz="0" w:space="0" w:color="auto"/>
                    <w:bottom w:val="none" w:sz="0" w:space="0" w:color="auto"/>
                    <w:right w:val="none" w:sz="0" w:space="0" w:color="auto"/>
                  </w:divBdr>
                  <w:divsChild>
                    <w:div w:id="609510736">
                      <w:marLeft w:val="0"/>
                      <w:marRight w:val="0"/>
                      <w:marTop w:val="0"/>
                      <w:marBottom w:val="0"/>
                      <w:divBdr>
                        <w:top w:val="none" w:sz="0" w:space="0" w:color="auto"/>
                        <w:left w:val="none" w:sz="0" w:space="0" w:color="auto"/>
                        <w:bottom w:val="none" w:sz="0" w:space="0" w:color="auto"/>
                        <w:right w:val="none" w:sz="0" w:space="0" w:color="auto"/>
                      </w:divBdr>
                    </w:div>
                  </w:divsChild>
                </w:div>
                <w:div w:id="1541937361">
                  <w:marLeft w:val="0"/>
                  <w:marRight w:val="0"/>
                  <w:marTop w:val="0"/>
                  <w:marBottom w:val="0"/>
                  <w:divBdr>
                    <w:top w:val="none" w:sz="0" w:space="0" w:color="auto"/>
                    <w:left w:val="none" w:sz="0" w:space="0" w:color="auto"/>
                    <w:bottom w:val="none" w:sz="0" w:space="0" w:color="auto"/>
                    <w:right w:val="none" w:sz="0" w:space="0" w:color="auto"/>
                  </w:divBdr>
                  <w:divsChild>
                    <w:div w:id="755178033">
                      <w:marLeft w:val="0"/>
                      <w:marRight w:val="0"/>
                      <w:marTop w:val="0"/>
                      <w:marBottom w:val="0"/>
                      <w:divBdr>
                        <w:top w:val="none" w:sz="0" w:space="0" w:color="auto"/>
                        <w:left w:val="none" w:sz="0" w:space="0" w:color="auto"/>
                        <w:bottom w:val="none" w:sz="0" w:space="0" w:color="auto"/>
                        <w:right w:val="none" w:sz="0" w:space="0" w:color="auto"/>
                      </w:divBdr>
                    </w:div>
                  </w:divsChild>
                </w:div>
                <w:div w:id="1618832926">
                  <w:marLeft w:val="0"/>
                  <w:marRight w:val="0"/>
                  <w:marTop w:val="0"/>
                  <w:marBottom w:val="0"/>
                  <w:divBdr>
                    <w:top w:val="none" w:sz="0" w:space="0" w:color="auto"/>
                    <w:left w:val="none" w:sz="0" w:space="0" w:color="auto"/>
                    <w:bottom w:val="none" w:sz="0" w:space="0" w:color="auto"/>
                    <w:right w:val="none" w:sz="0" w:space="0" w:color="auto"/>
                  </w:divBdr>
                  <w:divsChild>
                    <w:div w:id="310598571">
                      <w:marLeft w:val="0"/>
                      <w:marRight w:val="0"/>
                      <w:marTop w:val="0"/>
                      <w:marBottom w:val="0"/>
                      <w:divBdr>
                        <w:top w:val="none" w:sz="0" w:space="0" w:color="auto"/>
                        <w:left w:val="none" w:sz="0" w:space="0" w:color="auto"/>
                        <w:bottom w:val="none" w:sz="0" w:space="0" w:color="auto"/>
                        <w:right w:val="none" w:sz="0" w:space="0" w:color="auto"/>
                      </w:divBdr>
                    </w:div>
                  </w:divsChild>
                </w:div>
                <w:div w:id="1702634172">
                  <w:marLeft w:val="0"/>
                  <w:marRight w:val="0"/>
                  <w:marTop w:val="0"/>
                  <w:marBottom w:val="0"/>
                  <w:divBdr>
                    <w:top w:val="none" w:sz="0" w:space="0" w:color="auto"/>
                    <w:left w:val="none" w:sz="0" w:space="0" w:color="auto"/>
                    <w:bottom w:val="none" w:sz="0" w:space="0" w:color="auto"/>
                    <w:right w:val="none" w:sz="0" w:space="0" w:color="auto"/>
                  </w:divBdr>
                  <w:divsChild>
                    <w:div w:id="779297500">
                      <w:marLeft w:val="0"/>
                      <w:marRight w:val="0"/>
                      <w:marTop w:val="0"/>
                      <w:marBottom w:val="0"/>
                      <w:divBdr>
                        <w:top w:val="none" w:sz="0" w:space="0" w:color="auto"/>
                        <w:left w:val="none" w:sz="0" w:space="0" w:color="auto"/>
                        <w:bottom w:val="none" w:sz="0" w:space="0" w:color="auto"/>
                        <w:right w:val="none" w:sz="0" w:space="0" w:color="auto"/>
                      </w:divBdr>
                    </w:div>
                  </w:divsChild>
                </w:div>
                <w:div w:id="1731490137">
                  <w:marLeft w:val="0"/>
                  <w:marRight w:val="0"/>
                  <w:marTop w:val="0"/>
                  <w:marBottom w:val="0"/>
                  <w:divBdr>
                    <w:top w:val="none" w:sz="0" w:space="0" w:color="auto"/>
                    <w:left w:val="none" w:sz="0" w:space="0" w:color="auto"/>
                    <w:bottom w:val="none" w:sz="0" w:space="0" w:color="auto"/>
                    <w:right w:val="none" w:sz="0" w:space="0" w:color="auto"/>
                  </w:divBdr>
                  <w:divsChild>
                    <w:div w:id="1290167009">
                      <w:marLeft w:val="0"/>
                      <w:marRight w:val="0"/>
                      <w:marTop w:val="0"/>
                      <w:marBottom w:val="0"/>
                      <w:divBdr>
                        <w:top w:val="none" w:sz="0" w:space="0" w:color="auto"/>
                        <w:left w:val="none" w:sz="0" w:space="0" w:color="auto"/>
                        <w:bottom w:val="none" w:sz="0" w:space="0" w:color="auto"/>
                        <w:right w:val="none" w:sz="0" w:space="0" w:color="auto"/>
                      </w:divBdr>
                    </w:div>
                  </w:divsChild>
                </w:div>
                <w:div w:id="1734616046">
                  <w:marLeft w:val="0"/>
                  <w:marRight w:val="0"/>
                  <w:marTop w:val="0"/>
                  <w:marBottom w:val="0"/>
                  <w:divBdr>
                    <w:top w:val="none" w:sz="0" w:space="0" w:color="auto"/>
                    <w:left w:val="none" w:sz="0" w:space="0" w:color="auto"/>
                    <w:bottom w:val="none" w:sz="0" w:space="0" w:color="auto"/>
                    <w:right w:val="none" w:sz="0" w:space="0" w:color="auto"/>
                  </w:divBdr>
                  <w:divsChild>
                    <w:div w:id="870262105">
                      <w:marLeft w:val="0"/>
                      <w:marRight w:val="0"/>
                      <w:marTop w:val="0"/>
                      <w:marBottom w:val="0"/>
                      <w:divBdr>
                        <w:top w:val="none" w:sz="0" w:space="0" w:color="auto"/>
                        <w:left w:val="none" w:sz="0" w:space="0" w:color="auto"/>
                        <w:bottom w:val="none" w:sz="0" w:space="0" w:color="auto"/>
                        <w:right w:val="none" w:sz="0" w:space="0" w:color="auto"/>
                      </w:divBdr>
                    </w:div>
                  </w:divsChild>
                </w:div>
                <w:div w:id="1737624747">
                  <w:marLeft w:val="0"/>
                  <w:marRight w:val="0"/>
                  <w:marTop w:val="0"/>
                  <w:marBottom w:val="0"/>
                  <w:divBdr>
                    <w:top w:val="none" w:sz="0" w:space="0" w:color="auto"/>
                    <w:left w:val="none" w:sz="0" w:space="0" w:color="auto"/>
                    <w:bottom w:val="none" w:sz="0" w:space="0" w:color="auto"/>
                    <w:right w:val="none" w:sz="0" w:space="0" w:color="auto"/>
                  </w:divBdr>
                  <w:divsChild>
                    <w:div w:id="1746998379">
                      <w:marLeft w:val="0"/>
                      <w:marRight w:val="0"/>
                      <w:marTop w:val="0"/>
                      <w:marBottom w:val="0"/>
                      <w:divBdr>
                        <w:top w:val="none" w:sz="0" w:space="0" w:color="auto"/>
                        <w:left w:val="none" w:sz="0" w:space="0" w:color="auto"/>
                        <w:bottom w:val="none" w:sz="0" w:space="0" w:color="auto"/>
                        <w:right w:val="none" w:sz="0" w:space="0" w:color="auto"/>
                      </w:divBdr>
                    </w:div>
                  </w:divsChild>
                </w:div>
                <w:div w:id="1745879913">
                  <w:marLeft w:val="0"/>
                  <w:marRight w:val="0"/>
                  <w:marTop w:val="0"/>
                  <w:marBottom w:val="0"/>
                  <w:divBdr>
                    <w:top w:val="none" w:sz="0" w:space="0" w:color="auto"/>
                    <w:left w:val="none" w:sz="0" w:space="0" w:color="auto"/>
                    <w:bottom w:val="none" w:sz="0" w:space="0" w:color="auto"/>
                    <w:right w:val="none" w:sz="0" w:space="0" w:color="auto"/>
                  </w:divBdr>
                  <w:divsChild>
                    <w:div w:id="490490140">
                      <w:marLeft w:val="0"/>
                      <w:marRight w:val="0"/>
                      <w:marTop w:val="0"/>
                      <w:marBottom w:val="0"/>
                      <w:divBdr>
                        <w:top w:val="none" w:sz="0" w:space="0" w:color="auto"/>
                        <w:left w:val="none" w:sz="0" w:space="0" w:color="auto"/>
                        <w:bottom w:val="none" w:sz="0" w:space="0" w:color="auto"/>
                        <w:right w:val="none" w:sz="0" w:space="0" w:color="auto"/>
                      </w:divBdr>
                    </w:div>
                  </w:divsChild>
                </w:div>
                <w:div w:id="1775322148">
                  <w:marLeft w:val="0"/>
                  <w:marRight w:val="0"/>
                  <w:marTop w:val="0"/>
                  <w:marBottom w:val="0"/>
                  <w:divBdr>
                    <w:top w:val="none" w:sz="0" w:space="0" w:color="auto"/>
                    <w:left w:val="none" w:sz="0" w:space="0" w:color="auto"/>
                    <w:bottom w:val="none" w:sz="0" w:space="0" w:color="auto"/>
                    <w:right w:val="none" w:sz="0" w:space="0" w:color="auto"/>
                  </w:divBdr>
                  <w:divsChild>
                    <w:div w:id="1316449280">
                      <w:marLeft w:val="0"/>
                      <w:marRight w:val="0"/>
                      <w:marTop w:val="0"/>
                      <w:marBottom w:val="0"/>
                      <w:divBdr>
                        <w:top w:val="none" w:sz="0" w:space="0" w:color="auto"/>
                        <w:left w:val="none" w:sz="0" w:space="0" w:color="auto"/>
                        <w:bottom w:val="none" w:sz="0" w:space="0" w:color="auto"/>
                        <w:right w:val="none" w:sz="0" w:space="0" w:color="auto"/>
                      </w:divBdr>
                    </w:div>
                  </w:divsChild>
                </w:div>
                <w:div w:id="1813936498">
                  <w:marLeft w:val="0"/>
                  <w:marRight w:val="0"/>
                  <w:marTop w:val="0"/>
                  <w:marBottom w:val="0"/>
                  <w:divBdr>
                    <w:top w:val="none" w:sz="0" w:space="0" w:color="auto"/>
                    <w:left w:val="none" w:sz="0" w:space="0" w:color="auto"/>
                    <w:bottom w:val="none" w:sz="0" w:space="0" w:color="auto"/>
                    <w:right w:val="none" w:sz="0" w:space="0" w:color="auto"/>
                  </w:divBdr>
                  <w:divsChild>
                    <w:div w:id="1336761840">
                      <w:marLeft w:val="0"/>
                      <w:marRight w:val="0"/>
                      <w:marTop w:val="0"/>
                      <w:marBottom w:val="0"/>
                      <w:divBdr>
                        <w:top w:val="none" w:sz="0" w:space="0" w:color="auto"/>
                        <w:left w:val="none" w:sz="0" w:space="0" w:color="auto"/>
                        <w:bottom w:val="none" w:sz="0" w:space="0" w:color="auto"/>
                        <w:right w:val="none" w:sz="0" w:space="0" w:color="auto"/>
                      </w:divBdr>
                    </w:div>
                  </w:divsChild>
                </w:div>
                <w:div w:id="1882395379">
                  <w:marLeft w:val="0"/>
                  <w:marRight w:val="0"/>
                  <w:marTop w:val="0"/>
                  <w:marBottom w:val="0"/>
                  <w:divBdr>
                    <w:top w:val="none" w:sz="0" w:space="0" w:color="auto"/>
                    <w:left w:val="none" w:sz="0" w:space="0" w:color="auto"/>
                    <w:bottom w:val="none" w:sz="0" w:space="0" w:color="auto"/>
                    <w:right w:val="none" w:sz="0" w:space="0" w:color="auto"/>
                  </w:divBdr>
                  <w:divsChild>
                    <w:div w:id="1749886418">
                      <w:marLeft w:val="0"/>
                      <w:marRight w:val="0"/>
                      <w:marTop w:val="0"/>
                      <w:marBottom w:val="0"/>
                      <w:divBdr>
                        <w:top w:val="none" w:sz="0" w:space="0" w:color="auto"/>
                        <w:left w:val="none" w:sz="0" w:space="0" w:color="auto"/>
                        <w:bottom w:val="none" w:sz="0" w:space="0" w:color="auto"/>
                        <w:right w:val="none" w:sz="0" w:space="0" w:color="auto"/>
                      </w:divBdr>
                    </w:div>
                  </w:divsChild>
                </w:div>
                <w:div w:id="1934586639">
                  <w:marLeft w:val="0"/>
                  <w:marRight w:val="0"/>
                  <w:marTop w:val="0"/>
                  <w:marBottom w:val="0"/>
                  <w:divBdr>
                    <w:top w:val="none" w:sz="0" w:space="0" w:color="auto"/>
                    <w:left w:val="none" w:sz="0" w:space="0" w:color="auto"/>
                    <w:bottom w:val="none" w:sz="0" w:space="0" w:color="auto"/>
                    <w:right w:val="none" w:sz="0" w:space="0" w:color="auto"/>
                  </w:divBdr>
                  <w:divsChild>
                    <w:div w:id="396323854">
                      <w:marLeft w:val="0"/>
                      <w:marRight w:val="0"/>
                      <w:marTop w:val="0"/>
                      <w:marBottom w:val="0"/>
                      <w:divBdr>
                        <w:top w:val="none" w:sz="0" w:space="0" w:color="auto"/>
                        <w:left w:val="none" w:sz="0" w:space="0" w:color="auto"/>
                        <w:bottom w:val="none" w:sz="0" w:space="0" w:color="auto"/>
                        <w:right w:val="none" w:sz="0" w:space="0" w:color="auto"/>
                      </w:divBdr>
                    </w:div>
                  </w:divsChild>
                </w:div>
                <w:div w:id="1997218770">
                  <w:marLeft w:val="0"/>
                  <w:marRight w:val="0"/>
                  <w:marTop w:val="0"/>
                  <w:marBottom w:val="0"/>
                  <w:divBdr>
                    <w:top w:val="none" w:sz="0" w:space="0" w:color="auto"/>
                    <w:left w:val="none" w:sz="0" w:space="0" w:color="auto"/>
                    <w:bottom w:val="none" w:sz="0" w:space="0" w:color="auto"/>
                    <w:right w:val="none" w:sz="0" w:space="0" w:color="auto"/>
                  </w:divBdr>
                  <w:divsChild>
                    <w:div w:id="2142068008">
                      <w:marLeft w:val="0"/>
                      <w:marRight w:val="0"/>
                      <w:marTop w:val="0"/>
                      <w:marBottom w:val="0"/>
                      <w:divBdr>
                        <w:top w:val="none" w:sz="0" w:space="0" w:color="auto"/>
                        <w:left w:val="none" w:sz="0" w:space="0" w:color="auto"/>
                        <w:bottom w:val="none" w:sz="0" w:space="0" w:color="auto"/>
                        <w:right w:val="none" w:sz="0" w:space="0" w:color="auto"/>
                      </w:divBdr>
                    </w:div>
                  </w:divsChild>
                </w:div>
                <w:div w:id="2023706329">
                  <w:marLeft w:val="0"/>
                  <w:marRight w:val="0"/>
                  <w:marTop w:val="0"/>
                  <w:marBottom w:val="0"/>
                  <w:divBdr>
                    <w:top w:val="none" w:sz="0" w:space="0" w:color="auto"/>
                    <w:left w:val="none" w:sz="0" w:space="0" w:color="auto"/>
                    <w:bottom w:val="none" w:sz="0" w:space="0" w:color="auto"/>
                    <w:right w:val="none" w:sz="0" w:space="0" w:color="auto"/>
                  </w:divBdr>
                  <w:divsChild>
                    <w:div w:id="498035736">
                      <w:marLeft w:val="0"/>
                      <w:marRight w:val="0"/>
                      <w:marTop w:val="0"/>
                      <w:marBottom w:val="0"/>
                      <w:divBdr>
                        <w:top w:val="none" w:sz="0" w:space="0" w:color="auto"/>
                        <w:left w:val="none" w:sz="0" w:space="0" w:color="auto"/>
                        <w:bottom w:val="none" w:sz="0" w:space="0" w:color="auto"/>
                        <w:right w:val="none" w:sz="0" w:space="0" w:color="auto"/>
                      </w:divBdr>
                    </w:div>
                  </w:divsChild>
                </w:div>
                <w:div w:id="2073769343">
                  <w:marLeft w:val="0"/>
                  <w:marRight w:val="0"/>
                  <w:marTop w:val="0"/>
                  <w:marBottom w:val="0"/>
                  <w:divBdr>
                    <w:top w:val="none" w:sz="0" w:space="0" w:color="auto"/>
                    <w:left w:val="none" w:sz="0" w:space="0" w:color="auto"/>
                    <w:bottom w:val="none" w:sz="0" w:space="0" w:color="auto"/>
                    <w:right w:val="none" w:sz="0" w:space="0" w:color="auto"/>
                  </w:divBdr>
                  <w:divsChild>
                    <w:div w:id="63556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992465">
          <w:marLeft w:val="0"/>
          <w:marRight w:val="0"/>
          <w:marTop w:val="0"/>
          <w:marBottom w:val="0"/>
          <w:divBdr>
            <w:top w:val="none" w:sz="0" w:space="0" w:color="auto"/>
            <w:left w:val="none" w:sz="0" w:space="0" w:color="auto"/>
            <w:bottom w:val="none" w:sz="0" w:space="0" w:color="auto"/>
            <w:right w:val="none" w:sz="0" w:space="0" w:color="auto"/>
          </w:divBdr>
        </w:div>
      </w:divsChild>
    </w:div>
    <w:div w:id="743144588">
      <w:bodyDiv w:val="1"/>
      <w:marLeft w:val="0"/>
      <w:marRight w:val="0"/>
      <w:marTop w:val="0"/>
      <w:marBottom w:val="0"/>
      <w:divBdr>
        <w:top w:val="none" w:sz="0" w:space="0" w:color="auto"/>
        <w:left w:val="none" w:sz="0" w:space="0" w:color="auto"/>
        <w:bottom w:val="none" w:sz="0" w:space="0" w:color="auto"/>
        <w:right w:val="none" w:sz="0" w:space="0" w:color="auto"/>
      </w:divBdr>
    </w:div>
    <w:div w:id="749817759">
      <w:bodyDiv w:val="1"/>
      <w:marLeft w:val="0"/>
      <w:marRight w:val="0"/>
      <w:marTop w:val="0"/>
      <w:marBottom w:val="0"/>
      <w:divBdr>
        <w:top w:val="none" w:sz="0" w:space="0" w:color="auto"/>
        <w:left w:val="none" w:sz="0" w:space="0" w:color="auto"/>
        <w:bottom w:val="none" w:sz="0" w:space="0" w:color="auto"/>
        <w:right w:val="none" w:sz="0" w:space="0" w:color="auto"/>
      </w:divBdr>
    </w:div>
    <w:div w:id="758600750">
      <w:bodyDiv w:val="1"/>
      <w:marLeft w:val="0"/>
      <w:marRight w:val="0"/>
      <w:marTop w:val="0"/>
      <w:marBottom w:val="0"/>
      <w:divBdr>
        <w:top w:val="none" w:sz="0" w:space="0" w:color="auto"/>
        <w:left w:val="none" w:sz="0" w:space="0" w:color="auto"/>
        <w:bottom w:val="none" w:sz="0" w:space="0" w:color="auto"/>
        <w:right w:val="none" w:sz="0" w:space="0" w:color="auto"/>
      </w:divBdr>
    </w:div>
    <w:div w:id="773594194">
      <w:bodyDiv w:val="1"/>
      <w:marLeft w:val="0"/>
      <w:marRight w:val="0"/>
      <w:marTop w:val="0"/>
      <w:marBottom w:val="0"/>
      <w:divBdr>
        <w:top w:val="none" w:sz="0" w:space="0" w:color="auto"/>
        <w:left w:val="none" w:sz="0" w:space="0" w:color="auto"/>
        <w:bottom w:val="none" w:sz="0" w:space="0" w:color="auto"/>
        <w:right w:val="none" w:sz="0" w:space="0" w:color="auto"/>
      </w:divBdr>
    </w:div>
    <w:div w:id="801769007">
      <w:bodyDiv w:val="1"/>
      <w:marLeft w:val="0"/>
      <w:marRight w:val="0"/>
      <w:marTop w:val="0"/>
      <w:marBottom w:val="0"/>
      <w:divBdr>
        <w:top w:val="none" w:sz="0" w:space="0" w:color="auto"/>
        <w:left w:val="none" w:sz="0" w:space="0" w:color="auto"/>
        <w:bottom w:val="none" w:sz="0" w:space="0" w:color="auto"/>
        <w:right w:val="none" w:sz="0" w:space="0" w:color="auto"/>
      </w:divBdr>
    </w:div>
    <w:div w:id="805197029">
      <w:bodyDiv w:val="1"/>
      <w:marLeft w:val="0"/>
      <w:marRight w:val="0"/>
      <w:marTop w:val="0"/>
      <w:marBottom w:val="0"/>
      <w:divBdr>
        <w:top w:val="none" w:sz="0" w:space="0" w:color="auto"/>
        <w:left w:val="none" w:sz="0" w:space="0" w:color="auto"/>
        <w:bottom w:val="none" w:sz="0" w:space="0" w:color="auto"/>
        <w:right w:val="none" w:sz="0" w:space="0" w:color="auto"/>
      </w:divBdr>
    </w:div>
    <w:div w:id="836386062">
      <w:bodyDiv w:val="1"/>
      <w:marLeft w:val="0"/>
      <w:marRight w:val="0"/>
      <w:marTop w:val="0"/>
      <w:marBottom w:val="0"/>
      <w:divBdr>
        <w:top w:val="none" w:sz="0" w:space="0" w:color="auto"/>
        <w:left w:val="none" w:sz="0" w:space="0" w:color="auto"/>
        <w:bottom w:val="none" w:sz="0" w:space="0" w:color="auto"/>
        <w:right w:val="none" w:sz="0" w:space="0" w:color="auto"/>
      </w:divBdr>
    </w:div>
    <w:div w:id="836768212">
      <w:bodyDiv w:val="1"/>
      <w:marLeft w:val="0"/>
      <w:marRight w:val="0"/>
      <w:marTop w:val="0"/>
      <w:marBottom w:val="0"/>
      <w:divBdr>
        <w:top w:val="none" w:sz="0" w:space="0" w:color="auto"/>
        <w:left w:val="none" w:sz="0" w:space="0" w:color="auto"/>
        <w:bottom w:val="none" w:sz="0" w:space="0" w:color="auto"/>
        <w:right w:val="none" w:sz="0" w:space="0" w:color="auto"/>
      </w:divBdr>
      <w:divsChild>
        <w:div w:id="318464175">
          <w:marLeft w:val="0"/>
          <w:marRight w:val="0"/>
          <w:marTop w:val="0"/>
          <w:marBottom w:val="0"/>
          <w:divBdr>
            <w:top w:val="none" w:sz="0" w:space="0" w:color="auto"/>
            <w:left w:val="none" w:sz="0" w:space="0" w:color="auto"/>
            <w:bottom w:val="none" w:sz="0" w:space="0" w:color="auto"/>
            <w:right w:val="none" w:sz="0" w:space="0" w:color="auto"/>
          </w:divBdr>
        </w:div>
        <w:div w:id="326635265">
          <w:marLeft w:val="0"/>
          <w:marRight w:val="0"/>
          <w:marTop w:val="0"/>
          <w:marBottom w:val="0"/>
          <w:divBdr>
            <w:top w:val="none" w:sz="0" w:space="0" w:color="auto"/>
            <w:left w:val="none" w:sz="0" w:space="0" w:color="auto"/>
            <w:bottom w:val="none" w:sz="0" w:space="0" w:color="auto"/>
            <w:right w:val="none" w:sz="0" w:space="0" w:color="auto"/>
          </w:divBdr>
        </w:div>
        <w:div w:id="412629038">
          <w:marLeft w:val="0"/>
          <w:marRight w:val="0"/>
          <w:marTop w:val="0"/>
          <w:marBottom w:val="0"/>
          <w:divBdr>
            <w:top w:val="none" w:sz="0" w:space="0" w:color="auto"/>
            <w:left w:val="none" w:sz="0" w:space="0" w:color="auto"/>
            <w:bottom w:val="none" w:sz="0" w:space="0" w:color="auto"/>
            <w:right w:val="none" w:sz="0" w:space="0" w:color="auto"/>
          </w:divBdr>
        </w:div>
        <w:div w:id="1308780412">
          <w:marLeft w:val="0"/>
          <w:marRight w:val="0"/>
          <w:marTop w:val="0"/>
          <w:marBottom w:val="0"/>
          <w:divBdr>
            <w:top w:val="none" w:sz="0" w:space="0" w:color="auto"/>
            <w:left w:val="none" w:sz="0" w:space="0" w:color="auto"/>
            <w:bottom w:val="none" w:sz="0" w:space="0" w:color="auto"/>
            <w:right w:val="none" w:sz="0" w:space="0" w:color="auto"/>
          </w:divBdr>
        </w:div>
        <w:div w:id="1403597758">
          <w:marLeft w:val="0"/>
          <w:marRight w:val="0"/>
          <w:marTop w:val="0"/>
          <w:marBottom w:val="0"/>
          <w:divBdr>
            <w:top w:val="none" w:sz="0" w:space="0" w:color="auto"/>
            <w:left w:val="none" w:sz="0" w:space="0" w:color="auto"/>
            <w:bottom w:val="none" w:sz="0" w:space="0" w:color="auto"/>
            <w:right w:val="none" w:sz="0" w:space="0" w:color="auto"/>
          </w:divBdr>
        </w:div>
        <w:div w:id="1648851006">
          <w:marLeft w:val="0"/>
          <w:marRight w:val="0"/>
          <w:marTop w:val="0"/>
          <w:marBottom w:val="0"/>
          <w:divBdr>
            <w:top w:val="none" w:sz="0" w:space="0" w:color="auto"/>
            <w:left w:val="none" w:sz="0" w:space="0" w:color="auto"/>
            <w:bottom w:val="none" w:sz="0" w:space="0" w:color="auto"/>
            <w:right w:val="none" w:sz="0" w:space="0" w:color="auto"/>
          </w:divBdr>
        </w:div>
      </w:divsChild>
    </w:div>
    <w:div w:id="848712443">
      <w:bodyDiv w:val="1"/>
      <w:marLeft w:val="0"/>
      <w:marRight w:val="0"/>
      <w:marTop w:val="0"/>
      <w:marBottom w:val="0"/>
      <w:divBdr>
        <w:top w:val="none" w:sz="0" w:space="0" w:color="auto"/>
        <w:left w:val="none" w:sz="0" w:space="0" w:color="auto"/>
        <w:bottom w:val="none" w:sz="0" w:space="0" w:color="auto"/>
        <w:right w:val="none" w:sz="0" w:space="0" w:color="auto"/>
      </w:divBdr>
      <w:divsChild>
        <w:div w:id="13239579">
          <w:marLeft w:val="0"/>
          <w:marRight w:val="0"/>
          <w:marTop w:val="0"/>
          <w:marBottom w:val="0"/>
          <w:divBdr>
            <w:top w:val="none" w:sz="0" w:space="0" w:color="auto"/>
            <w:left w:val="none" w:sz="0" w:space="0" w:color="auto"/>
            <w:bottom w:val="none" w:sz="0" w:space="0" w:color="auto"/>
            <w:right w:val="none" w:sz="0" w:space="0" w:color="auto"/>
          </w:divBdr>
          <w:divsChild>
            <w:div w:id="348606443">
              <w:marLeft w:val="0"/>
              <w:marRight w:val="0"/>
              <w:marTop w:val="0"/>
              <w:marBottom w:val="0"/>
              <w:divBdr>
                <w:top w:val="none" w:sz="0" w:space="0" w:color="auto"/>
                <w:left w:val="none" w:sz="0" w:space="0" w:color="auto"/>
                <w:bottom w:val="none" w:sz="0" w:space="0" w:color="auto"/>
                <w:right w:val="none" w:sz="0" w:space="0" w:color="auto"/>
              </w:divBdr>
            </w:div>
          </w:divsChild>
        </w:div>
        <w:div w:id="169804335">
          <w:marLeft w:val="0"/>
          <w:marRight w:val="0"/>
          <w:marTop w:val="0"/>
          <w:marBottom w:val="0"/>
          <w:divBdr>
            <w:top w:val="none" w:sz="0" w:space="0" w:color="auto"/>
            <w:left w:val="none" w:sz="0" w:space="0" w:color="auto"/>
            <w:bottom w:val="none" w:sz="0" w:space="0" w:color="auto"/>
            <w:right w:val="none" w:sz="0" w:space="0" w:color="auto"/>
          </w:divBdr>
          <w:divsChild>
            <w:div w:id="693462644">
              <w:marLeft w:val="0"/>
              <w:marRight w:val="0"/>
              <w:marTop w:val="0"/>
              <w:marBottom w:val="0"/>
              <w:divBdr>
                <w:top w:val="none" w:sz="0" w:space="0" w:color="auto"/>
                <w:left w:val="none" w:sz="0" w:space="0" w:color="auto"/>
                <w:bottom w:val="none" w:sz="0" w:space="0" w:color="auto"/>
                <w:right w:val="none" w:sz="0" w:space="0" w:color="auto"/>
              </w:divBdr>
            </w:div>
          </w:divsChild>
        </w:div>
        <w:div w:id="401488432">
          <w:marLeft w:val="0"/>
          <w:marRight w:val="0"/>
          <w:marTop w:val="0"/>
          <w:marBottom w:val="0"/>
          <w:divBdr>
            <w:top w:val="none" w:sz="0" w:space="0" w:color="auto"/>
            <w:left w:val="none" w:sz="0" w:space="0" w:color="auto"/>
            <w:bottom w:val="none" w:sz="0" w:space="0" w:color="auto"/>
            <w:right w:val="none" w:sz="0" w:space="0" w:color="auto"/>
          </w:divBdr>
          <w:divsChild>
            <w:div w:id="1023437171">
              <w:marLeft w:val="0"/>
              <w:marRight w:val="0"/>
              <w:marTop w:val="0"/>
              <w:marBottom w:val="0"/>
              <w:divBdr>
                <w:top w:val="none" w:sz="0" w:space="0" w:color="auto"/>
                <w:left w:val="none" w:sz="0" w:space="0" w:color="auto"/>
                <w:bottom w:val="none" w:sz="0" w:space="0" w:color="auto"/>
                <w:right w:val="none" w:sz="0" w:space="0" w:color="auto"/>
              </w:divBdr>
            </w:div>
          </w:divsChild>
        </w:div>
        <w:div w:id="424812007">
          <w:marLeft w:val="0"/>
          <w:marRight w:val="0"/>
          <w:marTop w:val="0"/>
          <w:marBottom w:val="0"/>
          <w:divBdr>
            <w:top w:val="none" w:sz="0" w:space="0" w:color="auto"/>
            <w:left w:val="none" w:sz="0" w:space="0" w:color="auto"/>
            <w:bottom w:val="none" w:sz="0" w:space="0" w:color="auto"/>
            <w:right w:val="none" w:sz="0" w:space="0" w:color="auto"/>
          </w:divBdr>
          <w:divsChild>
            <w:div w:id="125123315">
              <w:marLeft w:val="0"/>
              <w:marRight w:val="0"/>
              <w:marTop w:val="0"/>
              <w:marBottom w:val="0"/>
              <w:divBdr>
                <w:top w:val="none" w:sz="0" w:space="0" w:color="auto"/>
                <w:left w:val="none" w:sz="0" w:space="0" w:color="auto"/>
                <w:bottom w:val="none" w:sz="0" w:space="0" w:color="auto"/>
                <w:right w:val="none" w:sz="0" w:space="0" w:color="auto"/>
              </w:divBdr>
            </w:div>
          </w:divsChild>
        </w:div>
        <w:div w:id="949822925">
          <w:marLeft w:val="0"/>
          <w:marRight w:val="0"/>
          <w:marTop w:val="0"/>
          <w:marBottom w:val="0"/>
          <w:divBdr>
            <w:top w:val="none" w:sz="0" w:space="0" w:color="auto"/>
            <w:left w:val="none" w:sz="0" w:space="0" w:color="auto"/>
            <w:bottom w:val="none" w:sz="0" w:space="0" w:color="auto"/>
            <w:right w:val="none" w:sz="0" w:space="0" w:color="auto"/>
          </w:divBdr>
          <w:divsChild>
            <w:div w:id="265042052">
              <w:marLeft w:val="0"/>
              <w:marRight w:val="0"/>
              <w:marTop w:val="0"/>
              <w:marBottom w:val="0"/>
              <w:divBdr>
                <w:top w:val="none" w:sz="0" w:space="0" w:color="auto"/>
                <w:left w:val="none" w:sz="0" w:space="0" w:color="auto"/>
                <w:bottom w:val="none" w:sz="0" w:space="0" w:color="auto"/>
                <w:right w:val="none" w:sz="0" w:space="0" w:color="auto"/>
              </w:divBdr>
            </w:div>
          </w:divsChild>
        </w:div>
        <w:div w:id="1218739787">
          <w:marLeft w:val="0"/>
          <w:marRight w:val="0"/>
          <w:marTop w:val="0"/>
          <w:marBottom w:val="0"/>
          <w:divBdr>
            <w:top w:val="none" w:sz="0" w:space="0" w:color="auto"/>
            <w:left w:val="none" w:sz="0" w:space="0" w:color="auto"/>
            <w:bottom w:val="none" w:sz="0" w:space="0" w:color="auto"/>
            <w:right w:val="none" w:sz="0" w:space="0" w:color="auto"/>
          </w:divBdr>
          <w:divsChild>
            <w:div w:id="373702108">
              <w:marLeft w:val="0"/>
              <w:marRight w:val="0"/>
              <w:marTop w:val="0"/>
              <w:marBottom w:val="0"/>
              <w:divBdr>
                <w:top w:val="none" w:sz="0" w:space="0" w:color="auto"/>
                <w:left w:val="none" w:sz="0" w:space="0" w:color="auto"/>
                <w:bottom w:val="none" w:sz="0" w:space="0" w:color="auto"/>
                <w:right w:val="none" w:sz="0" w:space="0" w:color="auto"/>
              </w:divBdr>
            </w:div>
          </w:divsChild>
        </w:div>
        <w:div w:id="1491945347">
          <w:marLeft w:val="0"/>
          <w:marRight w:val="0"/>
          <w:marTop w:val="0"/>
          <w:marBottom w:val="0"/>
          <w:divBdr>
            <w:top w:val="none" w:sz="0" w:space="0" w:color="auto"/>
            <w:left w:val="none" w:sz="0" w:space="0" w:color="auto"/>
            <w:bottom w:val="none" w:sz="0" w:space="0" w:color="auto"/>
            <w:right w:val="none" w:sz="0" w:space="0" w:color="auto"/>
          </w:divBdr>
          <w:divsChild>
            <w:div w:id="879509621">
              <w:marLeft w:val="0"/>
              <w:marRight w:val="0"/>
              <w:marTop w:val="0"/>
              <w:marBottom w:val="0"/>
              <w:divBdr>
                <w:top w:val="none" w:sz="0" w:space="0" w:color="auto"/>
                <w:left w:val="none" w:sz="0" w:space="0" w:color="auto"/>
                <w:bottom w:val="none" w:sz="0" w:space="0" w:color="auto"/>
                <w:right w:val="none" w:sz="0" w:space="0" w:color="auto"/>
              </w:divBdr>
            </w:div>
          </w:divsChild>
        </w:div>
        <w:div w:id="1621450999">
          <w:marLeft w:val="0"/>
          <w:marRight w:val="0"/>
          <w:marTop w:val="0"/>
          <w:marBottom w:val="0"/>
          <w:divBdr>
            <w:top w:val="none" w:sz="0" w:space="0" w:color="auto"/>
            <w:left w:val="none" w:sz="0" w:space="0" w:color="auto"/>
            <w:bottom w:val="none" w:sz="0" w:space="0" w:color="auto"/>
            <w:right w:val="none" w:sz="0" w:space="0" w:color="auto"/>
          </w:divBdr>
          <w:divsChild>
            <w:div w:id="1443568497">
              <w:marLeft w:val="0"/>
              <w:marRight w:val="0"/>
              <w:marTop w:val="0"/>
              <w:marBottom w:val="0"/>
              <w:divBdr>
                <w:top w:val="none" w:sz="0" w:space="0" w:color="auto"/>
                <w:left w:val="none" w:sz="0" w:space="0" w:color="auto"/>
                <w:bottom w:val="none" w:sz="0" w:space="0" w:color="auto"/>
                <w:right w:val="none" w:sz="0" w:space="0" w:color="auto"/>
              </w:divBdr>
            </w:div>
          </w:divsChild>
        </w:div>
        <w:div w:id="1630237935">
          <w:marLeft w:val="0"/>
          <w:marRight w:val="0"/>
          <w:marTop w:val="0"/>
          <w:marBottom w:val="0"/>
          <w:divBdr>
            <w:top w:val="none" w:sz="0" w:space="0" w:color="auto"/>
            <w:left w:val="none" w:sz="0" w:space="0" w:color="auto"/>
            <w:bottom w:val="none" w:sz="0" w:space="0" w:color="auto"/>
            <w:right w:val="none" w:sz="0" w:space="0" w:color="auto"/>
          </w:divBdr>
          <w:divsChild>
            <w:div w:id="1115054763">
              <w:marLeft w:val="0"/>
              <w:marRight w:val="0"/>
              <w:marTop w:val="0"/>
              <w:marBottom w:val="0"/>
              <w:divBdr>
                <w:top w:val="none" w:sz="0" w:space="0" w:color="auto"/>
                <w:left w:val="none" w:sz="0" w:space="0" w:color="auto"/>
                <w:bottom w:val="none" w:sz="0" w:space="0" w:color="auto"/>
                <w:right w:val="none" w:sz="0" w:space="0" w:color="auto"/>
              </w:divBdr>
            </w:div>
          </w:divsChild>
        </w:div>
        <w:div w:id="1756129781">
          <w:marLeft w:val="0"/>
          <w:marRight w:val="0"/>
          <w:marTop w:val="0"/>
          <w:marBottom w:val="0"/>
          <w:divBdr>
            <w:top w:val="none" w:sz="0" w:space="0" w:color="auto"/>
            <w:left w:val="none" w:sz="0" w:space="0" w:color="auto"/>
            <w:bottom w:val="none" w:sz="0" w:space="0" w:color="auto"/>
            <w:right w:val="none" w:sz="0" w:space="0" w:color="auto"/>
          </w:divBdr>
          <w:divsChild>
            <w:div w:id="17605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218244">
      <w:bodyDiv w:val="1"/>
      <w:marLeft w:val="0"/>
      <w:marRight w:val="0"/>
      <w:marTop w:val="0"/>
      <w:marBottom w:val="0"/>
      <w:divBdr>
        <w:top w:val="none" w:sz="0" w:space="0" w:color="auto"/>
        <w:left w:val="none" w:sz="0" w:space="0" w:color="auto"/>
        <w:bottom w:val="none" w:sz="0" w:space="0" w:color="auto"/>
        <w:right w:val="none" w:sz="0" w:space="0" w:color="auto"/>
      </w:divBdr>
    </w:div>
    <w:div w:id="910307866">
      <w:bodyDiv w:val="1"/>
      <w:marLeft w:val="0"/>
      <w:marRight w:val="0"/>
      <w:marTop w:val="0"/>
      <w:marBottom w:val="0"/>
      <w:divBdr>
        <w:top w:val="none" w:sz="0" w:space="0" w:color="auto"/>
        <w:left w:val="none" w:sz="0" w:space="0" w:color="auto"/>
        <w:bottom w:val="none" w:sz="0" w:space="0" w:color="auto"/>
        <w:right w:val="none" w:sz="0" w:space="0" w:color="auto"/>
      </w:divBdr>
    </w:div>
    <w:div w:id="918715492">
      <w:bodyDiv w:val="1"/>
      <w:marLeft w:val="0"/>
      <w:marRight w:val="0"/>
      <w:marTop w:val="0"/>
      <w:marBottom w:val="0"/>
      <w:divBdr>
        <w:top w:val="none" w:sz="0" w:space="0" w:color="auto"/>
        <w:left w:val="none" w:sz="0" w:space="0" w:color="auto"/>
        <w:bottom w:val="none" w:sz="0" w:space="0" w:color="auto"/>
        <w:right w:val="none" w:sz="0" w:space="0" w:color="auto"/>
      </w:divBdr>
    </w:div>
    <w:div w:id="946236617">
      <w:bodyDiv w:val="1"/>
      <w:marLeft w:val="0"/>
      <w:marRight w:val="0"/>
      <w:marTop w:val="0"/>
      <w:marBottom w:val="0"/>
      <w:divBdr>
        <w:top w:val="none" w:sz="0" w:space="0" w:color="auto"/>
        <w:left w:val="none" w:sz="0" w:space="0" w:color="auto"/>
        <w:bottom w:val="none" w:sz="0" w:space="0" w:color="auto"/>
        <w:right w:val="none" w:sz="0" w:space="0" w:color="auto"/>
      </w:divBdr>
      <w:divsChild>
        <w:div w:id="314451261">
          <w:marLeft w:val="0"/>
          <w:marRight w:val="0"/>
          <w:marTop w:val="0"/>
          <w:marBottom w:val="0"/>
          <w:divBdr>
            <w:top w:val="none" w:sz="0" w:space="0" w:color="auto"/>
            <w:left w:val="none" w:sz="0" w:space="0" w:color="auto"/>
            <w:bottom w:val="none" w:sz="0" w:space="0" w:color="auto"/>
            <w:right w:val="none" w:sz="0" w:space="0" w:color="auto"/>
          </w:divBdr>
        </w:div>
      </w:divsChild>
    </w:div>
    <w:div w:id="955213022">
      <w:bodyDiv w:val="1"/>
      <w:marLeft w:val="0"/>
      <w:marRight w:val="0"/>
      <w:marTop w:val="0"/>
      <w:marBottom w:val="0"/>
      <w:divBdr>
        <w:top w:val="none" w:sz="0" w:space="0" w:color="auto"/>
        <w:left w:val="none" w:sz="0" w:space="0" w:color="auto"/>
        <w:bottom w:val="none" w:sz="0" w:space="0" w:color="auto"/>
        <w:right w:val="none" w:sz="0" w:space="0" w:color="auto"/>
      </w:divBdr>
    </w:div>
    <w:div w:id="958874881">
      <w:bodyDiv w:val="1"/>
      <w:marLeft w:val="0"/>
      <w:marRight w:val="0"/>
      <w:marTop w:val="0"/>
      <w:marBottom w:val="0"/>
      <w:divBdr>
        <w:top w:val="none" w:sz="0" w:space="0" w:color="auto"/>
        <w:left w:val="none" w:sz="0" w:space="0" w:color="auto"/>
        <w:bottom w:val="none" w:sz="0" w:space="0" w:color="auto"/>
        <w:right w:val="none" w:sz="0" w:space="0" w:color="auto"/>
      </w:divBdr>
    </w:div>
    <w:div w:id="970864704">
      <w:bodyDiv w:val="1"/>
      <w:marLeft w:val="0"/>
      <w:marRight w:val="0"/>
      <w:marTop w:val="0"/>
      <w:marBottom w:val="0"/>
      <w:divBdr>
        <w:top w:val="none" w:sz="0" w:space="0" w:color="auto"/>
        <w:left w:val="none" w:sz="0" w:space="0" w:color="auto"/>
        <w:bottom w:val="none" w:sz="0" w:space="0" w:color="auto"/>
        <w:right w:val="none" w:sz="0" w:space="0" w:color="auto"/>
      </w:divBdr>
    </w:div>
    <w:div w:id="972638332">
      <w:bodyDiv w:val="1"/>
      <w:marLeft w:val="0"/>
      <w:marRight w:val="0"/>
      <w:marTop w:val="0"/>
      <w:marBottom w:val="0"/>
      <w:divBdr>
        <w:top w:val="none" w:sz="0" w:space="0" w:color="auto"/>
        <w:left w:val="none" w:sz="0" w:space="0" w:color="auto"/>
        <w:bottom w:val="none" w:sz="0" w:space="0" w:color="auto"/>
        <w:right w:val="none" w:sz="0" w:space="0" w:color="auto"/>
      </w:divBdr>
    </w:div>
    <w:div w:id="975179978">
      <w:bodyDiv w:val="1"/>
      <w:marLeft w:val="0"/>
      <w:marRight w:val="0"/>
      <w:marTop w:val="0"/>
      <w:marBottom w:val="0"/>
      <w:divBdr>
        <w:top w:val="none" w:sz="0" w:space="0" w:color="auto"/>
        <w:left w:val="none" w:sz="0" w:space="0" w:color="auto"/>
        <w:bottom w:val="none" w:sz="0" w:space="0" w:color="auto"/>
        <w:right w:val="none" w:sz="0" w:space="0" w:color="auto"/>
      </w:divBdr>
    </w:div>
    <w:div w:id="979266924">
      <w:bodyDiv w:val="1"/>
      <w:marLeft w:val="0"/>
      <w:marRight w:val="0"/>
      <w:marTop w:val="0"/>
      <w:marBottom w:val="0"/>
      <w:divBdr>
        <w:top w:val="none" w:sz="0" w:space="0" w:color="auto"/>
        <w:left w:val="none" w:sz="0" w:space="0" w:color="auto"/>
        <w:bottom w:val="none" w:sz="0" w:space="0" w:color="auto"/>
        <w:right w:val="none" w:sz="0" w:space="0" w:color="auto"/>
      </w:divBdr>
    </w:div>
    <w:div w:id="982390639">
      <w:bodyDiv w:val="1"/>
      <w:marLeft w:val="0"/>
      <w:marRight w:val="0"/>
      <w:marTop w:val="0"/>
      <w:marBottom w:val="0"/>
      <w:divBdr>
        <w:top w:val="none" w:sz="0" w:space="0" w:color="auto"/>
        <w:left w:val="none" w:sz="0" w:space="0" w:color="auto"/>
        <w:bottom w:val="none" w:sz="0" w:space="0" w:color="auto"/>
        <w:right w:val="none" w:sz="0" w:space="0" w:color="auto"/>
      </w:divBdr>
    </w:div>
    <w:div w:id="994727016">
      <w:bodyDiv w:val="1"/>
      <w:marLeft w:val="0"/>
      <w:marRight w:val="0"/>
      <w:marTop w:val="0"/>
      <w:marBottom w:val="0"/>
      <w:divBdr>
        <w:top w:val="none" w:sz="0" w:space="0" w:color="auto"/>
        <w:left w:val="none" w:sz="0" w:space="0" w:color="auto"/>
        <w:bottom w:val="none" w:sz="0" w:space="0" w:color="auto"/>
        <w:right w:val="none" w:sz="0" w:space="0" w:color="auto"/>
      </w:divBdr>
    </w:div>
    <w:div w:id="1002706523">
      <w:bodyDiv w:val="1"/>
      <w:marLeft w:val="0"/>
      <w:marRight w:val="0"/>
      <w:marTop w:val="0"/>
      <w:marBottom w:val="0"/>
      <w:divBdr>
        <w:top w:val="none" w:sz="0" w:space="0" w:color="auto"/>
        <w:left w:val="none" w:sz="0" w:space="0" w:color="auto"/>
        <w:bottom w:val="none" w:sz="0" w:space="0" w:color="auto"/>
        <w:right w:val="none" w:sz="0" w:space="0" w:color="auto"/>
      </w:divBdr>
      <w:divsChild>
        <w:div w:id="1590188815">
          <w:marLeft w:val="0"/>
          <w:marRight w:val="0"/>
          <w:marTop w:val="0"/>
          <w:marBottom w:val="0"/>
          <w:divBdr>
            <w:top w:val="none" w:sz="0" w:space="0" w:color="auto"/>
            <w:left w:val="none" w:sz="0" w:space="0" w:color="auto"/>
            <w:bottom w:val="none" w:sz="0" w:space="0" w:color="auto"/>
            <w:right w:val="none" w:sz="0" w:space="0" w:color="auto"/>
          </w:divBdr>
        </w:div>
        <w:div w:id="1745298683">
          <w:marLeft w:val="-75"/>
          <w:marRight w:val="0"/>
          <w:marTop w:val="30"/>
          <w:marBottom w:val="30"/>
          <w:divBdr>
            <w:top w:val="none" w:sz="0" w:space="0" w:color="auto"/>
            <w:left w:val="none" w:sz="0" w:space="0" w:color="auto"/>
            <w:bottom w:val="none" w:sz="0" w:space="0" w:color="auto"/>
            <w:right w:val="none" w:sz="0" w:space="0" w:color="auto"/>
          </w:divBdr>
          <w:divsChild>
            <w:div w:id="56317739">
              <w:marLeft w:val="0"/>
              <w:marRight w:val="0"/>
              <w:marTop w:val="0"/>
              <w:marBottom w:val="0"/>
              <w:divBdr>
                <w:top w:val="none" w:sz="0" w:space="0" w:color="auto"/>
                <w:left w:val="none" w:sz="0" w:space="0" w:color="auto"/>
                <w:bottom w:val="none" w:sz="0" w:space="0" w:color="auto"/>
                <w:right w:val="none" w:sz="0" w:space="0" w:color="auto"/>
              </w:divBdr>
              <w:divsChild>
                <w:div w:id="919371288">
                  <w:marLeft w:val="0"/>
                  <w:marRight w:val="0"/>
                  <w:marTop w:val="0"/>
                  <w:marBottom w:val="0"/>
                  <w:divBdr>
                    <w:top w:val="none" w:sz="0" w:space="0" w:color="auto"/>
                    <w:left w:val="none" w:sz="0" w:space="0" w:color="auto"/>
                    <w:bottom w:val="none" w:sz="0" w:space="0" w:color="auto"/>
                    <w:right w:val="none" w:sz="0" w:space="0" w:color="auto"/>
                  </w:divBdr>
                </w:div>
              </w:divsChild>
            </w:div>
            <w:div w:id="445932825">
              <w:marLeft w:val="0"/>
              <w:marRight w:val="0"/>
              <w:marTop w:val="0"/>
              <w:marBottom w:val="0"/>
              <w:divBdr>
                <w:top w:val="none" w:sz="0" w:space="0" w:color="auto"/>
                <w:left w:val="none" w:sz="0" w:space="0" w:color="auto"/>
                <w:bottom w:val="none" w:sz="0" w:space="0" w:color="auto"/>
                <w:right w:val="none" w:sz="0" w:space="0" w:color="auto"/>
              </w:divBdr>
              <w:divsChild>
                <w:div w:id="780144909">
                  <w:marLeft w:val="0"/>
                  <w:marRight w:val="0"/>
                  <w:marTop w:val="0"/>
                  <w:marBottom w:val="0"/>
                  <w:divBdr>
                    <w:top w:val="none" w:sz="0" w:space="0" w:color="auto"/>
                    <w:left w:val="none" w:sz="0" w:space="0" w:color="auto"/>
                    <w:bottom w:val="none" w:sz="0" w:space="0" w:color="auto"/>
                    <w:right w:val="none" w:sz="0" w:space="0" w:color="auto"/>
                  </w:divBdr>
                </w:div>
              </w:divsChild>
            </w:div>
            <w:div w:id="787161113">
              <w:marLeft w:val="0"/>
              <w:marRight w:val="0"/>
              <w:marTop w:val="0"/>
              <w:marBottom w:val="0"/>
              <w:divBdr>
                <w:top w:val="none" w:sz="0" w:space="0" w:color="auto"/>
                <w:left w:val="none" w:sz="0" w:space="0" w:color="auto"/>
                <w:bottom w:val="none" w:sz="0" w:space="0" w:color="auto"/>
                <w:right w:val="none" w:sz="0" w:space="0" w:color="auto"/>
              </w:divBdr>
              <w:divsChild>
                <w:div w:id="1121412618">
                  <w:marLeft w:val="0"/>
                  <w:marRight w:val="0"/>
                  <w:marTop w:val="0"/>
                  <w:marBottom w:val="0"/>
                  <w:divBdr>
                    <w:top w:val="none" w:sz="0" w:space="0" w:color="auto"/>
                    <w:left w:val="none" w:sz="0" w:space="0" w:color="auto"/>
                    <w:bottom w:val="none" w:sz="0" w:space="0" w:color="auto"/>
                    <w:right w:val="none" w:sz="0" w:space="0" w:color="auto"/>
                  </w:divBdr>
                </w:div>
              </w:divsChild>
            </w:div>
            <w:div w:id="912394368">
              <w:marLeft w:val="0"/>
              <w:marRight w:val="0"/>
              <w:marTop w:val="0"/>
              <w:marBottom w:val="0"/>
              <w:divBdr>
                <w:top w:val="none" w:sz="0" w:space="0" w:color="auto"/>
                <w:left w:val="none" w:sz="0" w:space="0" w:color="auto"/>
                <w:bottom w:val="none" w:sz="0" w:space="0" w:color="auto"/>
                <w:right w:val="none" w:sz="0" w:space="0" w:color="auto"/>
              </w:divBdr>
              <w:divsChild>
                <w:div w:id="1958366605">
                  <w:marLeft w:val="0"/>
                  <w:marRight w:val="0"/>
                  <w:marTop w:val="0"/>
                  <w:marBottom w:val="0"/>
                  <w:divBdr>
                    <w:top w:val="none" w:sz="0" w:space="0" w:color="auto"/>
                    <w:left w:val="none" w:sz="0" w:space="0" w:color="auto"/>
                    <w:bottom w:val="none" w:sz="0" w:space="0" w:color="auto"/>
                    <w:right w:val="none" w:sz="0" w:space="0" w:color="auto"/>
                  </w:divBdr>
                </w:div>
              </w:divsChild>
            </w:div>
            <w:div w:id="1217743568">
              <w:marLeft w:val="0"/>
              <w:marRight w:val="0"/>
              <w:marTop w:val="0"/>
              <w:marBottom w:val="0"/>
              <w:divBdr>
                <w:top w:val="none" w:sz="0" w:space="0" w:color="auto"/>
                <w:left w:val="none" w:sz="0" w:space="0" w:color="auto"/>
                <w:bottom w:val="none" w:sz="0" w:space="0" w:color="auto"/>
                <w:right w:val="none" w:sz="0" w:space="0" w:color="auto"/>
              </w:divBdr>
              <w:divsChild>
                <w:div w:id="507866575">
                  <w:marLeft w:val="0"/>
                  <w:marRight w:val="0"/>
                  <w:marTop w:val="0"/>
                  <w:marBottom w:val="0"/>
                  <w:divBdr>
                    <w:top w:val="none" w:sz="0" w:space="0" w:color="auto"/>
                    <w:left w:val="none" w:sz="0" w:space="0" w:color="auto"/>
                    <w:bottom w:val="none" w:sz="0" w:space="0" w:color="auto"/>
                    <w:right w:val="none" w:sz="0" w:space="0" w:color="auto"/>
                  </w:divBdr>
                </w:div>
              </w:divsChild>
            </w:div>
            <w:div w:id="1437481376">
              <w:marLeft w:val="0"/>
              <w:marRight w:val="0"/>
              <w:marTop w:val="0"/>
              <w:marBottom w:val="0"/>
              <w:divBdr>
                <w:top w:val="none" w:sz="0" w:space="0" w:color="auto"/>
                <w:left w:val="none" w:sz="0" w:space="0" w:color="auto"/>
                <w:bottom w:val="none" w:sz="0" w:space="0" w:color="auto"/>
                <w:right w:val="none" w:sz="0" w:space="0" w:color="auto"/>
              </w:divBdr>
              <w:divsChild>
                <w:div w:id="2018194434">
                  <w:marLeft w:val="0"/>
                  <w:marRight w:val="0"/>
                  <w:marTop w:val="0"/>
                  <w:marBottom w:val="0"/>
                  <w:divBdr>
                    <w:top w:val="none" w:sz="0" w:space="0" w:color="auto"/>
                    <w:left w:val="none" w:sz="0" w:space="0" w:color="auto"/>
                    <w:bottom w:val="none" w:sz="0" w:space="0" w:color="auto"/>
                    <w:right w:val="none" w:sz="0" w:space="0" w:color="auto"/>
                  </w:divBdr>
                </w:div>
              </w:divsChild>
            </w:div>
            <w:div w:id="1456145151">
              <w:marLeft w:val="0"/>
              <w:marRight w:val="0"/>
              <w:marTop w:val="0"/>
              <w:marBottom w:val="0"/>
              <w:divBdr>
                <w:top w:val="none" w:sz="0" w:space="0" w:color="auto"/>
                <w:left w:val="none" w:sz="0" w:space="0" w:color="auto"/>
                <w:bottom w:val="none" w:sz="0" w:space="0" w:color="auto"/>
                <w:right w:val="none" w:sz="0" w:space="0" w:color="auto"/>
              </w:divBdr>
              <w:divsChild>
                <w:div w:id="905379859">
                  <w:marLeft w:val="0"/>
                  <w:marRight w:val="0"/>
                  <w:marTop w:val="0"/>
                  <w:marBottom w:val="0"/>
                  <w:divBdr>
                    <w:top w:val="none" w:sz="0" w:space="0" w:color="auto"/>
                    <w:left w:val="none" w:sz="0" w:space="0" w:color="auto"/>
                    <w:bottom w:val="none" w:sz="0" w:space="0" w:color="auto"/>
                    <w:right w:val="none" w:sz="0" w:space="0" w:color="auto"/>
                  </w:divBdr>
                </w:div>
              </w:divsChild>
            </w:div>
            <w:div w:id="1911842624">
              <w:marLeft w:val="0"/>
              <w:marRight w:val="0"/>
              <w:marTop w:val="0"/>
              <w:marBottom w:val="0"/>
              <w:divBdr>
                <w:top w:val="none" w:sz="0" w:space="0" w:color="auto"/>
                <w:left w:val="none" w:sz="0" w:space="0" w:color="auto"/>
                <w:bottom w:val="none" w:sz="0" w:space="0" w:color="auto"/>
                <w:right w:val="none" w:sz="0" w:space="0" w:color="auto"/>
              </w:divBdr>
              <w:divsChild>
                <w:div w:id="52601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324256">
          <w:marLeft w:val="0"/>
          <w:marRight w:val="0"/>
          <w:marTop w:val="0"/>
          <w:marBottom w:val="0"/>
          <w:divBdr>
            <w:top w:val="none" w:sz="0" w:space="0" w:color="auto"/>
            <w:left w:val="none" w:sz="0" w:space="0" w:color="auto"/>
            <w:bottom w:val="none" w:sz="0" w:space="0" w:color="auto"/>
            <w:right w:val="none" w:sz="0" w:space="0" w:color="auto"/>
          </w:divBdr>
        </w:div>
      </w:divsChild>
    </w:div>
    <w:div w:id="1005209066">
      <w:bodyDiv w:val="1"/>
      <w:marLeft w:val="0"/>
      <w:marRight w:val="0"/>
      <w:marTop w:val="0"/>
      <w:marBottom w:val="0"/>
      <w:divBdr>
        <w:top w:val="none" w:sz="0" w:space="0" w:color="auto"/>
        <w:left w:val="none" w:sz="0" w:space="0" w:color="auto"/>
        <w:bottom w:val="none" w:sz="0" w:space="0" w:color="auto"/>
        <w:right w:val="none" w:sz="0" w:space="0" w:color="auto"/>
      </w:divBdr>
    </w:div>
    <w:div w:id="1007709986">
      <w:bodyDiv w:val="1"/>
      <w:marLeft w:val="0"/>
      <w:marRight w:val="0"/>
      <w:marTop w:val="0"/>
      <w:marBottom w:val="0"/>
      <w:divBdr>
        <w:top w:val="none" w:sz="0" w:space="0" w:color="auto"/>
        <w:left w:val="none" w:sz="0" w:space="0" w:color="auto"/>
        <w:bottom w:val="none" w:sz="0" w:space="0" w:color="auto"/>
        <w:right w:val="none" w:sz="0" w:space="0" w:color="auto"/>
      </w:divBdr>
    </w:div>
    <w:div w:id="1011877150">
      <w:bodyDiv w:val="1"/>
      <w:marLeft w:val="0"/>
      <w:marRight w:val="0"/>
      <w:marTop w:val="0"/>
      <w:marBottom w:val="0"/>
      <w:divBdr>
        <w:top w:val="none" w:sz="0" w:space="0" w:color="auto"/>
        <w:left w:val="none" w:sz="0" w:space="0" w:color="auto"/>
        <w:bottom w:val="none" w:sz="0" w:space="0" w:color="auto"/>
        <w:right w:val="none" w:sz="0" w:space="0" w:color="auto"/>
      </w:divBdr>
    </w:div>
    <w:div w:id="1015763204">
      <w:bodyDiv w:val="1"/>
      <w:marLeft w:val="0"/>
      <w:marRight w:val="0"/>
      <w:marTop w:val="0"/>
      <w:marBottom w:val="0"/>
      <w:divBdr>
        <w:top w:val="none" w:sz="0" w:space="0" w:color="auto"/>
        <w:left w:val="none" w:sz="0" w:space="0" w:color="auto"/>
        <w:bottom w:val="none" w:sz="0" w:space="0" w:color="auto"/>
        <w:right w:val="none" w:sz="0" w:space="0" w:color="auto"/>
      </w:divBdr>
    </w:div>
    <w:div w:id="1024095256">
      <w:bodyDiv w:val="1"/>
      <w:marLeft w:val="0"/>
      <w:marRight w:val="0"/>
      <w:marTop w:val="0"/>
      <w:marBottom w:val="0"/>
      <w:divBdr>
        <w:top w:val="none" w:sz="0" w:space="0" w:color="auto"/>
        <w:left w:val="none" w:sz="0" w:space="0" w:color="auto"/>
        <w:bottom w:val="none" w:sz="0" w:space="0" w:color="auto"/>
        <w:right w:val="none" w:sz="0" w:space="0" w:color="auto"/>
      </w:divBdr>
    </w:div>
    <w:div w:id="1035496207">
      <w:bodyDiv w:val="1"/>
      <w:marLeft w:val="0"/>
      <w:marRight w:val="0"/>
      <w:marTop w:val="0"/>
      <w:marBottom w:val="0"/>
      <w:divBdr>
        <w:top w:val="none" w:sz="0" w:space="0" w:color="auto"/>
        <w:left w:val="none" w:sz="0" w:space="0" w:color="auto"/>
        <w:bottom w:val="none" w:sz="0" w:space="0" w:color="auto"/>
        <w:right w:val="none" w:sz="0" w:space="0" w:color="auto"/>
      </w:divBdr>
    </w:div>
    <w:div w:id="1038554786">
      <w:bodyDiv w:val="1"/>
      <w:marLeft w:val="0"/>
      <w:marRight w:val="0"/>
      <w:marTop w:val="0"/>
      <w:marBottom w:val="0"/>
      <w:divBdr>
        <w:top w:val="none" w:sz="0" w:space="0" w:color="auto"/>
        <w:left w:val="none" w:sz="0" w:space="0" w:color="auto"/>
        <w:bottom w:val="none" w:sz="0" w:space="0" w:color="auto"/>
        <w:right w:val="none" w:sz="0" w:space="0" w:color="auto"/>
      </w:divBdr>
    </w:div>
    <w:div w:id="1044327532">
      <w:bodyDiv w:val="1"/>
      <w:marLeft w:val="0"/>
      <w:marRight w:val="0"/>
      <w:marTop w:val="0"/>
      <w:marBottom w:val="0"/>
      <w:divBdr>
        <w:top w:val="none" w:sz="0" w:space="0" w:color="auto"/>
        <w:left w:val="none" w:sz="0" w:space="0" w:color="auto"/>
        <w:bottom w:val="none" w:sz="0" w:space="0" w:color="auto"/>
        <w:right w:val="none" w:sz="0" w:space="0" w:color="auto"/>
      </w:divBdr>
    </w:div>
    <w:div w:id="1051537779">
      <w:bodyDiv w:val="1"/>
      <w:marLeft w:val="0"/>
      <w:marRight w:val="0"/>
      <w:marTop w:val="0"/>
      <w:marBottom w:val="0"/>
      <w:divBdr>
        <w:top w:val="none" w:sz="0" w:space="0" w:color="auto"/>
        <w:left w:val="none" w:sz="0" w:space="0" w:color="auto"/>
        <w:bottom w:val="none" w:sz="0" w:space="0" w:color="auto"/>
        <w:right w:val="none" w:sz="0" w:space="0" w:color="auto"/>
      </w:divBdr>
    </w:div>
    <w:div w:id="1054503616">
      <w:bodyDiv w:val="1"/>
      <w:marLeft w:val="0"/>
      <w:marRight w:val="0"/>
      <w:marTop w:val="0"/>
      <w:marBottom w:val="0"/>
      <w:divBdr>
        <w:top w:val="none" w:sz="0" w:space="0" w:color="auto"/>
        <w:left w:val="none" w:sz="0" w:space="0" w:color="auto"/>
        <w:bottom w:val="none" w:sz="0" w:space="0" w:color="auto"/>
        <w:right w:val="none" w:sz="0" w:space="0" w:color="auto"/>
      </w:divBdr>
    </w:div>
    <w:div w:id="1064331478">
      <w:bodyDiv w:val="1"/>
      <w:marLeft w:val="0"/>
      <w:marRight w:val="0"/>
      <w:marTop w:val="0"/>
      <w:marBottom w:val="0"/>
      <w:divBdr>
        <w:top w:val="none" w:sz="0" w:space="0" w:color="auto"/>
        <w:left w:val="none" w:sz="0" w:space="0" w:color="auto"/>
        <w:bottom w:val="none" w:sz="0" w:space="0" w:color="auto"/>
        <w:right w:val="none" w:sz="0" w:space="0" w:color="auto"/>
      </w:divBdr>
    </w:div>
    <w:div w:id="1067268375">
      <w:bodyDiv w:val="1"/>
      <w:marLeft w:val="0"/>
      <w:marRight w:val="0"/>
      <w:marTop w:val="0"/>
      <w:marBottom w:val="0"/>
      <w:divBdr>
        <w:top w:val="none" w:sz="0" w:space="0" w:color="auto"/>
        <w:left w:val="none" w:sz="0" w:space="0" w:color="auto"/>
        <w:bottom w:val="none" w:sz="0" w:space="0" w:color="auto"/>
        <w:right w:val="none" w:sz="0" w:space="0" w:color="auto"/>
      </w:divBdr>
    </w:div>
    <w:div w:id="1072315104">
      <w:bodyDiv w:val="1"/>
      <w:marLeft w:val="0"/>
      <w:marRight w:val="0"/>
      <w:marTop w:val="0"/>
      <w:marBottom w:val="0"/>
      <w:divBdr>
        <w:top w:val="none" w:sz="0" w:space="0" w:color="auto"/>
        <w:left w:val="none" w:sz="0" w:space="0" w:color="auto"/>
        <w:bottom w:val="none" w:sz="0" w:space="0" w:color="auto"/>
        <w:right w:val="none" w:sz="0" w:space="0" w:color="auto"/>
      </w:divBdr>
    </w:div>
    <w:div w:id="1074006736">
      <w:bodyDiv w:val="1"/>
      <w:marLeft w:val="0"/>
      <w:marRight w:val="0"/>
      <w:marTop w:val="0"/>
      <w:marBottom w:val="0"/>
      <w:divBdr>
        <w:top w:val="none" w:sz="0" w:space="0" w:color="auto"/>
        <w:left w:val="none" w:sz="0" w:space="0" w:color="auto"/>
        <w:bottom w:val="none" w:sz="0" w:space="0" w:color="auto"/>
        <w:right w:val="none" w:sz="0" w:space="0" w:color="auto"/>
      </w:divBdr>
    </w:div>
    <w:div w:id="1107655467">
      <w:bodyDiv w:val="1"/>
      <w:marLeft w:val="0"/>
      <w:marRight w:val="0"/>
      <w:marTop w:val="0"/>
      <w:marBottom w:val="0"/>
      <w:divBdr>
        <w:top w:val="none" w:sz="0" w:space="0" w:color="auto"/>
        <w:left w:val="none" w:sz="0" w:space="0" w:color="auto"/>
        <w:bottom w:val="none" w:sz="0" w:space="0" w:color="auto"/>
        <w:right w:val="none" w:sz="0" w:space="0" w:color="auto"/>
      </w:divBdr>
    </w:div>
    <w:div w:id="1116098646">
      <w:bodyDiv w:val="1"/>
      <w:marLeft w:val="0"/>
      <w:marRight w:val="0"/>
      <w:marTop w:val="0"/>
      <w:marBottom w:val="0"/>
      <w:divBdr>
        <w:top w:val="none" w:sz="0" w:space="0" w:color="auto"/>
        <w:left w:val="none" w:sz="0" w:space="0" w:color="auto"/>
        <w:bottom w:val="none" w:sz="0" w:space="0" w:color="auto"/>
        <w:right w:val="none" w:sz="0" w:space="0" w:color="auto"/>
      </w:divBdr>
    </w:div>
    <w:div w:id="1124425094">
      <w:bodyDiv w:val="1"/>
      <w:marLeft w:val="0"/>
      <w:marRight w:val="0"/>
      <w:marTop w:val="0"/>
      <w:marBottom w:val="0"/>
      <w:divBdr>
        <w:top w:val="none" w:sz="0" w:space="0" w:color="auto"/>
        <w:left w:val="none" w:sz="0" w:space="0" w:color="auto"/>
        <w:bottom w:val="none" w:sz="0" w:space="0" w:color="auto"/>
        <w:right w:val="none" w:sz="0" w:space="0" w:color="auto"/>
      </w:divBdr>
    </w:div>
    <w:div w:id="1133017985">
      <w:bodyDiv w:val="1"/>
      <w:marLeft w:val="0"/>
      <w:marRight w:val="0"/>
      <w:marTop w:val="0"/>
      <w:marBottom w:val="0"/>
      <w:divBdr>
        <w:top w:val="none" w:sz="0" w:space="0" w:color="auto"/>
        <w:left w:val="none" w:sz="0" w:space="0" w:color="auto"/>
        <w:bottom w:val="none" w:sz="0" w:space="0" w:color="auto"/>
        <w:right w:val="none" w:sz="0" w:space="0" w:color="auto"/>
      </w:divBdr>
    </w:div>
    <w:div w:id="1134984039">
      <w:bodyDiv w:val="1"/>
      <w:marLeft w:val="0"/>
      <w:marRight w:val="0"/>
      <w:marTop w:val="0"/>
      <w:marBottom w:val="0"/>
      <w:divBdr>
        <w:top w:val="none" w:sz="0" w:space="0" w:color="auto"/>
        <w:left w:val="none" w:sz="0" w:space="0" w:color="auto"/>
        <w:bottom w:val="none" w:sz="0" w:space="0" w:color="auto"/>
        <w:right w:val="none" w:sz="0" w:space="0" w:color="auto"/>
      </w:divBdr>
    </w:div>
    <w:div w:id="1146363361">
      <w:bodyDiv w:val="1"/>
      <w:marLeft w:val="0"/>
      <w:marRight w:val="0"/>
      <w:marTop w:val="0"/>
      <w:marBottom w:val="0"/>
      <w:divBdr>
        <w:top w:val="none" w:sz="0" w:space="0" w:color="auto"/>
        <w:left w:val="none" w:sz="0" w:space="0" w:color="auto"/>
        <w:bottom w:val="none" w:sz="0" w:space="0" w:color="auto"/>
        <w:right w:val="none" w:sz="0" w:space="0" w:color="auto"/>
      </w:divBdr>
    </w:div>
    <w:div w:id="1164589960">
      <w:bodyDiv w:val="1"/>
      <w:marLeft w:val="0"/>
      <w:marRight w:val="0"/>
      <w:marTop w:val="0"/>
      <w:marBottom w:val="0"/>
      <w:divBdr>
        <w:top w:val="none" w:sz="0" w:space="0" w:color="auto"/>
        <w:left w:val="none" w:sz="0" w:space="0" w:color="auto"/>
        <w:bottom w:val="none" w:sz="0" w:space="0" w:color="auto"/>
        <w:right w:val="none" w:sz="0" w:space="0" w:color="auto"/>
      </w:divBdr>
    </w:div>
    <w:div w:id="1171993763">
      <w:bodyDiv w:val="1"/>
      <w:marLeft w:val="0"/>
      <w:marRight w:val="0"/>
      <w:marTop w:val="0"/>
      <w:marBottom w:val="0"/>
      <w:divBdr>
        <w:top w:val="none" w:sz="0" w:space="0" w:color="auto"/>
        <w:left w:val="none" w:sz="0" w:space="0" w:color="auto"/>
        <w:bottom w:val="none" w:sz="0" w:space="0" w:color="auto"/>
        <w:right w:val="none" w:sz="0" w:space="0" w:color="auto"/>
      </w:divBdr>
    </w:div>
    <w:div w:id="1179658415">
      <w:bodyDiv w:val="1"/>
      <w:marLeft w:val="0"/>
      <w:marRight w:val="0"/>
      <w:marTop w:val="0"/>
      <w:marBottom w:val="0"/>
      <w:divBdr>
        <w:top w:val="none" w:sz="0" w:space="0" w:color="auto"/>
        <w:left w:val="none" w:sz="0" w:space="0" w:color="auto"/>
        <w:bottom w:val="none" w:sz="0" w:space="0" w:color="auto"/>
        <w:right w:val="none" w:sz="0" w:space="0" w:color="auto"/>
      </w:divBdr>
      <w:divsChild>
        <w:div w:id="8398551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2011023">
      <w:bodyDiv w:val="1"/>
      <w:marLeft w:val="0"/>
      <w:marRight w:val="0"/>
      <w:marTop w:val="0"/>
      <w:marBottom w:val="0"/>
      <w:divBdr>
        <w:top w:val="none" w:sz="0" w:space="0" w:color="auto"/>
        <w:left w:val="none" w:sz="0" w:space="0" w:color="auto"/>
        <w:bottom w:val="none" w:sz="0" w:space="0" w:color="auto"/>
        <w:right w:val="none" w:sz="0" w:space="0" w:color="auto"/>
      </w:divBdr>
    </w:div>
    <w:div w:id="1184048646">
      <w:bodyDiv w:val="1"/>
      <w:marLeft w:val="0"/>
      <w:marRight w:val="0"/>
      <w:marTop w:val="0"/>
      <w:marBottom w:val="0"/>
      <w:divBdr>
        <w:top w:val="none" w:sz="0" w:space="0" w:color="auto"/>
        <w:left w:val="none" w:sz="0" w:space="0" w:color="auto"/>
        <w:bottom w:val="none" w:sz="0" w:space="0" w:color="auto"/>
        <w:right w:val="none" w:sz="0" w:space="0" w:color="auto"/>
      </w:divBdr>
      <w:divsChild>
        <w:div w:id="72633414">
          <w:marLeft w:val="0"/>
          <w:marRight w:val="0"/>
          <w:marTop w:val="0"/>
          <w:marBottom w:val="0"/>
          <w:divBdr>
            <w:top w:val="none" w:sz="0" w:space="0" w:color="auto"/>
            <w:left w:val="none" w:sz="0" w:space="0" w:color="auto"/>
            <w:bottom w:val="none" w:sz="0" w:space="0" w:color="auto"/>
            <w:right w:val="none" w:sz="0" w:space="0" w:color="auto"/>
          </w:divBdr>
          <w:divsChild>
            <w:div w:id="439373996">
              <w:marLeft w:val="0"/>
              <w:marRight w:val="0"/>
              <w:marTop w:val="0"/>
              <w:marBottom w:val="0"/>
              <w:divBdr>
                <w:top w:val="none" w:sz="0" w:space="0" w:color="auto"/>
                <w:left w:val="none" w:sz="0" w:space="0" w:color="auto"/>
                <w:bottom w:val="none" w:sz="0" w:space="0" w:color="auto"/>
                <w:right w:val="none" w:sz="0" w:space="0" w:color="auto"/>
              </w:divBdr>
            </w:div>
          </w:divsChild>
        </w:div>
        <w:div w:id="109905434">
          <w:marLeft w:val="0"/>
          <w:marRight w:val="0"/>
          <w:marTop w:val="0"/>
          <w:marBottom w:val="0"/>
          <w:divBdr>
            <w:top w:val="none" w:sz="0" w:space="0" w:color="auto"/>
            <w:left w:val="none" w:sz="0" w:space="0" w:color="auto"/>
            <w:bottom w:val="none" w:sz="0" w:space="0" w:color="auto"/>
            <w:right w:val="none" w:sz="0" w:space="0" w:color="auto"/>
          </w:divBdr>
          <w:divsChild>
            <w:div w:id="2088066912">
              <w:marLeft w:val="0"/>
              <w:marRight w:val="0"/>
              <w:marTop w:val="0"/>
              <w:marBottom w:val="0"/>
              <w:divBdr>
                <w:top w:val="none" w:sz="0" w:space="0" w:color="auto"/>
                <w:left w:val="none" w:sz="0" w:space="0" w:color="auto"/>
                <w:bottom w:val="none" w:sz="0" w:space="0" w:color="auto"/>
                <w:right w:val="none" w:sz="0" w:space="0" w:color="auto"/>
              </w:divBdr>
            </w:div>
          </w:divsChild>
        </w:div>
        <w:div w:id="243148847">
          <w:marLeft w:val="0"/>
          <w:marRight w:val="0"/>
          <w:marTop w:val="0"/>
          <w:marBottom w:val="0"/>
          <w:divBdr>
            <w:top w:val="none" w:sz="0" w:space="0" w:color="auto"/>
            <w:left w:val="none" w:sz="0" w:space="0" w:color="auto"/>
            <w:bottom w:val="none" w:sz="0" w:space="0" w:color="auto"/>
            <w:right w:val="none" w:sz="0" w:space="0" w:color="auto"/>
          </w:divBdr>
          <w:divsChild>
            <w:div w:id="1191189363">
              <w:marLeft w:val="0"/>
              <w:marRight w:val="0"/>
              <w:marTop w:val="0"/>
              <w:marBottom w:val="0"/>
              <w:divBdr>
                <w:top w:val="none" w:sz="0" w:space="0" w:color="auto"/>
                <w:left w:val="none" w:sz="0" w:space="0" w:color="auto"/>
                <w:bottom w:val="none" w:sz="0" w:space="0" w:color="auto"/>
                <w:right w:val="none" w:sz="0" w:space="0" w:color="auto"/>
              </w:divBdr>
            </w:div>
          </w:divsChild>
        </w:div>
        <w:div w:id="260915951">
          <w:marLeft w:val="0"/>
          <w:marRight w:val="0"/>
          <w:marTop w:val="0"/>
          <w:marBottom w:val="0"/>
          <w:divBdr>
            <w:top w:val="none" w:sz="0" w:space="0" w:color="auto"/>
            <w:left w:val="none" w:sz="0" w:space="0" w:color="auto"/>
            <w:bottom w:val="none" w:sz="0" w:space="0" w:color="auto"/>
            <w:right w:val="none" w:sz="0" w:space="0" w:color="auto"/>
          </w:divBdr>
          <w:divsChild>
            <w:div w:id="531187057">
              <w:marLeft w:val="0"/>
              <w:marRight w:val="0"/>
              <w:marTop w:val="0"/>
              <w:marBottom w:val="0"/>
              <w:divBdr>
                <w:top w:val="none" w:sz="0" w:space="0" w:color="auto"/>
                <w:left w:val="none" w:sz="0" w:space="0" w:color="auto"/>
                <w:bottom w:val="none" w:sz="0" w:space="0" w:color="auto"/>
                <w:right w:val="none" w:sz="0" w:space="0" w:color="auto"/>
              </w:divBdr>
            </w:div>
          </w:divsChild>
        </w:div>
        <w:div w:id="506553084">
          <w:marLeft w:val="0"/>
          <w:marRight w:val="0"/>
          <w:marTop w:val="0"/>
          <w:marBottom w:val="0"/>
          <w:divBdr>
            <w:top w:val="none" w:sz="0" w:space="0" w:color="auto"/>
            <w:left w:val="none" w:sz="0" w:space="0" w:color="auto"/>
            <w:bottom w:val="none" w:sz="0" w:space="0" w:color="auto"/>
            <w:right w:val="none" w:sz="0" w:space="0" w:color="auto"/>
          </w:divBdr>
          <w:divsChild>
            <w:div w:id="1626426961">
              <w:marLeft w:val="0"/>
              <w:marRight w:val="0"/>
              <w:marTop w:val="0"/>
              <w:marBottom w:val="0"/>
              <w:divBdr>
                <w:top w:val="none" w:sz="0" w:space="0" w:color="auto"/>
                <w:left w:val="none" w:sz="0" w:space="0" w:color="auto"/>
                <w:bottom w:val="none" w:sz="0" w:space="0" w:color="auto"/>
                <w:right w:val="none" w:sz="0" w:space="0" w:color="auto"/>
              </w:divBdr>
            </w:div>
          </w:divsChild>
        </w:div>
        <w:div w:id="521866472">
          <w:marLeft w:val="0"/>
          <w:marRight w:val="0"/>
          <w:marTop w:val="0"/>
          <w:marBottom w:val="0"/>
          <w:divBdr>
            <w:top w:val="none" w:sz="0" w:space="0" w:color="auto"/>
            <w:left w:val="none" w:sz="0" w:space="0" w:color="auto"/>
            <w:bottom w:val="none" w:sz="0" w:space="0" w:color="auto"/>
            <w:right w:val="none" w:sz="0" w:space="0" w:color="auto"/>
          </w:divBdr>
          <w:divsChild>
            <w:div w:id="570388909">
              <w:marLeft w:val="0"/>
              <w:marRight w:val="0"/>
              <w:marTop w:val="0"/>
              <w:marBottom w:val="0"/>
              <w:divBdr>
                <w:top w:val="none" w:sz="0" w:space="0" w:color="auto"/>
                <w:left w:val="none" w:sz="0" w:space="0" w:color="auto"/>
                <w:bottom w:val="none" w:sz="0" w:space="0" w:color="auto"/>
                <w:right w:val="none" w:sz="0" w:space="0" w:color="auto"/>
              </w:divBdr>
            </w:div>
          </w:divsChild>
        </w:div>
        <w:div w:id="799500376">
          <w:marLeft w:val="0"/>
          <w:marRight w:val="0"/>
          <w:marTop w:val="0"/>
          <w:marBottom w:val="0"/>
          <w:divBdr>
            <w:top w:val="none" w:sz="0" w:space="0" w:color="auto"/>
            <w:left w:val="none" w:sz="0" w:space="0" w:color="auto"/>
            <w:bottom w:val="none" w:sz="0" w:space="0" w:color="auto"/>
            <w:right w:val="none" w:sz="0" w:space="0" w:color="auto"/>
          </w:divBdr>
          <w:divsChild>
            <w:div w:id="126053885">
              <w:marLeft w:val="0"/>
              <w:marRight w:val="0"/>
              <w:marTop w:val="0"/>
              <w:marBottom w:val="0"/>
              <w:divBdr>
                <w:top w:val="none" w:sz="0" w:space="0" w:color="auto"/>
                <w:left w:val="none" w:sz="0" w:space="0" w:color="auto"/>
                <w:bottom w:val="none" w:sz="0" w:space="0" w:color="auto"/>
                <w:right w:val="none" w:sz="0" w:space="0" w:color="auto"/>
              </w:divBdr>
            </w:div>
          </w:divsChild>
        </w:div>
        <w:div w:id="1026247259">
          <w:marLeft w:val="0"/>
          <w:marRight w:val="0"/>
          <w:marTop w:val="0"/>
          <w:marBottom w:val="0"/>
          <w:divBdr>
            <w:top w:val="none" w:sz="0" w:space="0" w:color="auto"/>
            <w:left w:val="none" w:sz="0" w:space="0" w:color="auto"/>
            <w:bottom w:val="none" w:sz="0" w:space="0" w:color="auto"/>
            <w:right w:val="none" w:sz="0" w:space="0" w:color="auto"/>
          </w:divBdr>
          <w:divsChild>
            <w:div w:id="411704674">
              <w:marLeft w:val="0"/>
              <w:marRight w:val="0"/>
              <w:marTop w:val="0"/>
              <w:marBottom w:val="0"/>
              <w:divBdr>
                <w:top w:val="none" w:sz="0" w:space="0" w:color="auto"/>
                <w:left w:val="none" w:sz="0" w:space="0" w:color="auto"/>
                <w:bottom w:val="none" w:sz="0" w:space="0" w:color="auto"/>
                <w:right w:val="none" w:sz="0" w:space="0" w:color="auto"/>
              </w:divBdr>
            </w:div>
          </w:divsChild>
        </w:div>
        <w:div w:id="1147938946">
          <w:marLeft w:val="0"/>
          <w:marRight w:val="0"/>
          <w:marTop w:val="0"/>
          <w:marBottom w:val="0"/>
          <w:divBdr>
            <w:top w:val="none" w:sz="0" w:space="0" w:color="auto"/>
            <w:left w:val="none" w:sz="0" w:space="0" w:color="auto"/>
            <w:bottom w:val="none" w:sz="0" w:space="0" w:color="auto"/>
            <w:right w:val="none" w:sz="0" w:space="0" w:color="auto"/>
          </w:divBdr>
          <w:divsChild>
            <w:div w:id="324020515">
              <w:marLeft w:val="0"/>
              <w:marRight w:val="0"/>
              <w:marTop w:val="0"/>
              <w:marBottom w:val="0"/>
              <w:divBdr>
                <w:top w:val="none" w:sz="0" w:space="0" w:color="auto"/>
                <w:left w:val="none" w:sz="0" w:space="0" w:color="auto"/>
                <w:bottom w:val="none" w:sz="0" w:space="0" w:color="auto"/>
                <w:right w:val="none" w:sz="0" w:space="0" w:color="auto"/>
              </w:divBdr>
            </w:div>
          </w:divsChild>
        </w:div>
        <w:div w:id="2041198469">
          <w:marLeft w:val="0"/>
          <w:marRight w:val="0"/>
          <w:marTop w:val="0"/>
          <w:marBottom w:val="0"/>
          <w:divBdr>
            <w:top w:val="none" w:sz="0" w:space="0" w:color="auto"/>
            <w:left w:val="none" w:sz="0" w:space="0" w:color="auto"/>
            <w:bottom w:val="none" w:sz="0" w:space="0" w:color="auto"/>
            <w:right w:val="none" w:sz="0" w:space="0" w:color="auto"/>
          </w:divBdr>
          <w:divsChild>
            <w:div w:id="86772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765561">
      <w:bodyDiv w:val="1"/>
      <w:marLeft w:val="0"/>
      <w:marRight w:val="0"/>
      <w:marTop w:val="0"/>
      <w:marBottom w:val="0"/>
      <w:divBdr>
        <w:top w:val="none" w:sz="0" w:space="0" w:color="auto"/>
        <w:left w:val="none" w:sz="0" w:space="0" w:color="auto"/>
        <w:bottom w:val="none" w:sz="0" w:space="0" w:color="auto"/>
        <w:right w:val="none" w:sz="0" w:space="0" w:color="auto"/>
      </w:divBdr>
    </w:div>
    <w:div w:id="1197934046">
      <w:bodyDiv w:val="1"/>
      <w:marLeft w:val="0"/>
      <w:marRight w:val="0"/>
      <w:marTop w:val="0"/>
      <w:marBottom w:val="0"/>
      <w:divBdr>
        <w:top w:val="none" w:sz="0" w:space="0" w:color="auto"/>
        <w:left w:val="none" w:sz="0" w:space="0" w:color="auto"/>
        <w:bottom w:val="none" w:sz="0" w:space="0" w:color="auto"/>
        <w:right w:val="none" w:sz="0" w:space="0" w:color="auto"/>
      </w:divBdr>
    </w:div>
    <w:div w:id="1208109405">
      <w:bodyDiv w:val="1"/>
      <w:marLeft w:val="0"/>
      <w:marRight w:val="0"/>
      <w:marTop w:val="0"/>
      <w:marBottom w:val="0"/>
      <w:divBdr>
        <w:top w:val="none" w:sz="0" w:space="0" w:color="auto"/>
        <w:left w:val="none" w:sz="0" w:space="0" w:color="auto"/>
        <w:bottom w:val="none" w:sz="0" w:space="0" w:color="auto"/>
        <w:right w:val="none" w:sz="0" w:space="0" w:color="auto"/>
      </w:divBdr>
    </w:div>
    <w:div w:id="1208223935">
      <w:bodyDiv w:val="1"/>
      <w:marLeft w:val="0"/>
      <w:marRight w:val="0"/>
      <w:marTop w:val="0"/>
      <w:marBottom w:val="0"/>
      <w:divBdr>
        <w:top w:val="none" w:sz="0" w:space="0" w:color="auto"/>
        <w:left w:val="none" w:sz="0" w:space="0" w:color="auto"/>
        <w:bottom w:val="none" w:sz="0" w:space="0" w:color="auto"/>
        <w:right w:val="none" w:sz="0" w:space="0" w:color="auto"/>
      </w:divBdr>
    </w:div>
    <w:div w:id="1219440371">
      <w:bodyDiv w:val="1"/>
      <w:marLeft w:val="0"/>
      <w:marRight w:val="0"/>
      <w:marTop w:val="0"/>
      <w:marBottom w:val="0"/>
      <w:divBdr>
        <w:top w:val="none" w:sz="0" w:space="0" w:color="auto"/>
        <w:left w:val="none" w:sz="0" w:space="0" w:color="auto"/>
        <w:bottom w:val="none" w:sz="0" w:space="0" w:color="auto"/>
        <w:right w:val="none" w:sz="0" w:space="0" w:color="auto"/>
      </w:divBdr>
    </w:div>
    <w:div w:id="1230268054">
      <w:bodyDiv w:val="1"/>
      <w:marLeft w:val="0"/>
      <w:marRight w:val="0"/>
      <w:marTop w:val="0"/>
      <w:marBottom w:val="0"/>
      <w:divBdr>
        <w:top w:val="none" w:sz="0" w:space="0" w:color="auto"/>
        <w:left w:val="none" w:sz="0" w:space="0" w:color="auto"/>
        <w:bottom w:val="none" w:sz="0" w:space="0" w:color="auto"/>
        <w:right w:val="none" w:sz="0" w:space="0" w:color="auto"/>
      </w:divBdr>
    </w:div>
    <w:div w:id="1247033084">
      <w:bodyDiv w:val="1"/>
      <w:marLeft w:val="0"/>
      <w:marRight w:val="0"/>
      <w:marTop w:val="0"/>
      <w:marBottom w:val="0"/>
      <w:divBdr>
        <w:top w:val="none" w:sz="0" w:space="0" w:color="auto"/>
        <w:left w:val="none" w:sz="0" w:space="0" w:color="auto"/>
        <w:bottom w:val="none" w:sz="0" w:space="0" w:color="auto"/>
        <w:right w:val="none" w:sz="0" w:space="0" w:color="auto"/>
      </w:divBdr>
    </w:div>
    <w:div w:id="1261256370">
      <w:bodyDiv w:val="1"/>
      <w:marLeft w:val="0"/>
      <w:marRight w:val="0"/>
      <w:marTop w:val="0"/>
      <w:marBottom w:val="0"/>
      <w:divBdr>
        <w:top w:val="none" w:sz="0" w:space="0" w:color="auto"/>
        <w:left w:val="none" w:sz="0" w:space="0" w:color="auto"/>
        <w:bottom w:val="none" w:sz="0" w:space="0" w:color="auto"/>
        <w:right w:val="none" w:sz="0" w:space="0" w:color="auto"/>
      </w:divBdr>
    </w:div>
    <w:div w:id="1275476179">
      <w:bodyDiv w:val="1"/>
      <w:marLeft w:val="0"/>
      <w:marRight w:val="0"/>
      <w:marTop w:val="0"/>
      <w:marBottom w:val="0"/>
      <w:divBdr>
        <w:top w:val="none" w:sz="0" w:space="0" w:color="auto"/>
        <w:left w:val="none" w:sz="0" w:space="0" w:color="auto"/>
        <w:bottom w:val="none" w:sz="0" w:space="0" w:color="auto"/>
        <w:right w:val="none" w:sz="0" w:space="0" w:color="auto"/>
      </w:divBdr>
    </w:div>
    <w:div w:id="1277954447">
      <w:bodyDiv w:val="1"/>
      <w:marLeft w:val="0"/>
      <w:marRight w:val="0"/>
      <w:marTop w:val="0"/>
      <w:marBottom w:val="0"/>
      <w:divBdr>
        <w:top w:val="none" w:sz="0" w:space="0" w:color="auto"/>
        <w:left w:val="none" w:sz="0" w:space="0" w:color="auto"/>
        <w:bottom w:val="none" w:sz="0" w:space="0" w:color="auto"/>
        <w:right w:val="none" w:sz="0" w:space="0" w:color="auto"/>
      </w:divBdr>
    </w:div>
    <w:div w:id="1286546363">
      <w:bodyDiv w:val="1"/>
      <w:marLeft w:val="0"/>
      <w:marRight w:val="0"/>
      <w:marTop w:val="0"/>
      <w:marBottom w:val="0"/>
      <w:divBdr>
        <w:top w:val="none" w:sz="0" w:space="0" w:color="auto"/>
        <w:left w:val="none" w:sz="0" w:space="0" w:color="auto"/>
        <w:bottom w:val="none" w:sz="0" w:space="0" w:color="auto"/>
        <w:right w:val="none" w:sz="0" w:space="0" w:color="auto"/>
      </w:divBdr>
    </w:div>
    <w:div w:id="1292976470">
      <w:bodyDiv w:val="1"/>
      <w:marLeft w:val="0"/>
      <w:marRight w:val="0"/>
      <w:marTop w:val="0"/>
      <w:marBottom w:val="0"/>
      <w:divBdr>
        <w:top w:val="none" w:sz="0" w:space="0" w:color="auto"/>
        <w:left w:val="none" w:sz="0" w:space="0" w:color="auto"/>
        <w:bottom w:val="none" w:sz="0" w:space="0" w:color="auto"/>
        <w:right w:val="none" w:sz="0" w:space="0" w:color="auto"/>
      </w:divBdr>
    </w:div>
    <w:div w:id="1298804409">
      <w:bodyDiv w:val="1"/>
      <w:marLeft w:val="0"/>
      <w:marRight w:val="0"/>
      <w:marTop w:val="0"/>
      <w:marBottom w:val="0"/>
      <w:divBdr>
        <w:top w:val="none" w:sz="0" w:space="0" w:color="auto"/>
        <w:left w:val="none" w:sz="0" w:space="0" w:color="auto"/>
        <w:bottom w:val="none" w:sz="0" w:space="0" w:color="auto"/>
        <w:right w:val="none" w:sz="0" w:space="0" w:color="auto"/>
      </w:divBdr>
    </w:div>
    <w:div w:id="1347752106">
      <w:bodyDiv w:val="1"/>
      <w:marLeft w:val="0"/>
      <w:marRight w:val="0"/>
      <w:marTop w:val="0"/>
      <w:marBottom w:val="0"/>
      <w:divBdr>
        <w:top w:val="none" w:sz="0" w:space="0" w:color="auto"/>
        <w:left w:val="none" w:sz="0" w:space="0" w:color="auto"/>
        <w:bottom w:val="none" w:sz="0" w:space="0" w:color="auto"/>
        <w:right w:val="none" w:sz="0" w:space="0" w:color="auto"/>
      </w:divBdr>
    </w:div>
    <w:div w:id="1372992256">
      <w:bodyDiv w:val="1"/>
      <w:marLeft w:val="0"/>
      <w:marRight w:val="0"/>
      <w:marTop w:val="0"/>
      <w:marBottom w:val="0"/>
      <w:divBdr>
        <w:top w:val="none" w:sz="0" w:space="0" w:color="auto"/>
        <w:left w:val="none" w:sz="0" w:space="0" w:color="auto"/>
        <w:bottom w:val="none" w:sz="0" w:space="0" w:color="auto"/>
        <w:right w:val="none" w:sz="0" w:space="0" w:color="auto"/>
      </w:divBdr>
    </w:div>
    <w:div w:id="1385790181">
      <w:bodyDiv w:val="1"/>
      <w:marLeft w:val="0"/>
      <w:marRight w:val="0"/>
      <w:marTop w:val="0"/>
      <w:marBottom w:val="0"/>
      <w:divBdr>
        <w:top w:val="none" w:sz="0" w:space="0" w:color="auto"/>
        <w:left w:val="none" w:sz="0" w:space="0" w:color="auto"/>
        <w:bottom w:val="none" w:sz="0" w:space="0" w:color="auto"/>
        <w:right w:val="none" w:sz="0" w:space="0" w:color="auto"/>
      </w:divBdr>
    </w:div>
    <w:div w:id="1389914356">
      <w:bodyDiv w:val="1"/>
      <w:marLeft w:val="0"/>
      <w:marRight w:val="0"/>
      <w:marTop w:val="0"/>
      <w:marBottom w:val="0"/>
      <w:divBdr>
        <w:top w:val="none" w:sz="0" w:space="0" w:color="auto"/>
        <w:left w:val="none" w:sz="0" w:space="0" w:color="auto"/>
        <w:bottom w:val="none" w:sz="0" w:space="0" w:color="auto"/>
        <w:right w:val="none" w:sz="0" w:space="0" w:color="auto"/>
      </w:divBdr>
    </w:div>
    <w:div w:id="1391997165">
      <w:bodyDiv w:val="1"/>
      <w:marLeft w:val="0"/>
      <w:marRight w:val="0"/>
      <w:marTop w:val="0"/>
      <w:marBottom w:val="0"/>
      <w:divBdr>
        <w:top w:val="none" w:sz="0" w:space="0" w:color="auto"/>
        <w:left w:val="none" w:sz="0" w:space="0" w:color="auto"/>
        <w:bottom w:val="none" w:sz="0" w:space="0" w:color="auto"/>
        <w:right w:val="none" w:sz="0" w:space="0" w:color="auto"/>
      </w:divBdr>
      <w:divsChild>
        <w:div w:id="354238751">
          <w:marLeft w:val="0"/>
          <w:marRight w:val="0"/>
          <w:marTop w:val="0"/>
          <w:marBottom w:val="0"/>
          <w:divBdr>
            <w:top w:val="none" w:sz="0" w:space="0" w:color="auto"/>
            <w:left w:val="none" w:sz="0" w:space="0" w:color="auto"/>
            <w:bottom w:val="none" w:sz="0" w:space="0" w:color="auto"/>
            <w:right w:val="none" w:sz="0" w:space="0" w:color="auto"/>
          </w:divBdr>
        </w:div>
        <w:div w:id="1573661609">
          <w:marLeft w:val="0"/>
          <w:marRight w:val="0"/>
          <w:marTop w:val="0"/>
          <w:marBottom w:val="0"/>
          <w:divBdr>
            <w:top w:val="none" w:sz="0" w:space="0" w:color="auto"/>
            <w:left w:val="none" w:sz="0" w:space="0" w:color="auto"/>
            <w:bottom w:val="none" w:sz="0" w:space="0" w:color="auto"/>
            <w:right w:val="none" w:sz="0" w:space="0" w:color="auto"/>
          </w:divBdr>
        </w:div>
      </w:divsChild>
    </w:div>
    <w:div w:id="1417172643">
      <w:bodyDiv w:val="1"/>
      <w:marLeft w:val="0"/>
      <w:marRight w:val="0"/>
      <w:marTop w:val="0"/>
      <w:marBottom w:val="0"/>
      <w:divBdr>
        <w:top w:val="none" w:sz="0" w:space="0" w:color="auto"/>
        <w:left w:val="none" w:sz="0" w:space="0" w:color="auto"/>
        <w:bottom w:val="none" w:sz="0" w:space="0" w:color="auto"/>
        <w:right w:val="none" w:sz="0" w:space="0" w:color="auto"/>
      </w:divBdr>
    </w:div>
    <w:div w:id="1435976338">
      <w:bodyDiv w:val="1"/>
      <w:marLeft w:val="0"/>
      <w:marRight w:val="0"/>
      <w:marTop w:val="0"/>
      <w:marBottom w:val="0"/>
      <w:divBdr>
        <w:top w:val="none" w:sz="0" w:space="0" w:color="auto"/>
        <w:left w:val="none" w:sz="0" w:space="0" w:color="auto"/>
        <w:bottom w:val="none" w:sz="0" w:space="0" w:color="auto"/>
        <w:right w:val="none" w:sz="0" w:space="0" w:color="auto"/>
      </w:divBdr>
    </w:div>
    <w:div w:id="1437402198">
      <w:bodyDiv w:val="1"/>
      <w:marLeft w:val="0"/>
      <w:marRight w:val="0"/>
      <w:marTop w:val="0"/>
      <w:marBottom w:val="0"/>
      <w:divBdr>
        <w:top w:val="none" w:sz="0" w:space="0" w:color="auto"/>
        <w:left w:val="none" w:sz="0" w:space="0" w:color="auto"/>
        <w:bottom w:val="none" w:sz="0" w:space="0" w:color="auto"/>
        <w:right w:val="none" w:sz="0" w:space="0" w:color="auto"/>
      </w:divBdr>
    </w:div>
    <w:div w:id="1460807738">
      <w:bodyDiv w:val="1"/>
      <w:marLeft w:val="0"/>
      <w:marRight w:val="0"/>
      <w:marTop w:val="0"/>
      <w:marBottom w:val="0"/>
      <w:divBdr>
        <w:top w:val="none" w:sz="0" w:space="0" w:color="auto"/>
        <w:left w:val="none" w:sz="0" w:space="0" w:color="auto"/>
        <w:bottom w:val="none" w:sz="0" w:space="0" w:color="auto"/>
        <w:right w:val="none" w:sz="0" w:space="0" w:color="auto"/>
      </w:divBdr>
    </w:div>
    <w:div w:id="1496720305">
      <w:bodyDiv w:val="1"/>
      <w:marLeft w:val="0"/>
      <w:marRight w:val="0"/>
      <w:marTop w:val="0"/>
      <w:marBottom w:val="0"/>
      <w:divBdr>
        <w:top w:val="none" w:sz="0" w:space="0" w:color="auto"/>
        <w:left w:val="none" w:sz="0" w:space="0" w:color="auto"/>
        <w:bottom w:val="none" w:sz="0" w:space="0" w:color="auto"/>
        <w:right w:val="none" w:sz="0" w:space="0" w:color="auto"/>
      </w:divBdr>
    </w:div>
    <w:div w:id="1517233050">
      <w:bodyDiv w:val="1"/>
      <w:marLeft w:val="0"/>
      <w:marRight w:val="0"/>
      <w:marTop w:val="0"/>
      <w:marBottom w:val="0"/>
      <w:divBdr>
        <w:top w:val="none" w:sz="0" w:space="0" w:color="auto"/>
        <w:left w:val="none" w:sz="0" w:space="0" w:color="auto"/>
        <w:bottom w:val="none" w:sz="0" w:space="0" w:color="auto"/>
        <w:right w:val="none" w:sz="0" w:space="0" w:color="auto"/>
      </w:divBdr>
    </w:div>
    <w:div w:id="1524515262">
      <w:bodyDiv w:val="1"/>
      <w:marLeft w:val="0"/>
      <w:marRight w:val="0"/>
      <w:marTop w:val="0"/>
      <w:marBottom w:val="0"/>
      <w:divBdr>
        <w:top w:val="none" w:sz="0" w:space="0" w:color="auto"/>
        <w:left w:val="none" w:sz="0" w:space="0" w:color="auto"/>
        <w:bottom w:val="none" w:sz="0" w:space="0" w:color="auto"/>
        <w:right w:val="none" w:sz="0" w:space="0" w:color="auto"/>
      </w:divBdr>
    </w:div>
    <w:div w:id="1526021243">
      <w:bodyDiv w:val="1"/>
      <w:marLeft w:val="0"/>
      <w:marRight w:val="0"/>
      <w:marTop w:val="0"/>
      <w:marBottom w:val="0"/>
      <w:divBdr>
        <w:top w:val="none" w:sz="0" w:space="0" w:color="auto"/>
        <w:left w:val="none" w:sz="0" w:space="0" w:color="auto"/>
        <w:bottom w:val="none" w:sz="0" w:space="0" w:color="auto"/>
        <w:right w:val="none" w:sz="0" w:space="0" w:color="auto"/>
      </w:divBdr>
    </w:div>
    <w:div w:id="1536457958">
      <w:bodyDiv w:val="1"/>
      <w:marLeft w:val="0"/>
      <w:marRight w:val="0"/>
      <w:marTop w:val="0"/>
      <w:marBottom w:val="0"/>
      <w:divBdr>
        <w:top w:val="none" w:sz="0" w:space="0" w:color="auto"/>
        <w:left w:val="none" w:sz="0" w:space="0" w:color="auto"/>
        <w:bottom w:val="none" w:sz="0" w:space="0" w:color="auto"/>
        <w:right w:val="none" w:sz="0" w:space="0" w:color="auto"/>
      </w:divBdr>
    </w:div>
    <w:div w:id="1541239655">
      <w:bodyDiv w:val="1"/>
      <w:marLeft w:val="0"/>
      <w:marRight w:val="0"/>
      <w:marTop w:val="0"/>
      <w:marBottom w:val="0"/>
      <w:divBdr>
        <w:top w:val="none" w:sz="0" w:space="0" w:color="auto"/>
        <w:left w:val="none" w:sz="0" w:space="0" w:color="auto"/>
        <w:bottom w:val="none" w:sz="0" w:space="0" w:color="auto"/>
        <w:right w:val="none" w:sz="0" w:space="0" w:color="auto"/>
      </w:divBdr>
    </w:div>
    <w:div w:id="1542210192">
      <w:bodyDiv w:val="1"/>
      <w:marLeft w:val="0"/>
      <w:marRight w:val="0"/>
      <w:marTop w:val="0"/>
      <w:marBottom w:val="0"/>
      <w:divBdr>
        <w:top w:val="none" w:sz="0" w:space="0" w:color="auto"/>
        <w:left w:val="none" w:sz="0" w:space="0" w:color="auto"/>
        <w:bottom w:val="none" w:sz="0" w:space="0" w:color="auto"/>
        <w:right w:val="none" w:sz="0" w:space="0" w:color="auto"/>
      </w:divBdr>
    </w:div>
    <w:div w:id="1560440490">
      <w:bodyDiv w:val="1"/>
      <w:marLeft w:val="0"/>
      <w:marRight w:val="0"/>
      <w:marTop w:val="0"/>
      <w:marBottom w:val="0"/>
      <w:divBdr>
        <w:top w:val="none" w:sz="0" w:space="0" w:color="auto"/>
        <w:left w:val="none" w:sz="0" w:space="0" w:color="auto"/>
        <w:bottom w:val="none" w:sz="0" w:space="0" w:color="auto"/>
        <w:right w:val="none" w:sz="0" w:space="0" w:color="auto"/>
      </w:divBdr>
      <w:divsChild>
        <w:div w:id="6167176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6598395">
      <w:bodyDiv w:val="1"/>
      <w:marLeft w:val="0"/>
      <w:marRight w:val="0"/>
      <w:marTop w:val="0"/>
      <w:marBottom w:val="0"/>
      <w:divBdr>
        <w:top w:val="none" w:sz="0" w:space="0" w:color="auto"/>
        <w:left w:val="none" w:sz="0" w:space="0" w:color="auto"/>
        <w:bottom w:val="none" w:sz="0" w:space="0" w:color="auto"/>
        <w:right w:val="none" w:sz="0" w:space="0" w:color="auto"/>
      </w:divBdr>
    </w:div>
    <w:div w:id="1582525521">
      <w:bodyDiv w:val="1"/>
      <w:marLeft w:val="0"/>
      <w:marRight w:val="0"/>
      <w:marTop w:val="0"/>
      <w:marBottom w:val="0"/>
      <w:divBdr>
        <w:top w:val="none" w:sz="0" w:space="0" w:color="auto"/>
        <w:left w:val="none" w:sz="0" w:space="0" w:color="auto"/>
        <w:bottom w:val="none" w:sz="0" w:space="0" w:color="auto"/>
        <w:right w:val="none" w:sz="0" w:space="0" w:color="auto"/>
      </w:divBdr>
      <w:divsChild>
        <w:div w:id="779644357">
          <w:marLeft w:val="0"/>
          <w:marRight w:val="0"/>
          <w:marTop w:val="0"/>
          <w:marBottom w:val="0"/>
          <w:divBdr>
            <w:top w:val="none" w:sz="0" w:space="0" w:color="auto"/>
            <w:left w:val="none" w:sz="0" w:space="0" w:color="auto"/>
            <w:bottom w:val="none" w:sz="0" w:space="0" w:color="auto"/>
            <w:right w:val="none" w:sz="0" w:space="0" w:color="auto"/>
          </w:divBdr>
        </w:div>
        <w:div w:id="1202016648">
          <w:marLeft w:val="0"/>
          <w:marRight w:val="0"/>
          <w:marTop w:val="0"/>
          <w:marBottom w:val="0"/>
          <w:divBdr>
            <w:top w:val="none" w:sz="0" w:space="0" w:color="auto"/>
            <w:left w:val="none" w:sz="0" w:space="0" w:color="auto"/>
            <w:bottom w:val="none" w:sz="0" w:space="0" w:color="auto"/>
            <w:right w:val="none" w:sz="0" w:space="0" w:color="auto"/>
          </w:divBdr>
        </w:div>
      </w:divsChild>
    </w:div>
    <w:div w:id="1592203840">
      <w:bodyDiv w:val="1"/>
      <w:marLeft w:val="0"/>
      <w:marRight w:val="0"/>
      <w:marTop w:val="0"/>
      <w:marBottom w:val="0"/>
      <w:divBdr>
        <w:top w:val="none" w:sz="0" w:space="0" w:color="auto"/>
        <w:left w:val="none" w:sz="0" w:space="0" w:color="auto"/>
        <w:bottom w:val="none" w:sz="0" w:space="0" w:color="auto"/>
        <w:right w:val="none" w:sz="0" w:space="0" w:color="auto"/>
      </w:divBdr>
    </w:div>
    <w:div w:id="1610892051">
      <w:bodyDiv w:val="1"/>
      <w:marLeft w:val="0"/>
      <w:marRight w:val="0"/>
      <w:marTop w:val="0"/>
      <w:marBottom w:val="0"/>
      <w:divBdr>
        <w:top w:val="none" w:sz="0" w:space="0" w:color="auto"/>
        <w:left w:val="none" w:sz="0" w:space="0" w:color="auto"/>
        <w:bottom w:val="none" w:sz="0" w:space="0" w:color="auto"/>
        <w:right w:val="none" w:sz="0" w:space="0" w:color="auto"/>
      </w:divBdr>
    </w:div>
    <w:div w:id="1629780045">
      <w:bodyDiv w:val="1"/>
      <w:marLeft w:val="0"/>
      <w:marRight w:val="0"/>
      <w:marTop w:val="0"/>
      <w:marBottom w:val="0"/>
      <w:divBdr>
        <w:top w:val="none" w:sz="0" w:space="0" w:color="auto"/>
        <w:left w:val="none" w:sz="0" w:space="0" w:color="auto"/>
        <w:bottom w:val="none" w:sz="0" w:space="0" w:color="auto"/>
        <w:right w:val="none" w:sz="0" w:space="0" w:color="auto"/>
      </w:divBdr>
    </w:div>
    <w:div w:id="1631083678">
      <w:bodyDiv w:val="1"/>
      <w:marLeft w:val="0"/>
      <w:marRight w:val="0"/>
      <w:marTop w:val="0"/>
      <w:marBottom w:val="0"/>
      <w:divBdr>
        <w:top w:val="none" w:sz="0" w:space="0" w:color="auto"/>
        <w:left w:val="none" w:sz="0" w:space="0" w:color="auto"/>
        <w:bottom w:val="none" w:sz="0" w:space="0" w:color="auto"/>
        <w:right w:val="none" w:sz="0" w:space="0" w:color="auto"/>
      </w:divBdr>
      <w:divsChild>
        <w:div w:id="453980716">
          <w:marLeft w:val="0"/>
          <w:marRight w:val="0"/>
          <w:marTop w:val="0"/>
          <w:marBottom w:val="0"/>
          <w:divBdr>
            <w:top w:val="none" w:sz="0" w:space="0" w:color="auto"/>
            <w:left w:val="none" w:sz="0" w:space="0" w:color="auto"/>
            <w:bottom w:val="none" w:sz="0" w:space="0" w:color="auto"/>
            <w:right w:val="none" w:sz="0" w:space="0" w:color="auto"/>
          </w:divBdr>
        </w:div>
        <w:div w:id="1912538780">
          <w:marLeft w:val="0"/>
          <w:marRight w:val="0"/>
          <w:marTop w:val="0"/>
          <w:marBottom w:val="0"/>
          <w:divBdr>
            <w:top w:val="none" w:sz="0" w:space="0" w:color="auto"/>
            <w:left w:val="none" w:sz="0" w:space="0" w:color="auto"/>
            <w:bottom w:val="none" w:sz="0" w:space="0" w:color="auto"/>
            <w:right w:val="none" w:sz="0" w:space="0" w:color="auto"/>
          </w:divBdr>
        </w:div>
      </w:divsChild>
    </w:div>
    <w:div w:id="1645356821">
      <w:bodyDiv w:val="1"/>
      <w:marLeft w:val="0"/>
      <w:marRight w:val="0"/>
      <w:marTop w:val="0"/>
      <w:marBottom w:val="0"/>
      <w:divBdr>
        <w:top w:val="none" w:sz="0" w:space="0" w:color="auto"/>
        <w:left w:val="none" w:sz="0" w:space="0" w:color="auto"/>
        <w:bottom w:val="none" w:sz="0" w:space="0" w:color="auto"/>
        <w:right w:val="none" w:sz="0" w:space="0" w:color="auto"/>
      </w:divBdr>
    </w:div>
    <w:div w:id="1648821465">
      <w:bodyDiv w:val="1"/>
      <w:marLeft w:val="0"/>
      <w:marRight w:val="0"/>
      <w:marTop w:val="0"/>
      <w:marBottom w:val="0"/>
      <w:divBdr>
        <w:top w:val="none" w:sz="0" w:space="0" w:color="auto"/>
        <w:left w:val="none" w:sz="0" w:space="0" w:color="auto"/>
        <w:bottom w:val="none" w:sz="0" w:space="0" w:color="auto"/>
        <w:right w:val="none" w:sz="0" w:space="0" w:color="auto"/>
      </w:divBdr>
    </w:div>
    <w:div w:id="1678576028">
      <w:bodyDiv w:val="1"/>
      <w:marLeft w:val="0"/>
      <w:marRight w:val="0"/>
      <w:marTop w:val="0"/>
      <w:marBottom w:val="0"/>
      <w:divBdr>
        <w:top w:val="none" w:sz="0" w:space="0" w:color="auto"/>
        <w:left w:val="none" w:sz="0" w:space="0" w:color="auto"/>
        <w:bottom w:val="none" w:sz="0" w:space="0" w:color="auto"/>
        <w:right w:val="none" w:sz="0" w:space="0" w:color="auto"/>
      </w:divBdr>
    </w:div>
    <w:div w:id="1682969799">
      <w:bodyDiv w:val="1"/>
      <w:marLeft w:val="0"/>
      <w:marRight w:val="0"/>
      <w:marTop w:val="0"/>
      <w:marBottom w:val="0"/>
      <w:divBdr>
        <w:top w:val="none" w:sz="0" w:space="0" w:color="auto"/>
        <w:left w:val="none" w:sz="0" w:space="0" w:color="auto"/>
        <w:bottom w:val="none" w:sz="0" w:space="0" w:color="auto"/>
        <w:right w:val="none" w:sz="0" w:space="0" w:color="auto"/>
      </w:divBdr>
      <w:divsChild>
        <w:div w:id="341278431">
          <w:marLeft w:val="0"/>
          <w:marRight w:val="0"/>
          <w:marTop w:val="0"/>
          <w:marBottom w:val="0"/>
          <w:divBdr>
            <w:top w:val="none" w:sz="0" w:space="0" w:color="auto"/>
            <w:left w:val="none" w:sz="0" w:space="0" w:color="auto"/>
            <w:bottom w:val="none" w:sz="0" w:space="0" w:color="auto"/>
            <w:right w:val="none" w:sz="0" w:space="0" w:color="auto"/>
          </w:divBdr>
          <w:divsChild>
            <w:div w:id="1528954894">
              <w:marLeft w:val="-75"/>
              <w:marRight w:val="0"/>
              <w:marTop w:val="30"/>
              <w:marBottom w:val="30"/>
              <w:divBdr>
                <w:top w:val="none" w:sz="0" w:space="0" w:color="auto"/>
                <w:left w:val="none" w:sz="0" w:space="0" w:color="auto"/>
                <w:bottom w:val="none" w:sz="0" w:space="0" w:color="auto"/>
                <w:right w:val="none" w:sz="0" w:space="0" w:color="auto"/>
              </w:divBdr>
              <w:divsChild>
                <w:div w:id="5444093">
                  <w:marLeft w:val="0"/>
                  <w:marRight w:val="0"/>
                  <w:marTop w:val="0"/>
                  <w:marBottom w:val="0"/>
                  <w:divBdr>
                    <w:top w:val="none" w:sz="0" w:space="0" w:color="auto"/>
                    <w:left w:val="none" w:sz="0" w:space="0" w:color="auto"/>
                    <w:bottom w:val="none" w:sz="0" w:space="0" w:color="auto"/>
                    <w:right w:val="none" w:sz="0" w:space="0" w:color="auto"/>
                  </w:divBdr>
                  <w:divsChild>
                    <w:div w:id="1451779856">
                      <w:marLeft w:val="0"/>
                      <w:marRight w:val="0"/>
                      <w:marTop w:val="0"/>
                      <w:marBottom w:val="0"/>
                      <w:divBdr>
                        <w:top w:val="none" w:sz="0" w:space="0" w:color="auto"/>
                        <w:left w:val="none" w:sz="0" w:space="0" w:color="auto"/>
                        <w:bottom w:val="none" w:sz="0" w:space="0" w:color="auto"/>
                        <w:right w:val="none" w:sz="0" w:space="0" w:color="auto"/>
                      </w:divBdr>
                    </w:div>
                  </w:divsChild>
                </w:div>
                <w:div w:id="40786855">
                  <w:marLeft w:val="0"/>
                  <w:marRight w:val="0"/>
                  <w:marTop w:val="0"/>
                  <w:marBottom w:val="0"/>
                  <w:divBdr>
                    <w:top w:val="none" w:sz="0" w:space="0" w:color="auto"/>
                    <w:left w:val="none" w:sz="0" w:space="0" w:color="auto"/>
                    <w:bottom w:val="none" w:sz="0" w:space="0" w:color="auto"/>
                    <w:right w:val="none" w:sz="0" w:space="0" w:color="auto"/>
                  </w:divBdr>
                  <w:divsChild>
                    <w:div w:id="901797208">
                      <w:marLeft w:val="0"/>
                      <w:marRight w:val="0"/>
                      <w:marTop w:val="0"/>
                      <w:marBottom w:val="0"/>
                      <w:divBdr>
                        <w:top w:val="none" w:sz="0" w:space="0" w:color="auto"/>
                        <w:left w:val="none" w:sz="0" w:space="0" w:color="auto"/>
                        <w:bottom w:val="none" w:sz="0" w:space="0" w:color="auto"/>
                        <w:right w:val="none" w:sz="0" w:space="0" w:color="auto"/>
                      </w:divBdr>
                    </w:div>
                    <w:div w:id="1161040544">
                      <w:marLeft w:val="0"/>
                      <w:marRight w:val="0"/>
                      <w:marTop w:val="0"/>
                      <w:marBottom w:val="0"/>
                      <w:divBdr>
                        <w:top w:val="none" w:sz="0" w:space="0" w:color="auto"/>
                        <w:left w:val="none" w:sz="0" w:space="0" w:color="auto"/>
                        <w:bottom w:val="none" w:sz="0" w:space="0" w:color="auto"/>
                        <w:right w:val="none" w:sz="0" w:space="0" w:color="auto"/>
                      </w:divBdr>
                    </w:div>
                  </w:divsChild>
                </w:div>
                <w:div w:id="58947947">
                  <w:marLeft w:val="0"/>
                  <w:marRight w:val="0"/>
                  <w:marTop w:val="0"/>
                  <w:marBottom w:val="0"/>
                  <w:divBdr>
                    <w:top w:val="none" w:sz="0" w:space="0" w:color="auto"/>
                    <w:left w:val="none" w:sz="0" w:space="0" w:color="auto"/>
                    <w:bottom w:val="none" w:sz="0" w:space="0" w:color="auto"/>
                    <w:right w:val="none" w:sz="0" w:space="0" w:color="auto"/>
                  </w:divBdr>
                  <w:divsChild>
                    <w:div w:id="1140685913">
                      <w:marLeft w:val="0"/>
                      <w:marRight w:val="0"/>
                      <w:marTop w:val="0"/>
                      <w:marBottom w:val="0"/>
                      <w:divBdr>
                        <w:top w:val="none" w:sz="0" w:space="0" w:color="auto"/>
                        <w:left w:val="none" w:sz="0" w:space="0" w:color="auto"/>
                        <w:bottom w:val="none" w:sz="0" w:space="0" w:color="auto"/>
                        <w:right w:val="none" w:sz="0" w:space="0" w:color="auto"/>
                      </w:divBdr>
                    </w:div>
                  </w:divsChild>
                </w:div>
                <w:div w:id="85465652">
                  <w:marLeft w:val="0"/>
                  <w:marRight w:val="0"/>
                  <w:marTop w:val="0"/>
                  <w:marBottom w:val="0"/>
                  <w:divBdr>
                    <w:top w:val="none" w:sz="0" w:space="0" w:color="auto"/>
                    <w:left w:val="none" w:sz="0" w:space="0" w:color="auto"/>
                    <w:bottom w:val="none" w:sz="0" w:space="0" w:color="auto"/>
                    <w:right w:val="none" w:sz="0" w:space="0" w:color="auto"/>
                  </w:divBdr>
                  <w:divsChild>
                    <w:div w:id="1626934033">
                      <w:marLeft w:val="0"/>
                      <w:marRight w:val="0"/>
                      <w:marTop w:val="0"/>
                      <w:marBottom w:val="0"/>
                      <w:divBdr>
                        <w:top w:val="none" w:sz="0" w:space="0" w:color="auto"/>
                        <w:left w:val="none" w:sz="0" w:space="0" w:color="auto"/>
                        <w:bottom w:val="none" w:sz="0" w:space="0" w:color="auto"/>
                        <w:right w:val="none" w:sz="0" w:space="0" w:color="auto"/>
                      </w:divBdr>
                    </w:div>
                  </w:divsChild>
                </w:div>
                <w:div w:id="104885136">
                  <w:marLeft w:val="0"/>
                  <w:marRight w:val="0"/>
                  <w:marTop w:val="0"/>
                  <w:marBottom w:val="0"/>
                  <w:divBdr>
                    <w:top w:val="none" w:sz="0" w:space="0" w:color="auto"/>
                    <w:left w:val="none" w:sz="0" w:space="0" w:color="auto"/>
                    <w:bottom w:val="none" w:sz="0" w:space="0" w:color="auto"/>
                    <w:right w:val="none" w:sz="0" w:space="0" w:color="auto"/>
                  </w:divBdr>
                  <w:divsChild>
                    <w:div w:id="1294292574">
                      <w:marLeft w:val="0"/>
                      <w:marRight w:val="0"/>
                      <w:marTop w:val="0"/>
                      <w:marBottom w:val="0"/>
                      <w:divBdr>
                        <w:top w:val="none" w:sz="0" w:space="0" w:color="auto"/>
                        <w:left w:val="none" w:sz="0" w:space="0" w:color="auto"/>
                        <w:bottom w:val="none" w:sz="0" w:space="0" w:color="auto"/>
                        <w:right w:val="none" w:sz="0" w:space="0" w:color="auto"/>
                      </w:divBdr>
                    </w:div>
                  </w:divsChild>
                </w:div>
                <w:div w:id="124584701">
                  <w:marLeft w:val="0"/>
                  <w:marRight w:val="0"/>
                  <w:marTop w:val="0"/>
                  <w:marBottom w:val="0"/>
                  <w:divBdr>
                    <w:top w:val="none" w:sz="0" w:space="0" w:color="auto"/>
                    <w:left w:val="none" w:sz="0" w:space="0" w:color="auto"/>
                    <w:bottom w:val="none" w:sz="0" w:space="0" w:color="auto"/>
                    <w:right w:val="none" w:sz="0" w:space="0" w:color="auto"/>
                  </w:divBdr>
                  <w:divsChild>
                    <w:div w:id="640573560">
                      <w:marLeft w:val="0"/>
                      <w:marRight w:val="0"/>
                      <w:marTop w:val="0"/>
                      <w:marBottom w:val="0"/>
                      <w:divBdr>
                        <w:top w:val="none" w:sz="0" w:space="0" w:color="auto"/>
                        <w:left w:val="none" w:sz="0" w:space="0" w:color="auto"/>
                        <w:bottom w:val="none" w:sz="0" w:space="0" w:color="auto"/>
                        <w:right w:val="none" w:sz="0" w:space="0" w:color="auto"/>
                      </w:divBdr>
                    </w:div>
                  </w:divsChild>
                </w:div>
                <w:div w:id="132067267">
                  <w:marLeft w:val="0"/>
                  <w:marRight w:val="0"/>
                  <w:marTop w:val="0"/>
                  <w:marBottom w:val="0"/>
                  <w:divBdr>
                    <w:top w:val="none" w:sz="0" w:space="0" w:color="auto"/>
                    <w:left w:val="none" w:sz="0" w:space="0" w:color="auto"/>
                    <w:bottom w:val="none" w:sz="0" w:space="0" w:color="auto"/>
                    <w:right w:val="none" w:sz="0" w:space="0" w:color="auto"/>
                  </w:divBdr>
                  <w:divsChild>
                    <w:div w:id="941494673">
                      <w:marLeft w:val="0"/>
                      <w:marRight w:val="0"/>
                      <w:marTop w:val="0"/>
                      <w:marBottom w:val="0"/>
                      <w:divBdr>
                        <w:top w:val="none" w:sz="0" w:space="0" w:color="auto"/>
                        <w:left w:val="none" w:sz="0" w:space="0" w:color="auto"/>
                        <w:bottom w:val="none" w:sz="0" w:space="0" w:color="auto"/>
                        <w:right w:val="none" w:sz="0" w:space="0" w:color="auto"/>
                      </w:divBdr>
                    </w:div>
                  </w:divsChild>
                </w:div>
                <w:div w:id="151486290">
                  <w:marLeft w:val="0"/>
                  <w:marRight w:val="0"/>
                  <w:marTop w:val="0"/>
                  <w:marBottom w:val="0"/>
                  <w:divBdr>
                    <w:top w:val="none" w:sz="0" w:space="0" w:color="auto"/>
                    <w:left w:val="none" w:sz="0" w:space="0" w:color="auto"/>
                    <w:bottom w:val="none" w:sz="0" w:space="0" w:color="auto"/>
                    <w:right w:val="none" w:sz="0" w:space="0" w:color="auto"/>
                  </w:divBdr>
                  <w:divsChild>
                    <w:div w:id="1349411270">
                      <w:marLeft w:val="0"/>
                      <w:marRight w:val="0"/>
                      <w:marTop w:val="0"/>
                      <w:marBottom w:val="0"/>
                      <w:divBdr>
                        <w:top w:val="none" w:sz="0" w:space="0" w:color="auto"/>
                        <w:left w:val="none" w:sz="0" w:space="0" w:color="auto"/>
                        <w:bottom w:val="none" w:sz="0" w:space="0" w:color="auto"/>
                        <w:right w:val="none" w:sz="0" w:space="0" w:color="auto"/>
                      </w:divBdr>
                    </w:div>
                  </w:divsChild>
                </w:div>
                <w:div w:id="152530714">
                  <w:marLeft w:val="0"/>
                  <w:marRight w:val="0"/>
                  <w:marTop w:val="0"/>
                  <w:marBottom w:val="0"/>
                  <w:divBdr>
                    <w:top w:val="none" w:sz="0" w:space="0" w:color="auto"/>
                    <w:left w:val="none" w:sz="0" w:space="0" w:color="auto"/>
                    <w:bottom w:val="none" w:sz="0" w:space="0" w:color="auto"/>
                    <w:right w:val="none" w:sz="0" w:space="0" w:color="auto"/>
                  </w:divBdr>
                  <w:divsChild>
                    <w:div w:id="544371063">
                      <w:marLeft w:val="0"/>
                      <w:marRight w:val="0"/>
                      <w:marTop w:val="0"/>
                      <w:marBottom w:val="0"/>
                      <w:divBdr>
                        <w:top w:val="none" w:sz="0" w:space="0" w:color="auto"/>
                        <w:left w:val="none" w:sz="0" w:space="0" w:color="auto"/>
                        <w:bottom w:val="none" w:sz="0" w:space="0" w:color="auto"/>
                        <w:right w:val="none" w:sz="0" w:space="0" w:color="auto"/>
                      </w:divBdr>
                    </w:div>
                  </w:divsChild>
                </w:div>
                <w:div w:id="169224429">
                  <w:marLeft w:val="0"/>
                  <w:marRight w:val="0"/>
                  <w:marTop w:val="0"/>
                  <w:marBottom w:val="0"/>
                  <w:divBdr>
                    <w:top w:val="none" w:sz="0" w:space="0" w:color="auto"/>
                    <w:left w:val="none" w:sz="0" w:space="0" w:color="auto"/>
                    <w:bottom w:val="none" w:sz="0" w:space="0" w:color="auto"/>
                    <w:right w:val="none" w:sz="0" w:space="0" w:color="auto"/>
                  </w:divBdr>
                  <w:divsChild>
                    <w:div w:id="236861004">
                      <w:marLeft w:val="0"/>
                      <w:marRight w:val="0"/>
                      <w:marTop w:val="0"/>
                      <w:marBottom w:val="0"/>
                      <w:divBdr>
                        <w:top w:val="none" w:sz="0" w:space="0" w:color="auto"/>
                        <w:left w:val="none" w:sz="0" w:space="0" w:color="auto"/>
                        <w:bottom w:val="none" w:sz="0" w:space="0" w:color="auto"/>
                        <w:right w:val="none" w:sz="0" w:space="0" w:color="auto"/>
                      </w:divBdr>
                    </w:div>
                  </w:divsChild>
                </w:div>
                <w:div w:id="224141918">
                  <w:marLeft w:val="0"/>
                  <w:marRight w:val="0"/>
                  <w:marTop w:val="0"/>
                  <w:marBottom w:val="0"/>
                  <w:divBdr>
                    <w:top w:val="none" w:sz="0" w:space="0" w:color="auto"/>
                    <w:left w:val="none" w:sz="0" w:space="0" w:color="auto"/>
                    <w:bottom w:val="none" w:sz="0" w:space="0" w:color="auto"/>
                    <w:right w:val="none" w:sz="0" w:space="0" w:color="auto"/>
                  </w:divBdr>
                  <w:divsChild>
                    <w:div w:id="555823731">
                      <w:marLeft w:val="0"/>
                      <w:marRight w:val="0"/>
                      <w:marTop w:val="0"/>
                      <w:marBottom w:val="0"/>
                      <w:divBdr>
                        <w:top w:val="none" w:sz="0" w:space="0" w:color="auto"/>
                        <w:left w:val="none" w:sz="0" w:space="0" w:color="auto"/>
                        <w:bottom w:val="none" w:sz="0" w:space="0" w:color="auto"/>
                        <w:right w:val="none" w:sz="0" w:space="0" w:color="auto"/>
                      </w:divBdr>
                    </w:div>
                  </w:divsChild>
                </w:div>
                <w:div w:id="232856310">
                  <w:marLeft w:val="0"/>
                  <w:marRight w:val="0"/>
                  <w:marTop w:val="0"/>
                  <w:marBottom w:val="0"/>
                  <w:divBdr>
                    <w:top w:val="none" w:sz="0" w:space="0" w:color="auto"/>
                    <w:left w:val="none" w:sz="0" w:space="0" w:color="auto"/>
                    <w:bottom w:val="none" w:sz="0" w:space="0" w:color="auto"/>
                    <w:right w:val="none" w:sz="0" w:space="0" w:color="auto"/>
                  </w:divBdr>
                  <w:divsChild>
                    <w:div w:id="326443304">
                      <w:marLeft w:val="0"/>
                      <w:marRight w:val="0"/>
                      <w:marTop w:val="0"/>
                      <w:marBottom w:val="0"/>
                      <w:divBdr>
                        <w:top w:val="none" w:sz="0" w:space="0" w:color="auto"/>
                        <w:left w:val="none" w:sz="0" w:space="0" w:color="auto"/>
                        <w:bottom w:val="none" w:sz="0" w:space="0" w:color="auto"/>
                        <w:right w:val="none" w:sz="0" w:space="0" w:color="auto"/>
                      </w:divBdr>
                    </w:div>
                  </w:divsChild>
                </w:div>
                <w:div w:id="239365719">
                  <w:marLeft w:val="0"/>
                  <w:marRight w:val="0"/>
                  <w:marTop w:val="0"/>
                  <w:marBottom w:val="0"/>
                  <w:divBdr>
                    <w:top w:val="none" w:sz="0" w:space="0" w:color="auto"/>
                    <w:left w:val="none" w:sz="0" w:space="0" w:color="auto"/>
                    <w:bottom w:val="none" w:sz="0" w:space="0" w:color="auto"/>
                    <w:right w:val="none" w:sz="0" w:space="0" w:color="auto"/>
                  </w:divBdr>
                  <w:divsChild>
                    <w:div w:id="411466027">
                      <w:marLeft w:val="0"/>
                      <w:marRight w:val="0"/>
                      <w:marTop w:val="0"/>
                      <w:marBottom w:val="0"/>
                      <w:divBdr>
                        <w:top w:val="none" w:sz="0" w:space="0" w:color="auto"/>
                        <w:left w:val="none" w:sz="0" w:space="0" w:color="auto"/>
                        <w:bottom w:val="none" w:sz="0" w:space="0" w:color="auto"/>
                        <w:right w:val="none" w:sz="0" w:space="0" w:color="auto"/>
                      </w:divBdr>
                    </w:div>
                  </w:divsChild>
                </w:div>
                <w:div w:id="242763608">
                  <w:marLeft w:val="0"/>
                  <w:marRight w:val="0"/>
                  <w:marTop w:val="0"/>
                  <w:marBottom w:val="0"/>
                  <w:divBdr>
                    <w:top w:val="none" w:sz="0" w:space="0" w:color="auto"/>
                    <w:left w:val="none" w:sz="0" w:space="0" w:color="auto"/>
                    <w:bottom w:val="none" w:sz="0" w:space="0" w:color="auto"/>
                    <w:right w:val="none" w:sz="0" w:space="0" w:color="auto"/>
                  </w:divBdr>
                  <w:divsChild>
                    <w:div w:id="1340739946">
                      <w:marLeft w:val="0"/>
                      <w:marRight w:val="0"/>
                      <w:marTop w:val="0"/>
                      <w:marBottom w:val="0"/>
                      <w:divBdr>
                        <w:top w:val="none" w:sz="0" w:space="0" w:color="auto"/>
                        <w:left w:val="none" w:sz="0" w:space="0" w:color="auto"/>
                        <w:bottom w:val="none" w:sz="0" w:space="0" w:color="auto"/>
                        <w:right w:val="none" w:sz="0" w:space="0" w:color="auto"/>
                      </w:divBdr>
                    </w:div>
                  </w:divsChild>
                </w:div>
                <w:div w:id="259798856">
                  <w:marLeft w:val="0"/>
                  <w:marRight w:val="0"/>
                  <w:marTop w:val="0"/>
                  <w:marBottom w:val="0"/>
                  <w:divBdr>
                    <w:top w:val="none" w:sz="0" w:space="0" w:color="auto"/>
                    <w:left w:val="none" w:sz="0" w:space="0" w:color="auto"/>
                    <w:bottom w:val="none" w:sz="0" w:space="0" w:color="auto"/>
                    <w:right w:val="none" w:sz="0" w:space="0" w:color="auto"/>
                  </w:divBdr>
                  <w:divsChild>
                    <w:div w:id="1585796059">
                      <w:marLeft w:val="0"/>
                      <w:marRight w:val="0"/>
                      <w:marTop w:val="0"/>
                      <w:marBottom w:val="0"/>
                      <w:divBdr>
                        <w:top w:val="none" w:sz="0" w:space="0" w:color="auto"/>
                        <w:left w:val="none" w:sz="0" w:space="0" w:color="auto"/>
                        <w:bottom w:val="none" w:sz="0" w:space="0" w:color="auto"/>
                        <w:right w:val="none" w:sz="0" w:space="0" w:color="auto"/>
                      </w:divBdr>
                    </w:div>
                  </w:divsChild>
                </w:div>
                <w:div w:id="279998478">
                  <w:marLeft w:val="0"/>
                  <w:marRight w:val="0"/>
                  <w:marTop w:val="0"/>
                  <w:marBottom w:val="0"/>
                  <w:divBdr>
                    <w:top w:val="none" w:sz="0" w:space="0" w:color="auto"/>
                    <w:left w:val="none" w:sz="0" w:space="0" w:color="auto"/>
                    <w:bottom w:val="none" w:sz="0" w:space="0" w:color="auto"/>
                    <w:right w:val="none" w:sz="0" w:space="0" w:color="auto"/>
                  </w:divBdr>
                  <w:divsChild>
                    <w:div w:id="392509828">
                      <w:marLeft w:val="0"/>
                      <w:marRight w:val="0"/>
                      <w:marTop w:val="0"/>
                      <w:marBottom w:val="0"/>
                      <w:divBdr>
                        <w:top w:val="none" w:sz="0" w:space="0" w:color="auto"/>
                        <w:left w:val="none" w:sz="0" w:space="0" w:color="auto"/>
                        <w:bottom w:val="none" w:sz="0" w:space="0" w:color="auto"/>
                        <w:right w:val="none" w:sz="0" w:space="0" w:color="auto"/>
                      </w:divBdr>
                    </w:div>
                  </w:divsChild>
                </w:div>
                <w:div w:id="315380643">
                  <w:marLeft w:val="0"/>
                  <w:marRight w:val="0"/>
                  <w:marTop w:val="0"/>
                  <w:marBottom w:val="0"/>
                  <w:divBdr>
                    <w:top w:val="none" w:sz="0" w:space="0" w:color="auto"/>
                    <w:left w:val="none" w:sz="0" w:space="0" w:color="auto"/>
                    <w:bottom w:val="none" w:sz="0" w:space="0" w:color="auto"/>
                    <w:right w:val="none" w:sz="0" w:space="0" w:color="auto"/>
                  </w:divBdr>
                  <w:divsChild>
                    <w:div w:id="2029477264">
                      <w:marLeft w:val="0"/>
                      <w:marRight w:val="0"/>
                      <w:marTop w:val="0"/>
                      <w:marBottom w:val="0"/>
                      <w:divBdr>
                        <w:top w:val="none" w:sz="0" w:space="0" w:color="auto"/>
                        <w:left w:val="none" w:sz="0" w:space="0" w:color="auto"/>
                        <w:bottom w:val="none" w:sz="0" w:space="0" w:color="auto"/>
                        <w:right w:val="none" w:sz="0" w:space="0" w:color="auto"/>
                      </w:divBdr>
                    </w:div>
                  </w:divsChild>
                </w:div>
                <w:div w:id="346370087">
                  <w:marLeft w:val="0"/>
                  <w:marRight w:val="0"/>
                  <w:marTop w:val="0"/>
                  <w:marBottom w:val="0"/>
                  <w:divBdr>
                    <w:top w:val="none" w:sz="0" w:space="0" w:color="auto"/>
                    <w:left w:val="none" w:sz="0" w:space="0" w:color="auto"/>
                    <w:bottom w:val="none" w:sz="0" w:space="0" w:color="auto"/>
                    <w:right w:val="none" w:sz="0" w:space="0" w:color="auto"/>
                  </w:divBdr>
                  <w:divsChild>
                    <w:div w:id="1141771195">
                      <w:marLeft w:val="0"/>
                      <w:marRight w:val="0"/>
                      <w:marTop w:val="0"/>
                      <w:marBottom w:val="0"/>
                      <w:divBdr>
                        <w:top w:val="none" w:sz="0" w:space="0" w:color="auto"/>
                        <w:left w:val="none" w:sz="0" w:space="0" w:color="auto"/>
                        <w:bottom w:val="none" w:sz="0" w:space="0" w:color="auto"/>
                        <w:right w:val="none" w:sz="0" w:space="0" w:color="auto"/>
                      </w:divBdr>
                    </w:div>
                  </w:divsChild>
                </w:div>
                <w:div w:id="376777975">
                  <w:marLeft w:val="0"/>
                  <w:marRight w:val="0"/>
                  <w:marTop w:val="0"/>
                  <w:marBottom w:val="0"/>
                  <w:divBdr>
                    <w:top w:val="none" w:sz="0" w:space="0" w:color="auto"/>
                    <w:left w:val="none" w:sz="0" w:space="0" w:color="auto"/>
                    <w:bottom w:val="none" w:sz="0" w:space="0" w:color="auto"/>
                    <w:right w:val="none" w:sz="0" w:space="0" w:color="auto"/>
                  </w:divBdr>
                  <w:divsChild>
                    <w:div w:id="546795485">
                      <w:marLeft w:val="0"/>
                      <w:marRight w:val="0"/>
                      <w:marTop w:val="0"/>
                      <w:marBottom w:val="0"/>
                      <w:divBdr>
                        <w:top w:val="none" w:sz="0" w:space="0" w:color="auto"/>
                        <w:left w:val="none" w:sz="0" w:space="0" w:color="auto"/>
                        <w:bottom w:val="none" w:sz="0" w:space="0" w:color="auto"/>
                        <w:right w:val="none" w:sz="0" w:space="0" w:color="auto"/>
                      </w:divBdr>
                    </w:div>
                  </w:divsChild>
                </w:div>
                <w:div w:id="473985680">
                  <w:marLeft w:val="0"/>
                  <w:marRight w:val="0"/>
                  <w:marTop w:val="0"/>
                  <w:marBottom w:val="0"/>
                  <w:divBdr>
                    <w:top w:val="none" w:sz="0" w:space="0" w:color="auto"/>
                    <w:left w:val="none" w:sz="0" w:space="0" w:color="auto"/>
                    <w:bottom w:val="none" w:sz="0" w:space="0" w:color="auto"/>
                    <w:right w:val="none" w:sz="0" w:space="0" w:color="auto"/>
                  </w:divBdr>
                  <w:divsChild>
                    <w:div w:id="190847609">
                      <w:marLeft w:val="0"/>
                      <w:marRight w:val="0"/>
                      <w:marTop w:val="0"/>
                      <w:marBottom w:val="0"/>
                      <w:divBdr>
                        <w:top w:val="none" w:sz="0" w:space="0" w:color="auto"/>
                        <w:left w:val="none" w:sz="0" w:space="0" w:color="auto"/>
                        <w:bottom w:val="none" w:sz="0" w:space="0" w:color="auto"/>
                        <w:right w:val="none" w:sz="0" w:space="0" w:color="auto"/>
                      </w:divBdr>
                    </w:div>
                  </w:divsChild>
                </w:div>
                <w:div w:id="515920383">
                  <w:marLeft w:val="0"/>
                  <w:marRight w:val="0"/>
                  <w:marTop w:val="0"/>
                  <w:marBottom w:val="0"/>
                  <w:divBdr>
                    <w:top w:val="none" w:sz="0" w:space="0" w:color="auto"/>
                    <w:left w:val="none" w:sz="0" w:space="0" w:color="auto"/>
                    <w:bottom w:val="none" w:sz="0" w:space="0" w:color="auto"/>
                    <w:right w:val="none" w:sz="0" w:space="0" w:color="auto"/>
                  </w:divBdr>
                  <w:divsChild>
                    <w:div w:id="646397487">
                      <w:marLeft w:val="0"/>
                      <w:marRight w:val="0"/>
                      <w:marTop w:val="0"/>
                      <w:marBottom w:val="0"/>
                      <w:divBdr>
                        <w:top w:val="none" w:sz="0" w:space="0" w:color="auto"/>
                        <w:left w:val="none" w:sz="0" w:space="0" w:color="auto"/>
                        <w:bottom w:val="none" w:sz="0" w:space="0" w:color="auto"/>
                        <w:right w:val="none" w:sz="0" w:space="0" w:color="auto"/>
                      </w:divBdr>
                    </w:div>
                  </w:divsChild>
                </w:div>
                <w:div w:id="569921214">
                  <w:marLeft w:val="0"/>
                  <w:marRight w:val="0"/>
                  <w:marTop w:val="0"/>
                  <w:marBottom w:val="0"/>
                  <w:divBdr>
                    <w:top w:val="none" w:sz="0" w:space="0" w:color="auto"/>
                    <w:left w:val="none" w:sz="0" w:space="0" w:color="auto"/>
                    <w:bottom w:val="none" w:sz="0" w:space="0" w:color="auto"/>
                    <w:right w:val="none" w:sz="0" w:space="0" w:color="auto"/>
                  </w:divBdr>
                  <w:divsChild>
                    <w:div w:id="728843777">
                      <w:marLeft w:val="0"/>
                      <w:marRight w:val="0"/>
                      <w:marTop w:val="0"/>
                      <w:marBottom w:val="0"/>
                      <w:divBdr>
                        <w:top w:val="none" w:sz="0" w:space="0" w:color="auto"/>
                        <w:left w:val="none" w:sz="0" w:space="0" w:color="auto"/>
                        <w:bottom w:val="none" w:sz="0" w:space="0" w:color="auto"/>
                        <w:right w:val="none" w:sz="0" w:space="0" w:color="auto"/>
                      </w:divBdr>
                    </w:div>
                  </w:divsChild>
                </w:div>
                <w:div w:id="629167955">
                  <w:marLeft w:val="0"/>
                  <w:marRight w:val="0"/>
                  <w:marTop w:val="0"/>
                  <w:marBottom w:val="0"/>
                  <w:divBdr>
                    <w:top w:val="none" w:sz="0" w:space="0" w:color="auto"/>
                    <w:left w:val="none" w:sz="0" w:space="0" w:color="auto"/>
                    <w:bottom w:val="none" w:sz="0" w:space="0" w:color="auto"/>
                    <w:right w:val="none" w:sz="0" w:space="0" w:color="auto"/>
                  </w:divBdr>
                  <w:divsChild>
                    <w:div w:id="1341784302">
                      <w:marLeft w:val="0"/>
                      <w:marRight w:val="0"/>
                      <w:marTop w:val="0"/>
                      <w:marBottom w:val="0"/>
                      <w:divBdr>
                        <w:top w:val="none" w:sz="0" w:space="0" w:color="auto"/>
                        <w:left w:val="none" w:sz="0" w:space="0" w:color="auto"/>
                        <w:bottom w:val="none" w:sz="0" w:space="0" w:color="auto"/>
                        <w:right w:val="none" w:sz="0" w:space="0" w:color="auto"/>
                      </w:divBdr>
                    </w:div>
                  </w:divsChild>
                </w:div>
                <w:div w:id="676078236">
                  <w:marLeft w:val="0"/>
                  <w:marRight w:val="0"/>
                  <w:marTop w:val="0"/>
                  <w:marBottom w:val="0"/>
                  <w:divBdr>
                    <w:top w:val="none" w:sz="0" w:space="0" w:color="auto"/>
                    <w:left w:val="none" w:sz="0" w:space="0" w:color="auto"/>
                    <w:bottom w:val="none" w:sz="0" w:space="0" w:color="auto"/>
                    <w:right w:val="none" w:sz="0" w:space="0" w:color="auto"/>
                  </w:divBdr>
                  <w:divsChild>
                    <w:div w:id="1870726415">
                      <w:marLeft w:val="0"/>
                      <w:marRight w:val="0"/>
                      <w:marTop w:val="0"/>
                      <w:marBottom w:val="0"/>
                      <w:divBdr>
                        <w:top w:val="none" w:sz="0" w:space="0" w:color="auto"/>
                        <w:left w:val="none" w:sz="0" w:space="0" w:color="auto"/>
                        <w:bottom w:val="none" w:sz="0" w:space="0" w:color="auto"/>
                        <w:right w:val="none" w:sz="0" w:space="0" w:color="auto"/>
                      </w:divBdr>
                    </w:div>
                  </w:divsChild>
                </w:div>
                <w:div w:id="684405083">
                  <w:marLeft w:val="0"/>
                  <w:marRight w:val="0"/>
                  <w:marTop w:val="0"/>
                  <w:marBottom w:val="0"/>
                  <w:divBdr>
                    <w:top w:val="none" w:sz="0" w:space="0" w:color="auto"/>
                    <w:left w:val="none" w:sz="0" w:space="0" w:color="auto"/>
                    <w:bottom w:val="none" w:sz="0" w:space="0" w:color="auto"/>
                    <w:right w:val="none" w:sz="0" w:space="0" w:color="auto"/>
                  </w:divBdr>
                  <w:divsChild>
                    <w:div w:id="316959309">
                      <w:marLeft w:val="0"/>
                      <w:marRight w:val="0"/>
                      <w:marTop w:val="0"/>
                      <w:marBottom w:val="0"/>
                      <w:divBdr>
                        <w:top w:val="none" w:sz="0" w:space="0" w:color="auto"/>
                        <w:left w:val="none" w:sz="0" w:space="0" w:color="auto"/>
                        <w:bottom w:val="none" w:sz="0" w:space="0" w:color="auto"/>
                        <w:right w:val="none" w:sz="0" w:space="0" w:color="auto"/>
                      </w:divBdr>
                    </w:div>
                  </w:divsChild>
                </w:div>
                <w:div w:id="703288023">
                  <w:marLeft w:val="0"/>
                  <w:marRight w:val="0"/>
                  <w:marTop w:val="0"/>
                  <w:marBottom w:val="0"/>
                  <w:divBdr>
                    <w:top w:val="none" w:sz="0" w:space="0" w:color="auto"/>
                    <w:left w:val="none" w:sz="0" w:space="0" w:color="auto"/>
                    <w:bottom w:val="none" w:sz="0" w:space="0" w:color="auto"/>
                    <w:right w:val="none" w:sz="0" w:space="0" w:color="auto"/>
                  </w:divBdr>
                  <w:divsChild>
                    <w:div w:id="1970699127">
                      <w:marLeft w:val="0"/>
                      <w:marRight w:val="0"/>
                      <w:marTop w:val="0"/>
                      <w:marBottom w:val="0"/>
                      <w:divBdr>
                        <w:top w:val="none" w:sz="0" w:space="0" w:color="auto"/>
                        <w:left w:val="none" w:sz="0" w:space="0" w:color="auto"/>
                        <w:bottom w:val="none" w:sz="0" w:space="0" w:color="auto"/>
                        <w:right w:val="none" w:sz="0" w:space="0" w:color="auto"/>
                      </w:divBdr>
                    </w:div>
                  </w:divsChild>
                </w:div>
                <w:div w:id="757681139">
                  <w:marLeft w:val="0"/>
                  <w:marRight w:val="0"/>
                  <w:marTop w:val="0"/>
                  <w:marBottom w:val="0"/>
                  <w:divBdr>
                    <w:top w:val="none" w:sz="0" w:space="0" w:color="auto"/>
                    <w:left w:val="none" w:sz="0" w:space="0" w:color="auto"/>
                    <w:bottom w:val="none" w:sz="0" w:space="0" w:color="auto"/>
                    <w:right w:val="none" w:sz="0" w:space="0" w:color="auto"/>
                  </w:divBdr>
                  <w:divsChild>
                    <w:div w:id="1832213952">
                      <w:marLeft w:val="0"/>
                      <w:marRight w:val="0"/>
                      <w:marTop w:val="0"/>
                      <w:marBottom w:val="0"/>
                      <w:divBdr>
                        <w:top w:val="none" w:sz="0" w:space="0" w:color="auto"/>
                        <w:left w:val="none" w:sz="0" w:space="0" w:color="auto"/>
                        <w:bottom w:val="none" w:sz="0" w:space="0" w:color="auto"/>
                        <w:right w:val="none" w:sz="0" w:space="0" w:color="auto"/>
                      </w:divBdr>
                    </w:div>
                  </w:divsChild>
                </w:div>
                <w:div w:id="797992752">
                  <w:marLeft w:val="0"/>
                  <w:marRight w:val="0"/>
                  <w:marTop w:val="0"/>
                  <w:marBottom w:val="0"/>
                  <w:divBdr>
                    <w:top w:val="none" w:sz="0" w:space="0" w:color="auto"/>
                    <w:left w:val="none" w:sz="0" w:space="0" w:color="auto"/>
                    <w:bottom w:val="none" w:sz="0" w:space="0" w:color="auto"/>
                    <w:right w:val="none" w:sz="0" w:space="0" w:color="auto"/>
                  </w:divBdr>
                  <w:divsChild>
                    <w:div w:id="1116296476">
                      <w:marLeft w:val="0"/>
                      <w:marRight w:val="0"/>
                      <w:marTop w:val="0"/>
                      <w:marBottom w:val="0"/>
                      <w:divBdr>
                        <w:top w:val="none" w:sz="0" w:space="0" w:color="auto"/>
                        <w:left w:val="none" w:sz="0" w:space="0" w:color="auto"/>
                        <w:bottom w:val="none" w:sz="0" w:space="0" w:color="auto"/>
                        <w:right w:val="none" w:sz="0" w:space="0" w:color="auto"/>
                      </w:divBdr>
                    </w:div>
                  </w:divsChild>
                </w:div>
                <w:div w:id="805514116">
                  <w:marLeft w:val="0"/>
                  <w:marRight w:val="0"/>
                  <w:marTop w:val="0"/>
                  <w:marBottom w:val="0"/>
                  <w:divBdr>
                    <w:top w:val="none" w:sz="0" w:space="0" w:color="auto"/>
                    <w:left w:val="none" w:sz="0" w:space="0" w:color="auto"/>
                    <w:bottom w:val="none" w:sz="0" w:space="0" w:color="auto"/>
                    <w:right w:val="none" w:sz="0" w:space="0" w:color="auto"/>
                  </w:divBdr>
                  <w:divsChild>
                    <w:div w:id="62265200">
                      <w:marLeft w:val="0"/>
                      <w:marRight w:val="0"/>
                      <w:marTop w:val="0"/>
                      <w:marBottom w:val="0"/>
                      <w:divBdr>
                        <w:top w:val="none" w:sz="0" w:space="0" w:color="auto"/>
                        <w:left w:val="none" w:sz="0" w:space="0" w:color="auto"/>
                        <w:bottom w:val="none" w:sz="0" w:space="0" w:color="auto"/>
                        <w:right w:val="none" w:sz="0" w:space="0" w:color="auto"/>
                      </w:divBdr>
                    </w:div>
                  </w:divsChild>
                </w:div>
                <w:div w:id="823158881">
                  <w:marLeft w:val="0"/>
                  <w:marRight w:val="0"/>
                  <w:marTop w:val="0"/>
                  <w:marBottom w:val="0"/>
                  <w:divBdr>
                    <w:top w:val="none" w:sz="0" w:space="0" w:color="auto"/>
                    <w:left w:val="none" w:sz="0" w:space="0" w:color="auto"/>
                    <w:bottom w:val="none" w:sz="0" w:space="0" w:color="auto"/>
                    <w:right w:val="none" w:sz="0" w:space="0" w:color="auto"/>
                  </w:divBdr>
                  <w:divsChild>
                    <w:div w:id="770977406">
                      <w:marLeft w:val="0"/>
                      <w:marRight w:val="0"/>
                      <w:marTop w:val="0"/>
                      <w:marBottom w:val="0"/>
                      <w:divBdr>
                        <w:top w:val="none" w:sz="0" w:space="0" w:color="auto"/>
                        <w:left w:val="none" w:sz="0" w:space="0" w:color="auto"/>
                        <w:bottom w:val="none" w:sz="0" w:space="0" w:color="auto"/>
                        <w:right w:val="none" w:sz="0" w:space="0" w:color="auto"/>
                      </w:divBdr>
                    </w:div>
                  </w:divsChild>
                </w:div>
                <w:div w:id="830870132">
                  <w:marLeft w:val="0"/>
                  <w:marRight w:val="0"/>
                  <w:marTop w:val="0"/>
                  <w:marBottom w:val="0"/>
                  <w:divBdr>
                    <w:top w:val="none" w:sz="0" w:space="0" w:color="auto"/>
                    <w:left w:val="none" w:sz="0" w:space="0" w:color="auto"/>
                    <w:bottom w:val="none" w:sz="0" w:space="0" w:color="auto"/>
                    <w:right w:val="none" w:sz="0" w:space="0" w:color="auto"/>
                  </w:divBdr>
                  <w:divsChild>
                    <w:div w:id="1669944601">
                      <w:marLeft w:val="0"/>
                      <w:marRight w:val="0"/>
                      <w:marTop w:val="0"/>
                      <w:marBottom w:val="0"/>
                      <w:divBdr>
                        <w:top w:val="none" w:sz="0" w:space="0" w:color="auto"/>
                        <w:left w:val="none" w:sz="0" w:space="0" w:color="auto"/>
                        <w:bottom w:val="none" w:sz="0" w:space="0" w:color="auto"/>
                        <w:right w:val="none" w:sz="0" w:space="0" w:color="auto"/>
                      </w:divBdr>
                    </w:div>
                  </w:divsChild>
                </w:div>
                <w:div w:id="832110877">
                  <w:marLeft w:val="0"/>
                  <w:marRight w:val="0"/>
                  <w:marTop w:val="0"/>
                  <w:marBottom w:val="0"/>
                  <w:divBdr>
                    <w:top w:val="none" w:sz="0" w:space="0" w:color="auto"/>
                    <w:left w:val="none" w:sz="0" w:space="0" w:color="auto"/>
                    <w:bottom w:val="none" w:sz="0" w:space="0" w:color="auto"/>
                    <w:right w:val="none" w:sz="0" w:space="0" w:color="auto"/>
                  </w:divBdr>
                  <w:divsChild>
                    <w:div w:id="461389830">
                      <w:marLeft w:val="0"/>
                      <w:marRight w:val="0"/>
                      <w:marTop w:val="0"/>
                      <w:marBottom w:val="0"/>
                      <w:divBdr>
                        <w:top w:val="none" w:sz="0" w:space="0" w:color="auto"/>
                        <w:left w:val="none" w:sz="0" w:space="0" w:color="auto"/>
                        <w:bottom w:val="none" w:sz="0" w:space="0" w:color="auto"/>
                        <w:right w:val="none" w:sz="0" w:space="0" w:color="auto"/>
                      </w:divBdr>
                    </w:div>
                  </w:divsChild>
                </w:div>
                <w:div w:id="835219872">
                  <w:marLeft w:val="0"/>
                  <w:marRight w:val="0"/>
                  <w:marTop w:val="0"/>
                  <w:marBottom w:val="0"/>
                  <w:divBdr>
                    <w:top w:val="none" w:sz="0" w:space="0" w:color="auto"/>
                    <w:left w:val="none" w:sz="0" w:space="0" w:color="auto"/>
                    <w:bottom w:val="none" w:sz="0" w:space="0" w:color="auto"/>
                    <w:right w:val="none" w:sz="0" w:space="0" w:color="auto"/>
                  </w:divBdr>
                  <w:divsChild>
                    <w:div w:id="1987198288">
                      <w:marLeft w:val="0"/>
                      <w:marRight w:val="0"/>
                      <w:marTop w:val="0"/>
                      <w:marBottom w:val="0"/>
                      <w:divBdr>
                        <w:top w:val="none" w:sz="0" w:space="0" w:color="auto"/>
                        <w:left w:val="none" w:sz="0" w:space="0" w:color="auto"/>
                        <w:bottom w:val="none" w:sz="0" w:space="0" w:color="auto"/>
                        <w:right w:val="none" w:sz="0" w:space="0" w:color="auto"/>
                      </w:divBdr>
                    </w:div>
                  </w:divsChild>
                </w:div>
                <w:div w:id="866212095">
                  <w:marLeft w:val="0"/>
                  <w:marRight w:val="0"/>
                  <w:marTop w:val="0"/>
                  <w:marBottom w:val="0"/>
                  <w:divBdr>
                    <w:top w:val="none" w:sz="0" w:space="0" w:color="auto"/>
                    <w:left w:val="none" w:sz="0" w:space="0" w:color="auto"/>
                    <w:bottom w:val="none" w:sz="0" w:space="0" w:color="auto"/>
                    <w:right w:val="none" w:sz="0" w:space="0" w:color="auto"/>
                  </w:divBdr>
                  <w:divsChild>
                    <w:div w:id="2001614933">
                      <w:marLeft w:val="0"/>
                      <w:marRight w:val="0"/>
                      <w:marTop w:val="0"/>
                      <w:marBottom w:val="0"/>
                      <w:divBdr>
                        <w:top w:val="none" w:sz="0" w:space="0" w:color="auto"/>
                        <w:left w:val="none" w:sz="0" w:space="0" w:color="auto"/>
                        <w:bottom w:val="none" w:sz="0" w:space="0" w:color="auto"/>
                        <w:right w:val="none" w:sz="0" w:space="0" w:color="auto"/>
                      </w:divBdr>
                    </w:div>
                  </w:divsChild>
                </w:div>
                <w:div w:id="953823206">
                  <w:marLeft w:val="0"/>
                  <w:marRight w:val="0"/>
                  <w:marTop w:val="0"/>
                  <w:marBottom w:val="0"/>
                  <w:divBdr>
                    <w:top w:val="none" w:sz="0" w:space="0" w:color="auto"/>
                    <w:left w:val="none" w:sz="0" w:space="0" w:color="auto"/>
                    <w:bottom w:val="none" w:sz="0" w:space="0" w:color="auto"/>
                    <w:right w:val="none" w:sz="0" w:space="0" w:color="auto"/>
                  </w:divBdr>
                  <w:divsChild>
                    <w:div w:id="1335566583">
                      <w:marLeft w:val="0"/>
                      <w:marRight w:val="0"/>
                      <w:marTop w:val="0"/>
                      <w:marBottom w:val="0"/>
                      <w:divBdr>
                        <w:top w:val="none" w:sz="0" w:space="0" w:color="auto"/>
                        <w:left w:val="none" w:sz="0" w:space="0" w:color="auto"/>
                        <w:bottom w:val="none" w:sz="0" w:space="0" w:color="auto"/>
                        <w:right w:val="none" w:sz="0" w:space="0" w:color="auto"/>
                      </w:divBdr>
                    </w:div>
                  </w:divsChild>
                </w:div>
                <w:div w:id="970137667">
                  <w:marLeft w:val="0"/>
                  <w:marRight w:val="0"/>
                  <w:marTop w:val="0"/>
                  <w:marBottom w:val="0"/>
                  <w:divBdr>
                    <w:top w:val="none" w:sz="0" w:space="0" w:color="auto"/>
                    <w:left w:val="none" w:sz="0" w:space="0" w:color="auto"/>
                    <w:bottom w:val="none" w:sz="0" w:space="0" w:color="auto"/>
                    <w:right w:val="none" w:sz="0" w:space="0" w:color="auto"/>
                  </w:divBdr>
                  <w:divsChild>
                    <w:div w:id="2080857596">
                      <w:marLeft w:val="0"/>
                      <w:marRight w:val="0"/>
                      <w:marTop w:val="0"/>
                      <w:marBottom w:val="0"/>
                      <w:divBdr>
                        <w:top w:val="none" w:sz="0" w:space="0" w:color="auto"/>
                        <w:left w:val="none" w:sz="0" w:space="0" w:color="auto"/>
                        <w:bottom w:val="none" w:sz="0" w:space="0" w:color="auto"/>
                        <w:right w:val="none" w:sz="0" w:space="0" w:color="auto"/>
                      </w:divBdr>
                    </w:div>
                  </w:divsChild>
                </w:div>
                <w:div w:id="976186849">
                  <w:marLeft w:val="0"/>
                  <w:marRight w:val="0"/>
                  <w:marTop w:val="0"/>
                  <w:marBottom w:val="0"/>
                  <w:divBdr>
                    <w:top w:val="none" w:sz="0" w:space="0" w:color="auto"/>
                    <w:left w:val="none" w:sz="0" w:space="0" w:color="auto"/>
                    <w:bottom w:val="none" w:sz="0" w:space="0" w:color="auto"/>
                    <w:right w:val="none" w:sz="0" w:space="0" w:color="auto"/>
                  </w:divBdr>
                  <w:divsChild>
                    <w:div w:id="1090354583">
                      <w:marLeft w:val="0"/>
                      <w:marRight w:val="0"/>
                      <w:marTop w:val="0"/>
                      <w:marBottom w:val="0"/>
                      <w:divBdr>
                        <w:top w:val="none" w:sz="0" w:space="0" w:color="auto"/>
                        <w:left w:val="none" w:sz="0" w:space="0" w:color="auto"/>
                        <w:bottom w:val="none" w:sz="0" w:space="0" w:color="auto"/>
                        <w:right w:val="none" w:sz="0" w:space="0" w:color="auto"/>
                      </w:divBdr>
                    </w:div>
                  </w:divsChild>
                </w:div>
                <w:div w:id="984313262">
                  <w:marLeft w:val="0"/>
                  <w:marRight w:val="0"/>
                  <w:marTop w:val="0"/>
                  <w:marBottom w:val="0"/>
                  <w:divBdr>
                    <w:top w:val="none" w:sz="0" w:space="0" w:color="auto"/>
                    <w:left w:val="none" w:sz="0" w:space="0" w:color="auto"/>
                    <w:bottom w:val="none" w:sz="0" w:space="0" w:color="auto"/>
                    <w:right w:val="none" w:sz="0" w:space="0" w:color="auto"/>
                  </w:divBdr>
                  <w:divsChild>
                    <w:div w:id="726413484">
                      <w:marLeft w:val="0"/>
                      <w:marRight w:val="0"/>
                      <w:marTop w:val="0"/>
                      <w:marBottom w:val="0"/>
                      <w:divBdr>
                        <w:top w:val="none" w:sz="0" w:space="0" w:color="auto"/>
                        <w:left w:val="none" w:sz="0" w:space="0" w:color="auto"/>
                        <w:bottom w:val="none" w:sz="0" w:space="0" w:color="auto"/>
                        <w:right w:val="none" w:sz="0" w:space="0" w:color="auto"/>
                      </w:divBdr>
                    </w:div>
                  </w:divsChild>
                </w:div>
                <w:div w:id="1002203601">
                  <w:marLeft w:val="0"/>
                  <w:marRight w:val="0"/>
                  <w:marTop w:val="0"/>
                  <w:marBottom w:val="0"/>
                  <w:divBdr>
                    <w:top w:val="none" w:sz="0" w:space="0" w:color="auto"/>
                    <w:left w:val="none" w:sz="0" w:space="0" w:color="auto"/>
                    <w:bottom w:val="none" w:sz="0" w:space="0" w:color="auto"/>
                    <w:right w:val="none" w:sz="0" w:space="0" w:color="auto"/>
                  </w:divBdr>
                  <w:divsChild>
                    <w:div w:id="1864399131">
                      <w:marLeft w:val="0"/>
                      <w:marRight w:val="0"/>
                      <w:marTop w:val="0"/>
                      <w:marBottom w:val="0"/>
                      <w:divBdr>
                        <w:top w:val="none" w:sz="0" w:space="0" w:color="auto"/>
                        <w:left w:val="none" w:sz="0" w:space="0" w:color="auto"/>
                        <w:bottom w:val="none" w:sz="0" w:space="0" w:color="auto"/>
                        <w:right w:val="none" w:sz="0" w:space="0" w:color="auto"/>
                      </w:divBdr>
                    </w:div>
                  </w:divsChild>
                </w:div>
                <w:div w:id="1095050362">
                  <w:marLeft w:val="0"/>
                  <w:marRight w:val="0"/>
                  <w:marTop w:val="0"/>
                  <w:marBottom w:val="0"/>
                  <w:divBdr>
                    <w:top w:val="none" w:sz="0" w:space="0" w:color="auto"/>
                    <w:left w:val="none" w:sz="0" w:space="0" w:color="auto"/>
                    <w:bottom w:val="none" w:sz="0" w:space="0" w:color="auto"/>
                    <w:right w:val="none" w:sz="0" w:space="0" w:color="auto"/>
                  </w:divBdr>
                  <w:divsChild>
                    <w:div w:id="1069040443">
                      <w:marLeft w:val="0"/>
                      <w:marRight w:val="0"/>
                      <w:marTop w:val="0"/>
                      <w:marBottom w:val="0"/>
                      <w:divBdr>
                        <w:top w:val="none" w:sz="0" w:space="0" w:color="auto"/>
                        <w:left w:val="none" w:sz="0" w:space="0" w:color="auto"/>
                        <w:bottom w:val="none" w:sz="0" w:space="0" w:color="auto"/>
                        <w:right w:val="none" w:sz="0" w:space="0" w:color="auto"/>
                      </w:divBdr>
                    </w:div>
                  </w:divsChild>
                </w:div>
                <w:div w:id="1099328161">
                  <w:marLeft w:val="0"/>
                  <w:marRight w:val="0"/>
                  <w:marTop w:val="0"/>
                  <w:marBottom w:val="0"/>
                  <w:divBdr>
                    <w:top w:val="none" w:sz="0" w:space="0" w:color="auto"/>
                    <w:left w:val="none" w:sz="0" w:space="0" w:color="auto"/>
                    <w:bottom w:val="none" w:sz="0" w:space="0" w:color="auto"/>
                    <w:right w:val="none" w:sz="0" w:space="0" w:color="auto"/>
                  </w:divBdr>
                  <w:divsChild>
                    <w:div w:id="88165750">
                      <w:marLeft w:val="0"/>
                      <w:marRight w:val="0"/>
                      <w:marTop w:val="0"/>
                      <w:marBottom w:val="0"/>
                      <w:divBdr>
                        <w:top w:val="none" w:sz="0" w:space="0" w:color="auto"/>
                        <w:left w:val="none" w:sz="0" w:space="0" w:color="auto"/>
                        <w:bottom w:val="none" w:sz="0" w:space="0" w:color="auto"/>
                        <w:right w:val="none" w:sz="0" w:space="0" w:color="auto"/>
                      </w:divBdr>
                    </w:div>
                  </w:divsChild>
                </w:div>
                <w:div w:id="1179539100">
                  <w:marLeft w:val="0"/>
                  <w:marRight w:val="0"/>
                  <w:marTop w:val="0"/>
                  <w:marBottom w:val="0"/>
                  <w:divBdr>
                    <w:top w:val="none" w:sz="0" w:space="0" w:color="auto"/>
                    <w:left w:val="none" w:sz="0" w:space="0" w:color="auto"/>
                    <w:bottom w:val="none" w:sz="0" w:space="0" w:color="auto"/>
                    <w:right w:val="none" w:sz="0" w:space="0" w:color="auto"/>
                  </w:divBdr>
                  <w:divsChild>
                    <w:div w:id="383918938">
                      <w:marLeft w:val="0"/>
                      <w:marRight w:val="0"/>
                      <w:marTop w:val="0"/>
                      <w:marBottom w:val="0"/>
                      <w:divBdr>
                        <w:top w:val="none" w:sz="0" w:space="0" w:color="auto"/>
                        <w:left w:val="none" w:sz="0" w:space="0" w:color="auto"/>
                        <w:bottom w:val="none" w:sz="0" w:space="0" w:color="auto"/>
                        <w:right w:val="none" w:sz="0" w:space="0" w:color="auto"/>
                      </w:divBdr>
                    </w:div>
                  </w:divsChild>
                </w:div>
                <w:div w:id="1210679121">
                  <w:marLeft w:val="0"/>
                  <w:marRight w:val="0"/>
                  <w:marTop w:val="0"/>
                  <w:marBottom w:val="0"/>
                  <w:divBdr>
                    <w:top w:val="none" w:sz="0" w:space="0" w:color="auto"/>
                    <w:left w:val="none" w:sz="0" w:space="0" w:color="auto"/>
                    <w:bottom w:val="none" w:sz="0" w:space="0" w:color="auto"/>
                    <w:right w:val="none" w:sz="0" w:space="0" w:color="auto"/>
                  </w:divBdr>
                  <w:divsChild>
                    <w:div w:id="1762600381">
                      <w:marLeft w:val="0"/>
                      <w:marRight w:val="0"/>
                      <w:marTop w:val="0"/>
                      <w:marBottom w:val="0"/>
                      <w:divBdr>
                        <w:top w:val="none" w:sz="0" w:space="0" w:color="auto"/>
                        <w:left w:val="none" w:sz="0" w:space="0" w:color="auto"/>
                        <w:bottom w:val="none" w:sz="0" w:space="0" w:color="auto"/>
                        <w:right w:val="none" w:sz="0" w:space="0" w:color="auto"/>
                      </w:divBdr>
                    </w:div>
                  </w:divsChild>
                </w:div>
                <w:div w:id="1223828399">
                  <w:marLeft w:val="0"/>
                  <w:marRight w:val="0"/>
                  <w:marTop w:val="0"/>
                  <w:marBottom w:val="0"/>
                  <w:divBdr>
                    <w:top w:val="none" w:sz="0" w:space="0" w:color="auto"/>
                    <w:left w:val="none" w:sz="0" w:space="0" w:color="auto"/>
                    <w:bottom w:val="none" w:sz="0" w:space="0" w:color="auto"/>
                    <w:right w:val="none" w:sz="0" w:space="0" w:color="auto"/>
                  </w:divBdr>
                  <w:divsChild>
                    <w:div w:id="1400589449">
                      <w:marLeft w:val="0"/>
                      <w:marRight w:val="0"/>
                      <w:marTop w:val="0"/>
                      <w:marBottom w:val="0"/>
                      <w:divBdr>
                        <w:top w:val="none" w:sz="0" w:space="0" w:color="auto"/>
                        <w:left w:val="none" w:sz="0" w:space="0" w:color="auto"/>
                        <w:bottom w:val="none" w:sz="0" w:space="0" w:color="auto"/>
                        <w:right w:val="none" w:sz="0" w:space="0" w:color="auto"/>
                      </w:divBdr>
                    </w:div>
                  </w:divsChild>
                </w:div>
                <w:div w:id="1313679481">
                  <w:marLeft w:val="0"/>
                  <w:marRight w:val="0"/>
                  <w:marTop w:val="0"/>
                  <w:marBottom w:val="0"/>
                  <w:divBdr>
                    <w:top w:val="none" w:sz="0" w:space="0" w:color="auto"/>
                    <w:left w:val="none" w:sz="0" w:space="0" w:color="auto"/>
                    <w:bottom w:val="none" w:sz="0" w:space="0" w:color="auto"/>
                    <w:right w:val="none" w:sz="0" w:space="0" w:color="auto"/>
                  </w:divBdr>
                  <w:divsChild>
                    <w:div w:id="414673292">
                      <w:marLeft w:val="0"/>
                      <w:marRight w:val="0"/>
                      <w:marTop w:val="0"/>
                      <w:marBottom w:val="0"/>
                      <w:divBdr>
                        <w:top w:val="none" w:sz="0" w:space="0" w:color="auto"/>
                        <w:left w:val="none" w:sz="0" w:space="0" w:color="auto"/>
                        <w:bottom w:val="none" w:sz="0" w:space="0" w:color="auto"/>
                        <w:right w:val="none" w:sz="0" w:space="0" w:color="auto"/>
                      </w:divBdr>
                    </w:div>
                  </w:divsChild>
                </w:div>
                <w:div w:id="1327635622">
                  <w:marLeft w:val="0"/>
                  <w:marRight w:val="0"/>
                  <w:marTop w:val="0"/>
                  <w:marBottom w:val="0"/>
                  <w:divBdr>
                    <w:top w:val="none" w:sz="0" w:space="0" w:color="auto"/>
                    <w:left w:val="none" w:sz="0" w:space="0" w:color="auto"/>
                    <w:bottom w:val="none" w:sz="0" w:space="0" w:color="auto"/>
                    <w:right w:val="none" w:sz="0" w:space="0" w:color="auto"/>
                  </w:divBdr>
                  <w:divsChild>
                    <w:div w:id="1275096607">
                      <w:marLeft w:val="0"/>
                      <w:marRight w:val="0"/>
                      <w:marTop w:val="0"/>
                      <w:marBottom w:val="0"/>
                      <w:divBdr>
                        <w:top w:val="none" w:sz="0" w:space="0" w:color="auto"/>
                        <w:left w:val="none" w:sz="0" w:space="0" w:color="auto"/>
                        <w:bottom w:val="none" w:sz="0" w:space="0" w:color="auto"/>
                        <w:right w:val="none" w:sz="0" w:space="0" w:color="auto"/>
                      </w:divBdr>
                    </w:div>
                  </w:divsChild>
                </w:div>
                <w:div w:id="1354111141">
                  <w:marLeft w:val="0"/>
                  <w:marRight w:val="0"/>
                  <w:marTop w:val="0"/>
                  <w:marBottom w:val="0"/>
                  <w:divBdr>
                    <w:top w:val="none" w:sz="0" w:space="0" w:color="auto"/>
                    <w:left w:val="none" w:sz="0" w:space="0" w:color="auto"/>
                    <w:bottom w:val="none" w:sz="0" w:space="0" w:color="auto"/>
                    <w:right w:val="none" w:sz="0" w:space="0" w:color="auto"/>
                  </w:divBdr>
                  <w:divsChild>
                    <w:div w:id="889923872">
                      <w:marLeft w:val="0"/>
                      <w:marRight w:val="0"/>
                      <w:marTop w:val="0"/>
                      <w:marBottom w:val="0"/>
                      <w:divBdr>
                        <w:top w:val="none" w:sz="0" w:space="0" w:color="auto"/>
                        <w:left w:val="none" w:sz="0" w:space="0" w:color="auto"/>
                        <w:bottom w:val="none" w:sz="0" w:space="0" w:color="auto"/>
                        <w:right w:val="none" w:sz="0" w:space="0" w:color="auto"/>
                      </w:divBdr>
                    </w:div>
                  </w:divsChild>
                </w:div>
                <w:div w:id="1357661376">
                  <w:marLeft w:val="0"/>
                  <w:marRight w:val="0"/>
                  <w:marTop w:val="0"/>
                  <w:marBottom w:val="0"/>
                  <w:divBdr>
                    <w:top w:val="none" w:sz="0" w:space="0" w:color="auto"/>
                    <w:left w:val="none" w:sz="0" w:space="0" w:color="auto"/>
                    <w:bottom w:val="none" w:sz="0" w:space="0" w:color="auto"/>
                    <w:right w:val="none" w:sz="0" w:space="0" w:color="auto"/>
                  </w:divBdr>
                  <w:divsChild>
                    <w:div w:id="463430258">
                      <w:marLeft w:val="0"/>
                      <w:marRight w:val="0"/>
                      <w:marTop w:val="0"/>
                      <w:marBottom w:val="0"/>
                      <w:divBdr>
                        <w:top w:val="none" w:sz="0" w:space="0" w:color="auto"/>
                        <w:left w:val="none" w:sz="0" w:space="0" w:color="auto"/>
                        <w:bottom w:val="none" w:sz="0" w:space="0" w:color="auto"/>
                        <w:right w:val="none" w:sz="0" w:space="0" w:color="auto"/>
                      </w:divBdr>
                    </w:div>
                  </w:divsChild>
                </w:div>
                <w:div w:id="1430351611">
                  <w:marLeft w:val="0"/>
                  <w:marRight w:val="0"/>
                  <w:marTop w:val="0"/>
                  <w:marBottom w:val="0"/>
                  <w:divBdr>
                    <w:top w:val="none" w:sz="0" w:space="0" w:color="auto"/>
                    <w:left w:val="none" w:sz="0" w:space="0" w:color="auto"/>
                    <w:bottom w:val="none" w:sz="0" w:space="0" w:color="auto"/>
                    <w:right w:val="none" w:sz="0" w:space="0" w:color="auto"/>
                  </w:divBdr>
                  <w:divsChild>
                    <w:div w:id="1811550585">
                      <w:marLeft w:val="0"/>
                      <w:marRight w:val="0"/>
                      <w:marTop w:val="0"/>
                      <w:marBottom w:val="0"/>
                      <w:divBdr>
                        <w:top w:val="none" w:sz="0" w:space="0" w:color="auto"/>
                        <w:left w:val="none" w:sz="0" w:space="0" w:color="auto"/>
                        <w:bottom w:val="none" w:sz="0" w:space="0" w:color="auto"/>
                        <w:right w:val="none" w:sz="0" w:space="0" w:color="auto"/>
                      </w:divBdr>
                    </w:div>
                  </w:divsChild>
                </w:div>
                <w:div w:id="1478886462">
                  <w:marLeft w:val="0"/>
                  <w:marRight w:val="0"/>
                  <w:marTop w:val="0"/>
                  <w:marBottom w:val="0"/>
                  <w:divBdr>
                    <w:top w:val="none" w:sz="0" w:space="0" w:color="auto"/>
                    <w:left w:val="none" w:sz="0" w:space="0" w:color="auto"/>
                    <w:bottom w:val="none" w:sz="0" w:space="0" w:color="auto"/>
                    <w:right w:val="none" w:sz="0" w:space="0" w:color="auto"/>
                  </w:divBdr>
                  <w:divsChild>
                    <w:div w:id="1716198905">
                      <w:marLeft w:val="0"/>
                      <w:marRight w:val="0"/>
                      <w:marTop w:val="0"/>
                      <w:marBottom w:val="0"/>
                      <w:divBdr>
                        <w:top w:val="none" w:sz="0" w:space="0" w:color="auto"/>
                        <w:left w:val="none" w:sz="0" w:space="0" w:color="auto"/>
                        <w:bottom w:val="none" w:sz="0" w:space="0" w:color="auto"/>
                        <w:right w:val="none" w:sz="0" w:space="0" w:color="auto"/>
                      </w:divBdr>
                    </w:div>
                  </w:divsChild>
                </w:div>
                <w:div w:id="1508398377">
                  <w:marLeft w:val="0"/>
                  <w:marRight w:val="0"/>
                  <w:marTop w:val="0"/>
                  <w:marBottom w:val="0"/>
                  <w:divBdr>
                    <w:top w:val="none" w:sz="0" w:space="0" w:color="auto"/>
                    <w:left w:val="none" w:sz="0" w:space="0" w:color="auto"/>
                    <w:bottom w:val="none" w:sz="0" w:space="0" w:color="auto"/>
                    <w:right w:val="none" w:sz="0" w:space="0" w:color="auto"/>
                  </w:divBdr>
                  <w:divsChild>
                    <w:div w:id="1481581536">
                      <w:marLeft w:val="0"/>
                      <w:marRight w:val="0"/>
                      <w:marTop w:val="0"/>
                      <w:marBottom w:val="0"/>
                      <w:divBdr>
                        <w:top w:val="none" w:sz="0" w:space="0" w:color="auto"/>
                        <w:left w:val="none" w:sz="0" w:space="0" w:color="auto"/>
                        <w:bottom w:val="none" w:sz="0" w:space="0" w:color="auto"/>
                        <w:right w:val="none" w:sz="0" w:space="0" w:color="auto"/>
                      </w:divBdr>
                    </w:div>
                  </w:divsChild>
                </w:div>
                <w:div w:id="1550847953">
                  <w:marLeft w:val="0"/>
                  <w:marRight w:val="0"/>
                  <w:marTop w:val="0"/>
                  <w:marBottom w:val="0"/>
                  <w:divBdr>
                    <w:top w:val="none" w:sz="0" w:space="0" w:color="auto"/>
                    <w:left w:val="none" w:sz="0" w:space="0" w:color="auto"/>
                    <w:bottom w:val="none" w:sz="0" w:space="0" w:color="auto"/>
                    <w:right w:val="none" w:sz="0" w:space="0" w:color="auto"/>
                  </w:divBdr>
                  <w:divsChild>
                    <w:div w:id="835418026">
                      <w:marLeft w:val="0"/>
                      <w:marRight w:val="0"/>
                      <w:marTop w:val="0"/>
                      <w:marBottom w:val="0"/>
                      <w:divBdr>
                        <w:top w:val="none" w:sz="0" w:space="0" w:color="auto"/>
                        <w:left w:val="none" w:sz="0" w:space="0" w:color="auto"/>
                        <w:bottom w:val="none" w:sz="0" w:space="0" w:color="auto"/>
                        <w:right w:val="none" w:sz="0" w:space="0" w:color="auto"/>
                      </w:divBdr>
                    </w:div>
                  </w:divsChild>
                </w:div>
                <w:div w:id="1596547134">
                  <w:marLeft w:val="0"/>
                  <w:marRight w:val="0"/>
                  <w:marTop w:val="0"/>
                  <w:marBottom w:val="0"/>
                  <w:divBdr>
                    <w:top w:val="none" w:sz="0" w:space="0" w:color="auto"/>
                    <w:left w:val="none" w:sz="0" w:space="0" w:color="auto"/>
                    <w:bottom w:val="none" w:sz="0" w:space="0" w:color="auto"/>
                    <w:right w:val="none" w:sz="0" w:space="0" w:color="auto"/>
                  </w:divBdr>
                  <w:divsChild>
                    <w:div w:id="1121995804">
                      <w:marLeft w:val="0"/>
                      <w:marRight w:val="0"/>
                      <w:marTop w:val="0"/>
                      <w:marBottom w:val="0"/>
                      <w:divBdr>
                        <w:top w:val="none" w:sz="0" w:space="0" w:color="auto"/>
                        <w:left w:val="none" w:sz="0" w:space="0" w:color="auto"/>
                        <w:bottom w:val="none" w:sz="0" w:space="0" w:color="auto"/>
                        <w:right w:val="none" w:sz="0" w:space="0" w:color="auto"/>
                      </w:divBdr>
                    </w:div>
                  </w:divsChild>
                </w:div>
                <w:div w:id="1643658005">
                  <w:marLeft w:val="0"/>
                  <w:marRight w:val="0"/>
                  <w:marTop w:val="0"/>
                  <w:marBottom w:val="0"/>
                  <w:divBdr>
                    <w:top w:val="none" w:sz="0" w:space="0" w:color="auto"/>
                    <w:left w:val="none" w:sz="0" w:space="0" w:color="auto"/>
                    <w:bottom w:val="none" w:sz="0" w:space="0" w:color="auto"/>
                    <w:right w:val="none" w:sz="0" w:space="0" w:color="auto"/>
                  </w:divBdr>
                  <w:divsChild>
                    <w:div w:id="1704402608">
                      <w:marLeft w:val="0"/>
                      <w:marRight w:val="0"/>
                      <w:marTop w:val="0"/>
                      <w:marBottom w:val="0"/>
                      <w:divBdr>
                        <w:top w:val="none" w:sz="0" w:space="0" w:color="auto"/>
                        <w:left w:val="none" w:sz="0" w:space="0" w:color="auto"/>
                        <w:bottom w:val="none" w:sz="0" w:space="0" w:color="auto"/>
                        <w:right w:val="none" w:sz="0" w:space="0" w:color="auto"/>
                      </w:divBdr>
                    </w:div>
                  </w:divsChild>
                </w:div>
                <w:div w:id="1657030881">
                  <w:marLeft w:val="0"/>
                  <w:marRight w:val="0"/>
                  <w:marTop w:val="0"/>
                  <w:marBottom w:val="0"/>
                  <w:divBdr>
                    <w:top w:val="none" w:sz="0" w:space="0" w:color="auto"/>
                    <w:left w:val="none" w:sz="0" w:space="0" w:color="auto"/>
                    <w:bottom w:val="none" w:sz="0" w:space="0" w:color="auto"/>
                    <w:right w:val="none" w:sz="0" w:space="0" w:color="auto"/>
                  </w:divBdr>
                  <w:divsChild>
                    <w:div w:id="2127432093">
                      <w:marLeft w:val="0"/>
                      <w:marRight w:val="0"/>
                      <w:marTop w:val="0"/>
                      <w:marBottom w:val="0"/>
                      <w:divBdr>
                        <w:top w:val="none" w:sz="0" w:space="0" w:color="auto"/>
                        <w:left w:val="none" w:sz="0" w:space="0" w:color="auto"/>
                        <w:bottom w:val="none" w:sz="0" w:space="0" w:color="auto"/>
                        <w:right w:val="none" w:sz="0" w:space="0" w:color="auto"/>
                      </w:divBdr>
                    </w:div>
                  </w:divsChild>
                </w:div>
                <w:div w:id="1661738677">
                  <w:marLeft w:val="0"/>
                  <w:marRight w:val="0"/>
                  <w:marTop w:val="0"/>
                  <w:marBottom w:val="0"/>
                  <w:divBdr>
                    <w:top w:val="none" w:sz="0" w:space="0" w:color="auto"/>
                    <w:left w:val="none" w:sz="0" w:space="0" w:color="auto"/>
                    <w:bottom w:val="none" w:sz="0" w:space="0" w:color="auto"/>
                    <w:right w:val="none" w:sz="0" w:space="0" w:color="auto"/>
                  </w:divBdr>
                  <w:divsChild>
                    <w:div w:id="2124224006">
                      <w:marLeft w:val="0"/>
                      <w:marRight w:val="0"/>
                      <w:marTop w:val="0"/>
                      <w:marBottom w:val="0"/>
                      <w:divBdr>
                        <w:top w:val="none" w:sz="0" w:space="0" w:color="auto"/>
                        <w:left w:val="none" w:sz="0" w:space="0" w:color="auto"/>
                        <w:bottom w:val="none" w:sz="0" w:space="0" w:color="auto"/>
                        <w:right w:val="none" w:sz="0" w:space="0" w:color="auto"/>
                      </w:divBdr>
                    </w:div>
                  </w:divsChild>
                </w:div>
                <w:div w:id="1677267950">
                  <w:marLeft w:val="0"/>
                  <w:marRight w:val="0"/>
                  <w:marTop w:val="0"/>
                  <w:marBottom w:val="0"/>
                  <w:divBdr>
                    <w:top w:val="none" w:sz="0" w:space="0" w:color="auto"/>
                    <w:left w:val="none" w:sz="0" w:space="0" w:color="auto"/>
                    <w:bottom w:val="none" w:sz="0" w:space="0" w:color="auto"/>
                    <w:right w:val="none" w:sz="0" w:space="0" w:color="auto"/>
                  </w:divBdr>
                  <w:divsChild>
                    <w:div w:id="1065883802">
                      <w:marLeft w:val="0"/>
                      <w:marRight w:val="0"/>
                      <w:marTop w:val="0"/>
                      <w:marBottom w:val="0"/>
                      <w:divBdr>
                        <w:top w:val="none" w:sz="0" w:space="0" w:color="auto"/>
                        <w:left w:val="none" w:sz="0" w:space="0" w:color="auto"/>
                        <w:bottom w:val="none" w:sz="0" w:space="0" w:color="auto"/>
                        <w:right w:val="none" w:sz="0" w:space="0" w:color="auto"/>
                      </w:divBdr>
                    </w:div>
                  </w:divsChild>
                </w:div>
                <w:div w:id="1718357809">
                  <w:marLeft w:val="0"/>
                  <w:marRight w:val="0"/>
                  <w:marTop w:val="0"/>
                  <w:marBottom w:val="0"/>
                  <w:divBdr>
                    <w:top w:val="none" w:sz="0" w:space="0" w:color="auto"/>
                    <w:left w:val="none" w:sz="0" w:space="0" w:color="auto"/>
                    <w:bottom w:val="none" w:sz="0" w:space="0" w:color="auto"/>
                    <w:right w:val="none" w:sz="0" w:space="0" w:color="auto"/>
                  </w:divBdr>
                  <w:divsChild>
                    <w:div w:id="358316677">
                      <w:marLeft w:val="0"/>
                      <w:marRight w:val="0"/>
                      <w:marTop w:val="0"/>
                      <w:marBottom w:val="0"/>
                      <w:divBdr>
                        <w:top w:val="none" w:sz="0" w:space="0" w:color="auto"/>
                        <w:left w:val="none" w:sz="0" w:space="0" w:color="auto"/>
                        <w:bottom w:val="none" w:sz="0" w:space="0" w:color="auto"/>
                        <w:right w:val="none" w:sz="0" w:space="0" w:color="auto"/>
                      </w:divBdr>
                    </w:div>
                  </w:divsChild>
                </w:div>
                <w:div w:id="1753042830">
                  <w:marLeft w:val="0"/>
                  <w:marRight w:val="0"/>
                  <w:marTop w:val="0"/>
                  <w:marBottom w:val="0"/>
                  <w:divBdr>
                    <w:top w:val="none" w:sz="0" w:space="0" w:color="auto"/>
                    <w:left w:val="none" w:sz="0" w:space="0" w:color="auto"/>
                    <w:bottom w:val="none" w:sz="0" w:space="0" w:color="auto"/>
                    <w:right w:val="none" w:sz="0" w:space="0" w:color="auto"/>
                  </w:divBdr>
                  <w:divsChild>
                    <w:div w:id="398216503">
                      <w:marLeft w:val="0"/>
                      <w:marRight w:val="0"/>
                      <w:marTop w:val="0"/>
                      <w:marBottom w:val="0"/>
                      <w:divBdr>
                        <w:top w:val="none" w:sz="0" w:space="0" w:color="auto"/>
                        <w:left w:val="none" w:sz="0" w:space="0" w:color="auto"/>
                        <w:bottom w:val="none" w:sz="0" w:space="0" w:color="auto"/>
                        <w:right w:val="none" w:sz="0" w:space="0" w:color="auto"/>
                      </w:divBdr>
                    </w:div>
                  </w:divsChild>
                </w:div>
                <w:div w:id="1788088469">
                  <w:marLeft w:val="0"/>
                  <w:marRight w:val="0"/>
                  <w:marTop w:val="0"/>
                  <w:marBottom w:val="0"/>
                  <w:divBdr>
                    <w:top w:val="none" w:sz="0" w:space="0" w:color="auto"/>
                    <w:left w:val="none" w:sz="0" w:space="0" w:color="auto"/>
                    <w:bottom w:val="none" w:sz="0" w:space="0" w:color="auto"/>
                    <w:right w:val="none" w:sz="0" w:space="0" w:color="auto"/>
                  </w:divBdr>
                  <w:divsChild>
                    <w:div w:id="54161085">
                      <w:marLeft w:val="0"/>
                      <w:marRight w:val="0"/>
                      <w:marTop w:val="0"/>
                      <w:marBottom w:val="0"/>
                      <w:divBdr>
                        <w:top w:val="none" w:sz="0" w:space="0" w:color="auto"/>
                        <w:left w:val="none" w:sz="0" w:space="0" w:color="auto"/>
                        <w:bottom w:val="none" w:sz="0" w:space="0" w:color="auto"/>
                        <w:right w:val="none" w:sz="0" w:space="0" w:color="auto"/>
                      </w:divBdr>
                    </w:div>
                  </w:divsChild>
                </w:div>
                <w:div w:id="1807507864">
                  <w:marLeft w:val="0"/>
                  <w:marRight w:val="0"/>
                  <w:marTop w:val="0"/>
                  <w:marBottom w:val="0"/>
                  <w:divBdr>
                    <w:top w:val="none" w:sz="0" w:space="0" w:color="auto"/>
                    <w:left w:val="none" w:sz="0" w:space="0" w:color="auto"/>
                    <w:bottom w:val="none" w:sz="0" w:space="0" w:color="auto"/>
                    <w:right w:val="none" w:sz="0" w:space="0" w:color="auto"/>
                  </w:divBdr>
                  <w:divsChild>
                    <w:div w:id="1494446241">
                      <w:marLeft w:val="0"/>
                      <w:marRight w:val="0"/>
                      <w:marTop w:val="0"/>
                      <w:marBottom w:val="0"/>
                      <w:divBdr>
                        <w:top w:val="none" w:sz="0" w:space="0" w:color="auto"/>
                        <w:left w:val="none" w:sz="0" w:space="0" w:color="auto"/>
                        <w:bottom w:val="none" w:sz="0" w:space="0" w:color="auto"/>
                        <w:right w:val="none" w:sz="0" w:space="0" w:color="auto"/>
                      </w:divBdr>
                    </w:div>
                  </w:divsChild>
                </w:div>
                <w:div w:id="1833108203">
                  <w:marLeft w:val="0"/>
                  <w:marRight w:val="0"/>
                  <w:marTop w:val="0"/>
                  <w:marBottom w:val="0"/>
                  <w:divBdr>
                    <w:top w:val="none" w:sz="0" w:space="0" w:color="auto"/>
                    <w:left w:val="none" w:sz="0" w:space="0" w:color="auto"/>
                    <w:bottom w:val="none" w:sz="0" w:space="0" w:color="auto"/>
                    <w:right w:val="none" w:sz="0" w:space="0" w:color="auto"/>
                  </w:divBdr>
                  <w:divsChild>
                    <w:div w:id="5137705">
                      <w:marLeft w:val="0"/>
                      <w:marRight w:val="0"/>
                      <w:marTop w:val="0"/>
                      <w:marBottom w:val="0"/>
                      <w:divBdr>
                        <w:top w:val="none" w:sz="0" w:space="0" w:color="auto"/>
                        <w:left w:val="none" w:sz="0" w:space="0" w:color="auto"/>
                        <w:bottom w:val="none" w:sz="0" w:space="0" w:color="auto"/>
                        <w:right w:val="none" w:sz="0" w:space="0" w:color="auto"/>
                      </w:divBdr>
                    </w:div>
                  </w:divsChild>
                </w:div>
                <w:div w:id="1857621854">
                  <w:marLeft w:val="0"/>
                  <w:marRight w:val="0"/>
                  <w:marTop w:val="0"/>
                  <w:marBottom w:val="0"/>
                  <w:divBdr>
                    <w:top w:val="none" w:sz="0" w:space="0" w:color="auto"/>
                    <w:left w:val="none" w:sz="0" w:space="0" w:color="auto"/>
                    <w:bottom w:val="none" w:sz="0" w:space="0" w:color="auto"/>
                    <w:right w:val="none" w:sz="0" w:space="0" w:color="auto"/>
                  </w:divBdr>
                  <w:divsChild>
                    <w:div w:id="1168517910">
                      <w:marLeft w:val="0"/>
                      <w:marRight w:val="0"/>
                      <w:marTop w:val="0"/>
                      <w:marBottom w:val="0"/>
                      <w:divBdr>
                        <w:top w:val="none" w:sz="0" w:space="0" w:color="auto"/>
                        <w:left w:val="none" w:sz="0" w:space="0" w:color="auto"/>
                        <w:bottom w:val="none" w:sz="0" w:space="0" w:color="auto"/>
                        <w:right w:val="none" w:sz="0" w:space="0" w:color="auto"/>
                      </w:divBdr>
                    </w:div>
                  </w:divsChild>
                </w:div>
                <w:div w:id="1943031263">
                  <w:marLeft w:val="0"/>
                  <w:marRight w:val="0"/>
                  <w:marTop w:val="0"/>
                  <w:marBottom w:val="0"/>
                  <w:divBdr>
                    <w:top w:val="none" w:sz="0" w:space="0" w:color="auto"/>
                    <w:left w:val="none" w:sz="0" w:space="0" w:color="auto"/>
                    <w:bottom w:val="none" w:sz="0" w:space="0" w:color="auto"/>
                    <w:right w:val="none" w:sz="0" w:space="0" w:color="auto"/>
                  </w:divBdr>
                  <w:divsChild>
                    <w:div w:id="950236855">
                      <w:marLeft w:val="0"/>
                      <w:marRight w:val="0"/>
                      <w:marTop w:val="0"/>
                      <w:marBottom w:val="0"/>
                      <w:divBdr>
                        <w:top w:val="none" w:sz="0" w:space="0" w:color="auto"/>
                        <w:left w:val="none" w:sz="0" w:space="0" w:color="auto"/>
                        <w:bottom w:val="none" w:sz="0" w:space="0" w:color="auto"/>
                        <w:right w:val="none" w:sz="0" w:space="0" w:color="auto"/>
                      </w:divBdr>
                    </w:div>
                  </w:divsChild>
                </w:div>
                <w:div w:id="1984852783">
                  <w:marLeft w:val="0"/>
                  <w:marRight w:val="0"/>
                  <w:marTop w:val="0"/>
                  <w:marBottom w:val="0"/>
                  <w:divBdr>
                    <w:top w:val="none" w:sz="0" w:space="0" w:color="auto"/>
                    <w:left w:val="none" w:sz="0" w:space="0" w:color="auto"/>
                    <w:bottom w:val="none" w:sz="0" w:space="0" w:color="auto"/>
                    <w:right w:val="none" w:sz="0" w:space="0" w:color="auto"/>
                  </w:divBdr>
                  <w:divsChild>
                    <w:div w:id="993340899">
                      <w:marLeft w:val="0"/>
                      <w:marRight w:val="0"/>
                      <w:marTop w:val="0"/>
                      <w:marBottom w:val="0"/>
                      <w:divBdr>
                        <w:top w:val="none" w:sz="0" w:space="0" w:color="auto"/>
                        <w:left w:val="none" w:sz="0" w:space="0" w:color="auto"/>
                        <w:bottom w:val="none" w:sz="0" w:space="0" w:color="auto"/>
                        <w:right w:val="none" w:sz="0" w:space="0" w:color="auto"/>
                      </w:divBdr>
                    </w:div>
                  </w:divsChild>
                </w:div>
                <w:div w:id="2076857025">
                  <w:marLeft w:val="0"/>
                  <w:marRight w:val="0"/>
                  <w:marTop w:val="0"/>
                  <w:marBottom w:val="0"/>
                  <w:divBdr>
                    <w:top w:val="none" w:sz="0" w:space="0" w:color="auto"/>
                    <w:left w:val="none" w:sz="0" w:space="0" w:color="auto"/>
                    <w:bottom w:val="none" w:sz="0" w:space="0" w:color="auto"/>
                    <w:right w:val="none" w:sz="0" w:space="0" w:color="auto"/>
                  </w:divBdr>
                  <w:divsChild>
                    <w:div w:id="406420015">
                      <w:marLeft w:val="0"/>
                      <w:marRight w:val="0"/>
                      <w:marTop w:val="0"/>
                      <w:marBottom w:val="0"/>
                      <w:divBdr>
                        <w:top w:val="none" w:sz="0" w:space="0" w:color="auto"/>
                        <w:left w:val="none" w:sz="0" w:space="0" w:color="auto"/>
                        <w:bottom w:val="none" w:sz="0" w:space="0" w:color="auto"/>
                        <w:right w:val="none" w:sz="0" w:space="0" w:color="auto"/>
                      </w:divBdr>
                    </w:div>
                  </w:divsChild>
                </w:div>
                <w:div w:id="2113167357">
                  <w:marLeft w:val="0"/>
                  <w:marRight w:val="0"/>
                  <w:marTop w:val="0"/>
                  <w:marBottom w:val="0"/>
                  <w:divBdr>
                    <w:top w:val="none" w:sz="0" w:space="0" w:color="auto"/>
                    <w:left w:val="none" w:sz="0" w:space="0" w:color="auto"/>
                    <w:bottom w:val="none" w:sz="0" w:space="0" w:color="auto"/>
                    <w:right w:val="none" w:sz="0" w:space="0" w:color="auto"/>
                  </w:divBdr>
                  <w:divsChild>
                    <w:div w:id="383603724">
                      <w:marLeft w:val="0"/>
                      <w:marRight w:val="0"/>
                      <w:marTop w:val="0"/>
                      <w:marBottom w:val="0"/>
                      <w:divBdr>
                        <w:top w:val="none" w:sz="0" w:space="0" w:color="auto"/>
                        <w:left w:val="none" w:sz="0" w:space="0" w:color="auto"/>
                        <w:bottom w:val="none" w:sz="0" w:space="0" w:color="auto"/>
                        <w:right w:val="none" w:sz="0" w:space="0" w:color="auto"/>
                      </w:divBdr>
                    </w:div>
                  </w:divsChild>
                </w:div>
                <w:div w:id="2125074221">
                  <w:marLeft w:val="0"/>
                  <w:marRight w:val="0"/>
                  <w:marTop w:val="0"/>
                  <w:marBottom w:val="0"/>
                  <w:divBdr>
                    <w:top w:val="none" w:sz="0" w:space="0" w:color="auto"/>
                    <w:left w:val="none" w:sz="0" w:space="0" w:color="auto"/>
                    <w:bottom w:val="none" w:sz="0" w:space="0" w:color="auto"/>
                    <w:right w:val="none" w:sz="0" w:space="0" w:color="auto"/>
                  </w:divBdr>
                  <w:divsChild>
                    <w:div w:id="80670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168855">
          <w:marLeft w:val="0"/>
          <w:marRight w:val="0"/>
          <w:marTop w:val="0"/>
          <w:marBottom w:val="0"/>
          <w:divBdr>
            <w:top w:val="none" w:sz="0" w:space="0" w:color="auto"/>
            <w:left w:val="none" w:sz="0" w:space="0" w:color="auto"/>
            <w:bottom w:val="none" w:sz="0" w:space="0" w:color="auto"/>
            <w:right w:val="none" w:sz="0" w:space="0" w:color="auto"/>
          </w:divBdr>
        </w:div>
        <w:div w:id="464784237">
          <w:marLeft w:val="0"/>
          <w:marRight w:val="0"/>
          <w:marTop w:val="0"/>
          <w:marBottom w:val="0"/>
          <w:divBdr>
            <w:top w:val="none" w:sz="0" w:space="0" w:color="auto"/>
            <w:left w:val="none" w:sz="0" w:space="0" w:color="auto"/>
            <w:bottom w:val="none" w:sz="0" w:space="0" w:color="auto"/>
            <w:right w:val="none" w:sz="0" w:space="0" w:color="auto"/>
          </w:divBdr>
        </w:div>
        <w:div w:id="1334182007">
          <w:marLeft w:val="0"/>
          <w:marRight w:val="0"/>
          <w:marTop w:val="0"/>
          <w:marBottom w:val="0"/>
          <w:divBdr>
            <w:top w:val="none" w:sz="0" w:space="0" w:color="auto"/>
            <w:left w:val="none" w:sz="0" w:space="0" w:color="auto"/>
            <w:bottom w:val="none" w:sz="0" w:space="0" w:color="auto"/>
            <w:right w:val="none" w:sz="0" w:space="0" w:color="auto"/>
          </w:divBdr>
        </w:div>
        <w:div w:id="1650280899">
          <w:marLeft w:val="0"/>
          <w:marRight w:val="0"/>
          <w:marTop w:val="0"/>
          <w:marBottom w:val="0"/>
          <w:divBdr>
            <w:top w:val="none" w:sz="0" w:space="0" w:color="auto"/>
            <w:left w:val="none" w:sz="0" w:space="0" w:color="auto"/>
            <w:bottom w:val="none" w:sz="0" w:space="0" w:color="auto"/>
            <w:right w:val="none" w:sz="0" w:space="0" w:color="auto"/>
          </w:divBdr>
        </w:div>
        <w:div w:id="1745488687">
          <w:marLeft w:val="0"/>
          <w:marRight w:val="0"/>
          <w:marTop w:val="0"/>
          <w:marBottom w:val="0"/>
          <w:divBdr>
            <w:top w:val="none" w:sz="0" w:space="0" w:color="auto"/>
            <w:left w:val="none" w:sz="0" w:space="0" w:color="auto"/>
            <w:bottom w:val="none" w:sz="0" w:space="0" w:color="auto"/>
            <w:right w:val="none" w:sz="0" w:space="0" w:color="auto"/>
          </w:divBdr>
        </w:div>
        <w:div w:id="1914317476">
          <w:marLeft w:val="0"/>
          <w:marRight w:val="0"/>
          <w:marTop w:val="0"/>
          <w:marBottom w:val="0"/>
          <w:divBdr>
            <w:top w:val="none" w:sz="0" w:space="0" w:color="auto"/>
            <w:left w:val="none" w:sz="0" w:space="0" w:color="auto"/>
            <w:bottom w:val="none" w:sz="0" w:space="0" w:color="auto"/>
            <w:right w:val="none" w:sz="0" w:space="0" w:color="auto"/>
          </w:divBdr>
        </w:div>
        <w:div w:id="2012368397">
          <w:marLeft w:val="0"/>
          <w:marRight w:val="0"/>
          <w:marTop w:val="0"/>
          <w:marBottom w:val="0"/>
          <w:divBdr>
            <w:top w:val="none" w:sz="0" w:space="0" w:color="auto"/>
            <w:left w:val="none" w:sz="0" w:space="0" w:color="auto"/>
            <w:bottom w:val="none" w:sz="0" w:space="0" w:color="auto"/>
            <w:right w:val="none" w:sz="0" w:space="0" w:color="auto"/>
          </w:divBdr>
          <w:divsChild>
            <w:div w:id="416488016">
              <w:marLeft w:val="-75"/>
              <w:marRight w:val="0"/>
              <w:marTop w:val="30"/>
              <w:marBottom w:val="30"/>
              <w:divBdr>
                <w:top w:val="none" w:sz="0" w:space="0" w:color="auto"/>
                <w:left w:val="none" w:sz="0" w:space="0" w:color="auto"/>
                <w:bottom w:val="none" w:sz="0" w:space="0" w:color="auto"/>
                <w:right w:val="none" w:sz="0" w:space="0" w:color="auto"/>
              </w:divBdr>
              <w:divsChild>
                <w:div w:id="89364">
                  <w:marLeft w:val="0"/>
                  <w:marRight w:val="0"/>
                  <w:marTop w:val="0"/>
                  <w:marBottom w:val="0"/>
                  <w:divBdr>
                    <w:top w:val="none" w:sz="0" w:space="0" w:color="auto"/>
                    <w:left w:val="none" w:sz="0" w:space="0" w:color="auto"/>
                    <w:bottom w:val="none" w:sz="0" w:space="0" w:color="auto"/>
                    <w:right w:val="none" w:sz="0" w:space="0" w:color="auto"/>
                  </w:divBdr>
                  <w:divsChild>
                    <w:div w:id="780490845">
                      <w:marLeft w:val="0"/>
                      <w:marRight w:val="0"/>
                      <w:marTop w:val="0"/>
                      <w:marBottom w:val="0"/>
                      <w:divBdr>
                        <w:top w:val="none" w:sz="0" w:space="0" w:color="auto"/>
                        <w:left w:val="none" w:sz="0" w:space="0" w:color="auto"/>
                        <w:bottom w:val="none" w:sz="0" w:space="0" w:color="auto"/>
                        <w:right w:val="none" w:sz="0" w:space="0" w:color="auto"/>
                      </w:divBdr>
                    </w:div>
                  </w:divsChild>
                </w:div>
                <w:div w:id="50734518">
                  <w:marLeft w:val="0"/>
                  <w:marRight w:val="0"/>
                  <w:marTop w:val="0"/>
                  <w:marBottom w:val="0"/>
                  <w:divBdr>
                    <w:top w:val="none" w:sz="0" w:space="0" w:color="auto"/>
                    <w:left w:val="none" w:sz="0" w:space="0" w:color="auto"/>
                    <w:bottom w:val="none" w:sz="0" w:space="0" w:color="auto"/>
                    <w:right w:val="none" w:sz="0" w:space="0" w:color="auto"/>
                  </w:divBdr>
                  <w:divsChild>
                    <w:div w:id="2127306404">
                      <w:marLeft w:val="0"/>
                      <w:marRight w:val="0"/>
                      <w:marTop w:val="0"/>
                      <w:marBottom w:val="0"/>
                      <w:divBdr>
                        <w:top w:val="none" w:sz="0" w:space="0" w:color="auto"/>
                        <w:left w:val="none" w:sz="0" w:space="0" w:color="auto"/>
                        <w:bottom w:val="none" w:sz="0" w:space="0" w:color="auto"/>
                        <w:right w:val="none" w:sz="0" w:space="0" w:color="auto"/>
                      </w:divBdr>
                    </w:div>
                  </w:divsChild>
                </w:div>
                <w:div w:id="81032311">
                  <w:marLeft w:val="0"/>
                  <w:marRight w:val="0"/>
                  <w:marTop w:val="0"/>
                  <w:marBottom w:val="0"/>
                  <w:divBdr>
                    <w:top w:val="none" w:sz="0" w:space="0" w:color="auto"/>
                    <w:left w:val="none" w:sz="0" w:space="0" w:color="auto"/>
                    <w:bottom w:val="none" w:sz="0" w:space="0" w:color="auto"/>
                    <w:right w:val="none" w:sz="0" w:space="0" w:color="auto"/>
                  </w:divBdr>
                  <w:divsChild>
                    <w:div w:id="1965310424">
                      <w:marLeft w:val="0"/>
                      <w:marRight w:val="0"/>
                      <w:marTop w:val="0"/>
                      <w:marBottom w:val="0"/>
                      <w:divBdr>
                        <w:top w:val="none" w:sz="0" w:space="0" w:color="auto"/>
                        <w:left w:val="none" w:sz="0" w:space="0" w:color="auto"/>
                        <w:bottom w:val="none" w:sz="0" w:space="0" w:color="auto"/>
                        <w:right w:val="none" w:sz="0" w:space="0" w:color="auto"/>
                      </w:divBdr>
                    </w:div>
                  </w:divsChild>
                </w:div>
                <w:div w:id="94179716">
                  <w:marLeft w:val="0"/>
                  <w:marRight w:val="0"/>
                  <w:marTop w:val="0"/>
                  <w:marBottom w:val="0"/>
                  <w:divBdr>
                    <w:top w:val="none" w:sz="0" w:space="0" w:color="auto"/>
                    <w:left w:val="none" w:sz="0" w:space="0" w:color="auto"/>
                    <w:bottom w:val="none" w:sz="0" w:space="0" w:color="auto"/>
                    <w:right w:val="none" w:sz="0" w:space="0" w:color="auto"/>
                  </w:divBdr>
                  <w:divsChild>
                    <w:div w:id="1138105823">
                      <w:marLeft w:val="0"/>
                      <w:marRight w:val="0"/>
                      <w:marTop w:val="0"/>
                      <w:marBottom w:val="0"/>
                      <w:divBdr>
                        <w:top w:val="none" w:sz="0" w:space="0" w:color="auto"/>
                        <w:left w:val="none" w:sz="0" w:space="0" w:color="auto"/>
                        <w:bottom w:val="none" w:sz="0" w:space="0" w:color="auto"/>
                        <w:right w:val="none" w:sz="0" w:space="0" w:color="auto"/>
                      </w:divBdr>
                    </w:div>
                  </w:divsChild>
                </w:div>
                <w:div w:id="103503966">
                  <w:marLeft w:val="0"/>
                  <w:marRight w:val="0"/>
                  <w:marTop w:val="0"/>
                  <w:marBottom w:val="0"/>
                  <w:divBdr>
                    <w:top w:val="none" w:sz="0" w:space="0" w:color="auto"/>
                    <w:left w:val="none" w:sz="0" w:space="0" w:color="auto"/>
                    <w:bottom w:val="none" w:sz="0" w:space="0" w:color="auto"/>
                    <w:right w:val="none" w:sz="0" w:space="0" w:color="auto"/>
                  </w:divBdr>
                  <w:divsChild>
                    <w:div w:id="324944434">
                      <w:marLeft w:val="0"/>
                      <w:marRight w:val="0"/>
                      <w:marTop w:val="0"/>
                      <w:marBottom w:val="0"/>
                      <w:divBdr>
                        <w:top w:val="none" w:sz="0" w:space="0" w:color="auto"/>
                        <w:left w:val="none" w:sz="0" w:space="0" w:color="auto"/>
                        <w:bottom w:val="none" w:sz="0" w:space="0" w:color="auto"/>
                        <w:right w:val="none" w:sz="0" w:space="0" w:color="auto"/>
                      </w:divBdr>
                    </w:div>
                  </w:divsChild>
                </w:div>
                <w:div w:id="105976488">
                  <w:marLeft w:val="0"/>
                  <w:marRight w:val="0"/>
                  <w:marTop w:val="0"/>
                  <w:marBottom w:val="0"/>
                  <w:divBdr>
                    <w:top w:val="none" w:sz="0" w:space="0" w:color="auto"/>
                    <w:left w:val="none" w:sz="0" w:space="0" w:color="auto"/>
                    <w:bottom w:val="none" w:sz="0" w:space="0" w:color="auto"/>
                    <w:right w:val="none" w:sz="0" w:space="0" w:color="auto"/>
                  </w:divBdr>
                  <w:divsChild>
                    <w:div w:id="1872524380">
                      <w:marLeft w:val="0"/>
                      <w:marRight w:val="0"/>
                      <w:marTop w:val="0"/>
                      <w:marBottom w:val="0"/>
                      <w:divBdr>
                        <w:top w:val="none" w:sz="0" w:space="0" w:color="auto"/>
                        <w:left w:val="none" w:sz="0" w:space="0" w:color="auto"/>
                        <w:bottom w:val="none" w:sz="0" w:space="0" w:color="auto"/>
                        <w:right w:val="none" w:sz="0" w:space="0" w:color="auto"/>
                      </w:divBdr>
                    </w:div>
                  </w:divsChild>
                </w:div>
                <w:div w:id="141045238">
                  <w:marLeft w:val="0"/>
                  <w:marRight w:val="0"/>
                  <w:marTop w:val="0"/>
                  <w:marBottom w:val="0"/>
                  <w:divBdr>
                    <w:top w:val="none" w:sz="0" w:space="0" w:color="auto"/>
                    <w:left w:val="none" w:sz="0" w:space="0" w:color="auto"/>
                    <w:bottom w:val="none" w:sz="0" w:space="0" w:color="auto"/>
                    <w:right w:val="none" w:sz="0" w:space="0" w:color="auto"/>
                  </w:divBdr>
                  <w:divsChild>
                    <w:div w:id="793058019">
                      <w:marLeft w:val="0"/>
                      <w:marRight w:val="0"/>
                      <w:marTop w:val="0"/>
                      <w:marBottom w:val="0"/>
                      <w:divBdr>
                        <w:top w:val="none" w:sz="0" w:space="0" w:color="auto"/>
                        <w:left w:val="none" w:sz="0" w:space="0" w:color="auto"/>
                        <w:bottom w:val="none" w:sz="0" w:space="0" w:color="auto"/>
                        <w:right w:val="none" w:sz="0" w:space="0" w:color="auto"/>
                      </w:divBdr>
                    </w:div>
                  </w:divsChild>
                </w:div>
                <w:div w:id="159003466">
                  <w:marLeft w:val="0"/>
                  <w:marRight w:val="0"/>
                  <w:marTop w:val="0"/>
                  <w:marBottom w:val="0"/>
                  <w:divBdr>
                    <w:top w:val="none" w:sz="0" w:space="0" w:color="auto"/>
                    <w:left w:val="none" w:sz="0" w:space="0" w:color="auto"/>
                    <w:bottom w:val="none" w:sz="0" w:space="0" w:color="auto"/>
                    <w:right w:val="none" w:sz="0" w:space="0" w:color="auto"/>
                  </w:divBdr>
                  <w:divsChild>
                    <w:div w:id="1874686377">
                      <w:marLeft w:val="0"/>
                      <w:marRight w:val="0"/>
                      <w:marTop w:val="0"/>
                      <w:marBottom w:val="0"/>
                      <w:divBdr>
                        <w:top w:val="none" w:sz="0" w:space="0" w:color="auto"/>
                        <w:left w:val="none" w:sz="0" w:space="0" w:color="auto"/>
                        <w:bottom w:val="none" w:sz="0" w:space="0" w:color="auto"/>
                        <w:right w:val="none" w:sz="0" w:space="0" w:color="auto"/>
                      </w:divBdr>
                    </w:div>
                  </w:divsChild>
                </w:div>
                <w:div w:id="188184346">
                  <w:marLeft w:val="0"/>
                  <w:marRight w:val="0"/>
                  <w:marTop w:val="0"/>
                  <w:marBottom w:val="0"/>
                  <w:divBdr>
                    <w:top w:val="none" w:sz="0" w:space="0" w:color="auto"/>
                    <w:left w:val="none" w:sz="0" w:space="0" w:color="auto"/>
                    <w:bottom w:val="none" w:sz="0" w:space="0" w:color="auto"/>
                    <w:right w:val="none" w:sz="0" w:space="0" w:color="auto"/>
                  </w:divBdr>
                  <w:divsChild>
                    <w:div w:id="2095786230">
                      <w:marLeft w:val="0"/>
                      <w:marRight w:val="0"/>
                      <w:marTop w:val="0"/>
                      <w:marBottom w:val="0"/>
                      <w:divBdr>
                        <w:top w:val="none" w:sz="0" w:space="0" w:color="auto"/>
                        <w:left w:val="none" w:sz="0" w:space="0" w:color="auto"/>
                        <w:bottom w:val="none" w:sz="0" w:space="0" w:color="auto"/>
                        <w:right w:val="none" w:sz="0" w:space="0" w:color="auto"/>
                      </w:divBdr>
                    </w:div>
                  </w:divsChild>
                </w:div>
                <w:div w:id="348683908">
                  <w:marLeft w:val="0"/>
                  <w:marRight w:val="0"/>
                  <w:marTop w:val="0"/>
                  <w:marBottom w:val="0"/>
                  <w:divBdr>
                    <w:top w:val="none" w:sz="0" w:space="0" w:color="auto"/>
                    <w:left w:val="none" w:sz="0" w:space="0" w:color="auto"/>
                    <w:bottom w:val="none" w:sz="0" w:space="0" w:color="auto"/>
                    <w:right w:val="none" w:sz="0" w:space="0" w:color="auto"/>
                  </w:divBdr>
                  <w:divsChild>
                    <w:div w:id="2106420018">
                      <w:marLeft w:val="0"/>
                      <w:marRight w:val="0"/>
                      <w:marTop w:val="0"/>
                      <w:marBottom w:val="0"/>
                      <w:divBdr>
                        <w:top w:val="none" w:sz="0" w:space="0" w:color="auto"/>
                        <w:left w:val="none" w:sz="0" w:space="0" w:color="auto"/>
                        <w:bottom w:val="none" w:sz="0" w:space="0" w:color="auto"/>
                        <w:right w:val="none" w:sz="0" w:space="0" w:color="auto"/>
                      </w:divBdr>
                    </w:div>
                  </w:divsChild>
                </w:div>
                <w:div w:id="384377853">
                  <w:marLeft w:val="0"/>
                  <w:marRight w:val="0"/>
                  <w:marTop w:val="0"/>
                  <w:marBottom w:val="0"/>
                  <w:divBdr>
                    <w:top w:val="none" w:sz="0" w:space="0" w:color="auto"/>
                    <w:left w:val="none" w:sz="0" w:space="0" w:color="auto"/>
                    <w:bottom w:val="none" w:sz="0" w:space="0" w:color="auto"/>
                    <w:right w:val="none" w:sz="0" w:space="0" w:color="auto"/>
                  </w:divBdr>
                  <w:divsChild>
                    <w:div w:id="1682396457">
                      <w:marLeft w:val="0"/>
                      <w:marRight w:val="0"/>
                      <w:marTop w:val="0"/>
                      <w:marBottom w:val="0"/>
                      <w:divBdr>
                        <w:top w:val="none" w:sz="0" w:space="0" w:color="auto"/>
                        <w:left w:val="none" w:sz="0" w:space="0" w:color="auto"/>
                        <w:bottom w:val="none" w:sz="0" w:space="0" w:color="auto"/>
                        <w:right w:val="none" w:sz="0" w:space="0" w:color="auto"/>
                      </w:divBdr>
                    </w:div>
                  </w:divsChild>
                </w:div>
                <w:div w:id="435096201">
                  <w:marLeft w:val="0"/>
                  <w:marRight w:val="0"/>
                  <w:marTop w:val="0"/>
                  <w:marBottom w:val="0"/>
                  <w:divBdr>
                    <w:top w:val="none" w:sz="0" w:space="0" w:color="auto"/>
                    <w:left w:val="none" w:sz="0" w:space="0" w:color="auto"/>
                    <w:bottom w:val="none" w:sz="0" w:space="0" w:color="auto"/>
                    <w:right w:val="none" w:sz="0" w:space="0" w:color="auto"/>
                  </w:divBdr>
                  <w:divsChild>
                    <w:div w:id="1047952230">
                      <w:marLeft w:val="0"/>
                      <w:marRight w:val="0"/>
                      <w:marTop w:val="0"/>
                      <w:marBottom w:val="0"/>
                      <w:divBdr>
                        <w:top w:val="none" w:sz="0" w:space="0" w:color="auto"/>
                        <w:left w:val="none" w:sz="0" w:space="0" w:color="auto"/>
                        <w:bottom w:val="none" w:sz="0" w:space="0" w:color="auto"/>
                        <w:right w:val="none" w:sz="0" w:space="0" w:color="auto"/>
                      </w:divBdr>
                    </w:div>
                  </w:divsChild>
                </w:div>
                <w:div w:id="441727143">
                  <w:marLeft w:val="0"/>
                  <w:marRight w:val="0"/>
                  <w:marTop w:val="0"/>
                  <w:marBottom w:val="0"/>
                  <w:divBdr>
                    <w:top w:val="none" w:sz="0" w:space="0" w:color="auto"/>
                    <w:left w:val="none" w:sz="0" w:space="0" w:color="auto"/>
                    <w:bottom w:val="none" w:sz="0" w:space="0" w:color="auto"/>
                    <w:right w:val="none" w:sz="0" w:space="0" w:color="auto"/>
                  </w:divBdr>
                  <w:divsChild>
                    <w:div w:id="1592273273">
                      <w:marLeft w:val="0"/>
                      <w:marRight w:val="0"/>
                      <w:marTop w:val="0"/>
                      <w:marBottom w:val="0"/>
                      <w:divBdr>
                        <w:top w:val="none" w:sz="0" w:space="0" w:color="auto"/>
                        <w:left w:val="none" w:sz="0" w:space="0" w:color="auto"/>
                        <w:bottom w:val="none" w:sz="0" w:space="0" w:color="auto"/>
                        <w:right w:val="none" w:sz="0" w:space="0" w:color="auto"/>
                      </w:divBdr>
                    </w:div>
                  </w:divsChild>
                </w:div>
                <w:div w:id="464322904">
                  <w:marLeft w:val="0"/>
                  <w:marRight w:val="0"/>
                  <w:marTop w:val="0"/>
                  <w:marBottom w:val="0"/>
                  <w:divBdr>
                    <w:top w:val="none" w:sz="0" w:space="0" w:color="auto"/>
                    <w:left w:val="none" w:sz="0" w:space="0" w:color="auto"/>
                    <w:bottom w:val="none" w:sz="0" w:space="0" w:color="auto"/>
                    <w:right w:val="none" w:sz="0" w:space="0" w:color="auto"/>
                  </w:divBdr>
                  <w:divsChild>
                    <w:div w:id="2128114300">
                      <w:marLeft w:val="0"/>
                      <w:marRight w:val="0"/>
                      <w:marTop w:val="0"/>
                      <w:marBottom w:val="0"/>
                      <w:divBdr>
                        <w:top w:val="none" w:sz="0" w:space="0" w:color="auto"/>
                        <w:left w:val="none" w:sz="0" w:space="0" w:color="auto"/>
                        <w:bottom w:val="none" w:sz="0" w:space="0" w:color="auto"/>
                        <w:right w:val="none" w:sz="0" w:space="0" w:color="auto"/>
                      </w:divBdr>
                    </w:div>
                  </w:divsChild>
                </w:div>
                <w:div w:id="537550939">
                  <w:marLeft w:val="0"/>
                  <w:marRight w:val="0"/>
                  <w:marTop w:val="0"/>
                  <w:marBottom w:val="0"/>
                  <w:divBdr>
                    <w:top w:val="none" w:sz="0" w:space="0" w:color="auto"/>
                    <w:left w:val="none" w:sz="0" w:space="0" w:color="auto"/>
                    <w:bottom w:val="none" w:sz="0" w:space="0" w:color="auto"/>
                    <w:right w:val="none" w:sz="0" w:space="0" w:color="auto"/>
                  </w:divBdr>
                  <w:divsChild>
                    <w:div w:id="2042395214">
                      <w:marLeft w:val="0"/>
                      <w:marRight w:val="0"/>
                      <w:marTop w:val="0"/>
                      <w:marBottom w:val="0"/>
                      <w:divBdr>
                        <w:top w:val="none" w:sz="0" w:space="0" w:color="auto"/>
                        <w:left w:val="none" w:sz="0" w:space="0" w:color="auto"/>
                        <w:bottom w:val="none" w:sz="0" w:space="0" w:color="auto"/>
                        <w:right w:val="none" w:sz="0" w:space="0" w:color="auto"/>
                      </w:divBdr>
                    </w:div>
                  </w:divsChild>
                </w:div>
                <w:div w:id="542525251">
                  <w:marLeft w:val="0"/>
                  <w:marRight w:val="0"/>
                  <w:marTop w:val="0"/>
                  <w:marBottom w:val="0"/>
                  <w:divBdr>
                    <w:top w:val="none" w:sz="0" w:space="0" w:color="auto"/>
                    <w:left w:val="none" w:sz="0" w:space="0" w:color="auto"/>
                    <w:bottom w:val="none" w:sz="0" w:space="0" w:color="auto"/>
                    <w:right w:val="none" w:sz="0" w:space="0" w:color="auto"/>
                  </w:divBdr>
                  <w:divsChild>
                    <w:div w:id="718478385">
                      <w:marLeft w:val="0"/>
                      <w:marRight w:val="0"/>
                      <w:marTop w:val="0"/>
                      <w:marBottom w:val="0"/>
                      <w:divBdr>
                        <w:top w:val="none" w:sz="0" w:space="0" w:color="auto"/>
                        <w:left w:val="none" w:sz="0" w:space="0" w:color="auto"/>
                        <w:bottom w:val="none" w:sz="0" w:space="0" w:color="auto"/>
                        <w:right w:val="none" w:sz="0" w:space="0" w:color="auto"/>
                      </w:divBdr>
                    </w:div>
                  </w:divsChild>
                </w:div>
                <w:div w:id="563952910">
                  <w:marLeft w:val="0"/>
                  <w:marRight w:val="0"/>
                  <w:marTop w:val="0"/>
                  <w:marBottom w:val="0"/>
                  <w:divBdr>
                    <w:top w:val="none" w:sz="0" w:space="0" w:color="auto"/>
                    <w:left w:val="none" w:sz="0" w:space="0" w:color="auto"/>
                    <w:bottom w:val="none" w:sz="0" w:space="0" w:color="auto"/>
                    <w:right w:val="none" w:sz="0" w:space="0" w:color="auto"/>
                  </w:divBdr>
                  <w:divsChild>
                    <w:div w:id="571502434">
                      <w:marLeft w:val="0"/>
                      <w:marRight w:val="0"/>
                      <w:marTop w:val="0"/>
                      <w:marBottom w:val="0"/>
                      <w:divBdr>
                        <w:top w:val="none" w:sz="0" w:space="0" w:color="auto"/>
                        <w:left w:val="none" w:sz="0" w:space="0" w:color="auto"/>
                        <w:bottom w:val="none" w:sz="0" w:space="0" w:color="auto"/>
                        <w:right w:val="none" w:sz="0" w:space="0" w:color="auto"/>
                      </w:divBdr>
                    </w:div>
                  </w:divsChild>
                </w:div>
                <w:div w:id="589899190">
                  <w:marLeft w:val="0"/>
                  <w:marRight w:val="0"/>
                  <w:marTop w:val="0"/>
                  <w:marBottom w:val="0"/>
                  <w:divBdr>
                    <w:top w:val="none" w:sz="0" w:space="0" w:color="auto"/>
                    <w:left w:val="none" w:sz="0" w:space="0" w:color="auto"/>
                    <w:bottom w:val="none" w:sz="0" w:space="0" w:color="auto"/>
                    <w:right w:val="none" w:sz="0" w:space="0" w:color="auto"/>
                  </w:divBdr>
                  <w:divsChild>
                    <w:div w:id="1449273624">
                      <w:marLeft w:val="0"/>
                      <w:marRight w:val="0"/>
                      <w:marTop w:val="0"/>
                      <w:marBottom w:val="0"/>
                      <w:divBdr>
                        <w:top w:val="none" w:sz="0" w:space="0" w:color="auto"/>
                        <w:left w:val="none" w:sz="0" w:space="0" w:color="auto"/>
                        <w:bottom w:val="none" w:sz="0" w:space="0" w:color="auto"/>
                        <w:right w:val="none" w:sz="0" w:space="0" w:color="auto"/>
                      </w:divBdr>
                    </w:div>
                  </w:divsChild>
                </w:div>
                <w:div w:id="591545104">
                  <w:marLeft w:val="0"/>
                  <w:marRight w:val="0"/>
                  <w:marTop w:val="0"/>
                  <w:marBottom w:val="0"/>
                  <w:divBdr>
                    <w:top w:val="none" w:sz="0" w:space="0" w:color="auto"/>
                    <w:left w:val="none" w:sz="0" w:space="0" w:color="auto"/>
                    <w:bottom w:val="none" w:sz="0" w:space="0" w:color="auto"/>
                    <w:right w:val="none" w:sz="0" w:space="0" w:color="auto"/>
                  </w:divBdr>
                  <w:divsChild>
                    <w:div w:id="1422986232">
                      <w:marLeft w:val="0"/>
                      <w:marRight w:val="0"/>
                      <w:marTop w:val="0"/>
                      <w:marBottom w:val="0"/>
                      <w:divBdr>
                        <w:top w:val="none" w:sz="0" w:space="0" w:color="auto"/>
                        <w:left w:val="none" w:sz="0" w:space="0" w:color="auto"/>
                        <w:bottom w:val="none" w:sz="0" w:space="0" w:color="auto"/>
                        <w:right w:val="none" w:sz="0" w:space="0" w:color="auto"/>
                      </w:divBdr>
                    </w:div>
                  </w:divsChild>
                </w:div>
                <w:div w:id="629632115">
                  <w:marLeft w:val="0"/>
                  <w:marRight w:val="0"/>
                  <w:marTop w:val="0"/>
                  <w:marBottom w:val="0"/>
                  <w:divBdr>
                    <w:top w:val="none" w:sz="0" w:space="0" w:color="auto"/>
                    <w:left w:val="none" w:sz="0" w:space="0" w:color="auto"/>
                    <w:bottom w:val="none" w:sz="0" w:space="0" w:color="auto"/>
                    <w:right w:val="none" w:sz="0" w:space="0" w:color="auto"/>
                  </w:divBdr>
                  <w:divsChild>
                    <w:div w:id="997616081">
                      <w:marLeft w:val="0"/>
                      <w:marRight w:val="0"/>
                      <w:marTop w:val="0"/>
                      <w:marBottom w:val="0"/>
                      <w:divBdr>
                        <w:top w:val="none" w:sz="0" w:space="0" w:color="auto"/>
                        <w:left w:val="none" w:sz="0" w:space="0" w:color="auto"/>
                        <w:bottom w:val="none" w:sz="0" w:space="0" w:color="auto"/>
                        <w:right w:val="none" w:sz="0" w:space="0" w:color="auto"/>
                      </w:divBdr>
                    </w:div>
                  </w:divsChild>
                </w:div>
                <w:div w:id="777992321">
                  <w:marLeft w:val="0"/>
                  <w:marRight w:val="0"/>
                  <w:marTop w:val="0"/>
                  <w:marBottom w:val="0"/>
                  <w:divBdr>
                    <w:top w:val="none" w:sz="0" w:space="0" w:color="auto"/>
                    <w:left w:val="none" w:sz="0" w:space="0" w:color="auto"/>
                    <w:bottom w:val="none" w:sz="0" w:space="0" w:color="auto"/>
                    <w:right w:val="none" w:sz="0" w:space="0" w:color="auto"/>
                  </w:divBdr>
                  <w:divsChild>
                    <w:div w:id="975796954">
                      <w:marLeft w:val="0"/>
                      <w:marRight w:val="0"/>
                      <w:marTop w:val="0"/>
                      <w:marBottom w:val="0"/>
                      <w:divBdr>
                        <w:top w:val="none" w:sz="0" w:space="0" w:color="auto"/>
                        <w:left w:val="none" w:sz="0" w:space="0" w:color="auto"/>
                        <w:bottom w:val="none" w:sz="0" w:space="0" w:color="auto"/>
                        <w:right w:val="none" w:sz="0" w:space="0" w:color="auto"/>
                      </w:divBdr>
                    </w:div>
                  </w:divsChild>
                </w:div>
                <w:div w:id="926352235">
                  <w:marLeft w:val="0"/>
                  <w:marRight w:val="0"/>
                  <w:marTop w:val="0"/>
                  <w:marBottom w:val="0"/>
                  <w:divBdr>
                    <w:top w:val="none" w:sz="0" w:space="0" w:color="auto"/>
                    <w:left w:val="none" w:sz="0" w:space="0" w:color="auto"/>
                    <w:bottom w:val="none" w:sz="0" w:space="0" w:color="auto"/>
                    <w:right w:val="none" w:sz="0" w:space="0" w:color="auto"/>
                  </w:divBdr>
                  <w:divsChild>
                    <w:div w:id="1100028918">
                      <w:marLeft w:val="0"/>
                      <w:marRight w:val="0"/>
                      <w:marTop w:val="0"/>
                      <w:marBottom w:val="0"/>
                      <w:divBdr>
                        <w:top w:val="none" w:sz="0" w:space="0" w:color="auto"/>
                        <w:left w:val="none" w:sz="0" w:space="0" w:color="auto"/>
                        <w:bottom w:val="none" w:sz="0" w:space="0" w:color="auto"/>
                        <w:right w:val="none" w:sz="0" w:space="0" w:color="auto"/>
                      </w:divBdr>
                    </w:div>
                  </w:divsChild>
                </w:div>
                <w:div w:id="947545029">
                  <w:marLeft w:val="0"/>
                  <w:marRight w:val="0"/>
                  <w:marTop w:val="0"/>
                  <w:marBottom w:val="0"/>
                  <w:divBdr>
                    <w:top w:val="none" w:sz="0" w:space="0" w:color="auto"/>
                    <w:left w:val="none" w:sz="0" w:space="0" w:color="auto"/>
                    <w:bottom w:val="none" w:sz="0" w:space="0" w:color="auto"/>
                    <w:right w:val="none" w:sz="0" w:space="0" w:color="auto"/>
                  </w:divBdr>
                  <w:divsChild>
                    <w:div w:id="1566645678">
                      <w:marLeft w:val="0"/>
                      <w:marRight w:val="0"/>
                      <w:marTop w:val="0"/>
                      <w:marBottom w:val="0"/>
                      <w:divBdr>
                        <w:top w:val="none" w:sz="0" w:space="0" w:color="auto"/>
                        <w:left w:val="none" w:sz="0" w:space="0" w:color="auto"/>
                        <w:bottom w:val="none" w:sz="0" w:space="0" w:color="auto"/>
                        <w:right w:val="none" w:sz="0" w:space="0" w:color="auto"/>
                      </w:divBdr>
                    </w:div>
                  </w:divsChild>
                </w:div>
                <w:div w:id="1016077278">
                  <w:marLeft w:val="0"/>
                  <w:marRight w:val="0"/>
                  <w:marTop w:val="0"/>
                  <w:marBottom w:val="0"/>
                  <w:divBdr>
                    <w:top w:val="none" w:sz="0" w:space="0" w:color="auto"/>
                    <w:left w:val="none" w:sz="0" w:space="0" w:color="auto"/>
                    <w:bottom w:val="none" w:sz="0" w:space="0" w:color="auto"/>
                    <w:right w:val="none" w:sz="0" w:space="0" w:color="auto"/>
                  </w:divBdr>
                  <w:divsChild>
                    <w:div w:id="10690390">
                      <w:marLeft w:val="0"/>
                      <w:marRight w:val="0"/>
                      <w:marTop w:val="0"/>
                      <w:marBottom w:val="0"/>
                      <w:divBdr>
                        <w:top w:val="none" w:sz="0" w:space="0" w:color="auto"/>
                        <w:left w:val="none" w:sz="0" w:space="0" w:color="auto"/>
                        <w:bottom w:val="none" w:sz="0" w:space="0" w:color="auto"/>
                        <w:right w:val="none" w:sz="0" w:space="0" w:color="auto"/>
                      </w:divBdr>
                    </w:div>
                  </w:divsChild>
                </w:div>
                <w:div w:id="1108280525">
                  <w:marLeft w:val="0"/>
                  <w:marRight w:val="0"/>
                  <w:marTop w:val="0"/>
                  <w:marBottom w:val="0"/>
                  <w:divBdr>
                    <w:top w:val="none" w:sz="0" w:space="0" w:color="auto"/>
                    <w:left w:val="none" w:sz="0" w:space="0" w:color="auto"/>
                    <w:bottom w:val="none" w:sz="0" w:space="0" w:color="auto"/>
                    <w:right w:val="none" w:sz="0" w:space="0" w:color="auto"/>
                  </w:divBdr>
                  <w:divsChild>
                    <w:div w:id="1606687988">
                      <w:marLeft w:val="0"/>
                      <w:marRight w:val="0"/>
                      <w:marTop w:val="0"/>
                      <w:marBottom w:val="0"/>
                      <w:divBdr>
                        <w:top w:val="none" w:sz="0" w:space="0" w:color="auto"/>
                        <w:left w:val="none" w:sz="0" w:space="0" w:color="auto"/>
                        <w:bottom w:val="none" w:sz="0" w:space="0" w:color="auto"/>
                        <w:right w:val="none" w:sz="0" w:space="0" w:color="auto"/>
                      </w:divBdr>
                    </w:div>
                  </w:divsChild>
                </w:div>
                <w:div w:id="1115246830">
                  <w:marLeft w:val="0"/>
                  <w:marRight w:val="0"/>
                  <w:marTop w:val="0"/>
                  <w:marBottom w:val="0"/>
                  <w:divBdr>
                    <w:top w:val="none" w:sz="0" w:space="0" w:color="auto"/>
                    <w:left w:val="none" w:sz="0" w:space="0" w:color="auto"/>
                    <w:bottom w:val="none" w:sz="0" w:space="0" w:color="auto"/>
                    <w:right w:val="none" w:sz="0" w:space="0" w:color="auto"/>
                  </w:divBdr>
                  <w:divsChild>
                    <w:div w:id="1590504089">
                      <w:marLeft w:val="0"/>
                      <w:marRight w:val="0"/>
                      <w:marTop w:val="0"/>
                      <w:marBottom w:val="0"/>
                      <w:divBdr>
                        <w:top w:val="none" w:sz="0" w:space="0" w:color="auto"/>
                        <w:left w:val="none" w:sz="0" w:space="0" w:color="auto"/>
                        <w:bottom w:val="none" w:sz="0" w:space="0" w:color="auto"/>
                        <w:right w:val="none" w:sz="0" w:space="0" w:color="auto"/>
                      </w:divBdr>
                    </w:div>
                  </w:divsChild>
                </w:div>
                <w:div w:id="1119106038">
                  <w:marLeft w:val="0"/>
                  <w:marRight w:val="0"/>
                  <w:marTop w:val="0"/>
                  <w:marBottom w:val="0"/>
                  <w:divBdr>
                    <w:top w:val="none" w:sz="0" w:space="0" w:color="auto"/>
                    <w:left w:val="none" w:sz="0" w:space="0" w:color="auto"/>
                    <w:bottom w:val="none" w:sz="0" w:space="0" w:color="auto"/>
                    <w:right w:val="none" w:sz="0" w:space="0" w:color="auto"/>
                  </w:divBdr>
                  <w:divsChild>
                    <w:div w:id="910042827">
                      <w:marLeft w:val="0"/>
                      <w:marRight w:val="0"/>
                      <w:marTop w:val="0"/>
                      <w:marBottom w:val="0"/>
                      <w:divBdr>
                        <w:top w:val="none" w:sz="0" w:space="0" w:color="auto"/>
                        <w:left w:val="none" w:sz="0" w:space="0" w:color="auto"/>
                        <w:bottom w:val="none" w:sz="0" w:space="0" w:color="auto"/>
                        <w:right w:val="none" w:sz="0" w:space="0" w:color="auto"/>
                      </w:divBdr>
                    </w:div>
                  </w:divsChild>
                </w:div>
                <w:div w:id="1140150956">
                  <w:marLeft w:val="0"/>
                  <w:marRight w:val="0"/>
                  <w:marTop w:val="0"/>
                  <w:marBottom w:val="0"/>
                  <w:divBdr>
                    <w:top w:val="none" w:sz="0" w:space="0" w:color="auto"/>
                    <w:left w:val="none" w:sz="0" w:space="0" w:color="auto"/>
                    <w:bottom w:val="none" w:sz="0" w:space="0" w:color="auto"/>
                    <w:right w:val="none" w:sz="0" w:space="0" w:color="auto"/>
                  </w:divBdr>
                  <w:divsChild>
                    <w:div w:id="1262034541">
                      <w:marLeft w:val="0"/>
                      <w:marRight w:val="0"/>
                      <w:marTop w:val="0"/>
                      <w:marBottom w:val="0"/>
                      <w:divBdr>
                        <w:top w:val="none" w:sz="0" w:space="0" w:color="auto"/>
                        <w:left w:val="none" w:sz="0" w:space="0" w:color="auto"/>
                        <w:bottom w:val="none" w:sz="0" w:space="0" w:color="auto"/>
                        <w:right w:val="none" w:sz="0" w:space="0" w:color="auto"/>
                      </w:divBdr>
                    </w:div>
                  </w:divsChild>
                </w:div>
                <w:div w:id="1144391997">
                  <w:marLeft w:val="0"/>
                  <w:marRight w:val="0"/>
                  <w:marTop w:val="0"/>
                  <w:marBottom w:val="0"/>
                  <w:divBdr>
                    <w:top w:val="none" w:sz="0" w:space="0" w:color="auto"/>
                    <w:left w:val="none" w:sz="0" w:space="0" w:color="auto"/>
                    <w:bottom w:val="none" w:sz="0" w:space="0" w:color="auto"/>
                    <w:right w:val="none" w:sz="0" w:space="0" w:color="auto"/>
                  </w:divBdr>
                  <w:divsChild>
                    <w:div w:id="623078226">
                      <w:marLeft w:val="0"/>
                      <w:marRight w:val="0"/>
                      <w:marTop w:val="0"/>
                      <w:marBottom w:val="0"/>
                      <w:divBdr>
                        <w:top w:val="none" w:sz="0" w:space="0" w:color="auto"/>
                        <w:left w:val="none" w:sz="0" w:space="0" w:color="auto"/>
                        <w:bottom w:val="none" w:sz="0" w:space="0" w:color="auto"/>
                        <w:right w:val="none" w:sz="0" w:space="0" w:color="auto"/>
                      </w:divBdr>
                    </w:div>
                  </w:divsChild>
                </w:div>
                <w:div w:id="1220871041">
                  <w:marLeft w:val="0"/>
                  <w:marRight w:val="0"/>
                  <w:marTop w:val="0"/>
                  <w:marBottom w:val="0"/>
                  <w:divBdr>
                    <w:top w:val="none" w:sz="0" w:space="0" w:color="auto"/>
                    <w:left w:val="none" w:sz="0" w:space="0" w:color="auto"/>
                    <w:bottom w:val="none" w:sz="0" w:space="0" w:color="auto"/>
                    <w:right w:val="none" w:sz="0" w:space="0" w:color="auto"/>
                  </w:divBdr>
                  <w:divsChild>
                    <w:div w:id="484202671">
                      <w:marLeft w:val="0"/>
                      <w:marRight w:val="0"/>
                      <w:marTop w:val="0"/>
                      <w:marBottom w:val="0"/>
                      <w:divBdr>
                        <w:top w:val="none" w:sz="0" w:space="0" w:color="auto"/>
                        <w:left w:val="none" w:sz="0" w:space="0" w:color="auto"/>
                        <w:bottom w:val="none" w:sz="0" w:space="0" w:color="auto"/>
                        <w:right w:val="none" w:sz="0" w:space="0" w:color="auto"/>
                      </w:divBdr>
                    </w:div>
                  </w:divsChild>
                </w:div>
                <w:div w:id="1225528337">
                  <w:marLeft w:val="0"/>
                  <w:marRight w:val="0"/>
                  <w:marTop w:val="0"/>
                  <w:marBottom w:val="0"/>
                  <w:divBdr>
                    <w:top w:val="none" w:sz="0" w:space="0" w:color="auto"/>
                    <w:left w:val="none" w:sz="0" w:space="0" w:color="auto"/>
                    <w:bottom w:val="none" w:sz="0" w:space="0" w:color="auto"/>
                    <w:right w:val="none" w:sz="0" w:space="0" w:color="auto"/>
                  </w:divBdr>
                  <w:divsChild>
                    <w:div w:id="1698846311">
                      <w:marLeft w:val="0"/>
                      <w:marRight w:val="0"/>
                      <w:marTop w:val="0"/>
                      <w:marBottom w:val="0"/>
                      <w:divBdr>
                        <w:top w:val="none" w:sz="0" w:space="0" w:color="auto"/>
                        <w:left w:val="none" w:sz="0" w:space="0" w:color="auto"/>
                        <w:bottom w:val="none" w:sz="0" w:space="0" w:color="auto"/>
                        <w:right w:val="none" w:sz="0" w:space="0" w:color="auto"/>
                      </w:divBdr>
                    </w:div>
                  </w:divsChild>
                </w:div>
                <w:div w:id="1232274074">
                  <w:marLeft w:val="0"/>
                  <w:marRight w:val="0"/>
                  <w:marTop w:val="0"/>
                  <w:marBottom w:val="0"/>
                  <w:divBdr>
                    <w:top w:val="none" w:sz="0" w:space="0" w:color="auto"/>
                    <w:left w:val="none" w:sz="0" w:space="0" w:color="auto"/>
                    <w:bottom w:val="none" w:sz="0" w:space="0" w:color="auto"/>
                    <w:right w:val="none" w:sz="0" w:space="0" w:color="auto"/>
                  </w:divBdr>
                  <w:divsChild>
                    <w:div w:id="1883442502">
                      <w:marLeft w:val="0"/>
                      <w:marRight w:val="0"/>
                      <w:marTop w:val="0"/>
                      <w:marBottom w:val="0"/>
                      <w:divBdr>
                        <w:top w:val="none" w:sz="0" w:space="0" w:color="auto"/>
                        <w:left w:val="none" w:sz="0" w:space="0" w:color="auto"/>
                        <w:bottom w:val="none" w:sz="0" w:space="0" w:color="auto"/>
                        <w:right w:val="none" w:sz="0" w:space="0" w:color="auto"/>
                      </w:divBdr>
                    </w:div>
                  </w:divsChild>
                </w:div>
                <w:div w:id="1250653074">
                  <w:marLeft w:val="0"/>
                  <w:marRight w:val="0"/>
                  <w:marTop w:val="0"/>
                  <w:marBottom w:val="0"/>
                  <w:divBdr>
                    <w:top w:val="none" w:sz="0" w:space="0" w:color="auto"/>
                    <w:left w:val="none" w:sz="0" w:space="0" w:color="auto"/>
                    <w:bottom w:val="none" w:sz="0" w:space="0" w:color="auto"/>
                    <w:right w:val="none" w:sz="0" w:space="0" w:color="auto"/>
                  </w:divBdr>
                  <w:divsChild>
                    <w:div w:id="1389374732">
                      <w:marLeft w:val="0"/>
                      <w:marRight w:val="0"/>
                      <w:marTop w:val="0"/>
                      <w:marBottom w:val="0"/>
                      <w:divBdr>
                        <w:top w:val="none" w:sz="0" w:space="0" w:color="auto"/>
                        <w:left w:val="none" w:sz="0" w:space="0" w:color="auto"/>
                        <w:bottom w:val="none" w:sz="0" w:space="0" w:color="auto"/>
                        <w:right w:val="none" w:sz="0" w:space="0" w:color="auto"/>
                      </w:divBdr>
                    </w:div>
                  </w:divsChild>
                </w:div>
                <w:div w:id="1329215652">
                  <w:marLeft w:val="0"/>
                  <w:marRight w:val="0"/>
                  <w:marTop w:val="0"/>
                  <w:marBottom w:val="0"/>
                  <w:divBdr>
                    <w:top w:val="none" w:sz="0" w:space="0" w:color="auto"/>
                    <w:left w:val="none" w:sz="0" w:space="0" w:color="auto"/>
                    <w:bottom w:val="none" w:sz="0" w:space="0" w:color="auto"/>
                    <w:right w:val="none" w:sz="0" w:space="0" w:color="auto"/>
                  </w:divBdr>
                  <w:divsChild>
                    <w:div w:id="432751015">
                      <w:marLeft w:val="0"/>
                      <w:marRight w:val="0"/>
                      <w:marTop w:val="0"/>
                      <w:marBottom w:val="0"/>
                      <w:divBdr>
                        <w:top w:val="none" w:sz="0" w:space="0" w:color="auto"/>
                        <w:left w:val="none" w:sz="0" w:space="0" w:color="auto"/>
                        <w:bottom w:val="none" w:sz="0" w:space="0" w:color="auto"/>
                        <w:right w:val="none" w:sz="0" w:space="0" w:color="auto"/>
                      </w:divBdr>
                    </w:div>
                  </w:divsChild>
                </w:div>
                <w:div w:id="1377004318">
                  <w:marLeft w:val="0"/>
                  <w:marRight w:val="0"/>
                  <w:marTop w:val="0"/>
                  <w:marBottom w:val="0"/>
                  <w:divBdr>
                    <w:top w:val="none" w:sz="0" w:space="0" w:color="auto"/>
                    <w:left w:val="none" w:sz="0" w:space="0" w:color="auto"/>
                    <w:bottom w:val="none" w:sz="0" w:space="0" w:color="auto"/>
                    <w:right w:val="none" w:sz="0" w:space="0" w:color="auto"/>
                  </w:divBdr>
                  <w:divsChild>
                    <w:div w:id="848299788">
                      <w:marLeft w:val="0"/>
                      <w:marRight w:val="0"/>
                      <w:marTop w:val="0"/>
                      <w:marBottom w:val="0"/>
                      <w:divBdr>
                        <w:top w:val="none" w:sz="0" w:space="0" w:color="auto"/>
                        <w:left w:val="none" w:sz="0" w:space="0" w:color="auto"/>
                        <w:bottom w:val="none" w:sz="0" w:space="0" w:color="auto"/>
                        <w:right w:val="none" w:sz="0" w:space="0" w:color="auto"/>
                      </w:divBdr>
                    </w:div>
                  </w:divsChild>
                </w:div>
                <w:div w:id="1402943661">
                  <w:marLeft w:val="0"/>
                  <w:marRight w:val="0"/>
                  <w:marTop w:val="0"/>
                  <w:marBottom w:val="0"/>
                  <w:divBdr>
                    <w:top w:val="none" w:sz="0" w:space="0" w:color="auto"/>
                    <w:left w:val="none" w:sz="0" w:space="0" w:color="auto"/>
                    <w:bottom w:val="none" w:sz="0" w:space="0" w:color="auto"/>
                    <w:right w:val="none" w:sz="0" w:space="0" w:color="auto"/>
                  </w:divBdr>
                  <w:divsChild>
                    <w:div w:id="987633965">
                      <w:marLeft w:val="0"/>
                      <w:marRight w:val="0"/>
                      <w:marTop w:val="0"/>
                      <w:marBottom w:val="0"/>
                      <w:divBdr>
                        <w:top w:val="none" w:sz="0" w:space="0" w:color="auto"/>
                        <w:left w:val="none" w:sz="0" w:space="0" w:color="auto"/>
                        <w:bottom w:val="none" w:sz="0" w:space="0" w:color="auto"/>
                        <w:right w:val="none" w:sz="0" w:space="0" w:color="auto"/>
                      </w:divBdr>
                    </w:div>
                  </w:divsChild>
                </w:div>
                <w:div w:id="1496457576">
                  <w:marLeft w:val="0"/>
                  <w:marRight w:val="0"/>
                  <w:marTop w:val="0"/>
                  <w:marBottom w:val="0"/>
                  <w:divBdr>
                    <w:top w:val="none" w:sz="0" w:space="0" w:color="auto"/>
                    <w:left w:val="none" w:sz="0" w:space="0" w:color="auto"/>
                    <w:bottom w:val="none" w:sz="0" w:space="0" w:color="auto"/>
                    <w:right w:val="none" w:sz="0" w:space="0" w:color="auto"/>
                  </w:divBdr>
                  <w:divsChild>
                    <w:div w:id="1361079923">
                      <w:marLeft w:val="0"/>
                      <w:marRight w:val="0"/>
                      <w:marTop w:val="0"/>
                      <w:marBottom w:val="0"/>
                      <w:divBdr>
                        <w:top w:val="none" w:sz="0" w:space="0" w:color="auto"/>
                        <w:left w:val="none" w:sz="0" w:space="0" w:color="auto"/>
                        <w:bottom w:val="none" w:sz="0" w:space="0" w:color="auto"/>
                        <w:right w:val="none" w:sz="0" w:space="0" w:color="auto"/>
                      </w:divBdr>
                    </w:div>
                  </w:divsChild>
                </w:div>
                <w:div w:id="1503625065">
                  <w:marLeft w:val="0"/>
                  <w:marRight w:val="0"/>
                  <w:marTop w:val="0"/>
                  <w:marBottom w:val="0"/>
                  <w:divBdr>
                    <w:top w:val="none" w:sz="0" w:space="0" w:color="auto"/>
                    <w:left w:val="none" w:sz="0" w:space="0" w:color="auto"/>
                    <w:bottom w:val="none" w:sz="0" w:space="0" w:color="auto"/>
                    <w:right w:val="none" w:sz="0" w:space="0" w:color="auto"/>
                  </w:divBdr>
                  <w:divsChild>
                    <w:div w:id="1867328597">
                      <w:marLeft w:val="0"/>
                      <w:marRight w:val="0"/>
                      <w:marTop w:val="0"/>
                      <w:marBottom w:val="0"/>
                      <w:divBdr>
                        <w:top w:val="none" w:sz="0" w:space="0" w:color="auto"/>
                        <w:left w:val="none" w:sz="0" w:space="0" w:color="auto"/>
                        <w:bottom w:val="none" w:sz="0" w:space="0" w:color="auto"/>
                        <w:right w:val="none" w:sz="0" w:space="0" w:color="auto"/>
                      </w:divBdr>
                    </w:div>
                  </w:divsChild>
                </w:div>
                <w:div w:id="1515680592">
                  <w:marLeft w:val="0"/>
                  <w:marRight w:val="0"/>
                  <w:marTop w:val="0"/>
                  <w:marBottom w:val="0"/>
                  <w:divBdr>
                    <w:top w:val="none" w:sz="0" w:space="0" w:color="auto"/>
                    <w:left w:val="none" w:sz="0" w:space="0" w:color="auto"/>
                    <w:bottom w:val="none" w:sz="0" w:space="0" w:color="auto"/>
                    <w:right w:val="none" w:sz="0" w:space="0" w:color="auto"/>
                  </w:divBdr>
                  <w:divsChild>
                    <w:div w:id="1289049493">
                      <w:marLeft w:val="0"/>
                      <w:marRight w:val="0"/>
                      <w:marTop w:val="0"/>
                      <w:marBottom w:val="0"/>
                      <w:divBdr>
                        <w:top w:val="none" w:sz="0" w:space="0" w:color="auto"/>
                        <w:left w:val="none" w:sz="0" w:space="0" w:color="auto"/>
                        <w:bottom w:val="none" w:sz="0" w:space="0" w:color="auto"/>
                        <w:right w:val="none" w:sz="0" w:space="0" w:color="auto"/>
                      </w:divBdr>
                    </w:div>
                  </w:divsChild>
                </w:div>
                <w:div w:id="1519851097">
                  <w:marLeft w:val="0"/>
                  <w:marRight w:val="0"/>
                  <w:marTop w:val="0"/>
                  <w:marBottom w:val="0"/>
                  <w:divBdr>
                    <w:top w:val="none" w:sz="0" w:space="0" w:color="auto"/>
                    <w:left w:val="none" w:sz="0" w:space="0" w:color="auto"/>
                    <w:bottom w:val="none" w:sz="0" w:space="0" w:color="auto"/>
                    <w:right w:val="none" w:sz="0" w:space="0" w:color="auto"/>
                  </w:divBdr>
                  <w:divsChild>
                    <w:div w:id="607934396">
                      <w:marLeft w:val="0"/>
                      <w:marRight w:val="0"/>
                      <w:marTop w:val="0"/>
                      <w:marBottom w:val="0"/>
                      <w:divBdr>
                        <w:top w:val="none" w:sz="0" w:space="0" w:color="auto"/>
                        <w:left w:val="none" w:sz="0" w:space="0" w:color="auto"/>
                        <w:bottom w:val="none" w:sz="0" w:space="0" w:color="auto"/>
                        <w:right w:val="none" w:sz="0" w:space="0" w:color="auto"/>
                      </w:divBdr>
                    </w:div>
                  </w:divsChild>
                </w:div>
                <w:div w:id="1614288960">
                  <w:marLeft w:val="0"/>
                  <w:marRight w:val="0"/>
                  <w:marTop w:val="0"/>
                  <w:marBottom w:val="0"/>
                  <w:divBdr>
                    <w:top w:val="none" w:sz="0" w:space="0" w:color="auto"/>
                    <w:left w:val="none" w:sz="0" w:space="0" w:color="auto"/>
                    <w:bottom w:val="none" w:sz="0" w:space="0" w:color="auto"/>
                    <w:right w:val="none" w:sz="0" w:space="0" w:color="auto"/>
                  </w:divBdr>
                  <w:divsChild>
                    <w:div w:id="1789080522">
                      <w:marLeft w:val="0"/>
                      <w:marRight w:val="0"/>
                      <w:marTop w:val="0"/>
                      <w:marBottom w:val="0"/>
                      <w:divBdr>
                        <w:top w:val="none" w:sz="0" w:space="0" w:color="auto"/>
                        <w:left w:val="none" w:sz="0" w:space="0" w:color="auto"/>
                        <w:bottom w:val="none" w:sz="0" w:space="0" w:color="auto"/>
                        <w:right w:val="none" w:sz="0" w:space="0" w:color="auto"/>
                      </w:divBdr>
                    </w:div>
                  </w:divsChild>
                </w:div>
                <w:div w:id="1648973735">
                  <w:marLeft w:val="0"/>
                  <w:marRight w:val="0"/>
                  <w:marTop w:val="0"/>
                  <w:marBottom w:val="0"/>
                  <w:divBdr>
                    <w:top w:val="none" w:sz="0" w:space="0" w:color="auto"/>
                    <w:left w:val="none" w:sz="0" w:space="0" w:color="auto"/>
                    <w:bottom w:val="none" w:sz="0" w:space="0" w:color="auto"/>
                    <w:right w:val="none" w:sz="0" w:space="0" w:color="auto"/>
                  </w:divBdr>
                  <w:divsChild>
                    <w:div w:id="367219437">
                      <w:marLeft w:val="0"/>
                      <w:marRight w:val="0"/>
                      <w:marTop w:val="0"/>
                      <w:marBottom w:val="0"/>
                      <w:divBdr>
                        <w:top w:val="none" w:sz="0" w:space="0" w:color="auto"/>
                        <w:left w:val="none" w:sz="0" w:space="0" w:color="auto"/>
                        <w:bottom w:val="none" w:sz="0" w:space="0" w:color="auto"/>
                        <w:right w:val="none" w:sz="0" w:space="0" w:color="auto"/>
                      </w:divBdr>
                    </w:div>
                  </w:divsChild>
                </w:div>
                <w:div w:id="1656060198">
                  <w:marLeft w:val="0"/>
                  <w:marRight w:val="0"/>
                  <w:marTop w:val="0"/>
                  <w:marBottom w:val="0"/>
                  <w:divBdr>
                    <w:top w:val="none" w:sz="0" w:space="0" w:color="auto"/>
                    <w:left w:val="none" w:sz="0" w:space="0" w:color="auto"/>
                    <w:bottom w:val="none" w:sz="0" w:space="0" w:color="auto"/>
                    <w:right w:val="none" w:sz="0" w:space="0" w:color="auto"/>
                  </w:divBdr>
                  <w:divsChild>
                    <w:div w:id="1654796384">
                      <w:marLeft w:val="0"/>
                      <w:marRight w:val="0"/>
                      <w:marTop w:val="0"/>
                      <w:marBottom w:val="0"/>
                      <w:divBdr>
                        <w:top w:val="none" w:sz="0" w:space="0" w:color="auto"/>
                        <w:left w:val="none" w:sz="0" w:space="0" w:color="auto"/>
                        <w:bottom w:val="none" w:sz="0" w:space="0" w:color="auto"/>
                        <w:right w:val="none" w:sz="0" w:space="0" w:color="auto"/>
                      </w:divBdr>
                    </w:div>
                  </w:divsChild>
                </w:div>
                <w:div w:id="1678385065">
                  <w:marLeft w:val="0"/>
                  <w:marRight w:val="0"/>
                  <w:marTop w:val="0"/>
                  <w:marBottom w:val="0"/>
                  <w:divBdr>
                    <w:top w:val="none" w:sz="0" w:space="0" w:color="auto"/>
                    <w:left w:val="none" w:sz="0" w:space="0" w:color="auto"/>
                    <w:bottom w:val="none" w:sz="0" w:space="0" w:color="auto"/>
                    <w:right w:val="none" w:sz="0" w:space="0" w:color="auto"/>
                  </w:divBdr>
                  <w:divsChild>
                    <w:div w:id="564028395">
                      <w:marLeft w:val="0"/>
                      <w:marRight w:val="0"/>
                      <w:marTop w:val="0"/>
                      <w:marBottom w:val="0"/>
                      <w:divBdr>
                        <w:top w:val="none" w:sz="0" w:space="0" w:color="auto"/>
                        <w:left w:val="none" w:sz="0" w:space="0" w:color="auto"/>
                        <w:bottom w:val="none" w:sz="0" w:space="0" w:color="auto"/>
                        <w:right w:val="none" w:sz="0" w:space="0" w:color="auto"/>
                      </w:divBdr>
                    </w:div>
                  </w:divsChild>
                </w:div>
                <w:div w:id="1731268315">
                  <w:marLeft w:val="0"/>
                  <w:marRight w:val="0"/>
                  <w:marTop w:val="0"/>
                  <w:marBottom w:val="0"/>
                  <w:divBdr>
                    <w:top w:val="none" w:sz="0" w:space="0" w:color="auto"/>
                    <w:left w:val="none" w:sz="0" w:space="0" w:color="auto"/>
                    <w:bottom w:val="none" w:sz="0" w:space="0" w:color="auto"/>
                    <w:right w:val="none" w:sz="0" w:space="0" w:color="auto"/>
                  </w:divBdr>
                  <w:divsChild>
                    <w:div w:id="1845166099">
                      <w:marLeft w:val="0"/>
                      <w:marRight w:val="0"/>
                      <w:marTop w:val="0"/>
                      <w:marBottom w:val="0"/>
                      <w:divBdr>
                        <w:top w:val="none" w:sz="0" w:space="0" w:color="auto"/>
                        <w:left w:val="none" w:sz="0" w:space="0" w:color="auto"/>
                        <w:bottom w:val="none" w:sz="0" w:space="0" w:color="auto"/>
                        <w:right w:val="none" w:sz="0" w:space="0" w:color="auto"/>
                      </w:divBdr>
                    </w:div>
                  </w:divsChild>
                </w:div>
                <w:div w:id="1746293288">
                  <w:marLeft w:val="0"/>
                  <w:marRight w:val="0"/>
                  <w:marTop w:val="0"/>
                  <w:marBottom w:val="0"/>
                  <w:divBdr>
                    <w:top w:val="none" w:sz="0" w:space="0" w:color="auto"/>
                    <w:left w:val="none" w:sz="0" w:space="0" w:color="auto"/>
                    <w:bottom w:val="none" w:sz="0" w:space="0" w:color="auto"/>
                    <w:right w:val="none" w:sz="0" w:space="0" w:color="auto"/>
                  </w:divBdr>
                  <w:divsChild>
                    <w:div w:id="1377973151">
                      <w:marLeft w:val="0"/>
                      <w:marRight w:val="0"/>
                      <w:marTop w:val="0"/>
                      <w:marBottom w:val="0"/>
                      <w:divBdr>
                        <w:top w:val="none" w:sz="0" w:space="0" w:color="auto"/>
                        <w:left w:val="none" w:sz="0" w:space="0" w:color="auto"/>
                        <w:bottom w:val="none" w:sz="0" w:space="0" w:color="auto"/>
                        <w:right w:val="none" w:sz="0" w:space="0" w:color="auto"/>
                      </w:divBdr>
                    </w:div>
                  </w:divsChild>
                </w:div>
                <w:div w:id="1775444212">
                  <w:marLeft w:val="0"/>
                  <w:marRight w:val="0"/>
                  <w:marTop w:val="0"/>
                  <w:marBottom w:val="0"/>
                  <w:divBdr>
                    <w:top w:val="none" w:sz="0" w:space="0" w:color="auto"/>
                    <w:left w:val="none" w:sz="0" w:space="0" w:color="auto"/>
                    <w:bottom w:val="none" w:sz="0" w:space="0" w:color="auto"/>
                    <w:right w:val="none" w:sz="0" w:space="0" w:color="auto"/>
                  </w:divBdr>
                  <w:divsChild>
                    <w:div w:id="1242567721">
                      <w:marLeft w:val="0"/>
                      <w:marRight w:val="0"/>
                      <w:marTop w:val="0"/>
                      <w:marBottom w:val="0"/>
                      <w:divBdr>
                        <w:top w:val="none" w:sz="0" w:space="0" w:color="auto"/>
                        <w:left w:val="none" w:sz="0" w:space="0" w:color="auto"/>
                        <w:bottom w:val="none" w:sz="0" w:space="0" w:color="auto"/>
                        <w:right w:val="none" w:sz="0" w:space="0" w:color="auto"/>
                      </w:divBdr>
                    </w:div>
                  </w:divsChild>
                </w:div>
                <w:div w:id="1848864168">
                  <w:marLeft w:val="0"/>
                  <w:marRight w:val="0"/>
                  <w:marTop w:val="0"/>
                  <w:marBottom w:val="0"/>
                  <w:divBdr>
                    <w:top w:val="none" w:sz="0" w:space="0" w:color="auto"/>
                    <w:left w:val="none" w:sz="0" w:space="0" w:color="auto"/>
                    <w:bottom w:val="none" w:sz="0" w:space="0" w:color="auto"/>
                    <w:right w:val="none" w:sz="0" w:space="0" w:color="auto"/>
                  </w:divBdr>
                  <w:divsChild>
                    <w:div w:id="2010939143">
                      <w:marLeft w:val="0"/>
                      <w:marRight w:val="0"/>
                      <w:marTop w:val="0"/>
                      <w:marBottom w:val="0"/>
                      <w:divBdr>
                        <w:top w:val="none" w:sz="0" w:space="0" w:color="auto"/>
                        <w:left w:val="none" w:sz="0" w:space="0" w:color="auto"/>
                        <w:bottom w:val="none" w:sz="0" w:space="0" w:color="auto"/>
                        <w:right w:val="none" w:sz="0" w:space="0" w:color="auto"/>
                      </w:divBdr>
                    </w:div>
                  </w:divsChild>
                </w:div>
                <w:div w:id="1867014540">
                  <w:marLeft w:val="0"/>
                  <w:marRight w:val="0"/>
                  <w:marTop w:val="0"/>
                  <w:marBottom w:val="0"/>
                  <w:divBdr>
                    <w:top w:val="none" w:sz="0" w:space="0" w:color="auto"/>
                    <w:left w:val="none" w:sz="0" w:space="0" w:color="auto"/>
                    <w:bottom w:val="none" w:sz="0" w:space="0" w:color="auto"/>
                    <w:right w:val="none" w:sz="0" w:space="0" w:color="auto"/>
                  </w:divBdr>
                  <w:divsChild>
                    <w:div w:id="1762948661">
                      <w:marLeft w:val="0"/>
                      <w:marRight w:val="0"/>
                      <w:marTop w:val="0"/>
                      <w:marBottom w:val="0"/>
                      <w:divBdr>
                        <w:top w:val="none" w:sz="0" w:space="0" w:color="auto"/>
                        <w:left w:val="none" w:sz="0" w:space="0" w:color="auto"/>
                        <w:bottom w:val="none" w:sz="0" w:space="0" w:color="auto"/>
                        <w:right w:val="none" w:sz="0" w:space="0" w:color="auto"/>
                      </w:divBdr>
                    </w:div>
                  </w:divsChild>
                </w:div>
                <w:div w:id="1888446759">
                  <w:marLeft w:val="0"/>
                  <w:marRight w:val="0"/>
                  <w:marTop w:val="0"/>
                  <w:marBottom w:val="0"/>
                  <w:divBdr>
                    <w:top w:val="none" w:sz="0" w:space="0" w:color="auto"/>
                    <w:left w:val="none" w:sz="0" w:space="0" w:color="auto"/>
                    <w:bottom w:val="none" w:sz="0" w:space="0" w:color="auto"/>
                    <w:right w:val="none" w:sz="0" w:space="0" w:color="auto"/>
                  </w:divBdr>
                  <w:divsChild>
                    <w:div w:id="1002706111">
                      <w:marLeft w:val="0"/>
                      <w:marRight w:val="0"/>
                      <w:marTop w:val="0"/>
                      <w:marBottom w:val="0"/>
                      <w:divBdr>
                        <w:top w:val="none" w:sz="0" w:space="0" w:color="auto"/>
                        <w:left w:val="none" w:sz="0" w:space="0" w:color="auto"/>
                        <w:bottom w:val="none" w:sz="0" w:space="0" w:color="auto"/>
                        <w:right w:val="none" w:sz="0" w:space="0" w:color="auto"/>
                      </w:divBdr>
                    </w:div>
                  </w:divsChild>
                </w:div>
                <w:div w:id="1953659679">
                  <w:marLeft w:val="0"/>
                  <w:marRight w:val="0"/>
                  <w:marTop w:val="0"/>
                  <w:marBottom w:val="0"/>
                  <w:divBdr>
                    <w:top w:val="none" w:sz="0" w:space="0" w:color="auto"/>
                    <w:left w:val="none" w:sz="0" w:space="0" w:color="auto"/>
                    <w:bottom w:val="none" w:sz="0" w:space="0" w:color="auto"/>
                    <w:right w:val="none" w:sz="0" w:space="0" w:color="auto"/>
                  </w:divBdr>
                  <w:divsChild>
                    <w:div w:id="782966045">
                      <w:marLeft w:val="0"/>
                      <w:marRight w:val="0"/>
                      <w:marTop w:val="0"/>
                      <w:marBottom w:val="0"/>
                      <w:divBdr>
                        <w:top w:val="none" w:sz="0" w:space="0" w:color="auto"/>
                        <w:left w:val="none" w:sz="0" w:space="0" w:color="auto"/>
                        <w:bottom w:val="none" w:sz="0" w:space="0" w:color="auto"/>
                        <w:right w:val="none" w:sz="0" w:space="0" w:color="auto"/>
                      </w:divBdr>
                    </w:div>
                  </w:divsChild>
                </w:div>
                <w:div w:id="1975133206">
                  <w:marLeft w:val="0"/>
                  <w:marRight w:val="0"/>
                  <w:marTop w:val="0"/>
                  <w:marBottom w:val="0"/>
                  <w:divBdr>
                    <w:top w:val="none" w:sz="0" w:space="0" w:color="auto"/>
                    <w:left w:val="none" w:sz="0" w:space="0" w:color="auto"/>
                    <w:bottom w:val="none" w:sz="0" w:space="0" w:color="auto"/>
                    <w:right w:val="none" w:sz="0" w:space="0" w:color="auto"/>
                  </w:divBdr>
                  <w:divsChild>
                    <w:div w:id="695695328">
                      <w:marLeft w:val="0"/>
                      <w:marRight w:val="0"/>
                      <w:marTop w:val="0"/>
                      <w:marBottom w:val="0"/>
                      <w:divBdr>
                        <w:top w:val="none" w:sz="0" w:space="0" w:color="auto"/>
                        <w:left w:val="none" w:sz="0" w:space="0" w:color="auto"/>
                        <w:bottom w:val="none" w:sz="0" w:space="0" w:color="auto"/>
                        <w:right w:val="none" w:sz="0" w:space="0" w:color="auto"/>
                      </w:divBdr>
                    </w:div>
                  </w:divsChild>
                </w:div>
                <w:div w:id="1997830767">
                  <w:marLeft w:val="0"/>
                  <w:marRight w:val="0"/>
                  <w:marTop w:val="0"/>
                  <w:marBottom w:val="0"/>
                  <w:divBdr>
                    <w:top w:val="none" w:sz="0" w:space="0" w:color="auto"/>
                    <w:left w:val="none" w:sz="0" w:space="0" w:color="auto"/>
                    <w:bottom w:val="none" w:sz="0" w:space="0" w:color="auto"/>
                    <w:right w:val="none" w:sz="0" w:space="0" w:color="auto"/>
                  </w:divBdr>
                  <w:divsChild>
                    <w:div w:id="445003706">
                      <w:marLeft w:val="0"/>
                      <w:marRight w:val="0"/>
                      <w:marTop w:val="0"/>
                      <w:marBottom w:val="0"/>
                      <w:divBdr>
                        <w:top w:val="none" w:sz="0" w:space="0" w:color="auto"/>
                        <w:left w:val="none" w:sz="0" w:space="0" w:color="auto"/>
                        <w:bottom w:val="none" w:sz="0" w:space="0" w:color="auto"/>
                        <w:right w:val="none" w:sz="0" w:space="0" w:color="auto"/>
                      </w:divBdr>
                    </w:div>
                  </w:divsChild>
                </w:div>
                <w:div w:id="2018068386">
                  <w:marLeft w:val="0"/>
                  <w:marRight w:val="0"/>
                  <w:marTop w:val="0"/>
                  <w:marBottom w:val="0"/>
                  <w:divBdr>
                    <w:top w:val="none" w:sz="0" w:space="0" w:color="auto"/>
                    <w:left w:val="none" w:sz="0" w:space="0" w:color="auto"/>
                    <w:bottom w:val="none" w:sz="0" w:space="0" w:color="auto"/>
                    <w:right w:val="none" w:sz="0" w:space="0" w:color="auto"/>
                  </w:divBdr>
                  <w:divsChild>
                    <w:div w:id="1533377888">
                      <w:marLeft w:val="0"/>
                      <w:marRight w:val="0"/>
                      <w:marTop w:val="0"/>
                      <w:marBottom w:val="0"/>
                      <w:divBdr>
                        <w:top w:val="none" w:sz="0" w:space="0" w:color="auto"/>
                        <w:left w:val="none" w:sz="0" w:space="0" w:color="auto"/>
                        <w:bottom w:val="none" w:sz="0" w:space="0" w:color="auto"/>
                        <w:right w:val="none" w:sz="0" w:space="0" w:color="auto"/>
                      </w:divBdr>
                    </w:div>
                  </w:divsChild>
                </w:div>
                <w:div w:id="2031445292">
                  <w:marLeft w:val="0"/>
                  <w:marRight w:val="0"/>
                  <w:marTop w:val="0"/>
                  <w:marBottom w:val="0"/>
                  <w:divBdr>
                    <w:top w:val="none" w:sz="0" w:space="0" w:color="auto"/>
                    <w:left w:val="none" w:sz="0" w:space="0" w:color="auto"/>
                    <w:bottom w:val="none" w:sz="0" w:space="0" w:color="auto"/>
                    <w:right w:val="none" w:sz="0" w:space="0" w:color="auto"/>
                  </w:divBdr>
                  <w:divsChild>
                    <w:div w:id="2103798481">
                      <w:marLeft w:val="0"/>
                      <w:marRight w:val="0"/>
                      <w:marTop w:val="0"/>
                      <w:marBottom w:val="0"/>
                      <w:divBdr>
                        <w:top w:val="none" w:sz="0" w:space="0" w:color="auto"/>
                        <w:left w:val="none" w:sz="0" w:space="0" w:color="auto"/>
                        <w:bottom w:val="none" w:sz="0" w:space="0" w:color="auto"/>
                        <w:right w:val="none" w:sz="0" w:space="0" w:color="auto"/>
                      </w:divBdr>
                    </w:div>
                  </w:divsChild>
                </w:div>
                <w:div w:id="2080785794">
                  <w:marLeft w:val="0"/>
                  <w:marRight w:val="0"/>
                  <w:marTop w:val="0"/>
                  <w:marBottom w:val="0"/>
                  <w:divBdr>
                    <w:top w:val="none" w:sz="0" w:space="0" w:color="auto"/>
                    <w:left w:val="none" w:sz="0" w:space="0" w:color="auto"/>
                    <w:bottom w:val="none" w:sz="0" w:space="0" w:color="auto"/>
                    <w:right w:val="none" w:sz="0" w:space="0" w:color="auto"/>
                  </w:divBdr>
                  <w:divsChild>
                    <w:div w:id="56526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074412">
      <w:bodyDiv w:val="1"/>
      <w:marLeft w:val="0"/>
      <w:marRight w:val="0"/>
      <w:marTop w:val="0"/>
      <w:marBottom w:val="0"/>
      <w:divBdr>
        <w:top w:val="none" w:sz="0" w:space="0" w:color="auto"/>
        <w:left w:val="none" w:sz="0" w:space="0" w:color="auto"/>
        <w:bottom w:val="none" w:sz="0" w:space="0" w:color="auto"/>
        <w:right w:val="none" w:sz="0" w:space="0" w:color="auto"/>
      </w:divBdr>
    </w:div>
    <w:div w:id="1702824852">
      <w:bodyDiv w:val="1"/>
      <w:marLeft w:val="0"/>
      <w:marRight w:val="0"/>
      <w:marTop w:val="0"/>
      <w:marBottom w:val="0"/>
      <w:divBdr>
        <w:top w:val="none" w:sz="0" w:space="0" w:color="auto"/>
        <w:left w:val="none" w:sz="0" w:space="0" w:color="auto"/>
        <w:bottom w:val="none" w:sz="0" w:space="0" w:color="auto"/>
        <w:right w:val="none" w:sz="0" w:space="0" w:color="auto"/>
      </w:divBdr>
    </w:div>
    <w:div w:id="1716928757">
      <w:bodyDiv w:val="1"/>
      <w:marLeft w:val="0"/>
      <w:marRight w:val="0"/>
      <w:marTop w:val="0"/>
      <w:marBottom w:val="0"/>
      <w:divBdr>
        <w:top w:val="none" w:sz="0" w:space="0" w:color="auto"/>
        <w:left w:val="none" w:sz="0" w:space="0" w:color="auto"/>
        <w:bottom w:val="none" w:sz="0" w:space="0" w:color="auto"/>
        <w:right w:val="none" w:sz="0" w:space="0" w:color="auto"/>
      </w:divBdr>
      <w:divsChild>
        <w:div w:id="491605347">
          <w:marLeft w:val="0"/>
          <w:marRight w:val="0"/>
          <w:marTop w:val="0"/>
          <w:marBottom w:val="0"/>
          <w:divBdr>
            <w:top w:val="none" w:sz="0" w:space="0" w:color="auto"/>
            <w:left w:val="none" w:sz="0" w:space="0" w:color="auto"/>
            <w:bottom w:val="none" w:sz="0" w:space="0" w:color="auto"/>
            <w:right w:val="none" w:sz="0" w:space="0" w:color="auto"/>
          </w:divBdr>
        </w:div>
        <w:div w:id="1639645994">
          <w:marLeft w:val="0"/>
          <w:marRight w:val="0"/>
          <w:marTop w:val="0"/>
          <w:marBottom w:val="0"/>
          <w:divBdr>
            <w:top w:val="none" w:sz="0" w:space="0" w:color="auto"/>
            <w:left w:val="none" w:sz="0" w:space="0" w:color="auto"/>
            <w:bottom w:val="none" w:sz="0" w:space="0" w:color="auto"/>
            <w:right w:val="none" w:sz="0" w:space="0" w:color="auto"/>
          </w:divBdr>
        </w:div>
      </w:divsChild>
    </w:div>
    <w:div w:id="1741750544">
      <w:bodyDiv w:val="1"/>
      <w:marLeft w:val="0"/>
      <w:marRight w:val="0"/>
      <w:marTop w:val="0"/>
      <w:marBottom w:val="0"/>
      <w:divBdr>
        <w:top w:val="none" w:sz="0" w:space="0" w:color="auto"/>
        <w:left w:val="none" w:sz="0" w:space="0" w:color="auto"/>
        <w:bottom w:val="none" w:sz="0" w:space="0" w:color="auto"/>
        <w:right w:val="none" w:sz="0" w:space="0" w:color="auto"/>
      </w:divBdr>
    </w:div>
    <w:div w:id="1747150067">
      <w:bodyDiv w:val="1"/>
      <w:marLeft w:val="0"/>
      <w:marRight w:val="0"/>
      <w:marTop w:val="0"/>
      <w:marBottom w:val="0"/>
      <w:divBdr>
        <w:top w:val="none" w:sz="0" w:space="0" w:color="auto"/>
        <w:left w:val="none" w:sz="0" w:space="0" w:color="auto"/>
        <w:bottom w:val="none" w:sz="0" w:space="0" w:color="auto"/>
        <w:right w:val="none" w:sz="0" w:space="0" w:color="auto"/>
      </w:divBdr>
    </w:div>
    <w:div w:id="1749619155">
      <w:bodyDiv w:val="1"/>
      <w:marLeft w:val="0"/>
      <w:marRight w:val="0"/>
      <w:marTop w:val="0"/>
      <w:marBottom w:val="0"/>
      <w:divBdr>
        <w:top w:val="none" w:sz="0" w:space="0" w:color="auto"/>
        <w:left w:val="none" w:sz="0" w:space="0" w:color="auto"/>
        <w:bottom w:val="none" w:sz="0" w:space="0" w:color="auto"/>
        <w:right w:val="none" w:sz="0" w:space="0" w:color="auto"/>
      </w:divBdr>
    </w:div>
    <w:div w:id="1753575821">
      <w:bodyDiv w:val="1"/>
      <w:marLeft w:val="0"/>
      <w:marRight w:val="0"/>
      <w:marTop w:val="0"/>
      <w:marBottom w:val="0"/>
      <w:divBdr>
        <w:top w:val="none" w:sz="0" w:space="0" w:color="auto"/>
        <w:left w:val="none" w:sz="0" w:space="0" w:color="auto"/>
        <w:bottom w:val="none" w:sz="0" w:space="0" w:color="auto"/>
        <w:right w:val="none" w:sz="0" w:space="0" w:color="auto"/>
      </w:divBdr>
    </w:div>
    <w:div w:id="1771926336">
      <w:bodyDiv w:val="1"/>
      <w:marLeft w:val="0"/>
      <w:marRight w:val="0"/>
      <w:marTop w:val="0"/>
      <w:marBottom w:val="0"/>
      <w:divBdr>
        <w:top w:val="none" w:sz="0" w:space="0" w:color="auto"/>
        <w:left w:val="none" w:sz="0" w:space="0" w:color="auto"/>
        <w:bottom w:val="none" w:sz="0" w:space="0" w:color="auto"/>
        <w:right w:val="none" w:sz="0" w:space="0" w:color="auto"/>
      </w:divBdr>
    </w:div>
    <w:div w:id="1778527300">
      <w:bodyDiv w:val="1"/>
      <w:marLeft w:val="0"/>
      <w:marRight w:val="0"/>
      <w:marTop w:val="0"/>
      <w:marBottom w:val="0"/>
      <w:divBdr>
        <w:top w:val="none" w:sz="0" w:space="0" w:color="auto"/>
        <w:left w:val="none" w:sz="0" w:space="0" w:color="auto"/>
        <w:bottom w:val="none" w:sz="0" w:space="0" w:color="auto"/>
        <w:right w:val="none" w:sz="0" w:space="0" w:color="auto"/>
      </w:divBdr>
    </w:div>
    <w:div w:id="1782146540">
      <w:bodyDiv w:val="1"/>
      <w:marLeft w:val="0"/>
      <w:marRight w:val="0"/>
      <w:marTop w:val="0"/>
      <w:marBottom w:val="0"/>
      <w:divBdr>
        <w:top w:val="none" w:sz="0" w:space="0" w:color="auto"/>
        <w:left w:val="none" w:sz="0" w:space="0" w:color="auto"/>
        <w:bottom w:val="none" w:sz="0" w:space="0" w:color="auto"/>
        <w:right w:val="none" w:sz="0" w:space="0" w:color="auto"/>
      </w:divBdr>
    </w:div>
    <w:div w:id="1794203033">
      <w:bodyDiv w:val="1"/>
      <w:marLeft w:val="0"/>
      <w:marRight w:val="0"/>
      <w:marTop w:val="0"/>
      <w:marBottom w:val="0"/>
      <w:divBdr>
        <w:top w:val="none" w:sz="0" w:space="0" w:color="auto"/>
        <w:left w:val="none" w:sz="0" w:space="0" w:color="auto"/>
        <w:bottom w:val="none" w:sz="0" w:space="0" w:color="auto"/>
        <w:right w:val="none" w:sz="0" w:space="0" w:color="auto"/>
      </w:divBdr>
    </w:div>
    <w:div w:id="1801337317">
      <w:bodyDiv w:val="1"/>
      <w:marLeft w:val="0"/>
      <w:marRight w:val="0"/>
      <w:marTop w:val="0"/>
      <w:marBottom w:val="0"/>
      <w:divBdr>
        <w:top w:val="none" w:sz="0" w:space="0" w:color="auto"/>
        <w:left w:val="none" w:sz="0" w:space="0" w:color="auto"/>
        <w:bottom w:val="none" w:sz="0" w:space="0" w:color="auto"/>
        <w:right w:val="none" w:sz="0" w:space="0" w:color="auto"/>
      </w:divBdr>
    </w:div>
    <w:div w:id="1820420816">
      <w:bodyDiv w:val="1"/>
      <w:marLeft w:val="0"/>
      <w:marRight w:val="0"/>
      <w:marTop w:val="0"/>
      <w:marBottom w:val="0"/>
      <w:divBdr>
        <w:top w:val="none" w:sz="0" w:space="0" w:color="auto"/>
        <w:left w:val="none" w:sz="0" w:space="0" w:color="auto"/>
        <w:bottom w:val="none" w:sz="0" w:space="0" w:color="auto"/>
        <w:right w:val="none" w:sz="0" w:space="0" w:color="auto"/>
      </w:divBdr>
    </w:div>
    <w:div w:id="1821188432">
      <w:bodyDiv w:val="1"/>
      <w:marLeft w:val="0"/>
      <w:marRight w:val="0"/>
      <w:marTop w:val="0"/>
      <w:marBottom w:val="0"/>
      <w:divBdr>
        <w:top w:val="none" w:sz="0" w:space="0" w:color="auto"/>
        <w:left w:val="none" w:sz="0" w:space="0" w:color="auto"/>
        <w:bottom w:val="none" w:sz="0" w:space="0" w:color="auto"/>
        <w:right w:val="none" w:sz="0" w:space="0" w:color="auto"/>
      </w:divBdr>
    </w:div>
    <w:div w:id="1847013075">
      <w:bodyDiv w:val="1"/>
      <w:marLeft w:val="0"/>
      <w:marRight w:val="0"/>
      <w:marTop w:val="0"/>
      <w:marBottom w:val="0"/>
      <w:divBdr>
        <w:top w:val="none" w:sz="0" w:space="0" w:color="auto"/>
        <w:left w:val="none" w:sz="0" w:space="0" w:color="auto"/>
        <w:bottom w:val="none" w:sz="0" w:space="0" w:color="auto"/>
        <w:right w:val="none" w:sz="0" w:space="0" w:color="auto"/>
      </w:divBdr>
    </w:div>
    <w:div w:id="1870994666">
      <w:bodyDiv w:val="1"/>
      <w:marLeft w:val="0"/>
      <w:marRight w:val="0"/>
      <w:marTop w:val="0"/>
      <w:marBottom w:val="0"/>
      <w:divBdr>
        <w:top w:val="none" w:sz="0" w:space="0" w:color="auto"/>
        <w:left w:val="none" w:sz="0" w:space="0" w:color="auto"/>
        <w:bottom w:val="none" w:sz="0" w:space="0" w:color="auto"/>
        <w:right w:val="none" w:sz="0" w:space="0" w:color="auto"/>
      </w:divBdr>
    </w:div>
    <w:div w:id="1873180924">
      <w:bodyDiv w:val="1"/>
      <w:marLeft w:val="0"/>
      <w:marRight w:val="0"/>
      <w:marTop w:val="0"/>
      <w:marBottom w:val="0"/>
      <w:divBdr>
        <w:top w:val="none" w:sz="0" w:space="0" w:color="auto"/>
        <w:left w:val="none" w:sz="0" w:space="0" w:color="auto"/>
        <w:bottom w:val="none" w:sz="0" w:space="0" w:color="auto"/>
        <w:right w:val="none" w:sz="0" w:space="0" w:color="auto"/>
      </w:divBdr>
    </w:div>
    <w:div w:id="1888370998">
      <w:bodyDiv w:val="1"/>
      <w:marLeft w:val="0"/>
      <w:marRight w:val="0"/>
      <w:marTop w:val="0"/>
      <w:marBottom w:val="0"/>
      <w:divBdr>
        <w:top w:val="none" w:sz="0" w:space="0" w:color="auto"/>
        <w:left w:val="none" w:sz="0" w:space="0" w:color="auto"/>
        <w:bottom w:val="none" w:sz="0" w:space="0" w:color="auto"/>
        <w:right w:val="none" w:sz="0" w:space="0" w:color="auto"/>
      </w:divBdr>
    </w:div>
    <w:div w:id="1895890991">
      <w:bodyDiv w:val="1"/>
      <w:marLeft w:val="0"/>
      <w:marRight w:val="0"/>
      <w:marTop w:val="0"/>
      <w:marBottom w:val="0"/>
      <w:divBdr>
        <w:top w:val="none" w:sz="0" w:space="0" w:color="auto"/>
        <w:left w:val="none" w:sz="0" w:space="0" w:color="auto"/>
        <w:bottom w:val="none" w:sz="0" w:space="0" w:color="auto"/>
        <w:right w:val="none" w:sz="0" w:space="0" w:color="auto"/>
      </w:divBdr>
    </w:div>
    <w:div w:id="1909069916">
      <w:bodyDiv w:val="1"/>
      <w:marLeft w:val="0"/>
      <w:marRight w:val="0"/>
      <w:marTop w:val="0"/>
      <w:marBottom w:val="0"/>
      <w:divBdr>
        <w:top w:val="none" w:sz="0" w:space="0" w:color="auto"/>
        <w:left w:val="none" w:sz="0" w:space="0" w:color="auto"/>
        <w:bottom w:val="none" w:sz="0" w:space="0" w:color="auto"/>
        <w:right w:val="none" w:sz="0" w:space="0" w:color="auto"/>
      </w:divBdr>
    </w:div>
    <w:div w:id="1912544625">
      <w:bodyDiv w:val="1"/>
      <w:marLeft w:val="0"/>
      <w:marRight w:val="0"/>
      <w:marTop w:val="0"/>
      <w:marBottom w:val="0"/>
      <w:divBdr>
        <w:top w:val="none" w:sz="0" w:space="0" w:color="auto"/>
        <w:left w:val="none" w:sz="0" w:space="0" w:color="auto"/>
        <w:bottom w:val="none" w:sz="0" w:space="0" w:color="auto"/>
        <w:right w:val="none" w:sz="0" w:space="0" w:color="auto"/>
      </w:divBdr>
    </w:div>
    <w:div w:id="1930505767">
      <w:bodyDiv w:val="1"/>
      <w:marLeft w:val="0"/>
      <w:marRight w:val="0"/>
      <w:marTop w:val="0"/>
      <w:marBottom w:val="0"/>
      <w:divBdr>
        <w:top w:val="none" w:sz="0" w:space="0" w:color="auto"/>
        <w:left w:val="none" w:sz="0" w:space="0" w:color="auto"/>
        <w:bottom w:val="none" w:sz="0" w:space="0" w:color="auto"/>
        <w:right w:val="none" w:sz="0" w:space="0" w:color="auto"/>
      </w:divBdr>
    </w:div>
    <w:div w:id="1930770723">
      <w:bodyDiv w:val="1"/>
      <w:marLeft w:val="0"/>
      <w:marRight w:val="0"/>
      <w:marTop w:val="0"/>
      <w:marBottom w:val="0"/>
      <w:divBdr>
        <w:top w:val="none" w:sz="0" w:space="0" w:color="auto"/>
        <w:left w:val="none" w:sz="0" w:space="0" w:color="auto"/>
        <w:bottom w:val="none" w:sz="0" w:space="0" w:color="auto"/>
        <w:right w:val="none" w:sz="0" w:space="0" w:color="auto"/>
      </w:divBdr>
    </w:div>
    <w:div w:id="1935161395">
      <w:bodyDiv w:val="1"/>
      <w:marLeft w:val="0"/>
      <w:marRight w:val="0"/>
      <w:marTop w:val="0"/>
      <w:marBottom w:val="0"/>
      <w:divBdr>
        <w:top w:val="none" w:sz="0" w:space="0" w:color="auto"/>
        <w:left w:val="none" w:sz="0" w:space="0" w:color="auto"/>
        <w:bottom w:val="none" w:sz="0" w:space="0" w:color="auto"/>
        <w:right w:val="none" w:sz="0" w:space="0" w:color="auto"/>
      </w:divBdr>
    </w:div>
    <w:div w:id="1967664696">
      <w:bodyDiv w:val="1"/>
      <w:marLeft w:val="0"/>
      <w:marRight w:val="0"/>
      <w:marTop w:val="0"/>
      <w:marBottom w:val="0"/>
      <w:divBdr>
        <w:top w:val="none" w:sz="0" w:space="0" w:color="auto"/>
        <w:left w:val="none" w:sz="0" w:space="0" w:color="auto"/>
        <w:bottom w:val="none" w:sz="0" w:space="0" w:color="auto"/>
        <w:right w:val="none" w:sz="0" w:space="0" w:color="auto"/>
      </w:divBdr>
    </w:div>
    <w:div w:id="1994289275">
      <w:bodyDiv w:val="1"/>
      <w:marLeft w:val="0"/>
      <w:marRight w:val="0"/>
      <w:marTop w:val="0"/>
      <w:marBottom w:val="0"/>
      <w:divBdr>
        <w:top w:val="none" w:sz="0" w:space="0" w:color="auto"/>
        <w:left w:val="none" w:sz="0" w:space="0" w:color="auto"/>
        <w:bottom w:val="none" w:sz="0" w:space="0" w:color="auto"/>
        <w:right w:val="none" w:sz="0" w:space="0" w:color="auto"/>
      </w:divBdr>
    </w:div>
    <w:div w:id="2000377205">
      <w:bodyDiv w:val="1"/>
      <w:marLeft w:val="0"/>
      <w:marRight w:val="0"/>
      <w:marTop w:val="0"/>
      <w:marBottom w:val="0"/>
      <w:divBdr>
        <w:top w:val="none" w:sz="0" w:space="0" w:color="auto"/>
        <w:left w:val="none" w:sz="0" w:space="0" w:color="auto"/>
        <w:bottom w:val="none" w:sz="0" w:space="0" w:color="auto"/>
        <w:right w:val="none" w:sz="0" w:space="0" w:color="auto"/>
      </w:divBdr>
    </w:div>
    <w:div w:id="2001959444">
      <w:bodyDiv w:val="1"/>
      <w:marLeft w:val="0"/>
      <w:marRight w:val="0"/>
      <w:marTop w:val="0"/>
      <w:marBottom w:val="0"/>
      <w:divBdr>
        <w:top w:val="none" w:sz="0" w:space="0" w:color="auto"/>
        <w:left w:val="none" w:sz="0" w:space="0" w:color="auto"/>
        <w:bottom w:val="none" w:sz="0" w:space="0" w:color="auto"/>
        <w:right w:val="none" w:sz="0" w:space="0" w:color="auto"/>
      </w:divBdr>
    </w:div>
    <w:div w:id="2044941980">
      <w:bodyDiv w:val="1"/>
      <w:marLeft w:val="0"/>
      <w:marRight w:val="0"/>
      <w:marTop w:val="0"/>
      <w:marBottom w:val="0"/>
      <w:divBdr>
        <w:top w:val="none" w:sz="0" w:space="0" w:color="auto"/>
        <w:left w:val="none" w:sz="0" w:space="0" w:color="auto"/>
        <w:bottom w:val="none" w:sz="0" w:space="0" w:color="auto"/>
        <w:right w:val="none" w:sz="0" w:space="0" w:color="auto"/>
      </w:divBdr>
      <w:divsChild>
        <w:div w:id="38827574">
          <w:marLeft w:val="0"/>
          <w:marRight w:val="0"/>
          <w:marTop w:val="0"/>
          <w:marBottom w:val="0"/>
          <w:divBdr>
            <w:top w:val="none" w:sz="0" w:space="0" w:color="auto"/>
            <w:left w:val="none" w:sz="0" w:space="0" w:color="auto"/>
            <w:bottom w:val="none" w:sz="0" w:space="0" w:color="auto"/>
            <w:right w:val="none" w:sz="0" w:space="0" w:color="auto"/>
          </w:divBdr>
        </w:div>
        <w:div w:id="318964219">
          <w:marLeft w:val="0"/>
          <w:marRight w:val="0"/>
          <w:marTop w:val="0"/>
          <w:marBottom w:val="0"/>
          <w:divBdr>
            <w:top w:val="none" w:sz="0" w:space="0" w:color="auto"/>
            <w:left w:val="none" w:sz="0" w:space="0" w:color="auto"/>
            <w:bottom w:val="none" w:sz="0" w:space="0" w:color="auto"/>
            <w:right w:val="none" w:sz="0" w:space="0" w:color="auto"/>
          </w:divBdr>
        </w:div>
        <w:div w:id="1049453061">
          <w:marLeft w:val="-75"/>
          <w:marRight w:val="0"/>
          <w:marTop w:val="30"/>
          <w:marBottom w:val="30"/>
          <w:divBdr>
            <w:top w:val="none" w:sz="0" w:space="0" w:color="auto"/>
            <w:left w:val="none" w:sz="0" w:space="0" w:color="auto"/>
            <w:bottom w:val="none" w:sz="0" w:space="0" w:color="auto"/>
            <w:right w:val="none" w:sz="0" w:space="0" w:color="auto"/>
          </w:divBdr>
          <w:divsChild>
            <w:div w:id="367877547">
              <w:marLeft w:val="0"/>
              <w:marRight w:val="0"/>
              <w:marTop w:val="0"/>
              <w:marBottom w:val="0"/>
              <w:divBdr>
                <w:top w:val="none" w:sz="0" w:space="0" w:color="auto"/>
                <w:left w:val="none" w:sz="0" w:space="0" w:color="auto"/>
                <w:bottom w:val="none" w:sz="0" w:space="0" w:color="auto"/>
                <w:right w:val="none" w:sz="0" w:space="0" w:color="auto"/>
              </w:divBdr>
              <w:divsChild>
                <w:div w:id="293947134">
                  <w:marLeft w:val="0"/>
                  <w:marRight w:val="0"/>
                  <w:marTop w:val="0"/>
                  <w:marBottom w:val="0"/>
                  <w:divBdr>
                    <w:top w:val="none" w:sz="0" w:space="0" w:color="auto"/>
                    <w:left w:val="none" w:sz="0" w:space="0" w:color="auto"/>
                    <w:bottom w:val="none" w:sz="0" w:space="0" w:color="auto"/>
                    <w:right w:val="none" w:sz="0" w:space="0" w:color="auto"/>
                  </w:divBdr>
                </w:div>
              </w:divsChild>
            </w:div>
            <w:div w:id="420641751">
              <w:marLeft w:val="0"/>
              <w:marRight w:val="0"/>
              <w:marTop w:val="0"/>
              <w:marBottom w:val="0"/>
              <w:divBdr>
                <w:top w:val="none" w:sz="0" w:space="0" w:color="auto"/>
                <w:left w:val="none" w:sz="0" w:space="0" w:color="auto"/>
                <w:bottom w:val="none" w:sz="0" w:space="0" w:color="auto"/>
                <w:right w:val="none" w:sz="0" w:space="0" w:color="auto"/>
              </w:divBdr>
              <w:divsChild>
                <w:div w:id="499277337">
                  <w:marLeft w:val="0"/>
                  <w:marRight w:val="0"/>
                  <w:marTop w:val="0"/>
                  <w:marBottom w:val="0"/>
                  <w:divBdr>
                    <w:top w:val="none" w:sz="0" w:space="0" w:color="auto"/>
                    <w:left w:val="none" w:sz="0" w:space="0" w:color="auto"/>
                    <w:bottom w:val="none" w:sz="0" w:space="0" w:color="auto"/>
                    <w:right w:val="none" w:sz="0" w:space="0" w:color="auto"/>
                  </w:divBdr>
                </w:div>
              </w:divsChild>
            </w:div>
            <w:div w:id="577330026">
              <w:marLeft w:val="0"/>
              <w:marRight w:val="0"/>
              <w:marTop w:val="0"/>
              <w:marBottom w:val="0"/>
              <w:divBdr>
                <w:top w:val="none" w:sz="0" w:space="0" w:color="auto"/>
                <w:left w:val="none" w:sz="0" w:space="0" w:color="auto"/>
                <w:bottom w:val="none" w:sz="0" w:space="0" w:color="auto"/>
                <w:right w:val="none" w:sz="0" w:space="0" w:color="auto"/>
              </w:divBdr>
              <w:divsChild>
                <w:div w:id="96567052">
                  <w:marLeft w:val="0"/>
                  <w:marRight w:val="0"/>
                  <w:marTop w:val="0"/>
                  <w:marBottom w:val="0"/>
                  <w:divBdr>
                    <w:top w:val="none" w:sz="0" w:space="0" w:color="auto"/>
                    <w:left w:val="none" w:sz="0" w:space="0" w:color="auto"/>
                    <w:bottom w:val="none" w:sz="0" w:space="0" w:color="auto"/>
                    <w:right w:val="none" w:sz="0" w:space="0" w:color="auto"/>
                  </w:divBdr>
                </w:div>
              </w:divsChild>
            </w:div>
            <w:div w:id="823744800">
              <w:marLeft w:val="0"/>
              <w:marRight w:val="0"/>
              <w:marTop w:val="0"/>
              <w:marBottom w:val="0"/>
              <w:divBdr>
                <w:top w:val="none" w:sz="0" w:space="0" w:color="auto"/>
                <w:left w:val="none" w:sz="0" w:space="0" w:color="auto"/>
                <w:bottom w:val="none" w:sz="0" w:space="0" w:color="auto"/>
                <w:right w:val="none" w:sz="0" w:space="0" w:color="auto"/>
              </w:divBdr>
              <w:divsChild>
                <w:div w:id="56057183">
                  <w:marLeft w:val="0"/>
                  <w:marRight w:val="0"/>
                  <w:marTop w:val="0"/>
                  <w:marBottom w:val="0"/>
                  <w:divBdr>
                    <w:top w:val="none" w:sz="0" w:space="0" w:color="auto"/>
                    <w:left w:val="none" w:sz="0" w:space="0" w:color="auto"/>
                    <w:bottom w:val="none" w:sz="0" w:space="0" w:color="auto"/>
                    <w:right w:val="none" w:sz="0" w:space="0" w:color="auto"/>
                  </w:divBdr>
                </w:div>
              </w:divsChild>
            </w:div>
            <w:div w:id="1378318184">
              <w:marLeft w:val="0"/>
              <w:marRight w:val="0"/>
              <w:marTop w:val="0"/>
              <w:marBottom w:val="0"/>
              <w:divBdr>
                <w:top w:val="none" w:sz="0" w:space="0" w:color="auto"/>
                <w:left w:val="none" w:sz="0" w:space="0" w:color="auto"/>
                <w:bottom w:val="none" w:sz="0" w:space="0" w:color="auto"/>
                <w:right w:val="none" w:sz="0" w:space="0" w:color="auto"/>
              </w:divBdr>
              <w:divsChild>
                <w:div w:id="581718337">
                  <w:marLeft w:val="0"/>
                  <w:marRight w:val="0"/>
                  <w:marTop w:val="0"/>
                  <w:marBottom w:val="0"/>
                  <w:divBdr>
                    <w:top w:val="none" w:sz="0" w:space="0" w:color="auto"/>
                    <w:left w:val="none" w:sz="0" w:space="0" w:color="auto"/>
                    <w:bottom w:val="none" w:sz="0" w:space="0" w:color="auto"/>
                    <w:right w:val="none" w:sz="0" w:space="0" w:color="auto"/>
                  </w:divBdr>
                </w:div>
              </w:divsChild>
            </w:div>
            <w:div w:id="1597207902">
              <w:marLeft w:val="0"/>
              <w:marRight w:val="0"/>
              <w:marTop w:val="0"/>
              <w:marBottom w:val="0"/>
              <w:divBdr>
                <w:top w:val="none" w:sz="0" w:space="0" w:color="auto"/>
                <w:left w:val="none" w:sz="0" w:space="0" w:color="auto"/>
                <w:bottom w:val="none" w:sz="0" w:space="0" w:color="auto"/>
                <w:right w:val="none" w:sz="0" w:space="0" w:color="auto"/>
              </w:divBdr>
              <w:divsChild>
                <w:div w:id="130245688">
                  <w:marLeft w:val="0"/>
                  <w:marRight w:val="0"/>
                  <w:marTop w:val="0"/>
                  <w:marBottom w:val="0"/>
                  <w:divBdr>
                    <w:top w:val="none" w:sz="0" w:space="0" w:color="auto"/>
                    <w:left w:val="none" w:sz="0" w:space="0" w:color="auto"/>
                    <w:bottom w:val="none" w:sz="0" w:space="0" w:color="auto"/>
                    <w:right w:val="none" w:sz="0" w:space="0" w:color="auto"/>
                  </w:divBdr>
                </w:div>
              </w:divsChild>
            </w:div>
            <w:div w:id="1728841382">
              <w:marLeft w:val="0"/>
              <w:marRight w:val="0"/>
              <w:marTop w:val="0"/>
              <w:marBottom w:val="0"/>
              <w:divBdr>
                <w:top w:val="none" w:sz="0" w:space="0" w:color="auto"/>
                <w:left w:val="none" w:sz="0" w:space="0" w:color="auto"/>
                <w:bottom w:val="none" w:sz="0" w:space="0" w:color="auto"/>
                <w:right w:val="none" w:sz="0" w:space="0" w:color="auto"/>
              </w:divBdr>
              <w:divsChild>
                <w:div w:id="1226720297">
                  <w:marLeft w:val="0"/>
                  <w:marRight w:val="0"/>
                  <w:marTop w:val="0"/>
                  <w:marBottom w:val="0"/>
                  <w:divBdr>
                    <w:top w:val="none" w:sz="0" w:space="0" w:color="auto"/>
                    <w:left w:val="none" w:sz="0" w:space="0" w:color="auto"/>
                    <w:bottom w:val="none" w:sz="0" w:space="0" w:color="auto"/>
                    <w:right w:val="none" w:sz="0" w:space="0" w:color="auto"/>
                  </w:divBdr>
                </w:div>
              </w:divsChild>
            </w:div>
            <w:div w:id="2081246390">
              <w:marLeft w:val="0"/>
              <w:marRight w:val="0"/>
              <w:marTop w:val="0"/>
              <w:marBottom w:val="0"/>
              <w:divBdr>
                <w:top w:val="none" w:sz="0" w:space="0" w:color="auto"/>
                <w:left w:val="none" w:sz="0" w:space="0" w:color="auto"/>
                <w:bottom w:val="none" w:sz="0" w:space="0" w:color="auto"/>
                <w:right w:val="none" w:sz="0" w:space="0" w:color="auto"/>
              </w:divBdr>
              <w:divsChild>
                <w:div w:id="609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311261">
      <w:bodyDiv w:val="1"/>
      <w:marLeft w:val="0"/>
      <w:marRight w:val="0"/>
      <w:marTop w:val="0"/>
      <w:marBottom w:val="0"/>
      <w:divBdr>
        <w:top w:val="none" w:sz="0" w:space="0" w:color="auto"/>
        <w:left w:val="none" w:sz="0" w:space="0" w:color="auto"/>
        <w:bottom w:val="none" w:sz="0" w:space="0" w:color="auto"/>
        <w:right w:val="none" w:sz="0" w:space="0" w:color="auto"/>
      </w:divBdr>
    </w:div>
    <w:div w:id="2106261631">
      <w:bodyDiv w:val="1"/>
      <w:marLeft w:val="0"/>
      <w:marRight w:val="0"/>
      <w:marTop w:val="0"/>
      <w:marBottom w:val="0"/>
      <w:divBdr>
        <w:top w:val="none" w:sz="0" w:space="0" w:color="auto"/>
        <w:left w:val="none" w:sz="0" w:space="0" w:color="auto"/>
        <w:bottom w:val="none" w:sz="0" w:space="0" w:color="auto"/>
        <w:right w:val="none" w:sz="0" w:space="0" w:color="auto"/>
      </w:divBdr>
    </w:div>
    <w:div w:id="2110730144">
      <w:bodyDiv w:val="1"/>
      <w:marLeft w:val="0"/>
      <w:marRight w:val="0"/>
      <w:marTop w:val="0"/>
      <w:marBottom w:val="0"/>
      <w:divBdr>
        <w:top w:val="none" w:sz="0" w:space="0" w:color="auto"/>
        <w:left w:val="none" w:sz="0" w:space="0" w:color="auto"/>
        <w:bottom w:val="none" w:sz="0" w:space="0" w:color="auto"/>
        <w:right w:val="none" w:sz="0" w:space="0" w:color="auto"/>
      </w:divBdr>
    </w:div>
    <w:div w:id="2140491941">
      <w:bodyDiv w:val="1"/>
      <w:marLeft w:val="0"/>
      <w:marRight w:val="0"/>
      <w:marTop w:val="0"/>
      <w:marBottom w:val="0"/>
      <w:divBdr>
        <w:top w:val="none" w:sz="0" w:space="0" w:color="auto"/>
        <w:left w:val="none" w:sz="0" w:space="0" w:color="auto"/>
        <w:bottom w:val="none" w:sz="0" w:space="0" w:color="auto"/>
        <w:right w:val="none" w:sz="0" w:space="0" w:color="auto"/>
      </w:divBdr>
    </w:div>
    <w:div w:id="2144498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data.consilium.europa.eu/doc/document/ST-13501-2025-INIT/fr/pdf" TargetMode="External"/><Relationship Id="rId13" Type="http://schemas.openxmlformats.org/officeDocument/2006/relationships/hyperlink" Target="https://eur-lex.europa.eu/legal-content/FR/TXT/PDF/?uri=OJ:L_202302405" TargetMode="External"/><Relationship Id="rId18" Type="http://schemas.openxmlformats.org/officeDocument/2006/relationships/hyperlink" Target="https://eur-lex.europa.eu/resource.html?uri=cellar:61de6ed0-3b8d-11f0-8a44-01aa75ed71a1.0015.02/DOC_1&amp;format=PDF" TargetMode="External"/><Relationship Id="rId26" Type="http://schemas.openxmlformats.org/officeDocument/2006/relationships/hyperlink" Target="https://vbn.aau.dk/ws/portalfiles/portal/603638943/20231114_REPower_District_Heating_HRE5_Final_V2.pdf" TargetMode="External"/><Relationship Id="rId3" Type="http://schemas.openxmlformats.org/officeDocument/2006/relationships/hyperlink" Target="https://ec.europa.eu/eurostat/databrowser/view/nrg_cb_gasm/default/table?lang=en" TargetMode="External"/><Relationship Id="rId21" Type="http://schemas.openxmlformats.org/officeDocument/2006/relationships/hyperlink" Target="https://commission.europa.eu/topics/competitiveness/competitiveness-compass_fr" TargetMode="External"/><Relationship Id="rId7" Type="http://schemas.openxmlformats.org/officeDocument/2006/relationships/hyperlink" Target="https://eur-lex.europa.eu/legal-content/EN/TXT/PDF/?uri=CELEX:52026DC0115" TargetMode="External"/><Relationship Id="rId12" Type="http://schemas.openxmlformats.org/officeDocument/2006/relationships/hyperlink" Target="https://eur-lex.europa.eu/resource.html?uri=cellar:7ba5f137-dc12-11f0-8da2-01aa75ed71a1.0022.02/DOC_1&amp;format=PDFDF" TargetMode="External"/><Relationship Id="rId17" Type="http://schemas.openxmlformats.org/officeDocument/2006/relationships/hyperlink" Target="https://eur-lex.europa.eu/legal-content/FR/TXT/PDF/?uri=CELEX:52025DC0085" TargetMode="External"/><Relationship Id="rId25" Type="http://schemas.openxmlformats.org/officeDocument/2006/relationships/hyperlink" Target="https://vbn.aau.dk/ws/portalfiles/portal/603638943/20231114_REPower_District_Heating_HRE5_Final_V2.pdf" TargetMode="External"/><Relationship Id="rId2" Type="http://schemas.openxmlformats.org/officeDocument/2006/relationships/hyperlink" Target="https://ec.europa.eu/eurostat/web/products-eurostat-news/w/ddn-20260325-3" TargetMode="External"/><Relationship Id="rId16" Type="http://schemas.openxmlformats.org/officeDocument/2006/relationships/hyperlink" Target="http://data.europa.eu/eli/dec_impl/2026/889/oj" TargetMode="External"/><Relationship Id="rId20" Type="http://schemas.openxmlformats.org/officeDocument/2006/relationships/hyperlink" Target="https://eur-lex.europa.eu/legal-content/FR/TXT/PDF/?uri=CELEX:52026DC0120" TargetMode="External"/><Relationship Id="rId1" Type="http://schemas.openxmlformats.org/officeDocument/2006/relationships/hyperlink" Target="https://ec.europa.eu/eurostat/web/products-eurostat-news/w/wdn-20260318-1" TargetMode="External"/><Relationship Id="rId6" Type="http://schemas.openxmlformats.org/officeDocument/2006/relationships/hyperlink" Target="Voir%20https://energy.ec.europa.eu/data-and-analysis/weekly-oil-bulletin_en." TargetMode="External"/><Relationship Id="rId11" Type="http://schemas.openxmlformats.org/officeDocument/2006/relationships/hyperlink" Target="https://eur-lex.europa.eu/legal-content/FR/TXT/PDF/?uri=OJ:L_202401275" TargetMode="External"/><Relationship Id="rId24" Type="http://schemas.openxmlformats.org/officeDocument/2006/relationships/hyperlink" Target="https://ehpa.org/news-and-resources/press-releases/heat-pumps-made-in-europe/" TargetMode="External"/><Relationship Id="rId5" Type="http://schemas.openxmlformats.org/officeDocument/2006/relationships/hyperlink" Target="%20https://energy.ec.europa.eu/topics/energy-security/eu-energy-and-raw-materials-platform_en." TargetMode="External"/><Relationship Id="rId15" Type="http://schemas.openxmlformats.org/officeDocument/2006/relationships/hyperlink" Target="https://transport.ec.europa.eu/transport-themes/clean-transport/sustainable-transport-investment-plan_fr" TargetMode="External"/><Relationship Id="rId23" Type="http://schemas.openxmlformats.org/officeDocument/2006/relationships/hyperlink" Target="https://ec.europa.eu/eurostat/web/interactive-publications/energy-2026." TargetMode="External"/><Relationship Id="rId28" Type="http://schemas.openxmlformats.org/officeDocument/2006/relationships/hyperlink" Target="https://eur-lex.europa.eu/legal-content/FR/TXT/PDF/?uri=CELEX:52025DC0440" TargetMode="External"/><Relationship Id="rId10" Type="http://schemas.openxmlformats.org/officeDocument/2006/relationships/hyperlink" Target="https://www.indicators.odyssee-mure.eu/energy-saving.html" TargetMode="External"/><Relationship Id="rId19" Type="http://schemas.openxmlformats.org/officeDocument/2006/relationships/hyperlink" Target="https://eur-lex.europa.eu/legal-content/FR/TXT/PDF/?uri=CELEX:52026DC0117" TargetMode="External"/><Relationship Id="rId4" Type="http://schemas.openxmlformats.org/officeDocument/2006/relationships/hyperlink" Target="https://energy.ec.europa.eu/topics/energy-security/eu-energy-platform/aggregateeu_en" TargetMode="External"/><Relationship Id="rId9" Type="http://schemas.openxmlformats.org/officeDocument/2006/relationships/hyperlink" Target="https://eur-lex.europa.eu/legal-content/FR/TXT/PDF/?uri=CELEX:52026DC0118" TargetMode="External"/><Relationship Id="rId14" Type="http://schemas.openxmlformats.org/officeDocument/2006/relationships/hyperlink" Target="https://eur-lex.europa.eu/legal-content/FR/TXT/PDF/?uri=CELEX:32023R1805" TargetMode="External"/><Relationship Id="rId22" Type="http://schemas.openxmlformats.org/officeDocument/2006/relationships/hyperlink" Target="https://energy.ec.europa.eu/strategy/affordable-energy_en" TargetMode="External"/><Relationship Id="rId27" Type="http://schemas.openxmlformats.org/officeDocument/2006/relationships/hyperlink" Target="https://ember-energy.org/app/uploads/2026/02/Hot-stuff-geothermal-energy-in-Europe-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55A67F-0486-4DD2-AB72-F66B5D04F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8455</Words>
  <Characters>48199</Characters>
  <Application>Microsoft Office Word</Application>
  <DocSecurity>0</DocSecurity>
  <Lines>401</Lines>
  <Paragraphs>113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56541</CharactersWithSpaces>
  <SharedDoc>false</SharedDoc>
  <HLinks>
    <vt:vector size="84" baseType="variant">
      <vt:variant>
        <vt:i4>3473506</vt:i4>
      </vt:variant>
      <vt:variant>
        <vt:i4>42</vt:i4>
      </vt:variant>
      <vt:variant>
        <vt:i4>0</vt:i4>
      </vt:variant>
      <vt:variant>
        <vt:i4>5</vt:i4>
      </vt:variant>
      <vt:variant>
        <vt:lpwstr>https://ec.europa.eu/eurostat/web/interactive-publications/energy-2026</vt:lpwstr>
      </vt:variant>
      <vt:variant>
        <vt:lpwstr/>
      </vt:variant>
      <vt:variant>
        <vt:i4>5374009</vt:i4>
      </vt:variant>
      <vt:variant>
        <vt:i4>39</vt:i4>
      </vt:variant>
      <vt:variant>
        <vt:i4>0</vt:i4>
      </vt:variant>
      <vt:variant>
        <vt:i4>5</vt:i4>
      </vt:variant>
      <vt:variant>
        <vt:lpwstr>https://energy.ec.europa.eu/strategy/affordable-energy_en</vt:lpwstr>
      </vt:variant>
      <vt:variant>
        <vt:lpwstr/>
      </vt:variant>
      <vt:variant>
        <vt:i4>3801170</vt:i4>
      </vt:variant>
      <vt:variant>
        <vt:i4>36</vt:i4>
      </vt:variant>
      <vt:variant>
        <vt:i4>0</vt:i4>
      </vt:variant>
      <vt:variant>
        <vt:i4>5</vt:i4>
      </vt:variant>
      <vt:variant>
        <vt:lpwstr>https://commission.europa.eu/topics/eu-competitiveness/clean-industrial-deal_en</vt:lpwstr>
      </vt:variant>
      <vt:variant>
        <vt:lpwstr/>
      </vt:variant>
      <vt:variant>
        <vt:i4>1966170</vt:i4>
      </vt:variant>
      <vt:variant>
        <vt:i4>33</vt:i4>
      </vt:variant>
      <vt:variant>
        <vt:i4>0</vt:i4>
      </vt:variant>
      <vt:variant>
        <vt:i4>5</vt:i4>
      </vt:variant>
      <vt:variant>
        <vt:lpwstr>https://eur-lex.europa.eu/legal-content/EN/TXT/PDF/?uri=CELEX:52025DC0085</vt:lpwstr>
      </vt:variant>
      <vt:variant>
        <vt:lpwstr/>
      </vt:variant>
      <vt:variant>
        <vt:i4>3473481</vt:i4>
      </vt:variant>
      <vt:variant>
        <vt:i4>27</vt:i4>
      </vt:variant>
      <vt:variant>
        <vt:i4>0</vt:i4>
      </vt:variant>
      <vt:variant>
        <vt:i4>5</vt:i4>
      </vt:variant>
      <vt:variant>
        <vt:lpwstr>https://eur-lex.europa.eu/resource.html?uri=cellar:63317ca3-db66-11f0-8da2-01aa75ed71a1.0001.02/DOC_1&amp;format=PDF</vt:lpwstr>
      </vt:variant>
      <vt:variant>
        <vt:lpwstr/>
      </vt:variant>
      <vt:variant>
        <vt:i4>7929926</vt:i4>
      </vt:variant>
      <vt:variant>
        <vt:i4>24</vt:i4>
      </vt:variant>
      <vt:variant>
        <vt:i4>0</vt:i4>
      </vt:variant>
      <vt:variant>
        <vt:i4>5</vt:i4>
      </vt:variant>
      <vt:variant>
        <vt:lpwstr>https://eur-lex.europa.eu/legal-content/EN/TXT/PDF/?uri=OJ:L_202401275</vt:lpwstr>
      </vt:variant>
      <vt:variant>
        <vt:lpwstr/>
      </vt:variant>
      <vt:variant>
        <vt:i4>5636183</vt:i4>
      </vt:variant>
      <vt:variant>
        <vt:i4>21</vt:i4>
      </vt:variant>
      <vt:variant>
        <vt:i4>0</vt:i4>
      </vt:variant>
      <vt:variant>
        <vt:i4>5</vt:i4>
      </vt:variant>
      <vt:variant>
        <vt:lpwstr>https://www.indicators.odyssee-mure.eu/energy-saving.html</vt:lpwstr>
      </vt:variant>
      <vt:variant>
        <vt:lpwstr/>
      </vt:variant>
      <vt:variant>
        <vt:i4>3735659</vt:i4>
      </vt:variant>
      <vt:variant>
        <vt:i4>18</vt:i4>
      </vt:variant>
      <vt:variant>
        <vt:i4>0</vt:i4>
      </vt:variant>
      <vt:variant>
        <vt:i4>5</vt:i4>
      </vt:variant>
      <vt:variant>
        <vt:lpwstr>https://data.consilium.europa.eu/doc/document/ST-13501-2025-INIT/en/pdf</vt:lpwstr>
      </vt:variant>
      <vt:variant>
        <vt:lpwstr/>
      </vt:variant>
      <vt:variant>
        <vt:i4>1507416</vt:i4>
      </vt:variant>
      <vt:variant>
        <vt:i4>15</vt:i4>
      </vt:variant>
      <vt:variant>
        <vt:i4>0</vt:i4>
      </vt:variant>
      <vt:variant>
        <vt:i4>5</vt:i4>
      </vt:variant>
      <vt:variant>
        <vt:lpwstr>https://eur-lex.europa.eu/legal-content/EN/TXT/PDF/?uri=CELEX:52026DC0115</vt:lpwstr>
      </vt:variant>
      <vt:variant>
        <vt:lpwstr/>
      </vt:variant>
      <vt:variant>
        <vt:i4>5308449</vt:i4>
      </vt:variant>
      <vt:variant>
        <vt:i4>12</vt:i4>
      </vt:variant>
      <vt:variant>
        <vt:i4>0</vt:i4>
      </vt:variant>
      <vt:variant>
        <vt:i4>5</vt:i4>
      </vt:variant>
      <vt:variant>
        <vt:lpwstr>https://energy.ec.europa.eu/topics/energy-security/eu-energy-and-raw-materials-platform_en</vt:lpwstr>
      </vt:variant>
      <vt:variant>
        <vt:lpwstr/>
      </vt:variant>
      <vt:variant>
        <vt:i4>6553616</vt:i4>
      </vt:variant>
      <vt:variant>
        <vt:i4>9</vt:i4>
      </vt:variant>
      <vt:variant>
        <vt:i4>0</vt:i4>
      </vt:variant>
      <vt:variant>
        <vt:i4>5</vt:i4>
      </vt:variant>
      <vt:variant>
        <vt:lpwstr>https://energy.ec.europa.eu/topics/energy-security/eu-energy-platform/aggregateeu_en</vt:lpwstr>
      </vt:variant>
      <vt:variant>
        <vt:lpwstr/>
      </vt:variant>
      <vt:variant>
        <vt:i4>2949218</vt:i4>
      </vt:variant>
      <vt:variant>
        <vt:i4>6</vt:i4>
      </vt:variant>
      <vt:variant>
        <vt:i4>0</vt:i4>
      </vt:variant>
      <vt:variant>
        <vt:i4>5</vt:i4>
      </vt:variant>
      <vt:variant>
        <vt:lpwstr>https://ec.europa.eu/eurostat/databrowser/view/nrg_cb_gasm/default/table?lang=en</vt:lpwstr>
      </vt:variant>
      <vt:variant>
        <vt:lpwstr/>
      </vt:variant>
      <vt:variant>
        <vt:i4>4456524</vt:i4>
      </vt:variant>
      <vt:variant>
        <vt:i4>3</vt:i4>
      </vt:variant>
      <vt:variant>
        <vt:i4>0</vt:i4>
      </vt:variant>
      <vt:variant>
        <vt:i4>5</vt:i4>
      </vt:variant>
      <vt:variant>
        <vt:lpwstr>https://ec.europa.eu/eurostat/web/products-eurostat-news/w/ddn-20260325-3</vt:lpwstr>
      </vt:variant>
      <vt:variant>
        <vt:lpwstr/>
      </vt:variant>
      <vt:variant>
        <vt:i4>5505089</vt:i4>
      </vt:variant>
      <vt:variant>
        <vt:i4>0</vt:i4>
      </vt:variant>
      <vt:variant>
        <vt:i4>0</vt:i4>
      </vt:variant>
      <vt:variant>
        <vt:i4>5</vt:i4>
      </vt:variant>
      <vt:variant>
        <vt:lpwstr>https://ec.europa.eu/eurostat/web/products-eurostat-news/w/wdn-20260318-1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2026-04-21T16:55:00Z</dcterms:created>
  <dcterms:modified xsi:type="dcterms:W3CDTF">2026-04-24T19:49:00Z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y fmtid="{D5CDD505-2E9C-101B-9397-08002B2CF9AE}" pid="8" name="MSIP_Label_6bd9ddd1-4d20-43f6-abfa-fc3c07406f94_Enabled">
    <vt:lpwstr>true</vt:lpwstr>
  </property>
  <property fmtid="{D5CDD505-2E9C-101B-9397-08002B2CF9AE}" pid="9" name="MSIP_Label_6bd9ddd1-4d20-43f6-abfa-fc3c07406f94_SetDate">
    <vt:lpwstr>2026-04-23T15:48:49Z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05790ec9-2f36-47e8-b43d-8c7dc311bfe7</vt:lpwstr>
  </property>
  <property fmtid="{D5CDD505-2E9C-101B-9397-08002B2CF9AE}" pid="14" name="MSIP_Label_6bd9ddd1-4d20-43f6-abfa-fc3c07406f94_ContentBits">
    <vt:lpwstr>0</vt:lpwstr>
  </property>
  <property fmtid="{D5CDD505-2E9C-101B-9397-08002B2CF9AE}" pid="15" name="MSIP_Label_6bd9ddd1-4d20-43f6-abfa-fc3c07406f94_Tag">
    <vt:lpwstr>10, 3, 0, 1</vt:lpwstr>
  </property>
</Properties>
</file>