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AF727" w14:textId="44A784D3" w:rsidR="00C57C9A" w:rsidRPr="005C0FCB" w:rsidRDefault="00DB69B1" w:rsidP="00DB69B1">
      <w:pPr>
        <w:pStyle w:val="Pagedecouverture"/>
        <w:rPr>
          <w:noProof/>
        </w:rPr>
      </w:pPr>
      <w:bookmarkStart w:id="0" w:name="LW_BM_COVERPAGE"/>
      <w:r>
        <w:rPr>
          <w:noProof/>
        </w:rPr>
        <w:pict w14:anchorId="625F7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B38D1B-D354-485B-A9A6-A2F1400250E0" style="width:455.15pt;height:441.6pt">
            <v:imagedata r:id="rId7" o:title=""/>
          </v:shape>
        </w:pict>
      </w:r>
    </w:p>
    <w:bookmarkEnd w:id="0"/>
    <w:p w14:paraId="4A2756ED" w14:textId="77777777" w:rsidR="00C57C9A" w:rsidRPr="005C0FCB" w:rsidRDefault="00C57C9A" w:rsidP="00C57C9A">
      <w:pPr>
        <w:rPr>
          <w:noProof/>
        </w:rPr>
        <w:sectPr w:rsidR="00C57C9A" w:rsidRPr="005C0FCB" w:rsidSect="00DB69B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2F0B31CC" w14:textId="77777777" w:rsidR="00AF714B" w:rsidRPr="005C0FCB" w:rsidRDefault="00AF714B" w:rsidP="00AF714B">
      <w:pPr>
        <w:jc w:val="center"/>
        <w:rPr>
          <w:b/>
          <w:bCs/>
          <w:noProof/>
        </w:rPr>
      </w:pPr>
      <w:bookmarkStart w:id="1" w:name="_Hlk227531643"/>
      <w:bookmarkStart w:id="2" w:name="_GoBack"/>
      <w:bookmarkEnd w:id="2"/>
      <w:r w:rsidRPr="005C0FCB">
        <w:rPr>
          <w:b/>
          <w:noProof/>
        </w:rPr>
        <w:lastRenderedPageBreak/>
        <w:t>ANEXA I</w:t>
      </w:r>
    </w:p>
    <w:p w14:paraId="0E4BF878" w14:textId="77777777" w:rsidR="00AF714B" w:rsidRPr="005C0FCB" w:rsidRDefault="00AF714B" w:rsidP="00AF714B">
      <w:pPr>
        <w:jc w:val="center"/>
        <w:rPr>
          <w:b/>
          <w:bCs/>
          <w:noProof/>
        </w:rPr>
      </w:pPr>
      <w:r w:rsidRPr="005C0FCB">
        <w:rPr>
          <w:b/>
          <w:noProof/>
        </w:rPr>
        <w:t>Exemple de bune practici adoptate la nivel național</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AF714B" w:rsidRPr="005C0FCB" w14:paraId="5DE96CCF"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1387DB01" w14:textId="77777777" w:rsidR="00AF714B" w:rsidRPr="005C0FCB" w:rsidRDefault="00AF714B" w:rsidP="00380F00">
            <w:pPr>
              <w:spacing w:after="0"/>
              <w:ind w:left="360"/>
              <w:jc w:val="center"/>
              <w:textAlignment w:val="baseline"/>
              <w:rPr>
                <w:rFonts w:ascii="Segoe UI" w:hAnsi="Segoe UI" w:cs="Segoe UI"/>
                <w:noProof/>
                <w:sz w:val="18"/>
                <w:szCs w:val="18"/>
              </w:rPr>
            </w:pPr>
            <w:r w:rsidRPr="005C0FCB">
              <w:rPr>
                <w:b/>
                <w:noProof/>
                <w:sz w:val="22"/>
              </w:rPr>
              <w:t>Stimularea adoptării tehnologiilor curate</w:t>
            </w:r>
            <w:r w:rsidRPr="005C0FCB">
              <w:rPr>
                <w:noProof/>
                <w:sz w:val="22"/>
              </w:rPr>
              <w:t xml:space="preserve"> </w:t>
            </w:r>
          </w:p>
        </w:tc>
      </w:tr>
      <w:tr w:rsidR="00D331AD" w:rsidRPr="005C0FCB" w14:paraId="02D972C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E066EC" w14:textId="3A4DEC57" w:rsidR="00D331AD" w:rsidRPr="005C0FCB" w:rsidRDefault="00D331AD" w:rsidP="00380F00">
            <w:pPr>
              <w:spacing w:after="0"/>
              <w:textAlignment w:val="baseline"/>
              <w:rPr>
                <w:rFonts w:ascii="Segoe UI" w:hAnsi="Segoe UI" w:cs="Segoe UI"/>
                <w:noProof/>
                <w:sz w:val="18"/>
                <w:szCs w:val="18"/>
              </w:rPr>
            </w:pPr>
            <w:r w:rsidRPr="005C0FCB">
              <w:rPr>
                <w:noProof/>
                <w:sz w:val="22"/>
              </w:rPr>
              <w:t>Subvenții la scară largă pentru pompele de căldură, pentru energia geotermală și cea solară, corelate cu un „Fond pentru încălzire” în valoare de 500 de milioane EUR pentru ca industria să treacă de la combustibilii fosili la biomasă, la energie eoliană și la energie solară. Încurajarea implementării până în 2027 a pompelor de căldură în clădirile noi. Introducerea unor sisteme de leasing social pentru vehiculele electrice.</w:t>
            </w:r>
          </w:p>
        </w:tc>
      </w:tr>
      <w:tr w:rsidR="00D331AD" w:rsidRPr="005C0FCB" w14:paraId="3D05212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27200C"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Reducerea TVA-ului la 6 % pentru pompele de căldură, instalațiile solare fotovoltaice și cazanele solare. </w:t>
            </w:r>
          </w:p>
        </w:tc>
      </w:tr>
      <w:tr w:rsidR="00D331AD" w:rsidRPr="005C0FCB" w14:paraId="47AFABF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647A2C"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Acordarea unei subvenții de până la 100 % gospodăriilor vulnerabile pentru înlocuirea cazanelor pe bază de combustibili fosili. </w:t>
            </w:r>
          </w:p>
        </w:tc>
      </w:tr>
      <w:tr w:rsidR="00D331AD" w:rsidRPr="005C0FCB" w14:paraId="42775964"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026F5E"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Obligația întreprinderilor de a pune în aplicare toate măsurile de eficiență energetică ce au o perioadă de amortizare mai mică de cinci ani. Schemă de subvenții pentru vehiculele comerciale cu emisii zero pentru întreprinderi.</w:t>
            </w:r>
          </w:p>
        </w:tc>
      </w:tr>
      <w:tr w:rsidR="00D331AD" w:rsidRPr="005C0FCB" w14:paraId="1ED60DF6"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325AE6" w14:textId="77777777" w:rsidR="00D331AD" w:rsidRPr="005C0FCB" w:rsidRDefault="00D331AD" w:rsidP="00D331AD">
            <w:pPr>
              <w:spacing w:before="0" w:beforeAutospacing="0" w:after="0" w:afterAutospacing="0"/>
              <w:textAlignment w:val="baseline"/>
              <w:rPr>
                <w:noProof/>
                <w:sz w:val="22"/>
                <w:szCs w:val="22"/>
              </w:rPr>
            </w:pPr>
            <w:r w:rsidRPr="005C0FCB">
              <w:rPr>
                <w:noProof/>
                <w:sz w:val="22"/>
              </w:rPr>
              <w:t>Prețuri mai mici ale energiei electrice pentru pompele de căldură în schimbul flexibilității sistemului.</w:t>
            </w:r>
          </w:p>
        </w:tc>
      </w:tr>
      <w:tr w:rsidR="00AF714B" w:rsidRPr="005C0FCB" w14:paraId="549DD744"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E7CC85" w14:textId="77777777" w:rsidR="00AF714B" w:rsidRPr="005C0FCB" w:rsidRDefault="00AF714B" w:rsidP="00380F00">
            <w:pPr>
              <w:spacing w:before="0" w:beforeAutospacing="0" w:after="0" w:afterAutospacing="0"/>
              <w:rPr>
                <w:noProof/>
                <w:sz w:val="22"/>
                <w:szCs w:val="22"/>
              </w:rPr>
            </w:pPr>
            <w:r w:rsidRPr="005C0FCB">
              <w:rPr>
                <w:noProof/>
                <w:sz w:val="22"/>
              </w:rPr>
              <w:t>Organizarea și participarea la licitații cu două componente pentru producția de eSAF în cadrul Coaliției primilor participanți la tranziția către eSAF.</w:t>
            </w:r>
          </w:p>
        </w:tc>
      </w:tr>
      <w:tr w:rsidR="00AF714B" w:rsidRPr="005C0FCB" w14:paraId="41C71316"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583A72" w14:textId="77777777" w:rsidR="00AF714B" w:rsidRPr="005C0FCB" w:rsidRDefault="00AF714B" w:rsidP="00380F00">
            <w:pPr>
              <w:spacing w:before="0" w:beforeAutospacing="0" w:after="0" w:afterAutospacing="0"/>
              <w:rPr>
                <w:noProof/>
                <w:sz w:val="22"/>
                <w:szCs w:val="22"/>
              </w:rPr>
            </w:pPr>
            <w:r w:rsidRPr="005C0FCB">
              <w:rPr>
                <w:noProof/>
                <w:sz w:val="22"/>
              </w:rPr>
              <w:t xml:space="preserve">Acordarea de stimulente fiscale sau de alte stimulente financiare pentru parcurile de vehicule electrice ale întreprinderilor. </w:t>
            </w:r>
          </w:p>
        </w:tc>
      </w:tr>
      <w:tr w:rsidR="00AF714B" w:rsidRPr="005C0FCB" w14:paraId="20F6F7E4"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D340D82" w14:textId="77777777" w:rsidR="00AF714B" w:rsidRPr="005C0FCB" w:rsidRDefault="00AF714B" w:rsidP="00380F00">
            <w:pPr>
              <w:spacing w:after="0"/>
              <w:ind w:left="720" w:hanging="360"/>
              <w:jc w:val="center"/>
              <w:textAlignment w:val="baseline"/>
              <w:rPr>
                <w:rFonts w:ascii="Segoe UI" w:hAnsi="Segoe UI" w:cs="Segoe UI"/>
                <w:noProof/>
                <w:sz w:val="18"/>
                <w:szCs w:val="18"/>
              </w:rPr>
            </w:pPr>
            <w:r w:rsidRPr="005C0FCB">
              <w:rPr>
                <w:b/>
                <w:noProof/>
                <w:sz w:val="22"/>
              </w:rPr>
              <w:t>Măsuri în sectorul construcțiilor</w:t>
            </w:r>
            <w:r w:rsidRPr="005C0FCB">
              <w:rPr>
                <w:noProof/>
                <w:sz w:val="22"/>
              </w:rPr>
              <w:t xml:space="preserve"> </w:t>
            </w:r>
          </w:p>
        </w:tc>
      </w:tr>
      <w:tr w:rsidR="00D331AD" w:rsidRPr="005C0FCB" w14:paraId="7B5BC241"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680A30" w14:textId="0A384143" w:rsidR="00D331AD" w:rsidRPr="005C0FCB" w:rsidRDefault="00D331AD" w:rsidP="00380F00">
            <w:pPr>
              <w:spacing w:after="0"/>
              <w:textAlignment w:val="baseline"/>
              <w:rPr>
                <w:rFonts w:ascii="Segoe UI" w:hAnsi="Segoe UI" w:cs="Segoe UI"/>
                <w:noProof/>
                <w:sz w:val="18"/>
                <w:szCs w:val="18"/>
              </w:rPr>
            </w:pPr>
            <w:r w:rsidRPr="005C0FCB">
              <w:rPr>
                <w:noProof/>
                <w:sz w:val="22"/>
              </w:rPr>
              <w:t>Acordarea de subvenții de până la 50 % și de împrumuturi cu dobândă zero (până la 50 000 EUR) pentru renovarea clădirilor, inclusiv pentru izolare. </w:t>
            </w:r>
          </w:p>
        </w:tc>
      </w:tr>
      <w:tr w:rsidR="00D331AD" w:rsidRPr="005C0FCB" w14:paraId="6109C1A9"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203123"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Un plan integrat care să combine măsuri comportamentale, investiții cu amortizare rapidă și activități de renovare pe termen lung, vizând economii de energie de 20 % pe o perioadă de doi ani. </w:t>
            </w:r>
          </w:p>
        </w:tc>
      </w:tr>
      <w:tr w:rsidR="00D331AD" w:rsidRPr="005C0FCB" w14:paraId="51CE4E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9CBB69"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O campanie de sensibilizare pentru reducerea temperaturilor de încălzire cu 1 °C și creșterea temperaturilor de răcire cu 1 °C în clădirile publice. </w:t>
            </w:r>
          </w:p>
        </w:tc>
      </w:tr>
      <w:tr w:rsidR="00D331AD" w:rsidRPr="005C0FCB" w14:paraId="6EA7FCE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73704D"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Ordonanțe de economisire a energiei care vizează sectorul public, întreprinderile și gospodăriile, cu norme privind încălzirea, iluminatul și consumul de energie, pentru a reduce consumul de gaze cu aproximativ 20 TWh pe an. </w:t>
            </w:r>
          </w:p>
        </w:tc>
      </w:tr>
      <w:tr w:rsidR="00AF714B" w:rsidRPr="005C0FCB" w14:paraId="718C6226"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06010E40" w14:textId="77777777" w:rsidR="00AF714B" w:rsidRPr="005C0FCB" w:rsidRDefault="00AF714B" w:rsidP="00380F00">
            <w:pPr>
              <w:spacing w:after="0"/>
              <w:ind w:left="360"/>
              <w:jc w:val="center"/>
              <w:textAlignment w:val="baseline"/>
              <w:rPr>
                <w:rFonts w:ascii="Segoe UI" w:hAnsi="Segoe UI" w:cs="Segoe UI"/>
                <w:noProof/>
                <w:sz w:val="18"/>
                <w:szCs w:val="18"/>
              </w:rPr>
            </w:pPr>
            <w:r w:rsidRPr="005C0FCB">
              <w:rPr>
                <w:b/>
                <w:noProof/>
                <w:sz w:val="22"/>
              </w:rPr>
              <w:t>Stimulente pentru transportul public și transferul modal</w:t>
            </w:r>
            <w:r w:rsidRPr="005C0FCB">
              <w:rPr>
                <w:noProof/>
                <w:sz w:val="22"/>
              </w:rPr>
              <w:t xml:space="preserve"> </w:t>
            </w:r>
          </w:p>
        </w:tc>
      </w:tr>
      <w:tr w:rsidR="00D331AD" w:rsidRPr="005C0FCB" w14:paraId="1DEACDBF"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0AE472"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Un permis național unic de transport, care să acopere un număr nelimitat de călătorii pe toate autobuzele interregionale exploatate de stat, precum și o serie de alte servicii. Servicii de transport receptive la cerere în zonele rurale.</w:t>
            </w:r>
          </w:p>
        </w:tc>
      </w:tr>
      <w:tr w:rsidR="00D331AD" w:rsidRPr="005C0FCB" w14:paraId="3B76909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7CAFF2"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Înghețarea prețurilor biletelor de tren grație unor compensații publice. </w:t>
            </w:r>
          </w:p>
        </w:tc>
      </w:tr>
      <w:tr w:rsidR="00D331AD" w:rsidRPr="005C0FCB" w14:paraId="1C5DFF6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6E3117"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O campanie la nivel național de promovare a economiilor de energie, inclusiv a schimbărilor comportamentale legate de transport. Un program de finanțare a bicicletelor de marfă. Un abonament lunar forfetar unic valabil pentru toate tipurile de transport public local și regional.</w:t>
            </w:r>
          </w:p>
        </w:tc>
      </w:tr>
      <w:tr w:rsidR="00D331AD" w:rsidRPr="005C0FCB" w14:paraId="4A846092"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1F4AD" w14:textId="09F3DF49" w:rsidR="00D331AD" w:rsidRPr="005C0FCB" w:rsidRDefault="00D331AD" w:rsidP="00380F00">
            <w:pPr>
              <w:spacing w:after="0"/>
              <w:textAlignment w:val="baseline"/>
              <w:rPr>
                <w:noProof/>
                <w:sz w:val="22"/>
                <w:szCs w:val="22"/>
              </w:rPr>
            </w:pPr>
            <w:r w:rsidRPr="005C0FCB">
              <w:rPr>
                <w:noProof/>
                <w:sz w:val="22"/>
              </w:rPr>
              <w:t>Un abonament anual forfetar subvenționat care să încurajeze utilizarea zilnică a mijloacelor de transport public urban</w:t>
            </w:r>
            <w:r w:rsidR="001D4CEE" w:rsidRPr="005C0FCB">
              <w:rPr>
                <w:noProof/>
                <w:sz w:val="22"/>
              </w:rPr>
              <w:t>.</w:t>
            </w:r>
          </w:p>
        </w:tc>
      </w:tr>
      <w:tr w:rsidR="00D331AD" w:rsidRPr="005C0FCB" w14:paraId="26BCFA1A"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78D62B" w14:textId="6BC99AA1" w:rsidR="00D331AD" w:rsidRPr="005C0FCB" w:rsidRDefault="00D331AD" w:rsidP="00380F00">
            <w:pPr>
              <w:spacing w:after="0"/>
              <w:textAlignment w:val="baseline"/>
              <w:rPr>
                <w:noProof/>
                <w:sz w:val="22"/>
                <w:szCs w:val="22"/>
              </w:rPr>
            </w:pPr>
            <w:r w:rsidRPr="005C0FCB">
              <w:rPr>
                <w:noProof/>
                <w:color w:val="000000"/>
                <w:sz w:val="22"/>
              </w:rPr>
              <w:t>Investiții în infrastructura pentru biciclete și în sisteme de partajare care să vizeze regiunile cu niveluri mai ridicate de sărăcie în materie de transporturi</w:t>
            </w:r>
            <w:r w:rsidR="001D4CEE" w:rsidRPr="005C0FCB">
              <w:rPr>
                <w:noProof/>
                <w:color w:val="000000"/>
                <w:sz w:val="22"/>
              </w:rPr>
              <w:t>.</w:t>
            </w:r>
          </w:p>
        </w:tc>
      </w:tr>
      <w:tr w:rsidR="00D331AD" w:rsidRPr="005C0FCB" w14:paraId="29E9AD10"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A4875D" w14:textId="303E0BA6" w:rsidR="00D331AD" w:rsidRPr="005C0FCB" w:rsidRDefault="00D331AD" w:rsidP="00380F00">
            <w:pPr>
              <w:spacing w:after="0"/>
              <w:textAlignment w:val="baseline"/>
              <w:rPr>
                <w:noProof/>
                <w:sz w:val="22"/>
                <w:szCs w:val="22"/>
              </w:rPr>
            </w:pPr>
            <w:r w:rsidRPr="005C0FCB">
              <w:rPr>
                <w:noProof/>
                <w:color w:val="000000"/>
                <w:sz w:val="22"/>
              </w:rPr>
              <w:t>Planul național de folosire în comun a autovehiculelor</w:t>
            </w:r>
            <w:r w:rsidR="001D4CEE" w:rsidRPr="005C0FCB">
              <w:rPr>
                <w:noProof/>
                <w:color w:val="000000"/>
                <w:sz w:val="22"/>
              </w:rPr>
              <w:t>.</w:t>
            </w:r>
          </w:p>
        </w:tc>
      </w:tr>
      <w:tr w:rsidR="00AF714B" w:rsidRPr="005C0FCB" w14:paraId="49D1FABF"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484D80" w14:textId="5751AE34" w:rsidR="00AF714B" w:rsidRPr="005C0FCB" w:rsidRDefault="00AF714B" w:rsidP="00380F00">
            <w:pPr>
              <w:rPr>
                <w:noProof/>
              </w:rPr>
            </w:pPr>
            <w:r w:rsidRPr="005C0FCB">
              <w:rPr>
                <w:noProof/>
                <w:color w:val="000000" w:themeColor="text1"/>
                <w:sz w:val="22"/>
              </w:rPr>
              <w:t>Avantaje fiscale pentru achiziționarea/deținerea de vehicule cu emisii zero aplicabile autovehiculelor de serviciu, inclusiv reduceri sau scutiri de la plata impozitului pe prestațiile în natură</w:t>
            </w:r>
            <w:r w:rsidR="001D4CEE" w:rsidRPr="005C0FCB">
              <w:rPr>
                <w:noProof/>
                <w:color w:val="000000" w:themeColor="text1"/>
                <w:sz w:val="22"/>
              </w:rPr>
              <w:t>.</w:t>
            </w:r>
          </w:p>
        </w:tc>
      </w:tr>
      <w:tr w:rsidR="00AF714B" w:rsidRPr="005C0FCB" w14:paraId="21696ECE" w14:textId="77777777" w:rsidTr="00380F00">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D43A9" w14:textId="7394E4FE" w:rsidR="00AF714B" w:rsidRPr="005C0FCB" w:rsidRDefault="00AF714B" w:rsidP="00380F00">
            <w:pPr>
              <w:rPr>
                <w:noProof/>
                <w:sz w:val="22"/>
                <w:szCs w:val="22"/>
              </w:rPr>
            </w:pPr>
            <w:r w:rsidRPr="005C0FCB">
              <w:rPr>
                <w:noProof/>
                <w:color w:val="000000" w:themeColor="text1"/>
                <w:sz w:val="22"/>
              </w:rPr>
              <w:t>Stimulente pentru achiziționarea de vehicule electrice cu baterii și sprijin pentru instalarea de puncte de încărcare în clădirile rezidențiale sau în spațiile comerciale</w:t>
            </w:r>
            <w:r w:rsidR="001D4CEE" w:rsidRPr="005C0FCB">
              <w:rPr>
                <w:noProof/>
                <w:color w:val="000000" w:themeColor="text1"/>
                <w:sz w:val="22"/>
              </w:rPr>
              <w:t>.</w:t>
            </w:r>
          </w:p>
        </w:tc>
      </w:tr>
      <w:tr w:rsidR="00AF714B" w:rsidRPr="005C0FCB" w14:paraId="1A675F42" w14:textId="77777777" w:rsidTr="004A1E07">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1D1D1" w:themeFill="background2" w:themeFillShade="E6"/>
            <w:vAlign w:val="center"/>
            <w:hideMark/>
          </w:tcPr>
          <w:p w14:paraId="64CCA874" w14:textId="77777777" w:rsidR="00AF714B" w:rsidRPr="005C0FCB" w:rsidRDefault="00AF714B" w:rsidP="00380F00">
            <w:pPr>
              <w:spacing w:after="0"/>
              <w:ind w:left="720" w:hanging="360"/>
              <w:jc w:val="center"/>
              <w:textAlignment w:val="baseline"/>
              <w:rPr>
                <w:rFonts w:ascii="Segoe UI" w:hAnsi="Segoe UI" w:cs="Segoe UI"/>
                <w:noProof/>
                <w:sz w:val="18"/>
                <w:szCs w:val="18"/>
              </w:rPr>
            </w:pPr>
            <w:r w:rsidRPr="005C0FCB">
              <w:rPr>
                <w:b/>
                <w:noProof/>
                <w:sz w:val="22"/>
              </w:rPr>
              <w:t>Măsuri transversale</w:t>
            </w:r>
            <w:r w:rsidRPr="005C0FCB">
              <w:rPr>
                <w:noProof/>
                <w:sz w:val="22"/>
              </w:rPr>
              <w:t xml:space="preserve"> </w:t>
            </w:r>
          </w:p>
        </w:tc>
      </w:tr>
      <w:tr w:rsidR="00D331AD" w:rsidRPr="005C0FCB" w14:paraId="698162BC"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C43A0ED" w14:textId="77777777" w:rsidR="00D331AD" w:rsidRPr="005C0FCB" w:rsidRDefault="00D331AD" w:rsidP="00380F00">
            <w:pPr>
              <w:spacing w:after="0"/>
              <w:textAlignment w:val="baseline"/>
              <w:rPr>
                <w:rFonts w:ascii="Segoe UI" w:hAnsi="Segoe UI" w:cs="Segoe UI"/>
                <w:noProof/>
                <w:sz w:val="18"/>
                <w:szCs w:val="18"/>
              </w:rPr>
            </w:pPr>
            <w:r w:rsidRPr="005C0FCB">
              <w:rPr>
                <w:noProof/>
                <w:sz w:val="22"/>
              </w:rPr>
              <w:t>Dezvoltarea de instrumente digitale pentru a promova consumul flexibil de energie electrică și reorientarea cererii. </w:t>
            </w:r>
          </w:p>
        </w:tc>
      </w:tr>
      <w:tr w:rsidR="00D331AD" w:rsidRPr="005C0FCB" w14:paraId="714977DD" w14:textId="77777777" w:rsidTr="00D331AD">
        <w:trPr>
          <w:trHeight w:val="285"/>
        </w:trPr>
        <w:tc>
          <w:tcPr>
            <w:tcW w:w="934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BAB1F3" w14:textId="77777777" w:rsidR="00D331AD" w:rsidRPr="005C0FCB" w:rsidRDefault="00D331AD" w:rsidP="00380F00">
            <w:pPr>
              <w:spacing w:after="0"/>
              <w:textAlignment w:val="baseline"/>
              <w:rPr>
                <w:rFonts w:ascii="Segoe UI" w:hAnsi="Segoe UI" w:cs="Segoe UI"/>
                <w:noProof/>
                <w:sz w:val="18"/>
                <w:szCs w:val="18"/>
              </w:rPr>
            </w:pPr>
            <w:r w:rsidRPr="005C0FCB">
              <w:rPr>
                <w:noProof/>
                <w:color w:val="000000"/>
                <w:sz w:val="22"/>
              </w:rPr>
              <w:t>O campanie de schimbare comportamentală la nivel național intitulată „Cu un grad mai puțin pentru a asigura accesul tuturor gospodăriilor la energie”, care a condus la adoptarea de către 86 % dintre cetățeni a unor măsuri de economisire a energiei. </w:t>
            </w:r>
          </w:p>
        </w:tc>
      </w:tr>
    </w:tbl>
    <w:p w14:paraId="2A774B49" w14:textId="77777777" w:rsidR="00AF714B" w:rsidRPr="005C0FCB" w:rsidRDefault="00AF714B" w:rsidP="00D331AD">
      <w:pPr>
        <w:spacing w:before="0" w:beforeAutospacing="0" w:after="160" w:afterAutospacing="0" w:line="259" w:lineRule="auto"/>
        <w:jc w:val="left"/>
        <w:rPr>
          <w:b/>
          <w:noProof/>
        </w:rPr>
      </w:pPr>
      <w:r w:rsidRPr="005C0FCB">
        <w:rPr>
          <w:noProof/>
        </w:rPr>
        <w:br w:type="page"/>
      </w:r>
    </w:p>
    <w:p w14:paraId="3D8FFC06" w14:textId="77777777" w:rsidR="00AF714B" w:rsidRPr="005C0FCB" w:rsidRDefault="00AF714B" w:rsidP="00AF714B">
      <w:pPr>
        <w:jc w:val="center"/>
        <w:rPr>
          <w:b/>
          <w:bCs/>
          <w:noProof/>
        </w:rPr>
      </w:pPr>
      <w:r w:rsidRPr="005C0FCB">
        <w:rPr>
          <w:b/>
          <w:noProof/>
        </w:rPr>
        <w:t>ANEXA II</w:t>
      </w:r>
    </w:p>
    <w:p w14:paraId="57C4371D" w14:textId="77777777" w:rsidR="00AF714B" w:rsidRPr="005C0FCB" w:rsidRDefault="00AF714B" w:rsidP="00AF714B">
      <w:pPr>
        <w:jc w:val="center"/>
        <w:rPr>
          <w:b/>
          <w:bCs/>
          <w:noProof/>
        </w:rPr>
      </w:pPr>
      <w:r w:rsidRPr="005C0FCB">
        <w:rPr>
          <w:b/>
          <w:noProof/>
        </w:rPr>
        <w:t>Tipuri de măsuri ce vizează acordarea unui ajutor imediat</w:t>
      </w:r>
    </w:p>
    <w:tbl>
      <w:tblPr>
        <w:tblStyle w:val="TableGrid"/>
        <w:tblW w:w="9479" w:type="dxa"/>
        <w:tblLook w:val="04A0" w:firstRow="1" w:lastRow="0" w:firstColumn="1" w:lastColumn="0" w:noHBand="0" w:noVBand="1"/>
      </w:tblPr>
      <w:tblGrid>
        <w:gridCol w:w="2684"/>
        <w:gridCol w:w="6795"/>
      </w:tblGrid>
      <w:tr w:rsidR="00AF714B" w:rsidRPr="005C0FCB" w14:paraId="345A3721"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1D833193" w14:textId="77777777" w:rsidR="00AF714B" w:rsidRPr="005C0FCB" w:rsidRDefault="00AF714B" w:rsidP="00380F00">
            <w:pPr>
              <w:keepNext/>
              <w:jc w:val="center"/>
              <w:rPr>
                <w:b/>
                <w:bCs/>
                <w:noProof/>
                <w:color w:val="000000" w:themeColor="text1"/>
              </w:rPr>
            </w:pPr>
            <w:r w:rsidRPr="005C0FCB">
              <w:rPr>
                <w:b/>
                <w:noProof/>
                <w:color w:val="000000" w:themeColor="text1"/>
              </w:rPr>
              <w:t>Ce pot face statele membre pentru a produce un impact imediat?</w:t>
            </w:r>
          </w:p>
        </w:tc>
        <w:tc>
          <w:tcPr>
            <w:tcW w:w="67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1D1D1" w:themeFill="background2" w:themeFillShade="E6"/>
            <w:tcMar>
              <w:left w:w="108" w:type="dxa"/>
              <w:right w:w="108" w:type="dxa"/>
            </w:tcMar>
            <w:vAlign w:val="center"/>
          </w:tcPr>
          <w:p w14:paraId="4D11864E" w14:textId="77777777" w:rsidR="00AF714B" w:rsidRPr="005C0FCB" w:rsidRDefault="00AF714B" w:rsidP="00380F00">
            <w:pPr>
              <w:keepNext/>
              <w:jc w:val="center"/>
              <w:rPr>
                <w:b/>
                <w:bCs/>
                <w:noProof/>
                <w:color w:val="000000" w:themeColor="text1"/>
              </w:rPr>
            </w:pPr>
            <w:r w:rsidRPr="005C0FCB">
              <w:rPr>
                <w:b/>
                <w:noProof/>
                <w:color w:val="000000" w:themeColor="text1"/>
              </w:rPr>
              <w:t>Cum trebuie procedat/ce instrumente trebuie utilizate?</w:t>
            </w:r>
          </w:p>
        </w:tc>
      </w:tr>
      <w:tr w:rsidR="00AF714B" w:rsidRPr="005C0FCB" w14:paraId="4EDD16BC" w14:textId="77777777" w:rsidTr="00380F00">
        <w:trPr>
          <w:trHeight w:val="49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0401A9D6" w14:textId="77777777" w:rsidR="00AF714B" w:rsidRPr="005C0FCB" w:rsidRDefault="00AF714B" w:rsidP="00380F00">
            <w:pPr>
              <w:keepNext/>
              <w:jc w:val="center"/>
              <w:rPr>
                <w:b/>
                <w:bCs/>
                <w:noProof/>
                <w:color w:val="000000" w:themeColor="text1"/>
              </w:rPr>
            </w:pPr>
            <w:r w:rsidRPr="005C0FCB">
              <w:rPr>
                <w:b/>
                <w:noProof/>
                <w:color w:val="000000" w:themeColor="text1"/>
              </w:rPr>
              <w:t>Gospodării și clădiri</w:t>
            </w:r>
          </w:p>
        </w:tc>
      </w:tr>
      <w:tr w:rsidR="00AF714B" w:rsidRPr="005C0FCB" w14:paraId="2D51372D"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BE19A5"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Protejarea gospodăriilor vulnerabile</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1EA7F46"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Emiterea de vouchere pentru energie țintite în cazul gospodăriilor vulnerabile.</w:t>
            </w:r>
          </w:p>
          <w:p w14:paraId="3C2159FA" w14:textId="0BA82D0F"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Luarea în considerare, dacă este necesar, a aplicării temporare a unor prețuri reglementate țintite în cazul gospodăriilor vulnerabile și al celor afectate de sărăcie energetică (tarife sociale).</w:t>
            </w:r>
          </w:p>
          <w:p w14:paraId="6685927A"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Introducerea unor reduceri totale sau parțiale țintite ale accizelor la energia electrică în cazul gospodăriilor afectate de sărăcie energetică și al celor vulnerabile.</w:t>
            </w:r>
          </w:p>
        </w:tc>
      </w:tr>
      <w:tr w:rsidR="00AF714B" w:rsidRPr="005C0FCB" w14:paraId="6D865E3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BE7F8F"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Utilizarea eficientă a sistemelor de încălzire și de climatizare</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A304BFE"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Ajustarea setărilor implicite ale cazanelor cu condensare și ale sistemelor centralizate de climatizare din clădirile publice pentru a spori eficiența și a reduce consumul de energie pentru încălzire, răcire și încălzirea apei.</w:t>
            </w:r>
          </w:p>
          <w:p w14:paraId="59E02E35"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Impunerea obligației ca ocupanții clădirilor comerciale să ajusteze setările implicite ale cazanelor cu condensare și ale sistemelor centralizate de climatizare pentru a spori eficiența.</w:t>
            </w:r>
          </w:p>
          <w:p w14:paraId="0859866B"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Încurajarea ocupanților clădirilor rezidențiale private să mențină temperaturile cazanelor cu condensare sub 50 de grade.</w:t>
            </w:r>
          </w:p>
        </w:tc>
      </w:tr>
      <w:tr w:rsidR="00AF714B" w:rsidRPr="005C0FCB" w14:paraId="5D7721EA"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D8FEF4"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Sprijinirea introducerii rapide a unor tehnologii curate și eficiente din punct de vedere energetic la domiciliu, inclusiv în ceea ce privește eficiența energetică și încălzirea apei</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5DB9BF77"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Introducerea unor stimulente fiscale și/sau a unui sprijin financiar țintite, inclusiv un sistem de leasing social pentru gospodăriile vulnerabile, pentru a implementa rapid tehnologii curate și eficiente, care să fie ușor de instalat, cum ar fi bateriile reîncărcabile, panourile fotovoltaice, pompele de căldură și ferestrele de înaltă performanță.</w:t>
            </w:r>
          </w:p>
          <w:p w14:paraId="39F3167E"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Utilizarea tarifelor sociale de vitalitate și a bonusurilor sub formă de granturi pentru a înlocui rapid cazanele pe bază de combustibili fosili.</w:t>
            </w:r>
          </w:p>
          <w:p w14:paraId="3DB2A695"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Eliminarea barierelor juridice din calea implementării în condiții de siguranță a unor tehnologii plug-in „în spatele contorului” pentru a atenua costurile sistemului și a încuraja interoperabilitatea și flexibilitatea.</w:t>
            </w:r>
          </w:p>
          <w:p w14:paraId="09AD6E8F"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Introducerea de stimulente fiscale și/sau de subvenții pentru consumatori în vederea înlocuirii aparatelor de gătit pe bază de gaz, vechi sau ineficiente, cu aparate electrice.</w:t>
            </w:r>
          </w:p>
        </w:tc>
      </w:tr>
      <w:tr w:rsidR="00AF714B" w:rsidRPr="005C0FCB" w14:paraId="0AD347E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5CF02A"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 xml:space="preserve">Prevenirea debranșărilor de la alimentarea cu energie electrică </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0E765327" w14:textId="77777777" w:rsidR="00AF714B" w:rsidRPr="005C0FCB" w:rsidRDefault="00AF714B" w:rsidP="00380F00">
            <w:pPr>
              <w:pStyle w:val="ListParagraph"/>
              <w:numPr>
                <w:ilvl w:val="0"/>
                <w:numId w:val="6"/>
              </w:numPr>
              <w:spacing w:before="0" w:beforeAutospacing="0" w:after="0" w:afterAutospacing="0"/>
              <w:ind w:left="360"/>
              <w:rPr>
                <w:noProof/>
                <w:sz w:val="20"/>
                <w:szCs w:val="20"/>
              </w:rPr>
            </w:pPr>
            <w:r w:rsidRPr="005C0FCB">
              <w:rPr>
                <w:noProof/>
                <w:sz w:val="20"/>
              </w:rPr>
              <w:t>Instituirea unei interdicții temporare a debranșărilor de la alimentarea cu energie electrică.</w:t>
            </w:r>
          </w:p>
          <w:p w14:paraId="6C60B51D" w14:textId="77777777" w:rsidR="00AF714B" w:rsidRPr="005C0FCB" w:rsidRDefault="00AF714B" w:rsidP="00380F00">
            <w:pPr>
              <w:pStyle w:val="ListParagraph"/>
              <w:numPr>
                <w:ilvl w:val="0"/>
                <w:numId w:val="6"/>
              </w:numPr>
              <w:spacing w:before="0" w:beforeAutospacing="0" w:after="0" w:afterAutospacing="0"/>
              <w:ind w:left="360"/>
              <w:rPr>
                <w:noProof/>
                <w:sz w:val="20"/>
                <w:szCs w:val="20"/>
              </w:rPr>
            </w:pPr>
            <w:r w:rsidRPr="005C0FCB">
              <w:rPr>
                <w:noProof/>
                <w:sz w:val="20"/>
              </w:rPr>
              <w:t>Sprijinirea stabilității financiare a furnizorilor printr-o bună gestionare a riscurilor aferente furnizorilor și prin mecanisme eficace de furnizori de ultimă instanță.</w:t>
            </w:r>
          </w:p>
          <w:p w14:paraId="55111158" w14:textId="77777777" w:rsidR="00AF714B" w:rsidRPr="005C0FCB" w:rsidRDefault="00AF714B" w:rsidP="00380F00">
            <w:pPr>
              <w:pStyle w:val="ListParagraph"/>
              <w:numPr>
                <w:ilvl w:val="0"/>
                <w:numId w:val="6"/>
              </w:numPr>
              <w:spacing w:before="0" w:beforeAutospacing="0" w:after="0" w:afterAutospacing="0"/>
              <w:ind w:left="360"/>
              <w:rPr>
                <w:noProof/>
                <w:sz w:val="20"/>
                <w:szCs w:val="20"/>
              </w:rPr>
            </w:pPr>
            <w:r w:rsidRPr="005C0FCB">
              <w:rPr>
                <w:noProof/>
                <w:sz w:val="20"/>
              </w:rPr>
              <w:t>Asigurarea faptului că furnizorii de energie le oferă clienților consiliere privind „cele mai bune tarife” în funcție de utilizare și furnizează „alerte timpurii” atunci când consumul crește brusc sau când apar riscuri de neplată.</w:t>
            </w:r>
          </w:p>
        </w:tc>
      </w:tr>
      <w:tr w:rsidR="00AF714B" w:rsidRPr="005C0FCB" w14:paraId="027126D4"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79D762"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Permiterea schimbării furnizorului și a flexibilității cererii</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B48B778" w14:textId="77777777" w:rsidR="00AF714B" w:rsidRPr="005C0FCB" w:rsidRDefault="00AF714B" w:rsidP="00380F00">
            <w:pPr>
              <w:pStyle w:val="ListParagraph"/>
              <w:numPr>
                <w:ilvl w:val="0"/>
                <w:numId w:val="6"/>
              </w:numPr>
              <w:spacing w:before="0" w:beforeAutospacing="0" w:after="0" w:afterAutospacing="0"/>
              <w:ind w:left="360"/>
              <w:rPr>
                <w:noProof/>
                <w:sz w:val="20"/>
                <w:szCs w:val="20"/>
              </w:rPr>
            </w:pPr>
            <w:r w:rsidRPr="005C0FCB">
              <w:rPr>
                <w:noProof/>
                <w:sz w:val="20"/>
              </w:rPr>
              <w:t>Asigurarea faptului că un consumator poate trece cu ușurință la contracte mai ieftine și poate avea acces la instrumente neutre și transparente de comparare a prețurilor pentru a alege cele mai bune tarife și contracte.</w:t>
            </w:r>
          </w:p>
          <w:p w14:paraId="5FB373DF" w14:textId="77777777" w:rsidR="00AF714B" w:rsidRPr="005C0FCB" w:rsidRDefault="00AF714B" w:rsidP="00380F00">
            <w:pPr>
              <w:pStyle w:val="ListParagraph"/>
              <w:numPr>
                <w:ilvl w:val="0"/>
                <w:numId w:val="6"/>
              </w:numPr>
              <w:spacing w:before="0" w:beforeAutospacing="0" w:after="0" w:afterAutospacing="0"/>
              <w:ind w:left="360"/>
              <w:rPr>
                <w:noProof/>
                <w:sz w:val="20"/>
                <w:szCs w:val="20"/>
              </w:rPr>
            </w:pPr>
            <w:r w:rsidRPr="005C0FCB">
              <w:rPr>
                <w:noProof/>
                <w:sz w:val="20"/>
              </w:rPr>
              <w:t>Eliminarea barierelor din calea întreprinderilor care recompensează clienții pentru faptul că nu mai consumă energie electrică la orele de vârf, ci în momentele în care prețul la energie este mai redus.</w:t>
            </w:r>
          </w:p>
        </w:tc>
      </w:tr>
      <w:tr w:rsidR="00AF714B" w:rsidRPr="005C0FCB" w14:paraId="484506CF"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EB4D4F"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5C0FCB">
              <w:rPr>
                <w:b/>
                <w:noProof/>
                <w:color w:val="000000" w:themeColor="text1"/>
                <w:sz w:val="20"/>
              </w:rPr>
              <w:t>Promovarea autoconsumului și a comunităților energetice</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6301B5AD" w14:textId="77777777" w:rsidR="00AF714B" w:rsidRPr="005C0FCB" w:rsidRDefault="00AF714B" w:rsidP="00380F00">
            <w:pPr>
              <w:pStyle w:val="ListParagraph"/>
              <w:numPr>
                <w:ilvl w:val="0"/>
                <w:numId w:val="5"/>
              </w:numPr>
              <w:spacing w:before="0" w:beforeAutospacing="0" w:after="0" w:afterAutospacing="0"/>
              <w:ind w:left="360"/>
              <w:rPr>
                <w:noProof/>
                <w:sz w:val="20"/>
                <w:szCs w:val="20"/>
              </w:rPr>
            </w:pPr>
            <w:r w:rsidRPr="005C0FCB">
              <w:rPr>
                <w:noProof/>
                <w:sz w:val="20"/>
              </w:rPr>
              <w:t>Punerea în aplicare la nivel național a recomandărilor Comisiei privind autoconsumul și comunitățile energetice.</w:t>
            </w:r>
          </w:p>
          <w:p w14:paraId="53A3A6DB" w14:textId="77777777" w:rsidR="00AF714B" w:rsidRPr="005C0FCB" w:rsidRDefault="00AF714B" w:rsidP="00380F00">
            <w:pPr>
              <w:pStyle w:val="ListParagraph"/>
              <w:numPr>
                <w:ilvl w:val="0"/>
                <w:numId w:val="5"/>
              </w:numPr>
              <w:spacing w:before="0" w:beforeAutospacing="0" w:after="0" w:afterAutospacing="0" w:line="257" w:lineRule="auto"/>
              <w:ind w:left="360"/>
              <w:rPr>
                <w:noProof/>
                <w:sz w:val="20"/>
                <w:szCs w:val="20"/>
              </w:rPr>
            </w:pPr>
            <w:r w:rsidRPr="005C0FCB">
              <w:rPr>
                <w:noProof/>
                <w:color w:val="000000" w:themeColor="text1"/>
                <w:sz w:val="20"/>
              </w:rPr>
              <w:t>Sprijinirea și facilitarea în continuare a autoconsumului și a comunităților energetice prin acordarea de stimulente fiscale și/sau de subvenții, inclusiv prin recurgerea</w:t>
            </w:r>
            <w:r w:rsidRPr="005C0FCB">
              <w:rPr>
                <w:noProof/>
                <w:sz w:val="20"/>
              </w:rPr>
              <w:t xml:space="preserve"> la garanții și la fonduri ale UE pentru a sprijini comunitățile energetice.</w:t>
            </w:r>
          </w:p>
        </w:tc>
      </w:tr>
      <w:tr w:rsidR="00AF714B" w:rsidRPr="005C0FCB" w14:paraId="73328C05"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231894"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5C0FCB">
              <w:rPr>
                <w:b/>
                <w:noProof/>
                <w:color w:val="000000" w:themeColor="text1"/>
                <w:sz w:val="20"/>
              </w:rPr>
              <w:t>Sensibilizarea</w:t>
            </w:r>
          </w:p>
        </w:tc>
        <w:tc>
          <w:tcPr>
            <w:tcW w:w="6795" w:type="dxa"/>
            <w:tcBorders>
              <w:top w:val="single" w:sz="8" w:space="0" w:color="auto"/>
              <w:left w:val="single" w:sz="8" w:space="0" w:color="000000" w:themeColor="text1"/>
              <w:bottom w:val="single" w:sz="8" w:space="0" w:color="auto"/>
              <w:right w:val="single" w:sz="8" w:space="0" w:color="auto"/>
            </w:tcBorders>
            <w:tcMar>
              <w:left w:w="108" w:type="dxa"/>
              <w:right w:w="108" w:type="dxa"/>
            </w:tcMar>
          </w:tcPr>
          <w:p w14:paraId="2C72B664" w14:textId="1250C3CB"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Furnizarea de consiliere gratuită și de certificate de performanță energetică, alături de recomandări referitoare la măsurile de economisire a energiei.</w:t>
            </w:r>
          </w:p>
          <w:p w14:paraId="47CBDEE3" w14:textId="77777777" w:rsidR="00AF714B" w:rsidRPr="005C0FCB" w:rsidRDefault="00AF714B" w:rsidP="00380F00">
            <w:pPr>
              <w:pStyle w:val="ListParagraph"/>
              <w:numPr>
                <w:ilvl w:val="0"/>
                <w:numId w:val="8"/>
              </w:numPr>
              <w:spacing w:before="0" w:beforeAutospacing="0" w:after="0" w:afterAutospacing="0"/>
              <w:ind w:left="360"/>
              <w:rPr>
                <w:noProof/>
                <w:color w:val="000000" w:themeColor="text1"/>
                <w:sz w:val="20"/>
                <w:szCs w:val="20"/>
              </w:rPr>
            </w:pPr>
            <w:r w:rsidRPr="005C0FCB">
              <w:rPr>
                <w:noProof/>
                <w:color w:val="000000" w:themeColor="text1"/>
                <w:sz w:val="20"/>
              </w:rPr>
              <w:t>Sprijinirea campaniilor de informare ce vizează încurajarea cetățenilor și a IMM-urilor să economisească energie.</w:t>
            </w:r>
          </w:p>
        </w:tc>
      </w:tr>
      <w:tr w:rsidR="00AF714B" w:rsidRPr="005C0FCB" w14:paraId="2EB29EEE" w14:textId="77777777" w:rsidTr="00380F00">
        <w:trPr>
          <w:trHeight w:val="40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auto"/>
            </w:tcBorders>
            <w:shd w:val="clear" w:color="auto" w:fill="E8E8E8" w:themeFill="background2"/>
            <w:tcMar>
              <w:left w:w="108" w:type="dxa"/>
              <w:right w:w="108" w:type="dxa"/>
            </w:tcMar>
            <w:vAlign w:val="center"/>
          </w:tcPr>
          <w:p w14:paraId="753288AF" w14:textId="77777777" w:rsidR="00AF714B" w:rsidRPr="005C0FCB" w:rsidRDefault="00AF714B" w:rsidP="00380F00">
            <w:pPr>
              <w:keepNext/>
              <w:ind w:left="360"/>
              <w:jc w:val="center"/>
              <w:rPr>
                <w:b/>
                <w:bCs/>
                <w:noProof/>
                <w:color w:val="000000" w:themeColor="text1"/>
              </w:rPr>
            </w:pPr>
            <w:r w:rsidRPr="005C0FCB">
              <w:rPr>
                <w:b/>
                <w:noProof/>
                <w:color w:val="000000" w:themeColor="text1"/>
              </w:rPr>
              <w:t>Industrie, întreprinderi și IMM-uri</w:t>
            </w:r>
          </w:p>
        </w:tc>
      </w:tr>
      <w:tr w:rsidR="00AF714B" w:rsidRPr="005C0FCB" w14:paraId="6A055EAC"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auto"/>
            </w:tcBorders>
            <w:tcMar>
              <w:left w:w="108" w:type="dxa"/>
              <w:right w:w="108" w:type="dxa"/>
            </w:tcMar>
          </w:tcPr>
          <w:p w14:paraId="1587E5F5"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5C0FCB">
              <w:rPr>
                <w:b/>
                <w:noProof/>
                <w:color w:val="000000" w:themeColor="text1"/>
                <w:sz w:val="20"/>
              </w:rPr>
              <w:t>Practici de finanțare inovatoare și societăți de servicii energetice (SSE)</w:t>
            </w:r>
          </w:p>
        </w:tc>
        <w:tc>
          <w:tcPr>
            <w:tcW w:w="6795" w:type="dxa"/>
            <w:tcBorders>
              <w:top w:val="nil"/>
              <w:left w:val="single" w:sz="8" w:space="0" w:color="auto"/>
              <w:bottom w:val="single" w:sz="8" w:space="0" w:color="000000" w:themeColor="text1"/>
              <w:right w:val="single" w:sz="8" w:space="0" w:color="auto"/>
            </w:tcBorders>
            <w:tcMar>
              <w:left w:w="108" w:type="dxa"/>
              <w:right w:w="108" w:type="dxa"/>
            </w:tcMar>
          </w:tcPr>
          <w:p w14:paraId="198DA526" w14:textId="77777777" w:rsidR="00AF714B" w:rsidRPr="005C0FCB" w:rsidRDefault="00AF714B" w:rsidP="00380F00">
            <w:pPr>
              <w:pStyle w:val="ListParagraph"/>
              <w:numPr>
                <w:ilvl w:val="0"/>
                <w:numId w:val="7"/>
              </w:numPr>
              <w:spacing w:before="0" w:beforeAutospacing="0" w:after="0" w:afterAutospacing="0"/>
              <w:ind w:left="360"/>
              <w:rPr>
                <w:noProof/>
                <w:color w:val="000000" w:themeColor="text1"/>
                <w:sz w:val="20"/>
                <w:szCs w:val="20"/>
              </w:rPr>
            </w:pPr>
            <w:r w:rsidRPr="005C0FCB">
              <w:rPr>
                <w:noProof/>
                <w:color w:val="000000" w:themeColor="text1"/>
                <w:sz w:val="20"/>
              </w:rPr>
              <w:t>Sprijinirea dezvoltării și a introducerii rapide a unor scheme de finanțare și a unor produse financiare inovatoare care să susțină adoptarea rapidă a energiei din surse regenerabile, stocarea, măsurile de eficiență energetică și societățile de servicii energetice (SSE).</w:t>
            </w:r>
          </w:p>
        </w:tc>
      </w:tr>
      <w:tr w:rsidR="00AF714B" w:rsidRPr="005C0FCB" w14:paraId="779D6512"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B0DCB57"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Audituri energetice și reducerea pierderilor de căldură</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0B3EC72A" w14:textId="77777777" w:rsidR="00AF714B" w:rsidRPr="005C0FCB" w:rsidRDefault="00AF714B" w:rsidP="00380F00">
            <w:pPr>
              <w:pStyle w:val="ListParagraph"/>
              <w:numPr>
                <w:ilvl w:val="0"/>
                <w:numId w:val="4"/>
              </w:numPr>
              <w:spacing w:before="0" w:beforeAutospacing="0" w:after="0" w:afterAutospacing="0"/>
              <w:ind w:left="360"/>
              <w:rPr>
                <w:noProof/>
                <w:sz w:val="20"/>
                <w:szCs w:val="20"/>
              </w:rPr>
            </w:pPr>
            <w:r w:rsidRPr="005C0FCB">
              <w:rPr>
                <w:noProof/>
                <w:sz w:val="20"/>
              </w:rPr>
              <w:t>Stimularea auditurilor energetice și a adoptării recomandărilor care au cel mai mare impact și sunt cele mai eficiente din punctul de vedere al costurilor referitoare la combaterea pierderilor de căldură cauzate de procesele desfășurate la temperaturi ridicate.</w:t>
            </w:r>
          </w:p>
          <w:p w14:paraId="026B41CC" w14:textId="4DD55391" w:rsidR="00AF714B" w:rsidRPr="005C0FCB" w:rsidRDefault="00AF714B" w:rsidP="00380F00">
            <w:pPr>
              <w:pStyle w:val="ListParagraph"/>
              <w:numPr>
                <w:ilvl w:val="0"/>
                <w:numId w:val="4"/>
              </w:numPr>
              <w:spacing w:before="0" w:beforeAutospacing="0" w:after="0" w:afterAutospacing="0"/>
              <w:ind w:left="360"/>
              <w:rPr>
                <w:noProof/>
                <w:sz w:val="20"/>
                <w:szCs w:val="20"/>
              </w:rPr>
            </w:pPr>
            <w:r w:rsidRPr="005C0FCB">
              <w:rPr>
                <w:noProof/>
                <w:sz w:val="20"/>
              </w:rPr>
              <w:t>Încurajarea întreprinderilor să pună în aplicare măsurile identificate în auditurile energetice cu o anumită perioadă de amortizare (de exemplu, trei ani).</w:t>
            </w:r>
          </w:p>
          <w:p w14:paraId="67C7D0AD"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Asigurarea unor controale prin sondaj și întreținerea sistemelor de încălzire termică pentru a reduce deșeurile.</w:t>
            </w:r>
          </w:p>
        </w:tc>
      </w:tr>
      <w:tr w:rsidR="00AF714B" w:rsidRPr="005C0FCB" w14:paraId="1F17E33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6C3B6DC8"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Înlocuirea motoarelor electrice ineficiente și promovarea trecerii la surse regenerabile de energie la fața locului</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EEF7071" w14:textId="77777777" w:rsidR="00AF714B" w:rsidRPr="005C0FCB" w:rsidRDefault="00AF714B" w:rsidP="00380F00">
            <w:pPr>
              <w:pStyle w:val="ListParagraph"/>
              <w:numPr>
                <w:ilvl w:val="0"/>
                <w:numId w:val="4"/>
              </w:numPr>
              <w:spacing w:before="0" w:beforeAutospacing="0" w:after="0" w:afterAutospacing="0"/>
              <w:ind w:left="360"/>
              <w:rPr>
                <w:noProof/>
                <w:sz w:val="20"/>
                <w:szCs w:val="20"/>
              </w:rPr>
            </w:pPr>
            <w:r w:rsidRPr="005C0FCB">
              <w:rPr>
                <w:noProof/>
                <w:sz w:val="20"/>
              </w:rPr>
              <w:t>Introducerea unor stimulente fiscale și/sau subvenții țintite pentru a accelera înlocuirea sistemelor cu motoare electrice ineficiente în sectoarele industriale.</w:t>
            </w:r>
          </w:p>
          <w:p w14:paraId="02B9705A"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Introducerea unor stimulente fiscale și/sau subvenții pentru a accelera înlocuirea sistemelor bazate pe combustibili fosili cu sisteme bazate pe surse regenerabile de energie mai eficiente din punctul de vedere al costurilor.</w:t>
            </w:r>
          </w:p>
        </w:tc>
      </w:tr>
      <w:tr w:rsidR="00B90381" w:rsidRPr="005C0FCB" w14:paraId="44298BD3"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BC574ED" w14:textId="6A58D568" w:rsidR="00B90381" w:rsidRPr="005C0FCB" w:rsidRDefault="00A168E5"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Fermieri</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E5F5BB1" w14:textId="2B3EF62D" w:rsidR="00F058BC" w:rsidRPr="005C0FCB" w:rsidRDefault="00F058BC" w:rsidP="00F058BC">
            <w:pPr>
              <w:pStyle w:val="ListParagraph"/>
              <w:numPr>
                <w:ilvl w:val="0"/>
                <w:numId w:val="4"/>
              </w:numPr>
              <w:spacing w:before="0" w:beforeAutospacing="0" w:after="0" w:afterAutospacing="0"/>
              <w:rPr>
                <w:noProof/>
                <w:sz w:val="20"/>
                <w:szCs w:val="20"/>
              </w:rPr>
            </w:pPr>
            <w:r w:rsidRPr="005C0FCB">
              <w:rPr>
                <w:noProof/>
                <w:sz w:val="20"/>
              </w:rPr>
              <w:t>Sprijin continuu pentru producția de biogaz și de biometan.</w:t>
            </w:r>
          </w:p>
          <w:p w14:paraId="27DBA863" w14:textId="5D38029A" w:rsidR="00F058BC" w:rsidRPr="005C0FCB" w:rsidRDefault="00F058BC" w:rsidP="00F058BC">
            <w:pPr>
              <w:pStyle w:val="ListParagraph"/>
              <w:numPr>
                <w:ilvl w:val="0"/>
                <w:numId w:val="4"/>
              </w:numPr>
              <w:spacing w:before="0" w:beforeAutospacing="0" w:after="0" w:afterAutospacing="0"/>
              <w:rPr>
                <w:noProof/>
                <w:sz w:val="20"/>
                <w:szCs w:val="20"/>
              </w:rPr>
            </w:pPr>
            <w:r w:rsidRPr="005C0FCB">
              <w:rPr>
                <w:noProof/>
                <w:sz w:val="20"/>
              </w:rPr>
              <w:t>Încurajarea utilizării instalațiilor energetice curate și eficiente în ferme.</w:t>
            </w:r>
          </w:p>
          <w:p w14:paraId="01235968" w14:textId="7B60A4B2" w:rsidR="00B90381" w:rsidRPr="005C0FCB" w:rsidRDefault="00F058BC" w:rsidP="00F058BC">
            <w:pPr>
              <w:pStyle w:val="ListParagraph"/>
              <w:numPr>
                <w:ilvl w:val="0"/>
                <w:numId w:val="4"/>
              </w:numPr>
              <w:spacing w:before="0" w:beforeAutospacing="0" w:after="0" w:afterAutospacing="0"/>
              <w:rPr>
                <w:noProof/>
                <w:sz w:val="20"/>
                <w:szCs w:val="20"/>
              </w:rPr>
            </w:pPr>
            <w:r w:rsidRPr="005C0FCB">
              <w:rPr>
                <w:noProof/>
                <w:sz w:val="20"/>
              </w:rPr>
              <w:t>Facilitarea utilizării nutrienților reciclați.</w:t>
            </w:r>
          </w:p>
        </w:tc>
      </w:tr>
      <w:tr w:rsidR="00AF714B" w:rsidRPr="005C0FCB" w14:paraId="262F17F1" w14:textId="77777777" w:rsidTr="00380F00">
        <w:trPr>
          <w:trHeight w:val="405"/>
        </w:trPr>
        <w:tc>
          <w:tcPr>
            <w:tcW w:w="9479" w:type="dxa"/>
            <w:gridSpan w:val="2"/>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vAlign w:val="center"/>
          </w:tcPr>
          <w:p w14:paraId="7275A45A" w14:textId="77777777" w:rsidR="00AF714B" w:rsidRPr="005C0FCB" w:rsidRDefault="00AF714B" w:rsidP="00380F00">
            <w:pPr>
              <w:keepNext/>
              <w:ind w:left="360"/>
              <w:jc w:val="center"/>
              <w:rPr>
                <w:b/>
                <w:bCs/>
                <w:noProof/>
                <w:color w:val="000000" w:themeColor="text1"/>
              </w:rPr>
            </w:pPr>
            <w:r w:rsidRPr="005C0FCB">
              <w:rPr>
                <w:b/>
                <w:noProof/>
                <w:color w:val="000000" w:themeColor="text1"/>
              </w:rPr>
              <w:t>Transporturi</w:t>
            </w:r>
          </w:p>
        </w:tc>
      </w:tr>
      <w:tr w:rsidR="00AF714B" w:rsidRPr="005C0FCB" w14:paraId="4EA9095C"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77B64D24"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Promovarea transportului public și a transportului feroviar</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7BA610E"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Reducerea prețurilor de utilizare a transportului public și/sau acordarea gratuității acestuia pentru anumite categorii de persoane (de exemplu, cele mai vulnerabile).</w:t>
            </w:r>
          </w:p>
          <w:p w14:paraId="342A1D0B" w14:textId="51373F1A"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Promovarea utilizării căilor ferate pentru călătoriile de afaceri și pentru transportul de marfă.</w:t>
            </w:r>
          </w:p>
        </w:tc>
      </w:tr>
      <w:tr w:rsidR="00AF714B" w:rsidRPr="005C0FCB" w14:paraId="24961F78"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45D8EA82"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 xml:space="preserve">Promovarea alternativelor la transportul cu autoturismul în zonele urbane și periurbane </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DA96022"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Introducerea unui sprijin public pentru sistemele de partajare a bicicletelor și alte soluții de micromobilitate, precum și introducerea de stimulente (de exemplu, subvenții sau stimulente fiscale) pentru achiziționarea de biciclete.</w:t>
            </w:r>
          </w:p>
          <w:p w14:paraId="55D9C933"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Dezvoltarea suplimentară a infrastructurii pentru biciclete și pentru mersul pe jos și facilitarea transportării bicicletelor în mijloacele de transport public.</w:t>
            </w:r>
          </w:p>
          <w:p w14:paraId="1F0882FE"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Stimularea livrării pe ultimul kilometru cu biciclete de marfă sau cu vehicule electrice de livrare de dimensiuni mai mici.</w:t>
            </w:r>
          </w:p>
        </w:tc>
      </w:tr>
      <w:tr w:rsidR="00AF714B" w:rsidRPr="005C0FCB" w14:paraId="2CBE2B99"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2E42063A"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Promovarea folosirii în comun a autovehiculelor</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5F5AB6C"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Crearea unor benzi de circulație speciale și a unor locuri de parcare rezervate pentru vehiculele cu mai multe locuri.</w:t>
            </w:r>
          </w:p>
        </w:tc>
      </w:tr>
      <w:tr w:rsidR="00AF714B" w:rsidRPr="005C0FCB" w14:paraId="381B30DF"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169B4C80"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Sprijinirea adoptării de autoturisme, furgonete, camioane și autobuze electrice și mai eficiente</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5ED27BA7"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Introducerea, continuarea sau extinderea sprijinului public pentru achiziționarea de vehicule cu emisii zero, inclusiv în parcurile de vehicule ale întreprinderilor.</w:t>
            </w:r>
          </w:p>
          <w:p w14:paraId="4BDE9580"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Scutirea vehiculelor grele cu emisii zero de la plata taxelor de trecere, în concordanță cu Directiva privind eurovinieta.</w:t>
            </w:r>
          </w:p>
          <w:p w14:paraId="351A358E"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Accelerarea introducerii unei infrastructuri de încărcare accesibile publicului, în special în ceea ce privește infrastructura de reîncărcare destinată vehiculelor grele.</w:t>
            </w:r>
          </w:p>
          <w:p w14:paraId="49854B32"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Sprijinirea instalării unei infrastructuri private de încărcare prin furnizarea de stimulente sau subvenții fiscale țintite.</w:t>
            </w:r>
          </w:p>
          <w:p w14:paraId="19A2A95D" w14:textId="5FE59019"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Asigurarea faptului că nevoile de racordare la rețea a vehiculelor grele sunt exprimate în mod clar și în timp util de sectorul mobilității, evitându-se previziunile speculative privind nevoile, și sunt adresate operatorilor de sisteme de distribuție a energiei electrice și autorităților publice, aceste nevoi fiind integrate apoi în exercițiile de planificare aferente și în planurile de dezvoltare a rețelei pentru a asigura investiții anticipative în rețea și racordări mai rapide la rețea. Asigurarea transparenței în ceea ce privește capacitatea de găzduire a rețelei și planificarea anticipativă a rețelei la nivelul operatorilor de sisteme de distribuție (OSD) în ceea ce privește nevoile de investiții preconizate pentru electrificarea sectorului transporturilor și accelerarea regimurilor de autorizare pentru proiectele aferente privind rețeaua și infrastructura de încărcare.</w:t>
            </w:r>
          </w:p>
          <w:p w14:paraId="1048135B"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Creșterea gradului de utilizare a vehiculelor electrice în transportul public.</w:t>
            </w:r>
          </w:p>
        </w:tc>
      </w:tr>
      <w:tr w:rsidR="00AF714B" w:rsidRPr="005C0FCB" w14:paraId="045058A5" w14:textId="77777777" w:rsidTr="00380F00">
        <w:trPr>
          <w:trHeight w:val="300"/>
        </w:trPr>
        <w:tc>
          <w:tcPr>
            <w:tcW w:w="2684" w:type="dxa"/>
            <w:tcBorders>
              <w:top w:val="single" w:sz="8" w:space="0" w:color="auto"/>
              <w:left w:val="single" w:sz="8" w:space="0" w:color="auto"/>
              <w:bottom w:val="single" w:sz="8" w:space="0" w:color="auto"/>
              <w:right w:val="single" w:sz="8" w:space="0" w:color="auto"/>
            </w:tcBorders>
            <w:tcMar>
              <w:left w:w="108" w:type="dxa"/>
              <w:right w:w="108" w:type="dxa"/>
            </w:tcMar>
          </w:tcPr>
          <w:p w14:paraId="062EB84D"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Promovarea unor practici de conducere și a unei operări a vehiculelor de transport de marfă mai eficiente, precum și a unor livrări de mărfuri mai eficiente</w:t>
            </w:r>
          </w:p>
        </w:tc>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49611AEB" w14:textId="223C53CE"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Promovarea schimbărilor comportamentale, sensibilizarea și oferirea de cursuri de formare privind conducerea ecologică a vehiculelor.</w:t>
            </w:r>
          </w:p>
          <w:p w14:paraId="2D528503"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Facilitarea utilizării clauzelor de indexare a carburanților în contractele de transport rutier.</w:t>
            </w:r>
          </w:p>
          <w:p w14:paraId="51C57D2F"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Asigurarea unei încărcări optimizate a vehiculelor grele printr-o mai bună planificare și prin schimb de date.</w:t>
            </w:r>
          </w:p>
          <w:p w14:paraId="20605DA7" w14:textId="77777777" w:rsidR="00AF714B" w:rsidRPr="005C0FCB" w:rsidRDefault="00AF714B" w:rsidP="00380F00">
            <w:pPr>
              <w:pStyle w:val="ListParagraph"/>
              <w:numPr>
                <w:ilvl w:val="0"/>
                <w:numId w:val="8"/>
              </w:numPr>
              <w:spacing w:before="0" w:beforeAutospacing="0" w:after="0" w:afterAutospacing="0"/>
              <w:ind w:left="360"/>
              <w:rPr>
                <w:noProof/>
                <w:sz w:val="20"/>
                <w:szCs w:val="20"/>
              </w:rPr>
            </w:pPr>
            <w:r w:rsidRPr="005C0FCB">
              <w:rPr>
                <w:noProof/>
                <w:sz w:val="20"/>
              </w:rPr>
              <w:t>Optimizarea unor soluții de livrare multimodale, inclusiv prin recurgerea la soluții cu emisii zero pe ultimul kilometru și la stații de preluare.</w:t>
            </w:r>
          </w:p>
          <w:p w14:paraId="2BF58086" w14:textId="77777777" w:rsidR="00AF714B" w:rsidRPr="005C0FCB" w:rsidRDefault="00AF714B" w:rsidP="00380F00">
            <w:pPr>
              <w:pStyle w:val="ListParagraph"/>
              <w:numPr>
                <w:ilvl w:val="0"/>
                <w:numId w:val="7"/>
              </w:numPr>
              <w:spacing w:before="0" w:beforeAutospacing="0" w:after="0" w:afterAutospacing="0"/>
              <w:ind w:left="360"/>
              <w:rPr>
                <w:noProof/>
                <w:sz w:val="20"/>
                <w:szCs w:val="20"/>
              </w:rPr>
            </w:pPr>
            <w:r w:rsidRPr="005C0FCB">
              <w:rPr>
                <w:noProof/>
                <w:sz w:val="20"/>
              </w:rPr>
              <w:t>Accelerarea introducerii unor servicii aferente sistemelor de transport inteligente.</w:t>
            </w:r>
          </w:p>
        </w:tc>
      </w:tr>
      <w:tr w:rsidR="00AF714B" w:rsidRPr="005C0FCB" w14:paraId="607DBC39" w14:textId="77777777" w:rsidTr="00380F00">
        <w:trPr>
          <w:trHeight w:val="405"/>
        </w:trPr>
        <w:tc>
          <w:tcPr>
            <w:tcW w:w="9479" w:type="dxa"/>
            <w:gridSpan w:val="2"/>
            <w:tcBorders>
              <w:top w:val="single" w:sz="8" w:space="0" w:color="auto"/>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19655BC1" w14:textId="77777777" w:rsidR="00AF714B" w:rsidRPr="005C0FCB" w:rsidRDefault="00AF714B" w:rsidP="00380F00">
            <w:pPr>
              <w:keepNext/>
              <w:ind w:left="360"/>
              <w:jc w:val="center"/>
              <w:rPr>
                <w:b/>
                <w:bCs/>
                <w:noProof/>
                <w:color w:val="000000" w:themeColor="text1"/>
              </w:rPr>
            </w:pPr>
            <w:r w:rsidRPr="005C0FCB">
              <w:rPr>
                <w:b/>
                <w:noProof/>
                <w:color w:val="000000" w:themeColor="text1"/>
              </w:rPr>
              <w:t>Gaze naturale</w:t>
            </w:r>
          </w:p>
        </w:tc>
      </w:tr>
      <w:tr w:rsidR="00AF714B" w:rsidRPr="005C0FCB" w14:paraId="74E7B648"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AAD0FD"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sz w:val="20"/>
              </w:rPr>
            </w:pPr>
            <w:r w:rsidRPr="005C0FCB">
              <w:rPr>
                <w:b/>
                <w:noProof/>
                <w:sz w:val="20"/>
              </w:rPr>
              <w:t xml:space="preserve">Optimizarea centralelor electrice existente pentru a asigura o capacitate de producție suficientă, reducând cererea de gaze pentru centralele electrice pe bază de gaze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E206488" w14:textId="77777777" w:rsidR="00AF714B" w:rsidRPr="005C0FCB" w:rsidRDefault="00AF714B" w:rsidP="00380F00">
            <w:pPr>
              <w:pStyle w:val="ListParagraph"/>
              <w:numPr>
                <w:ilvl w:val="0"/>
                <w:numId w:val="3"/>
              </w:numPr>
              <w:spacing w:before="0" w:beforeAutospacing="0" w:after="0" w:afterAutospacing="0"/>
              <w:ind w:left="360"/>
              <w:rPr>
                <w:noProof/>
                <w:sz w:val="20"/>
                <w:szCs w:val="20"/>
              </w:rPr>
            </w:pPr>
            <w:r w:rsidRPr="005C0FCB">
              <w:rPr>
                <w:noProof/>
                <w:sz w:val="20"/>
              </w:rPr>
              <w:t>Optimizarea disponibilității centralelor nucleare și hidroelectrice, inclusiv, atunci când este posibil și recomandabil, întârzierea lucrărilor de întreținere și stabilirea unor planuri de rezervă în eventualitatea unor perioade prelungite de secetă.</w:t>
            </w:r>
          </w:p>
          <w:p w14:paraId="3BBDA174" w14:textId="77777777" w:rsidR="00AF714B" w:rsidRPr="005C0FCB" w:rsidRDefault="00AF714B" w:rsidP="00380F00">
            <w:pPr>
              <w:pStyle w:val="ListParagraph"/>
              <w:numPr>
                <w:ilvl w:val="0"/>
                <w:numId w:val="3"/>
              </w:numPr>
              <w:spacing w:before="0" w:beforeAutospacing="0" w:after="0" w:afterAutospacing="0"/>
              <w:ind w:left="360"/>
              <w:rPr>
                <w:noProof/>
                <w:sz w:val="20"/>
                <w:szCs w:val="20"/>
              </w:rPr>
            </w:pPr>
            <w:r w:rsidRPr="005C0FCB">
              <w:rPr>
                <w:noProof/>
                <w:sz w:val="20"/>
              </w:rPr>
              <w:t>Evitarea retragerii premature a activelor de producție, cum ar fi instalațiile nucleare existente care pot continua să furnizeze energie electrică fiabilă, cu costuri reduse și cu emisii scăzute.</w:t>
            </w:r>
          </w:p>
        </w:tc>
      </w:tr>
      <w:tr w:rsidR="00AF714B" w:rsidRPr="005C0FCB" w14:paraId="1BB43509" w14:textId="77777777" w:rsidTr="00380F00">
        <w:trPr>
          <w:trHeight w:val="435"/>
        </w:trPr>
        <w:tc>
          <w:tcPr>
            <w:tcW w:w="9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Mar>
              <w:left w:w="108" w:type="dxa"/>
              <w:right w:w="108" w:type="dxa"/>
            </w:tcMar>
            <w:vAlign w:val="center"/>
          </w:tcPr>
          <w:p w14:paraId="7848CB82" w14:textId="77777777" w:rsidR="00AF714B" w:rsidRPr="005C0FCB" w:rsidRDefault="00AF714B" w:rsidP="00380F00">
            <w:pPr>
              <w:keepNext/>
              <w:jc w:val="center"/>
              <w:rPr>
                <w:b/>
                <w:bCs/>
                <w:noProof/>
                <w:color w:val="000000" w:themeColor="text1"/>
              </w:rPr>
            </w:pPr>
            <w:r w:rsidRPr="005C0FCB">
              <w:rPr>
                <w:b/>
                <w:noProof/>
                <w:color w:val="000000" w:themeColor="text1"/>
              </w:rPr>
              <w:t>Sistemul energetic transversal</w:t>
            </w:r>
          </w:p>
        </w:tc>
      </w:tr>
      <w:tr w:rsidR="00AF714B" w:rsidRPr="005C0FCB" w14:paraId="5B3B8AA3" w14:textId="77777777" w:rsidTr="00380F00">
        <w:trPr>
          <w:trHeight w:val="300"/>
        </w:trPr>
        <w:tc>
          <w:tcPr>
            <w:tcW w:w="26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36904" w14:textId="77777777" w:rsidR="00AF714B" w:rsidRPr="005C0FCB" w:rsidRDefault="00AF714B" w:rsidP="00380F00">
            <w:pPr>
              <w:pStyle w:val="ListParagraph"/>
              <w:numPr>
                <w:ilvl w:val="0"/>
                <w:numId w:val="9"/>
              </w:numPr>
              <w:spacing w:before="0" w:beforeAutospacing="0" w:after="0" w:afterAutospacing="0" w:line="257" w:lineRule="auto"/>
              <w:jc w:val="left"/>
              <w:rPr>
                <w:rFonts w:eastAsia="Calibri"/>
                <w:b/>
                <w:noProof/>
                <w:color w:val="000000" w:themeColor="text1"/>
                <w:sz w:val="20"/>
              </w:rPr>
            </w:pPr>
            <w:r w:rsidRPr="005C0FCB">
              <w:rPr>
                <w:b/>
                <w:noProof/>
                <w:color w:val="000000" w:themeColor="text1"/>
                <w:sz w:val="20"/>
              </w:rPr>
              <w:t xml:space="preserve">Oferirea unor reduceri ale prețurilor și a unui sprijin în materie de prețuri în concordanță cu obiectivul pe termen lung privind tranziția către o energie curată </w:t>
            </w:r>
          </w:p>
        </w:tc>
        <w:tc>
          <w:tcPr>
            <w:tcW w:w="67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FC0BAFB" w14:textId="77777777" w:rsidR="00AF714B" w:rsidRPr="005C0FCB"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5C0FCB">
              <w:rPr>
                <w:noProof/>
                <w:color w:val="000000" w:themeColor="text1"/>
                <w:sz w:val="20"/>
              </w:rPr>
              <w:t>Conceperea unor tarife de rețea favorabile sistemului pentru a reduce costurile aferente sistemului și pentru a valorifica întregul potențial al surselor regenerabile de energie.</w:t>
            </w:r>
          </w:p>
          <w:p w14:paraId="7FD22B30" w14:textId="77777777" w:rsidR="00AF714B" w:rsidRPr="005C0FCB"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5C0FCB">
              <w:rPr>
                <w:noProof/>
                <w:color w:val="000000" w:themeColor="text1"/>
                <w:sz w:val="20"/>
              </w:rPr>
              <w:t>Introducerea unor prețuri cu amănuntul progresive și asigurarea faptului că intervenția în ceea ce privește stabilirea prețurilor cu amănuntul stimulează economiile și trecerea de la gaze la energie electrică și recompensează flexibilitatea de care dă dovadă partea de consum.</w:t>
            </w:r>
          </w:p>
          <w:p w14:paraId="3CCFC1E1" w14:textId="77777777" w:rsidR="00AF714B" w:rsidRPr="005C0FCB"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5C0FCB">
              <w:rPr>
                <w:noProof/>
                <w:color w:val="000000" w:themeColor="text1"/>
                <w:sz w:val="20"/>
              </w:rPr>
              <w:t>Eliminarea tratamentului preferențial pentru combustibilii fosili.</w:t>
            </w:r>
          </w:p>
          <w:p w14:paraId="094DAEE1" w14:textId="77777777" w:rsidR="00AF714B" w:rsidRPr="005C0FCB"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5C0FCB">
              <w:rPr>
                <w:noProof/>
                <w:color w:val="000000" w:themeColor="text1"/>
                <w:sz w:val="20"/>
              </w:rPr>
              <w:t>Introducerea, după caz, a unor măsuri naționale de sprijinire a prețurilor pentru gospodăriile și întreprinderile vulnerabile, care să fie țintite, limitate în timp și să nu ducă la creșterea cererii.</w:t>
            </w:r>
          </w:p>
          <w:p w14:paraId="043AB4ED" w14:textId="77777777" w:rsidR="00AF714B" w:rsidRPr="005C0FCB" w:rsidRDefault="00AF714B" w:rsidP="00380F00">
            <w:pPr>
              <w:pStyle w:val="ListParagraph"/>
              <w:numPr>
                <w:ilvl w:val="0"/>
                <w:numId w:val="2"/>
              </w:numPr>
              <w:spacing w:before="0" w:beforeAutospacing="0" w:after="0" w:afterAutospacing="0"/>
              <w:ind w:left="360"/>
              <w:rPr>
                <w:noProof/>
                <w:color w:val="000000" w:themeColor="text1"/>
                <w:sz w:val="20"/>
                <w:szCs w:val="20"/>
              </w:rPr>
            </w:pPr>
            <w:r w:rsidRPr="005C0FCB">
              <w:rPr>
                <w:noProof/>
                <w:color w:val="000000" w:themeColor="text1"/>
                <w:sz w:val="20"/>
              </w:rPr>
              <w:t xml:space="preserve">Campanii de informare specifice pentru gospodării și întreprinderile mici, de exemplu pentru a-i încuraja pe consumatori să reducă temperatura de încălzire și temperatura cazanelor, să evite consumul de energie la orele de vârf, să stingă luminile, să închidă ușile, să încălzească mai puține încăperi, să blocheze curenții de aer și să reducă consumul de energie în magazine. </w:t>
            </w:r>
          </w:p>
        </w:tc>
      </w:tr>
      <w:bookmarkEnd w:id="1"/>
    </w:tbl>
    <w:p w14:paraId="1642854E" w14:textId="77777777" w:rsidR="00AF714B" w:rsidRPr="005C0FCB" w:rsidRDefault="00AF714B" w:rsidP="00AF714B">
      <w:pPr>
        <w:spacing w:before="0" w:beforeAutospacing="0" w:after="160" w:afterAutospacing="0" w:line="259" w:lineRule="auto"/>
        <w:jc w:val="left"/>
        <w:rPr>
          <w:noProof/>
        </w:rPr>
      </w:pPr>
    </w:p>
    <w:p w14:paraId="39ECF832" w14:textId="77777777" w:rsidR="00A638BC" w:rsidRPr="005C0FCB" w:rsidRDefault="00A638BC" w:rsidP="00AF714B">
      <w:pPr>
        <w:jc w:val="center"/>
        <w:rPr>
          <w:noProof/>
        </w:rPr>
      </w:pPr>
    </w:p>
    <w:sectPr w:rsidR="00A638BC" w:rsidRPr="005C0FCB" w:rsidSect="00AF714B">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87ECE" w14:textId="77777777" w:rsidR="0014301A" w:rsidRDefault="0014301A" w:rsidP="00C57C9A">
      <w:pPr>
        <w:spacing w:before="0" w:after="0"/>
      </w:pPr>
      <w:r>
        <w:separator/>
      </w:r>
    </w:p>
  </w:endnote>
  <w:endnote w:type="continuationSeparator" w:id="0">
    <w:p w14:paraId="51364F87" w14:textId="77777777" w:rsidR="0014301A" w:rsidRDefault="0014301A" w:rsidP="00C57C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B05A9" w14:textId="3D1A73D8" w:rsidR="00DB69B1" w:rsidRPr="00DB69B1" w:rsidRDefault="00DB69B1" w:rsidP="00DB69B1">
    <w:pPr>
      <w:pStyle w:val="FooterCoverPage"/>
      <w:rPr>
        <w:rFonts w:ascii="Arial" w:hAnsi="Arial" w:cs="Arial"/>
        <w:b/>
        <w:sz w:val="48"/>
      </w:rPr>
    </w:pPr>
    <w:r w:rsidRPr="00DB69B1">
      <w:rPr>
        <w:rFonts w:ascii="Arial" w:hAnsi="Arial" w:cs="Arial"/>
        <w:b/>
        <w:sz w:val="48"/>
      </w:rPr>
      <w:t>RO</w:t>
    </w:r>
    <w:r w:rsidRPr="00DB69B1">
      <w:rPr>
        <w:rFonts w:ascii="Arial" w:hAnsi="Arial" w:cs="Arial"/>
        <w:b/>
        <w:sz w:val="48"/>
      </w:rPr>
      <w:tab/>
    </w:r>
    <w:r w:rsidRPr="00DB69B1">
      <w:rPr>
        <w:rFonts w:ascii="Arial" w:hAnsi="Arial" w:cs="Arial"/>
        <w:b/>
        <w:sz w:val="48"/>
      </w:rPr>
      <w:tab/>
    </w:r>
    <w:r w:rsidRPr="00DB69B1">
      <w:tab/>
    </w:r>
    <w:r w:rsidRPr="00DB69B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32528" w14:textId="5B6A5CB1" w:rsidR="00DB69B1" w:rsidRPr="00DB69B1" w:rsidRDefault="00DB69B1" w:rsidP="00DB69B1">
    <w:pPr>
      <w:pStyle w:val="FooterCoverPage"/>
      <w:rPr>
        <w:rFonts w:ascii="Arial" w:hAnsi="Arial" w:cs="Arial"/>
        <w:b/>
        <w:sz w:val="48"/>
      </w:rPr>
    </w:pPr>
    <w:r w:rsidRPr="00DB69B1">
      <w:rPr>
        <w:rFonts w:ascii="Arial" w:hAnsi="Arial" w:cs="Arial"/>
        <w:b/>
        <w:sz w:val="48"/>
      </w:rPr>
      <w:t>RO</w:t>
    </w:r>
    <w:r w:rsidRPr="00DB69B1">
      <w:rPr>
        <w:rFonts w:ascii="Arial" w:hAnsi="Arial" w:cs="Arial"/>
        <w:b/>
        <w:sz w:val="48"/>
      </w:rPr>
      <w:tab/>
    </w:r>
    <w:r w:rsidRPr="00DB69B1">
      <w:rPr>
        <w:rFonts w:ascii="Arial" w:hAnsi="Arial" w:cs="Arial"/>
        <w:b/>
        <w:sz w:val="48"/>
      </w:rPr>
      <w:tab/>
    </w:r>
    <w:r w:rsidRPr="00DB69B1">
      <w:tab/>
    </w:r>
    <w:r w:rsidRPr="00DB69B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8F53" w14:textId="77777777" w:rsidR="00DB69B1" w:rsidRPr="00DB69B1" w:rsidRDefault="00DB69B1" w:rsidP="00DB69B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0C152" w14:textId="77777777" w:rsidR="0014301A" w:rsidRPr="00CE51BC" w:rsidRDefault="001430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84201"/>
      <w:docPartObj>
        <w:docPartGallery w:val="Page Numbers (Bottom of Page)"/>
        <w:docPartUnique/>
      </w:docPartObj>
    </w:sdtPr>
    <w:sdtEndPr/>
    <w:sdtContent>
      <w:p w14:paraId="3205F2E1" w14:textId="71766BB0" w:rsidR="0014301A" w:rsidRPr="00CE51BC" w:rsidRDefault="0014301A">
        <w:pPr>
          <w:pStyle w:val="Footer"/>
          <w:jc w:val="right"/>
        </w:pPr>
        <w:r>
          <w:fldChar w:fldCharType="begin"/>
        </w:r>
        <w:r>
          <w:instrText xml:space="preserve"> PAGE   \* MERGEFORMAT </w:instrText>
        </w:r>
        <w:r>
          <w:fldChar w:fldCharType="separate"/>
        </w:r>
        <w:r w:rsidR="00DB69B1">
          <w:rPr>
            <w:noProof/>
          </w:rPr>
          <w:t>2</w:t>
        </w:r>
        <w:r>
          <w:fldChar w:fldCharType="end"/>
        </w:r>
      </w:p>
    </w:sdtContent>
  </w:sdt>
  <w:p w14:paraId="29438206" w14:textId="77777777" w:rsidR="0014301A" w:rsidRPr="00CE51BC" w:rsidRDefault="0014301A" w:rsidP="000740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657680"/>
      <w:docPartObj>
        <w:docPartGallery w:val="Page Numbers (Bottom of Page)"/>
        <w:docPartUnique/>
      </w:docPartObj>
    </w:sdtPr>
    <w:sdtEndPr/>
    <w:sdtContent>
      <w:p w14:paraId="4DAD1842" w14:textId="03684FDE" w:rsidR="0014301A" w:rsidRPr="00CE51BC" w:rsidRDefault="0014301A">
        <w:pPr>
          <w:pStyle w:val="Footer"/>
          <w:jc w:val="right"/>
        </w:pPr>
        <w:r>
          <w:fldChar w:fldCharType="begin"/>
        </w:r>
        <w:r>
          <w:instrText xml:space="preserve"> PAGE  \* Arabic  \* MERGEFORMAT </w:instrText>
        </w:r>
        <w:r>
          <w:fldChar w:fldCharType="separate"/>
        </w:r>
        <w:r w:rsidR="00DB69B1">
          <w:rPr>
            <w:noProof/>
          </w:rPr>
          <w:t>1</w:t>
        </w:r>
        <w:r>
          <w:fldChar w:fldCharType="end"/>
        </w:r>
      </w:p>
    </w:sdtContent>
  </w:sdt>
  <w:p w14:paraId="048886FA" w14:textId="77777777" w:rsidR="0014301A" w:rsidRPr="00CE51BC" w:rsidRDefault="00143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EB107" w14:textId="77777777" w:rsidR="0014301A" w:rsidRDefault="0014301A" w:rsidP="00C57C9A">
      <w:pPr>
        <w:spacing w:before="0" w:after="0"/>
      </w:pPr>
      <w:r>
        <w:separator/>
      </w:r>
    </w:p>
  </w:footnote>
  <w:footnote w:type="continuationSeparator" w:id="0">
    <w:p w14:paraId="302AE834" w14:textId="77777777" w:rsidR="0014301A" w:rsidRDefault="0014301A" w:rsidP="00C57C9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713E6" w14:textId="77777777" w:rsidR="00DB69B1" w:rsidRPr="00DB69B1" w:rsidRDefault="00DB69B1" w:rsidP="00DB69B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73169" w14:textId="77777777" w:rsidR="00DB69B1" w:rsidRPr="00DB69B1" w:rsidRDefault="00DB69B1" w:rsidP="00DB69B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7A0B1" w14:textId="77777777" w:rsidR="00DB69B1" w:rsidRPr="00DB69B1" w:rsidRDefault="00DB69B1" w:rsidP="00DB69B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19E10" w14:textId="77777777" w:rsidR="0014301A" w:rsidRPr="00CE51BC" w:rsidRDefault="0014301A">
    <w:pPr>
      <w:pStyle w:val="Header"/>
    </w:pPr>
  </w:p>
  <w:p w14:paraId="25A985CF" w14:textId="77777777" w:rsidR="0014301A" w:rsidRPr="00CE51BC" w:rsidRDefault="0014301A">
    <w:pPr>
      <w:pStyle w:val="Header"/>
    </w:pPr>
    <w:r>
      <w:rPr>
        <w:noProof/>
        <w:lang w:val="en-GB" w:eastAsia="en-GB"/>
      </w:rPr>
      <mc:AlternateContent>
        <mc:Choice Requires="wps">
          <w:drawing>
            <wp:anchor distT="0" distB="0" distL="114300" distR="114300" simplePos="0" relativeHeight="251658240" behindDoc="1" locked="0" layoutInCell="0" allowOverlap="1" wp14:anchorId="44E013EF" wp14:editId="63698F1D">
              <wp:simplePos x="0" y="0"/>
              <wp:positionH relativeFrom="margin">
                <wp:align>center</wp:align>
              </wp:positionH>
              <wp:positionV relativeFrom="margin">
                <wp:align>center</wp:align>
              </wp:positionV>
              <wp:extent cx="7541895" cy="837565"/>
              <wp:effectExtent l="0" t="2457450" r="0" b="2324735"/>
              <wp:wrapNone/>
              <wp:docPr id="142439037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541895" cy="837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PROIECT CONFIDENȚIAL</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E013EF" id="_x0000_t202" coordsize="21600,21600" o:spt="202" path="m,l,21600r21600,l21600,xe">
              <v:stroke joinstyle="miter"/>
              <v:path gradientshapeok="t" o:connecttype="rect"/>
            </v:shapetype>
            <v:shape id="Text Box 1" o:spid="_x0000_s1026" type="#_x0000_t202" style="position:absolute;left:0;text-align:left;margin-left:0;margin-top:0;width:593.85pt;height:65.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" o:allowincell="f" filled="f" stroked="f">
              <v:stroke joinstyle="round"/>
              <o:lock v:ext="edit" shapetype="t"/>
              <v:textbox style="mso-fit-shape-to-text:t">
                <w:txbxContent>
                  <w:p w14:paraId="1100BF01" w14:textId="77777777" w:rsidR="0014301A" w:rsidRDefault="0014301A" w:rsidP="00BD1D9B">
                    <w:pPr>
                      <w:jc w:val="center"/>
                      <w:rPr>
                        <w:color w:val="C0C0C0"/>
                        <w:sz w:val="2"/>
                        <w:szCs w:val="2"/>
                        <w14:textFill>
                          <w14:solidFill>
                            <w14:srgbClr w14:val="C0C0C0">
                              <w14:alpha w14:val="50000"/>
                            </w14:srgbClr>
                          </w14:solidFill>
                        </w14:textFill>
                      </w:rPr>
                    </w:pPr>
                  </w:p>
                  <w:p w14:paraId="64AC4FA5" w14:textId="77777777" w:rsidR="0014301A" w:rsidRDefault="0014301A" w:rsidP="00BD1D9B">
                    <w:pPr>
                      <w:jc w:val="center"/>
                      <w:rPr>
                        <w:color w:val="C0C0C0"/>
                        <w:sz w:val="2"/>
                        <w:szCs w:val="2"/>
                        <w14:textFill>
                          <w14:solidFill>
                            <w14:srgbClr w14:val="C0C0C0">
                              <w14:alpha w14:val="50000"/>
                            </w14:srgbClr>
                          </w14:solidFill>
                        </w14:textFill>
                      </w:rPr>
                    </w:pPr>
                  </w:p>
                  <w:p w14:paraId="41785551" w14:textId="77777777" w:rsidR="0014301A" w:rsidRDefault="0014301A" w:rsidP="00BD1D9B">
                    <w:pPr>
                      <w:jc w:val="center"/>
                      <w:rPr>
                        <w:color w:val="000000"/>
                        <w:sz w:val="2"/>
                        <w:szCs w:val="2"/>
                        <w14:textFill>
                          <w14:solidFill>
                            <w14:srgbClr w14:val="000000">
                              <w14:alpha w14:val="50000"/>
                            </w14:srgbClr>
                          </w14:solidFill>
                        </w14:textFill>
                      </w:rPr>
                    </w:pPr>
                    <w:r>
                      <w:rPr>
                        <w:color w:val="C0C0C0"/>
                        <w:sz w:val="2"/>
                        <w14:textFill>
                          <w14:solidFill>
                            <w14:srgbClr w14:val="C0C0C0">
                              <w14:alpha w14:val="50000"/>
                            </w14:srgbClr>
                          </w14:solidFill>
                        </w14:textFill>
                      </w:rPr>
                      <w:t>PROIECT CONFIDENȚIAL</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1C76" w14:textId="281E4319" w:rsidR="0014301A" w:rsidRPr="00CE51BC" w:rsidRDefault="0014301A" w:rsidP="00E57BAE">
    <w:pPr>
      <w:pStyle w:val="Header"/>
    </w:pPr>
  </w:p>
  <w:p w14:paraId="7EDBC9AF" w14:textId="77777777" w:rsidR="0014301A" w:rsidRPr="00CE51BC" w:rsidRDefault="001430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AAD" w14:textId="7D5E8EA1" w:rsidR="0014301A" w:rsidRPr="00CE51BC" w:rsidRDefault="00143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A8631"/>
    <w:multiLevelType w:val="hybridMultilevel"/>
    <w:tmpl w:val="FFFFFFFF"/>
    <w:lvl w:ilvl="0" w:tplc="7448819C">
      <w:start w:val="1"/>
      <w:numFmt w:val="bullet"/>
      <w:lvlText w:val="·"/>
      <w:lvlJc w:val="left"/>
      <w:pPr>
        <w:ind w:left="720" w:hanging="360"/>
      </w:pPr>
      <w:rPr>
        <w:rFonts w:ascii="Symbol" w:hAnsi="Symbol" w:hint="default"/>
      </w:rPr>
    </w:lvl>
    <w:lvl w:ilvl="1" w:tplc="9C029B5A">
      <w:start w:val="1"/>
      <w:numFmt w:val="bullet"/>
      <w:lvlText w:val="o"/>
      <w:lvlJc w:val="left"/>
      <w:pPr>
        <w:ind w:left="1440" w:hanging="360"/>
      </w:pPr>
      <w:rPr>
        <w:rFonts w:ascii="Courier New" w:hAnsi="Courier New" w:hint="default"/>
      </w:rPr>
    </w:lvl>
    <w:lvl w:ilvl="2" w:tplc="5204B6E2">
      <w:start w:val="1"/>
      <w:numFmt w:val="bullet"/>
      <w:lvlText w:val=""/>
      <w:lvlJc w:val="left"/>
      <w:pPr>
        <w:ind w:left="2160" w:hanging="360"/>
      </w:pPr>
      <w:rPr>
        <w:rFonts w:ascii="Wingdings" w:hAnsi="Wingdings" w:hint="default"/>
      </w:rPr>
    </w:lvl>
    <w:lvl w:ilvl="3" w:tplc="79CAA954">
      <w:start w:val="1"/>
      <w:numFmt w:val="bullet"/>
      <w:lvlText w:val=""/>
      <w:lvlJc w:val="left"/>
      <w:pPr>
        <w:ind w:left="2880" w:hanging="360"/>
      </w:pPr>
      <w:rPr>
        <w:rFonts w:ascii="Symbol" w:hAnsi="Symbol" w:hint="default"/>
      </w:rPr>
    </w:lvl>
    <w:lvl w:ilvl="4" w:tplc="94806F4A">
      <w:start w:val="1"/>
      <w:numFmt w:val="bullet"/>
      <w:lvlText w:val="o"/>
      <w:lvlJc w:val="left"/>
      <w:pPr>
        <w:ind w:left="3600" w:hanging="360"/>
      </w:pPr>
      <w:rPr>
        <w:rFonts w:ascii="Courier New" w:hAnsi="Courier New" w:hint="default"/>
      </w:rPr>
    </w:lvl>
    <w:lvl w:ilvl="5" w:tplc="F45C1936">
      <w:start w:val="1"/>
      <w:numFmt w:val="bullet"/>
      <w:lvlText w:val=""/>
      <w:lvlJc w:val="left"/>
      <w:pPr>
        <w:ind w:left="4320" w:hanging="360"/>
      </w:pPr>
      <w:rPr>
        <w:rFonts w:ascii="Wingdings" w:hAnsi="Wingdings" w:hint="default"/>
      </w:rPr>
    </w:lvl>
    <w:lvl w:ilvl="6" w:tplc="ACD2718A">
      <w:start w:val="1"/>
      <w:numFmt w:val="bullet"/>
      <w:lvlText w:val=""/>
      <w:lvlJc w:val="left"/>
      <w:pPr>
        <w:ind w:left="5040" w:hanging="360"/>
      </w:pPr>
      <w:rPr>
        <w:rFonts w:ascii="Symbol" w:hAnsi="Symbol" w:hint="default"/>
      </w:rPr>
    </w:lvl>
    <w:lvl w:ilvl="7" w:tplc="1382B172">
      <w:start w:val="1"/>
      <w:numFmt w:val="bullet"/>
      <w:lvlText w:val="o"/>
      <w:lvlJc w:val="left"/>
      <w:pPr>
        <w:ind w:left="5760" w:hanging="360"/>
      </w:pPr>
      <w:rPr>
        <w:rFonts w:ascii="Courier New" w:hAnsi="Courier New" w:hint="default"/>
      </w:rPr>
    </w:lvl>
    <w:lvl w:ilvl="8" w:tplc="00921CAC">
      <w:start w:val="1"/>
      <w:numFmt w:val="bullet"/>
      <w:lvlText w:val=""/>
      <w:lvlJc w:val="left"/>
      <w:pPr>
        <w:ind w:left="6480" w:hanging="360"/>
      </w:pPr>
      <w:rPr>
        <w:rFonts w:ascii="Wingdings" w:hAnsi="Wingdings" w:hint="default"/>
      </w:rPr>
    </w:lvl>
  </w:abstractNum>
  <w:abstractNum w:abstractNumId="1" w15:restartNumberingAfterBreak="0">
    <w:nsid w:val="1DDF056E"/>
    <w:multiLevelType w:val="hybridMultilevel"/>
    <w:tmpl w:val="FFFFFFFF"/>
    <w:lvl w:ilvl="0" w:tplc="E55A6932">
      <w:start w:val="1"/>
      <w:numFmt w:val="bullet"/>
      <w:lvlText w:val="-"/>
      <w:lvlJc w:val="left"/>
      <w:pPr>
        <w:ind w:left="720" w:hanging="360"/>
      </w:pPr>
      <w:rPr>
        <w:rFonts w:ascii="Symbol" w:hAnsi="Symbol" w:hint="default"/>
      </w:rPr>
    </w:lvl>
    <w:lvl w:ilvl="1" w:tplc="03FE7C9C">
      <w:start w:val="1"/>
      <w:numFmt w:val="bullet"/>
      <w:lvlText w:val="o"/>
      <w:lvlJc w:val="left"/>
      <w:pPr>
        <w:ind w:left="1440" w:hanging="360"/>
      </w:pPr>
      <w:rPr>
        <w:rFonts w:ascii="Symbol" w:hAnsi="Symbol" w:hint="default"/>
      </w:rPr>
    </w:lvl>
    <w:lvl w:ilvl="2" w:tplc="1162239C">
      <w:start w:val="1"/>
      <w:numFmt w:val="bullet"/>
      <w:lvlText w:val=""/>
      <w:lvlJc w:val="left"/>
      <w:pPr>
        <w:ind w:left="2160" w:hanging="360"/>
      </w:pPr>
      <w:rPr>
        <w:rFonts w:ascii="Wingdings" w:hAnsi="Wingdings" w:hint="default"/>
      </w:rPr>
    </w:lvl>
    <w:lvl w:ilvl="3" w:tplc="6ED0963E">
      <w:start w:val="1"/>
      <w:numFmt w:val="bullet"/>
      <w:lvlText w:val=""/>
      <w:lvlJc w:val="left"/>
      <w:pPr>
        <w:ind w:left="2880" w:hanging="360"/>
      </w:pPr>
      <w:rPr>
        <w:rFonts w:ascii="Symbol" w:hAnsi="Symbol" w:hint="default"/>
      </w:rPr>
    </w:lvl>
    <w:lvl w:ilvl="4" w:tplc="2C566AA6">
      <w:start w:val="1"/>
      <w:numFmt w:val="bullet"/>
      <w:lvlText w:val="o"/>
      <w:lvlJc w:val="left"/>
      <w:pPr>
        <w:ind w:left="3600" w:hanging="360"/>
      </w:pPr>
      <w:rPr>
        <w:rFonts w:ascii="Courier New" w:hAnsi="Courier New" w:hint="default"/>
      </w:rPr>
    </w:lvl>
    <w:lvl w:ilvl="5" w:tplc="F9D891F8">
      <w:start w:val="1"/>
      <w:numFmt w:val="bullet"/>
      <w:lvlText w:val=""/>
      <w:lvlJc w:val="left"/>
      <w:pPr>
        <w:ind w:left="4320" w:hanging="360"/>
      </w:pPr>
      <w:rPr>
        <w:rFonts w:ascii="Wingdings" w:hAnsi="Wingdings" w:hint="default"/>
      </w:rPr>
    </w:lvl>
    <w:lvl w:ilvl="6" w:tplc="5E321E72">
      <w:start w:val="1"/>
      <w:numFmt w:val="bullet"/>
      <w:lvlText w:val=""/>
      <w:lvlJc w:val="left"/>
      <w:pPr>
        <w:ind w:left="5040" w:hanging="360"/>
      </w:pPr>
      <w:rPr>
        <w:rFonts w:ascii="Symbol" w:hAnsi="Symbol" w:hint="default"/>
      </w:rPr>
    </w:lvl>
    <w:lvl w:ilvl="7" w:tplc="67F47E9E">
      <w:start w:val="1"/>
      <w:numFmt w:val="bullet"/>
      <w:lvlText w:val="o"/>
      <w:lvlJc w:val="left"/>
      <w:pPr>
        <w:ind w:left="5760" w:hanging="360"/>
      </w:pPr>
      <w:rPr>
        <w:rFonts w:ascii="Courier New" w:hAnsi="Courier New" w:hint="default"/>
      </w:rPr>
    </w:lvl>
    <w:lvl w:ilvl="8" w:tplc="DB3668C4">
      <w:start w:val="1"/>
      <w:numFmt w:val="bullet"/>
      <w:lvlText w:val=""/>
      <w:lvlJc w:val="left"/>
      <w:pPr>
        <w:ind w:left="6480" w:hanging="360"/>
      </w:pPr>
      <w:rPr>
        <w:rFonts w:ascii="Wingdings" w:hAnsi="Wingdings" w:hint="default"/>
      </w:rPr>
    </w:lvl>
  </w:abstractNum>
  <w:abstractNum w:abstractNumId="2" w15:restartNumberingAfterBreak="0">
    <w:nsid w:val="314F22CB"/>
    <w:multiLevelType w:val="hybridMultilevel"/>
    <w:tmpl w:val="FFFFFFFF"/>
    <w:lvl w:ilvl="0" w:tplc="F7E6C0D8">
      <w:start w:val="1"/>
      <w:numFmt w:val="bullet"/>
      <w:lvlText w:val="·"/>
      <w:lvlJc w:val="left"/>
      <w:pPr>
        <w:ind w:left="720" w:hanging="360"/>
      </w:pPr>
      <w:rPr>
        <w:rFonts w:ascii="Symbol" w:hAnsi="Symbol" w:hint="default"/>
      </w:rPr>
    </w:lvl>
    <w:lvl w:ilvl="1" w:tplc="DA663C94">
      <w:start w:val="1"/>
      <w:numFmt w:val="bullet"/>
      <w:lvlText w:val="o"/>
      <w:lvlJc w:val="left"/>
      <w:pPr>
        <w:ind w:left="1440" w:hanging="360"/>
      </w:pPr>
      <w:rPr>
        <w:rFonts w:ascii="Courier New" w:hAnsi="Courier New" w:hint="default"/>
      </w:rPr>
    </w:lvl>
    <w:lvl w:ilvl="2" w:tplc="76F406A8">
      <w:start w:val="1"/>
      <w:numFmt w:val="bullet"/>
      <w:lvlText w:val=""/>
      <w:lvlJc w:val="left"/>
      <w:pPr>
        <w:ind w:left="2160" w:hanging="360"/>
      </w:pPr>
      <w:rPr>
        <w:rFonts w:ascii="Wingdings" w:hAnsi="Wingdings" w:hint="default"/>
      </w:rPr>
    </w:lvl>
    <w:lvl w:ilvl="3" w:tplc="972E2BB4">
      <w:start w:val="1"/>
      <w:numFmt w:val="bullet"/>
      <w:lvlText w:val=""/>
      <w:lvlJc w:val="left"/>
      <w:pPr>
        <w:ind w:left="2880" w:hanging="360"/>
      </w:pPr>
      <w:rPr>
        <w:rFonts w:ascii="Symbol" w:hAnsi="Symbol" w:hint="default"/>
      </w:rPr>
    </w:lvl>
    <w:lvl w:ilvl="4" w:tplc="0682FE28">
      <w:start w:val="1"/>
      <w:numFmt w:val="bullet"/>
      <w:lvlText w:val="o"/>
      <w:lvlJc w:val="left"/>
      <w:pPr>
        <w:ind w:left="3600" w:hanging="360"/>
      </w:pPr>
      <w:rPr>
        <w:rFonts w:ascii="Courier New" w:hAnsi="Courier New" w:hint="default"/>
      </w:rPr>
    </w:lvl>
    <w:lvl w:ilvl="5" w:tplc="D374B900">
      <w:start w:val="1"/>
      <w:numFmt w:val="bullet"/>
      <w:lvlText w:val=""/>
      <w:lvlJc w:val="left"/>
      <w:pPr>
        <w:ind w:left="4320" w:hanging="360"/>
      </w:pPr>
      <w:rPr>
        <w:rFonts w:ascii="Wingdings" w:hAnsi="Wingdings" w:hint="default"/>
      </w:rPr>
    </w:lvl>
    <w:lvl w:ilvl="6" w:tplc="DE0879AC">
      <w:start w:val="1"/>
      <w:numFmt w:val="bullet"/>
      <w:lvlText w:val=""/>
      <w:lvlJc w:val="left"/>
      <w:pPr>
        <w:ind w:left="5040" w:hanging="360"/>
      </w:pPr>
      <w:rPr>
        <w:rFonts w:ascii="Symbol" w:hAnsi="Symbol" w:hint="default"/>
      </w:rPr>
    </w:lvl>
    <w:lvl w:ilvl="7" w:tplc="28EA23D6">
      <w:start w:val="1"/>
      <w:numFmt w:val="bullet"/>
      <w:lvlText w:val="o"/>
      <w:lvlJc w:val="left"/>
      <w:pPr>
        <w:ind w:left="5760" w:hanging="360"/>
      </w:pPr>
      <w:rPr>
        <w:rFonts w:ascii="Courier New" w:hAnsi="Courier New" w:hint="default"/>
      </w:rPr>
    </w:lvl>
    <w:lvl w:ilvl="8" w:tplc="21FC0BFC">
      <w:start w:val="1"/>
      <w:numFmt w:val="bullet"/>
      <w:lvlText w:val=""/>
      <w:lvlJc w:val="left"/>
      <w:pPr>
        <w:ind w:left="6480" w:hanging="360"/>
      </w:pPr>
      <w:rPr>
        <w:rFonts w:ascii="Wingdings" w:hAnsi="Wingdings" w:hint="default"/>
      </w:rPr>
    </w:lvl>
  </w:abstractNum>
  <w:abstractNum w:abstractNumId="3" w15:restartNumberingAfterBreak="0">
    <w:nsid w:val="3CE7F69F"/>
    <w:multiLevelType w:val="hybridMultilevel"/>
    <w:tmpl w:val="FFFFFFFF"/>
    <w:lvl w:ilvl="0" w:tplc="FC38A11A">
      <w:start w:val="1"/>
      <w:numFmt w:val="bullet"/>
      <w:lvlText w:val="·"/>
      <w:lvlJc w:val="left"/>
      <w:pPr>
        <w:ind w:left="720" w:hanging="360"/>
      </w:pPr>
      <w:rPr>
        <w:rFonts w:ascii="Symbol" w:hAnsi="Symbol" w:hint="default"/>
      </w:rPr>
    </w:lvl>
    <w:lvl w:ilvl="1" w:tplc="FEDAB230">
      <w:start w:val="1"/>
      <w:numFmt w:val="bullet"/>
      <w:lvlText w:val="o"/>
      <w:lvlJc w:val="left"/>
      <w:pPr>
        <w:ind w:left="1440" w:hanging="360"/>
      </w:pPr>
      <w:rPr>
        <w:rFonts w:ascii="Courier New" w:hAnsi="Courier New" w:hint="default"/>
      </w:rPr>
    </w:lvl>
    <w:lvl w:ilvl="2" w:tplc="645EF6F6">
      <w:start w:val="1"/>
      <w:numFmt w:val="bullet"/>
      <w:lvlText w:val=""/>
      <w:lvlJc w:val="left"/>
      <w:pPr>
        <w:ind w:left="2160" w:hanging="360"/>
      </w:pPr>
      <w:rPr>
        <w:rFonts w:ascii="Wingdings" w:hAnsi="Wingdings" w:hint="default"/>
      </w:rPr>
    </w:lvl>
    <w:lvl w:ilvl="3" w:tplc="F0CC6F3A">
      <w:start w:val="1"/>
      <w:numFmt w:val="bullet"/>
      <w:lvlText w:val=""/>
      <w:lvlJc w:val="left"/>
      <w:pPr>
        <w:ind w:left="2880" w:hanging="360"/>
      </w:pPr>
      <w:rPr>
        <w:rFonts w:ascii="Symbol" w:hAnsi="Symbol" w:hint="default"/>
      </w:rPr>
    </w:lvl>
    <w:lvl w:ilvl="4" w:tplc="A6A6DFEE">
      <w:start w:val="1"/>
      <w:numFmt w:val="bullet"/>
      <w:lvlText w:val="o"/>
      <w:lvlJc w:val="left"/>
      <w:pPr>
        <w:ind w:left="3600" w:hanging="360"/>
      </w:pPr>
      <w:rPr>
        <w:rFonts w:ascii="Courier New" w:hAnsi="Courier New" w:hint="default"/>
      </w:rPr>
    </w:lvl>
    <w:lvl w:ilvl="5" w:tplc="3AF4F084">
      <w:start w:val="1"/>
      <w:numFmt w:val="bullet"/>
      <w:lvlText w:val=""/>
      <w:lvlJc w:val="left"/>
      <w:pPr>
        <w:ind w:left="4320" w:hanging="360"/>
      </w:pPr>
      <w:rPr>
        <w:rFonts w:ascii="Wingdings" w:hAnsi="Wingdings" w:hint="default"/>
      </w:rPr>
    </w:lvl>
    <w:lvl w:ilvl="6" w:tplc="A8626CD6">
      <w:start w:val="1"/>
      <w:numFmt w:val="bullet"/>
      <w:lvlText w:val=""/>
      <w:lvlJc w:val="left"/>
      <w:pPr>
        <w:ind w:left="5040" w:hanging="360"/>
      </w:pPr>
      <w:rPr>
        <w:rFonts w:ascii="Symbol" w:hAnsi="Symbol" w:hint="default"/>
      </w:rPr>
    </w:lvl>
    <w:lvl w:ilvl="7" w:tplc="BCE67CA6">
      <w:start w:val="1"/>
      <w:numFmt w:val="bullet"/>
      <w:lvlText w:val="o"/>
      <w:lvlJc w:val="left"/>
      <w:pPr>
        <w:ind w:left="5760" w:hanging="360"/>
      </w:pPr>
      <w:rPr>
        <w:rFonts w:ascii="Courier New" w:hAnsi="Courier New" w:hint="default"/>
      </w:rPr>
    </w:lvl>
    <w:lvl w:ilvl="8" w:tplc="6368F3C2">
      <w:start w:val="1"/>
      <w:numFmt w:val="bullet"/>
      <w:lvlText w:val=""/>
      <w:lvlJc w:val="left"/>
      <w:pPr>
        <w:ind w:left="6480" w:hanging="360"/>
      </w:pPr>
      <w:rPr>
        <w:rFonts w:ascii="Wingdings" w:hAnsi="Wingdings" w:hint="default"/>
      </w:rPr>
    </w:lvl>
  </w:abstractNum>
  <w:abstractNum w:abstractNumId="4" w15:restartNumberingAfterBreak="0">
    <w:nsid w:val="3E36E132"/>
    <w:multiLevelType w:val="hybridMultilevel"/>
    <w:tmpl w:val="FFFFFFFF"/>
    <w:lvl w:ilvl="0" w:tplc="06A42912">
      <w:start w:val="1"/>
      <w:numFmt w:val="decimal"/>
      <w:lvlText w:val="%1."/>
      <w:lvlJc w:val="left"/>
      <w:pPr>
        <w:ind w:left="720" w:hanging="360"/>
      </w:pPr>
    </w:lvl>
    <w:lvl w:ilvl="1" w:tplc="F276620A">
      <w:start w:val="1"/>
      <w:numFmt w:val="lowerLetter"/>
      <w:lvlText w:val="%2."/>
      <w:lvlJc w:val="left"/>
      <w:pPr>
        <w:ind w:left="1440" w:hanging="360"/>
      </w:pPr>
    </w:lvl>
    <w:lvl w:ilvl="2" w:tplc="8B72FCFE">
      <w:start w:val="1"/>
      <w:numFmt w:val="lowerRoman"/>
      <w:lvlText w:val="%3."/>
      <w:lvlJc w:val="right"/>
      <w:pPr>
        <w:ind w:left="2160" w:hanging="180"/>
      </w:pPr>
    </w:lvl>
    <w:lvl w:ilvl="3" w:tplc="413C1134">
      <w:start w:val="1"/>
      <w:numFmt w:val="decimal"/>
      <w:lvlText w:val="%4."/>
      <w:lvlJc w:val="left"/>
      <w:pPr>
        <w:ind w:left="2880" w:hanging="360"/>
      </w:pPr>
    </w:lvl>
    <w:lvl w:ilvl="4" w:tplc="6AD4A95E">
      <w:start w:val="1"/>
      <w:numFmt w:val="lowerLetter"/>
      <w:lvlText w:val="%5."/>
      <w:lvlJc w:val="left"/>
      <w:pPr>
        <w:ind w:left="3600" w:hanging="360"/>
      </w:pPr>
    </w:lvl>
    <w:lvl w:ilvl="5" w:tplc="F794A498">
      <w:start w:val="1"/>
      <w:numFmt w:val="lowerRoman"/>
      <w:lvlText w:val="%6."/>
      <w:lvlJc w:val="right"/>
      <w:pPr>
        <w:ind w:left="4320" w:hanging="180"/>
      </w:pPr>
    </w:lvl>
    <w:lvl w:ilvl="6" w:tplc="09BE1DBC">
      <w:start w:val="1"/>
      <w:numFmt w:val="decimal"/>
      <w:lvlText w:val="%7."/>
      <w:lvlJc w:val="left"/>
      <w:pPr>
        <w:ind w:left="5040" w:hanging="360"/>
      </w:pPr>
    </w:lvl>
    <w:lvl w:ilvl="7" w:tplc="F99686D6">
      <w:start w:val="1"/>
      <w:numFmt w:val="lowerLetter"/>
      <w:lvlText w:val="%8."/>
      <w:lvlJc w:val="left"/>
      <w:pPr>
        <w:ind w:left="5760" w:hanging="360"/>
      </w:pPr>
    </w:lvl>
    <w:lvl w:ilvl="8" w:tplc="30C07B1E">
      <w:start w:val="1"/>
      <w:numFmt w:val="lowerRoman"/>
      <w:lvlText w:val="%9."/>
      <w:lvlJc w:val="right"/>
      <w:pPr>
        <w:ind w:left="6480" w:hanging="180"/>
      </w:pPr>
    </w:lvl>
  </w:abstractNum>
  <w:abstractNum w:abstractNumId="5" w15:restartNumberingAfterBreak="0">
    <w:nsid w:val="3F719528"/>
    <w:multiLevelType w:val="hybridMultilevel"/>
    <w:tmpl w:val="FFFFFFFF"/>
    <w:lvl w:ilvl="0" w:tplc="C94ABD3C">
      <w:start w:val="1"/>
      <w:numFmt w:val="bullet"/>
      <w:lvlText w:val="·"/>
      <w:lvlJc w:val="left"/>
      <w:pPr>
        <w:ind w:left="720" w:hanging="360"/>
      </w:pPr>
      <w:rPr>
        <w:rFonts w:ascii="Symbol" w:hAnsi="Symbol" w:hint="default"/>
      </w:rPr>
    </w:lvl>
    <w:lvl w:ilvl="1" w:tplc="3D82F53C">
      <w:start w:val="1"/>
      <w:numFmt w:val="bullet"/>
      <w:lvlText w:val="o"/>
      <w:lvlJc w:val="left"/>
      <w:pPr>
        <w:ind w:left="1440" w:hanging="360"/>
      </w:pPr>
      <w:rPr>
        <w:rFonts w:ascii="Courier New" w:hAnsi="Courier New" w:hint="default"/>
      </w:rPr>
    </w:lvl>
    <w:lvl w:ilvl="2" w:tplc="C2C6B97E">
      <w:start w:val="1"/>
      <w:numFmt w:val="bullet"/>
      <w:lvlText w:val=""/>
      <w:lvlJc w:val="left"/>
      <w:pPr>
        <w:ind w:left="2160" w:hanging="360"/>
      </w:pPr>
      <w:rPr>
        <w:rFonts w:ascii="Wingdings" w:hAnsi="Wingdings" w:hint="default"/>
      </w:rPr>
    </w:lvl>
    <w:lvl w:ilvl="3" w:tplc="CE30A6C8">
      <w:start w:val="1"/>
      <w:numFmt w:val="bullet"/>
      <w:lvlText w:val=""/>
      <w:lvlJc w:val="left"/>
      <w:pPr>
        <w:ind w:left="2880" w:hanging="360"/>
      </w:pPr>
      <w:rPr>
        <w:rFonts w:ascii="Symbol" w:hAnsi="Symbol" w:hint="default"/>
      </w:rPr>
    </w:lvl>
    <w:lvl w:ilvl="4" w:tplc="C5503EBC">
      <w:start w:val="1"/>
      <w:numFmt w:val="bullet"/>
      <w:lvlText w:val="o"/>
      <w:lvlJc w:val="left"/>
      <w:pPr>
        <w:ind w:left="3600" w:hanging="360"/>
      </w:pPr>
      <w:rPr>
        <w:rFonts w:ascii="Courier New" w:hAnsi="Courier New" w:hint="default"/>
      </w:rPr>
    </w:lvl>
    <w:lvl w:ilvl="5" w:tplc="1B306304">
      <w:start w:val="1"/>
      <w:numFmt w:val="bullet"/>
      <w:lvlText w:val=""/>
      <w:lvlJc w:val="left"/>
      <w:pPr>
        <w:ind w:left="4320" w:hanging="360"/>
      </w:pPr>
      <w:rPr>
        <w:rFonts w:ascii="Wingdings" w:hAnsi="Wingdings" w:hint="default"/>
      </w:rPr>
    </w:lvl>
    <w:lvl w:ilvl="6" w:tplc="034CBC9A">
      <w:start w:val="1"/>
      <w:numFmt w:val="bullet"/>
      <w:lvlText w:val=""/>
      <w:lvlJc w:val="left"/>
      <w:pPr>
        <w:ind w:left="5040" w:hanging="360"/>
      </w:pPr>
      <w:rPr>
        <w:rFonts w:ascii="Symbol" w:hAnsi="Symbol" w:hint="default"/>
      </w:rPr>
    </w:lvl>
    <w:lvl w:ilvl="7" w:tplc="FE2098C8">
      <w:start w:val="1"/>
      <w:numFmt w:val="bullet"/>
      <w:lvlText w:val="o"/>
      <w:lvlJc w:val="left"/>
      <w:pPr>
        <w:ind w:left="5760" w:hanging="360"/>
      </w:pPr>
      <w:rPr>
        <w:rFonts w:ascii="Courier New" w:hAnsi="Courier New" w:hint="default"/>
      </w:rPr>
    </w:lvl>
    <w:lvl w:ilvl="8" w:tplc="D9CCF926">
      <w:start w:val="1"/>
      <w:numFmt w:val="bullet"/>
      <w:lvlText w:val=""/>
      <w:lvlJc w:val="left"/>
      <w:pPr>
        <w:ind w:left="6480" w:hanging="360"/>
      </w:pPr>
      <w:rPr>
        <w:rFonts w:ascii="Wingdings" w:hAnsi="Wingdings" w:hint="default"/>
      </w:rPr>
    </w:lvl>
  </w:abstractNum>
  <w:abstractNum w:abstractNumId="6" w15:restartNumberingAfterBreak="0">
    <w:nsid w:val="44714536"/>
    <w:multiLevelType w:val="hybridMultilevel"/>
    <w:tmpl w:val="FFFFFFFF"/>
    <w:lvl w:ilvl="0" w:tplc="0808942E">
      <w:start w:val="1"/>
      <w:numFmt w:val="bullet"/>
      <w:lvlText w:val="·"/>
      <w:lvlJc w:val="left"/>
      <w:pPr>
        <w:ind w:left="720" w:hanging="360"/>
      </w:pPr>
      <w:rPr>
        <w:rFonts w:ascii="Symbol" w:hAnsi="Symbol" w:hint="default"/>
      </w:rPr>
    </w:lvl>
    <w:lvl w:ilvl="1" w:tplc="3104F538">
      <w:start w:val="1"/>
      <w:numFmt w:val="bullet"/>
      <w:lvlText w:val="o"/>
      <w:lvlJc w:val="left"/>
      <w:pPr>
        <w:ind w:left="1440" w:hanging="360"/>
      </w:pPr>
      <w:rPr>
        <w:rFonts w:ascii="Courier New" w:hAnsi="Courier New" w:hint="default"/>
      </w:rPr>
    </w:lvl>
    <w:lvl w:ilvl="2" w:tplc="271CB1F8">
      <w:start w:val="1"/>
      <w:numFmt w:val="bullet"/>
      <w:lvlText w:val=""/>
      <w:lvlJc w:val="left"/>
      <w:pPr>
        <w:ind w:left="2160" w:hanging="360"/>
      </w:pPr>
      <w:rPr>
        <w:rFonts w:ascii="Wingdings" w:hAnsi="Wingdings" w:hint="default"/>
      </w:rPr>
    </w:lvl>
    <w:lvl w:ilvl="3" w:tplc="07A6AC54">
      <w:start w:val="1"/>
      <w:numFmt w:val="bullet"/>
      <w:lvlText w:val=""/>
      <w:lvlJc w:val="left"/>
      <w:pPr>
        <w:ind w:left="2880" w:hanging="360"/>
      </w:pPr>
      <w:rPr>
        <w:rFonts w:ascii="Symbol" w:hAnsi="Symbol" w:hint="default"/>
      </w:rPr>
    </w:lvl>
    <w:lvl w:ilvl="4" w:tplc="B56C7108">
      <w:start w:val="1"/>
      <w:numFmt w:val="bullet"/>
      <w:lvlText w:val="o"/>
      <w:lvlJc w:val="left"/>
      <w:pPr>
        <w:ind w:left="3600" w:hanging="360"/>
      </w:pPr>
      <w:rPr>
        <w:rFonts w:ascii="Courier New" w:hAnsi="Courier New" w:hint="default"/>
      </w:rPr>
    </w:lvl>
    <w:lvl w:ilvl="5" w:tplc="DF28AB2E">
      <w:start w:val="1"/>
      <w:numFmt w:val="bullet"/>
      <w:lvlText w:val=""/>
      <w:lvlJc w:val="left"/>
      <w:pPr>
        <w:ind w:left="4320" w:hanging="360"/>
      </w:pPr>
      <w:rPr>
        <w:rFonts w:ascii="Wingdings" w:hAnsi="Wingdings" w:hint="default"/>
      </w:rPr>
    </w:lvl>
    <w:lvl w:ilvl="6" w:tplc="840AE12A">
      <w:start w:val="1"/>
      <w:numFmt w:val="bullet"/>
      <w:lvlText w:val=""/>
      <w:lvlJc w:val="left"/>
      <w:pPr>
        <w:ind w:left="5040" w:hanging="360"/>
      </w:pPr>
      <w:rPr>
        <w:rFonts w:ascii="Symbol" w:hAnsi="Symbol" w:hint="default"/>
      </w:rPr>
    </w:lvl>
    <w:lvl w:ilvl="7" w:tplc="AC642752">
      <w:start w:val="1"/>
      <w:numFmt w:val="bullet"/>
      <w:lvlText w:val="o"/>
      <w:lvlJc w:val="left"/>
      <w:pPr>
        <w:ind w:left="5760" w:hanging="360"/>
      </w:pPr>
      <w:rPr>
        <w:rFonts w:ascii="Courier New" w:hAnsi="Courier New" w:hint="default"/>
      </w:rPr>
    </w:lvl>
    <w:lvl w:ilvl="8" w:tplc="CF5E04CA">
      <w:start w:val="1"/>
      <w:numFmt w:val="bullet"/>
      <w:lvlText w:val=""/>
      <w:lvlJc w:val="left"/>
      <w:pPr>
        <w:ind w:left="6480" w:hanging="360"/>
      </w:pPr>
      <w:rPr>
        <w:rFonts w:ascii="Wingdings" w:hAnsi="Wingdings" w:hint="default"/>
      </w:rPr>
    </w:lvl>
  </w:abstractNum>
  <w:abstractNum w:abstractNumId="7" w15:restartNumberingAfterBreak="0">
    <w:nsid w:val="613092E5"/>
    <w:multiLevelType w:val="hybridMultilevel"/>
    <w:tmpl w:val="FFFFFFFF"/>
    <w:lvl w:ilvl="0" w:tplc="9B2EB03A">
      <w:start w:val="1"/>
      <w:numFmt w:val="bullet"/>
      <w:lvlText w:val="·"/>
      <w:lvlJc w:val="left"/>
      <w:pPr>
        <w:ind w:left="720" w:hanging="360"/>
      </w:pPr>
      <w:rPr>
        <w:rFonts w:ascii="Symbol" w:hAnsi="Symbol" w:hint="default"/>
      </w:rPr>
    </w:lvl>
    <w:lvl w:ilvl="1" w:tplc="0C56C3AC">
      <w:start w:val="1"/>
      <w:numFmt w:val="bullet"/>
      <w:lvlText w:val="o"/>
      <w:lvlJc w:val="left"/>
      <w:pPr>
        <w:ind w:left="1440" w:hanging="360"/>
      </w:pPr>
      <w:rPr>
        <w:rFonts w:ascii="Courier New" w:hAnsi="Courier New" w:hint="default"/>
      </w:rPr>
    </w:lvl>
    <w:lvl w:ilvl="2" w:tplc="26421BCA">
      <w:start w:val="1"/>
      <w:numFmt w:val="bullet"/>
      <w:lvlText w:val=""/>
      <w:lvlJc w:val="left"/>
      <w:pPr>
        <w:ind w:left="2160" w:hanging="360"/>
      </w:pPr>
      <w:rPr>
        <w:rFonts w:ascii="Wingdings" w:hAnsi="Wingdings" w:hint="default"/>
      </w:rPr>
    </w:lvl>
    <w:lvl w:ilvl="3" w:tplc="64BAC29E">
      <w:start w:val="1"/>
      <w:numFmt w:val="bullet"/>
      <w:lvlText w:val=""/>
      <w:lvlJc w:val="left"/>
      <w:pPr>
        <w:ind w:left="2880" w:hanging="360"/>
      </w:pPr>
      <w:rPr>
        <w:rFonts w:ascii="Symbol" w:hAnsi="Symbol" w:hint="default"/>
      </w:rPr>
    </w:lvl>
    <w:lvl w:ilvl="4" w:tplc="B350AB5E">
      <w:start w:val="1"/>
      <w:numFmt w:val="bullet"/>
      <w:lvlText w:val="o"/>
      <w:lvlJc w:val="left"/>
      <w:pPr>
        <w:ind w:left="3600" w:hanging="360"/>
      </w:pPr>
      <w:rPr>
        <w:rFonts w:ascii="Courier New" w:hAnsi="Courier New" w:hint="default"/>
      </w:rPr>
    </w:lvl>
    <w:lvl w:ilvl="5" w:tplc="E6A84A7A">
      <w:start w:val="1"/>
      <w:numFmt w:val="bullet"/>
      <w:lvlText w:val=""/>
      <w:lvlJc w:val="left"/>
      <w:pPr>
        <w:ind w:left="4320" w:hanging="360"/>
      </w:pPr>
      <w:rPr>
        <w:rFonts w:ascii="Wingdings" w:hAnsi="Wingdings" w:hint="default"/>
      </w:rPr>
    </w:lvl>
    <w:lvl w:ilvl="6" w:tplc="7F9047F2">
      <w:start w:val="1"/>
      <w:numFmt w:val="bullet"/>
      <w:lvlText w:val=""/>
      <w:lvlJc w:val="left"/>
      <w:pPr>
        <w:ind w:left="5040" w:hanging="360"/>
      </w:pPr>
      <w:rPr>
        <w:rFonts w:ascii="Symbol" w:hAnsi="Symbol" w:hint="default"/>
      </w:rPr>
    </w:lvl>
    <w:lvl w:ilvl="7" w:tplc="926A68A6">
      <w:start w:val="1"/>
      <w:numFmt w:val="bullet"/>
      <w:lvlText w:val="o"/>
      <w:lvlJc w:val="left"/>
      <w:pPr>
        <w:ind w:left="5760" w:hanging="360"/>
      </w:pPr>
      <w:rPr>
        <w:rFonts w:ascii="Courier New" w:hAnsi="Courier New" w:hint="default"/>
      </w:rPr>
    </w:lvl>
    <w:lvl w:ilvl="8" w:tplc="0C905864">
      <w:start w:val="1"/>
      <w:numFmt w:val="bullet"/>
      <w:lvlText w:val=""/>
      <w:lvlJc w:val="left"/>
      <w:pPr>
        <w:ind w:left="6480" w:hanging="360"/>
      </w:pPr>
      <w:rPr>
        <w:rFonts w:ascii="Wingdings" w:hAnsi="Wingdings" w:hint="default"/>
      </w:rPr>
    </w:lvl>
  </w:abstractNum>
  <w:abstractNum w:abstractNumId="8" w15:restartNumberingAfterBreak="0">
    <w:nsid w:val="7B8B10D5"/>
    <w:multiLevelType w:val="hybridMultilevel"/>
    <w:tmpl w:val="FFFFFFFF"/>
    <w:lvl w:ilvl="0" w:tplc="CF8810EC">
      <w:start w:val="1"/>
      <w:numFmt w:val="bullet"/>
      <w:lvlText w:val="·"/>
      <w:lvlJc w:val="left"/>
      <w:pPr>
        <w:ind w:left="720" w:hanging="360"/>
      </w:pPr>
      <w:rPr>
        <w:rFonts w:ascii="Symbol" w:hAnsi="Symbol" w:hint="default"/>
      </w:rPr>
    </w:lvl>
    <w:lvl w:ilvl="1" w:tplc="B0D42D18">
      <w:start w:val="1"/>
      <w:numFmt w:val="bullet"/>
      <w:lvlText w:val="o"/>
      <w:lvlJc w:val="left"/>
      <w:pPr>
        <w:ind w:left="1440" w:hanging="360"/>
      </w:pPr>
      <w:rPr>
        <w:rFonts w:ascii="Courier New" w:hAnsi="Courier New" w:hint="default"/>
      </w:rPr>
    </w:lvl>
    <w:lvl w:ilvl="2" w:tplc="704C9C54">
      <w:start w:val="1"/>
      <w:numFmt w:val="bullet"/>
      <w:lvlText w:val=""/>
      <w:lvlJc w:val="left"/>
      <w:pPr>
        <w:ind w:left="2160" w:hanging="360"/>
      </w:pPr>
      <w:rPr>
        <w:rFonts w:ascii="Wingdings" w:hAnsi="Wingdings" w:hint="default"/>
      </w:rPr>
    </w:lvl>
    <w:lvl w:ilvl="3" w:tplc="C12A0E02">
      <w:start w:val="1"/>
      <w:numFmt w:val="bullet"/>
      <w:lvlText w:val=""/>
      <w:lvlJc w:val="left"/>
      <w:pPr>
        <w:ind w:left="2880" w:hanging="360"/>
      </w:pPr>
      <w:rPr>
        <w:rFonts w:ascii="Symbol" w:hAnsi="Symbol" w:hint="default"/>
      </w:rPr>
    </w:lvl>
    <w:lvl w:ilvl="4" w:tplc="BFDA9D5A">
      <w:start w:val="1"/>
      <w:numFmt w:val="bullet"/>
      <w:lvlText w:val="o"/>
      <w:lvlJc w:val="left"/>
      <w:pPr>
        <w:ind w:left="3600" w:hanging="360"/>
      </w:pPr>
      <w:rPr>
        <w:rFonts w:ascii="Courier New" w:hAnsi="Courier New" w:hint="default"/>
      </w:rPr>
    </w:lvl>
    <w:lvl w:ilvl="5" w:tplc="0980D91A">
      <w:start w:val="1"/>
      <w:numFmt w:val="bullet"/>
      <w:lvlText w:val=""/>
      <w:lvlJc w:val="left"/>
      <w:pPr>
        <w:ind w:left="4320" w:hanging="360"/>
      </w:pPr>
      <w:rPr>
        <w:rFonts w:ascii="Wingdings" w:hAnsi="Wingdings" w:hint="default"/>
      </w:rPr>
    </w:lvl>
    <w:lvl w:ilvl="6" w:tplc="53E25DDA">
      <w:start w:val="1"/>
      <w:numFmt w:val="bullet"/>
      <w:lvlText w:val=""/>
      <w:lvlJc w:val="left"/>
      <w:pPr>
        <w:ind w:left="5040" w:hanging="360"/>
      </w:pPr>
      <w:rPr>
        <w:rFonts w:ascii="Symbol" w:hAnsi="Symbol" w:hint="default"/>
      </w:rPr>
    </w:lvl>
    <w:lvl w:ilvl="7" w:tplc="FB1637D2">
      <w:start w:val="1"/>
      <w:numFmt w:val="bullet"/>
      <w:lvlText w:val="o"/>
      <w:lvlJc w:val="left"/>
      <w:pPr>
        <w:ind w:left="5760" w:hanging="360"/>
      </w:pPr>
      <w:rPr>
        <w:rFonts w:ascii="Courier New" w:hAnsi="Courier New" w:hint="default"/>
      </w:rPr>
    </w:lvl>
    <w:lvl w:ilvl="8" w:tplc="CB1A52A4">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0"/>
  </w:num>
  <w:num w:numId="5">
    <w:abstractNumId w:val="8"/>
  </w:num>
  <w:num w:numId="6">
    <w:abstractNumId w:val="3"/>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1FB38D1B-D354-485B-A9A6-A2F1400250E0"/>
    <w:docVar w:name="LW_COVERPAGE_TYPE" w:val="1"/>
    <w:docVar w:name="LW_CROSSREFERENCE" w:val="&lt;UNUSED&gt;"/>
    <w:docVar w:name="LW_DocType" w:val="NORMAL"/>
    <w:docVar w:name="LW_EMISSION" w:val="22.4.2026"/>
    <w:docVar w:name="LW_EMISSION_ISODATE" w:val="2026-04-22"/>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AccelerateEU - Uniunea energetic\u259?&lt;FMT:Font=Aptos&gt;_x000d__x000d_&lt;/FMT&gt;_x000b_&lt;FMT:Font=Aptos&gt;_x000d__x000d__x000d__x000d__x000d__x000d__x000d_&lt;/FMT&gt;_x000b_Energie sigur\u259? \u537?i la pre\u539?uri accesibile prin ac\u539?iuni accelerate&lt;FMT:Font=Aptos&gt;_x000d__x000d_&lt;/FMT&gt;_x000b_&lt;FMT:Font=Aptos&gt;_x000d__x000d_&lt;/FMT&gt;_x000b_"/>
    <w:docVar w:name="LW_PART_NBR" w:val="1"/>
    <w:docVar w:name="LW_PART_NBR_TOTAL" w:val="1"/>
    <w:docVar w:name="LW_REF.INST.NEW" w:val="COM"/>
    <w:docVar w:name="LW_REF.INST.NEW_ADOPTED" w:val="final"/>
    <w:docVar w:name="LW_REF.INST.NEW_TEXT" w:val="(2026) 3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 COMITETUL ECONOMIC \u536?I SOCIAL EUROPEAN \u536?I COMITETUL REGIUNILOR _x000b_"/>
    <w:docVar w:name="LwApiVersions" w:val="LW4CoDe 1.24.5.0; LW 9.2, Build 20251112"/>
  </w:docVars>
  <w:rsids>
    <w:rsidRoot w:val="00E65958"/>
    <w:rsid w:val="0000487E"/>
    <w:rsid w:val="00015EEB"/>
    <w:rsid w:val="00023784"/>
    <w:rsid w:val="00040E3F"/>
    <w:rsid w:val="00061182"/>
    <w:rsid w:val="00092A4C"/>
    <w:rsid w:val="00095A9A"/>
    <w:rsid w:val="000A0F7F"/>
    <w:rsid w:val="000E1C99"/>
    <w:rsid w:val="000E507B"/>
    <w:rsid w:val="00100C1F"/>
    <w:rsid w:val="001214BE"/>
    <w:rsid w:val="00140964"/>
    <w:rsid w:val="0014301A"/>
    <w:rsid w:val="00153F05"/>
    <w:rsid w:val="00170F84"/>
    <w:rsid w:val="00184025"/>
    <w:rsid w:val="00190FBF"/>
    <w:rsid w:val="001A0421"/>
    <w:rsid w:val="001A4CD5"/>
    <w:rsid w:val="001B579E"/>
    <w:rsid w:val="001D4CEE"/>
    <w:rsid w:val="001D651A"/>
    <w:rsid w:val="0024412B"/>
    <w:rsid w:val="00251DEB"/>
    <w:rsid w:val="00264684"/>
    <w:rsid w:val="00284BFF"/>
    <w:rsid w:val="00286CF5"/>
    <w:rsid w:val="0029431D"/>
    <w:rsid w:val="002A3F07"/>
    <w:rsid w:val="002C5838"/>
    <w:rsid w:val="002C73CA"/>
    <w:rsid w:val="002D1F98"/>
    <w:rsid w:val="002D3501"/>
    <w:rsid w:val="0030394E"/>
    <w:rsid w:val="00304CC0"/>
    <w:rsid w:val="003058BC"/>
    <w:rsid w:val="003108D2"/>
    <w:rsid w:val="003201A6"/>
    <w:rsid w:val="0032396E"/>
    <w:rsid w:val="00327BAB"/>
    <w:rsid w:val="00335B85"/>
    <w:rsid w:val="00374C3F"/>
    <w:rsid w:val="003A311D"/>
    <w:rsid w:val="003E4DC4"/>
    <w:rsid w:val="003E57C9"/>
    <w:rsid w:val="003F2353"/>
    <w:rsid w:val="00401328"/>
    <w:rsid w:val="004113D5"/>
    <w:rsid w:val="00423F70"/>
    <w:rsid w:val="00431916"/>
    <w:rsid w:val="00435B43"/>
    <w:rsid w:val="004474E6"/>
    <w:rsid w:val="004639CD"/>
    <w:rsid w:val="00466BFD"/>
    <w:rsid w:val="0048761A"/>
    <w:rsid w:val="004A08FB"/>
    <w:rsid w:val="004A1E07"/>
    <w:rsid w:val="004D1A50"/>
    <w:rsid w:val="004E06BA"/>
    <w:rsid w:val="004F52F6"/>
    <w:rsid w:val="005035C2"/>
    <w:rsid w:val="00513A48"/>
    <w:rsid w:val="00523D61"/>
    <w:rsid w:val="00536004"/>
    <w:rsid w:val="00536EC4"/>
    <w:rsid w:val="0056496A"/>
    <w:rsid w:val="00573DD8"/>
    <w:rsid w:val="005870BD"/>
    <w:rsid w:val="005917BD"/>
    <w:rsid w:val="00594DCD"/>
    <w:rsid w:val="005A55C4"/>
    <w:rsid w:val="005B19D7"/>
    <w:rsid w:val="005B4555"/>
    <w:rsid w:val="005B6EBF"/>
    <w:rsid w:val="005C0FCB"/>
    <w:rsid w:val="005C2194"/>
    <w:rsid w:val="005D5263"/>
    <w:rsid w:val="00617F2A"/>
    <w:rsid w:val="00622803"/>
    <w:rsid w:val="00625B3D"/>
    <w:rsid w:val="00633D91"/>
    <w:rsid w:val="00655B13"/>
    <w:rsid w:val="00684987"/>
    <w:rsid w:val="006A4531"/>
    <w:rsid w:val="006B4B76"/>
    <w:rsid w:val="006C74DE"/>
    <w:rsid w:val="006D2B61"/>
    <w:rsid w:val="006E0A23"/>
    <w:rsid w:val="00702442"/>
    <w:rsid w:val="00717C78"/>
    <w:rsid w:val="007418A9"/>
    <w:rsid w:val="00750AAF"/>
    <w:rsid w:val="007610F6"/>
    <w:rsid w:val="00795DEC"/>
    <w:rsid w:val="007E1C55"/>
    <w:rsid w:val="00802857"/>
    <w:rsid w:val="00821D74"/>
    <w:rsid w:val="00824087"/>
    <w:rsid w:val="00826FF9"/>
    <w:rsid w:val="00830FA7"/>
    <w:rsid w:val="00834F41"/>
    <w:rsid w:val="00843CE2"/>
    <w:rsid w:val="008448D0"/>
    <w:rsid w:val="00861AF7"/>
    <w:rsid w:val="00887628"/>
    <w:rsid w:val="008A3A63"/>
    <w:rsid w:val="008A401D"/>
    <w:rsid w:val="008B261E"/>
    <w:rsid w:val="008F607C"/>
    <w:rsid w:val="009008F2"/>
    <w:rsid w:val="00902BD5"/>
    <w:rsid w:val="009216D8"/>
    <w:rsid w:val="00935CC1"/>
    <w:rsid w:val="00937207"/>
    <w:rsid w:val="00964383"/>
    <w:rsid w:val="0096717E"/>
    <w:rsid w:val="00972337"/>
    <w:rsid w:val="009834E9"/>
    <w:rsid w:val="009A4339"/>
    <w:rsid w:val="009B7F53"/>
    <w:rsid w:val="009C4F53"/>
    <w:rsid w:val="009E6BBD"/>
    <w:rsid w:val="00A03FEB"/>
    <w:rsid w:val="00A14746"/>
    <w:rsid w:val="00A168E5"/>
    <w:rsid w:val="00A229F0"/>
    <w:rsid w:val="00A30C21"/>
    <w:rsid w:val="00A638BC"/>
    <w:rsid w:val="00AA614D"/>
    <w:rsid w:val="00AB7F18"/>
    <w:rsid w:val="00AF714B"/>
    <w:rsid w:val="00B15491"/>
    <w:rsid w:val="00B16866"/>
    <w:rsid w:val="00B16A32"/>
    <w:rsid w:val="00B22D6E"/>
    <w:rsid w:val="00B26175"/>
    <w:rsid w:val="00B36D62"/>
    <w:rsid w:val="00B42C01"/>
    <w:rsid w:val="00B706EE"/>
    <w:rsid w:val="00B90381"/>
    <w:rsid w:val="00BC2658"/>
    <w:rsid w:val="00BD19A5"/>
    <w:rsid w:val="00C07A25"/>
    <w:rsid w:val="00C24711"/>
    <w:rsid w:val="00C32B58"/>
    <w:rsid w:val="00C36205"/>
    <w:rsid w:val="00C36FA6"/>
    <w:rsid w:val="00C57C9A"/>
    <w:rsid w:val="00C60F19"/>
    <w:rsid w:val="00C61BEA"/>
    <w:rsid w:val="00C66D0C"/>
    <w:rsid w:val="00C76C00"/>
    <w:rsid w:val="00C87CBE"/>
    <w:rsid w:val="00C91E8A"/>
    <w:rsid w:val="00C94F46"/>
    <w:rsid w:val="00CC7A43"/>
    <w:rsid w:val="00CE1AA9"/>
    <w:rsid w:val="00CE6D98"/>
    <w:rsid w:val="00CF391F"/>
    <w:rsid w:val="00D07F7D"/>
    <w:rsid w:val="00D1365C"/>
    <w:rsid w:val="00D17BF9"/>
    <w:rsid w:val="00D313D0"/>
    <w:rsid w:val="00D331AD"/>
    <w:rsid w:val="00D34EC1"/>
    <w:rsid w:val="00D56AAB"/>
    <w:rsid w:val="00D61BA6"/>
    <w:rsid w:val="00D87B3F"/>
    <w:rsid w:val="00DB69B1"/>
    <w:rsid w:val="00DF3CA6"/>
    <w:rsid w:val="00DF5A83"/>
    <w:rsid w:val="00DF74E7"/>
    <w:rsid w:val="00E456D9"/>
    <w:rsid w:val="00E50783"/>
    <w:rsid w:val="00E62F65"/>
    <w:rsid w:val="00E65958"/>
    <w:rsid w:val="00E8487C"/>
    <w:rsid w:val="00E9152E"/>
    <w:rsid w:val="00ED3CC8"/>
    <w:rsid w:val="00EE72EC"/>
    <w:rsid w:val="00F058BC"/>
    <w:rsid w:val="00F37C72"/>
    <w:rsid w:val="00F43578"/>
    <w:rsid w:val="00F614FB"/>
    <w:rsid w:val="00F81229"/>
    <w:rsid w:val="00FA2713"/>
    <w:rsid w:val="00FB223E"/>
    <w:rsid w:val="00FB3F2B"/>
    <w:rsid w:val="00FB6DE2"/>
    <w:rsid w:val="00FC38B8"/>
    <w:rsid w:val="00FE5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F4DE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958"/>
    <w:pPr>
      <w:spacing w:before="100" w:beforeAutospacing="1" w:after="100" w:afterAutospacing="1" w:line="240" w:lineRule="auto"/>
      <w:jc w:val="both"/>
    </w:pPr>
    <w:rPr>
      <w:rFonts w:ascii="Times New Roman" w:eastAsia="Times New Roman" w:hAnsi="Times New Roman" w:cs="Times New Roman"/>
      <w:sz w:val="24"/>
      <w:szCs w:val="24"/>
      <w:lang w:eastAsia="en-IE"/>
    </w:rPr>
  </w:style>
  <w:style w:type="paragraph" w:styleId="Heading1">
    <w:name w:val="heading 1"/>
    <w:basedOn w:val="Normal"/>
    <w:next w:val="Normal"/>
    <w:link w:val="Heading1Char"/>
    <w:uiPriority w:val="9"/>
    <w:qFormat/>
    <w:rsid w:val="00E659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59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59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9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59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59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59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59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59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9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59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59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9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9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9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9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9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958"/>
    <w:rPr>
      <w:rFonts w:eastAsiaTheme="majorEastAsia" w:cstheme="majorBidi"/>
      <w:color w:val="272727" w:themeColor="text1" w:themeTint="D8"/>
    </w:rPr>
  </w:style>
  <w:style w:type="paragraph" w:styleId="Title">
    <w:name w:val="Title"/>
    <w:basedOn w:val="Normal"/>
    <w:next w:val="Normal"/>
    <w:link w:val="TitleChar"/>
    <w:uiPriority w:val="10"/>
    <w:qFormat/>
    <w:rsid w:val="00E659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9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9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9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958"/>
    <w:pPr>
      <w:spacing w:before="160"/>
      <w:jc w:val="center"/>
    </w:pPr>
    <w:rPr>
      <w:i/>
      <w:iCs/>
      <w:color w:val="404040" w:themeColor="text1" w:themeTint="BF"/>
    </w:rPr>
  </w:style>
  <w:style w:type="character" w:customStyle="1" w:styleId="QuoteChar">
    <w:name w:val="Quote Char"/>
    <w:basedOn w:val="DefaultParagraphFont"/>
    <w:link w:val="Quote"/>
    <w:uiPriority w:val="29"/>
    <w:rsid w:val="00E65958"/>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65958"/>
    <w:pPr>
      <w:ind w:left="720"/>
      <w:contextualSpacing/>
    </w:pPr>
  </w:style>
  <w:style w:type="character" w:styleId="IntenseEmphasis">
    <w:name w:val="Intense Emphasis"/>
    <w:basedOn w:val="DefaultParagraphFont"/>
    <w:uiPriority w:val="21"/>
    <w:qFormat/>
    <w:rsid w:val="00E65958"/>
    <w:rPr>
      <w:i/>
      <w:iCs/>
      <w:color w:val="0F4761" w:themeColor="accent1" w:themeShade="BF"/>
    </w:rPr>
  </w:style>
  <w:style w:type="paragraph" w:styleId="IntenseQuote">
    <w:name w:val="Intense Quote"/>
    <w:basedOn w:val="Normal"/>
    <w:next w:val="Normal"/>
    <w:link w:val="IntenseQuoteChar"/>
    <w:uiPriority w:val="30"/>
    <w:qFormat/>
    <w:rsid w:val="00E659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958"/>
    <w:rPr>
      <w:i/>
      <w:iCs/>
      <w:color w:val="0F4761" w:themeColor="accent1" w:themeShade="BF"/>
    </w:rPr>
  </w:style>
  <w:style w:type="character" w:styleId="IntenseReference">
    <w:name w:val="Intense Reference"/>
    <w:basedOn w:val="DefaultParagraphFont"/>
    <w:uiPriority w:val="32"/>
    <w:qFormat/>
    <w:rsid w:val="00E65958"/>
    <w:rPr>
      <w:b/>
      <w:bCs/>
      <w:smallCaps/>
      <w:color w:val="0F4761" w:themeColor="accent1" w:themeShade="BF"/>
      <w:spacing w:val="5"/>
    </w:rPr>
  </w:style>
  <w:style w:type="character" w:styleId="Hyperlink">
    <w:name w:val="Hyperlink"/>
    <w:basedOn w:val="DefaultParagraphFont"/>
    <w:unhideWhenUsed/>
    <w:rsid w:val="00E65958"/>
    <w:rPr>
      <w:color w:val="467886" w:themeColor="hyperlink"/>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65958"/>
  </w:style>
  <w:style w:type="table" w:styleId="TableGrid">
    <w:name w:val="Table Grid"/>
    <w:basedOn w:val="TableNormal"/>
    <w:uiPriority w:val="59"/>
    <w:rsid w:val="00E65958"/>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C57C9A"/>
    <w:rPr>
      <w:color w:val="0000FF"/>
      <w:shd w:val="clear" w:color="auto" w:fill="auto"/>
    </w:rPr>
  </w:style>
  <w:style w:type="paragraph" w:styleId="Header">
    <w:name w:val="header"/>
    <w:basedOn w:val="Normal"/>
    <w:link w:val="HeaderChar"/>
    <w:uiPriority w:val="99"/>
    <w:unhideWhenUsed/>
    <w:rsid w:val="00C57C9A"/>
    <w:pPr>
      <w:tabs>
        <w:tab w:val="center" w:pos="4513"/>
        <w:tab w:val="right" w:pos="9026"/>
      </w:tabs>
      <w:spacing w:before="0" w:after="0"/>
    </w:pPr>
  </w:style>
  <w:style w:type="character" w:customStyle="1" w:styleId="HeaderChar">
    <w:name w:val="Header Char"/>
    <w:basedOn w:val="DefaultParagraphFont"/>
    <w:link w:val="Header"/>
    <w:uiPriority w:val="99"/>
    <w:rsid w:val="00C57C9A"/>
    <w:rPr>
      <w:rFonts w:ascii="Times New Roman" w:eastAsia="Times New Roman" w:hAnsi="Times New Roman" w:cs="Times New Roman"/>
      <w:sz w:val="24"/>
      <w:szCs w:val="24"/>
      <w:lang w:val="ro-RO" w:eastAsia="en-IE"/>
    </w:rPr>
  </w:style>
  <w:style w:type="paragraph" w:styleId="Footer">
    <w:name w:val="footer"/>
    <w:basedOn w:val="Normal"/>
    <w:link w:val="FooterChar"/>
    <w:uiPriority w:val="99"/>
    <w:unhideWhenUsed/>
    <w:rsid w:val="00C57C9A"/>
    <w:pPr>
      <w:tabs>
        <w:tab w:val="center" w:pos="4513"/>
        <w:tab w:val="right" w:pos="9026"/>
      </w:tabs>
      <w:spacing w:before="0" w:after="0"/>
    </w:pPr>
  </w:style>
  <w:style w:type="character" w:customStyle="1" w:styleId="FooterChar">
    <w:name w:val="Footer Char"/>
    <w:basedOn w:val="DefaultParagraphFont"/>
    <w:link w:val="Footer"/>
    <w:uiPriority w:val="99"/>
    <w:rsid w:val="00C57C9A"/>
    <w:rPr>
      <w:rFonts w:ascii="Times New Roman" w:eastAsia="Times New Roman" w:hAnsi="Times New Roman" w:cs="Times New Roman"/>
      <w:sz w:val="24"/>
      <w:szCs w:val="24"/>
      <w:lang w:val="ro-RO" w:eastAsia="en-IE"/>
    </w:rPr>
  </w:style>
  <w:style w:type="paragraph" w:customStyle="1" w:styleId="Pagedecouverture">
    <w:name w:val="Page de couverture"/>
    <w:basedOn w:val="Normal"/>
    <w:next w:val="Normal"/>
    <w:rsid w:val="00C57C9A"/>
    <w:pPr>
      <w:spacing w:before="0" w:beforeAutospacing="0" w:after="0" w:afterAutospacing="0"/>
    </w:pPr>
    <w:rPr>
      <w:rFonts w:eastAsiaTheme="minorHAnsi"/>
      <w:szCs w:val="22"/>
      <w:lang w:eastAsia="en-US"/>
    </w:rPr>
  </w:style>
  <w:style w:type="paragraph" w:customStyle="1" w:styleId="FooterCoverPage">
    <w:name w:val="Footer Cover Page"/>
    <w:basedOn w:val="Normal"/>
    <w:link w:val="FooterCoverPageChar"/>
    <w:rsid w:val="00C57C9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57C9A"/>
    <w:rPr>
      <w:rFonts w:ascii="Times New Roman" w:eastAsia="Times New Roman" w:hAnsi="Times New Roman" w:cs="Times New Roman"/>
      <w:sz w:val="24"/>
      <w:szCs w:val="24"/>
      <w:lang w:eastAsia="en-IE"/>
    </w:rPr>
  </w:style>
  <w:style w:type="paragraph" w:customStyle="1" w:styleId="FooterSensitivity">
    <w:name w:val="Footer Sensitivity"/>
    <w:basedOn w:val="Normal"/>
    <w:link w:val="FooterSensitivityChar"/>
    <w:rsid w:val="00C57C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57C9A"/>
    <w:rPr>
      <w:rFonts w:ascii="Times New Roman" w:eastAsia="Times New Roman" w:hAnsi="Times New Roman" w:cs="Times New Roman"/>
      <w:b/>
      <w:sz w:val="32"/>
      <w:szCs w:val="24"/>
      <w:lang w:eastAsia="en-IE"/>
    </w:rPr>
  </w:style>
  <w:style w:type="paragraph" w:customStyle="1" w:styleId="HeaderCoverPage">
    <w:name w:val="Header Cover Page"/>
    <w:basedOn w:val="Normal"/>
    <w:link w:val="HeaderCoverPageChar"/>
    <w:rsid w:val="00C57C9A"/>
    <w:pPr>
      <w:tabs>
        <w:tab w:val="center" w:pos="4535"/>
        <w:tab w:val="right" w:pos="9071"/>
      </w:tabs>
      <w:spacing w:before="0" w:after="120"/>
    </w:pPr>
  </w:style>
  <w:style w:type="character" w:customStyle="1" w:styleId="HeaderCoverPageChar">
    <w:name w:val="Header Cover Page Char"/>
    <w:basedOn w:val="DefaultParagraphFont"/>
    <w:link w:val="HeaderCoverPage"/>
    <w:rsid w:val="00C57C9A"/>
    <w:rPr>
      <w:rFonts w:ascii="Times New Roman" w:eastAsia="Times New Roman" w:hAnsi="Times New Roman" w:cs="Times New Roman"/>
      <w:sz w:val="24"/>
      <w:szCs w:val="24"/>
      <w:lang w:eastAsia="en-IE"/>
    </w:rPr>
  </w:style>
  <w:style w:type="paragraph" w:customStyle="1" w:styleId="HeaderSensitivity">
    <w:name w:val="Header Sensitivity"/>
    <w:basedOn w:val="Normal"/>
    <w:link w:val="HeaderSensitivityChar"/>
    <w:rsid w:val="00C57C9A"/>
    <w:pPr>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C57C9A"/>
    <w:rPr>
      <w:rFonts w:ascii="Times New Roman" w:eastAsia="Times New Roman" w:hAnsi="Times New Roman" w:cs="Times New Roman"/>
      <w:b/>
      <w:sz w:val="32"/>
      <w:szCs w:val="24"/>
      <w:lang w:eastAsia="en-IE"/>
    </w:rPr>
  </w:style>
  <w:style w:type="paragraph" w:customStyle="1" w:styleId="HeaderSensitivityRight">
    <w:name w:val="Header Sensitivity Right"/>
    <w:basedOn w:val="Normal"/>
    <w:link w:val="HeaderSensitivityRightChar"/>
    <w:rsid w:val="00C57C9A"/>
    <w:pPr>
      <w:spacing w:before="0" w:after="120"/>
      <w:jc w:val="right"/>
    </w:pPr>
    <w:rPr>
      <w:sz w:val="28"/>
    </w:rPr>
  </w:style>
  <w:style w:type="character" w:customStyle="1" w:styleId="HeaderSensitivityRightChar">
    <w:name w:val="Header Sensitivity Right Char"/>
    <w:basedOn w:val="DefaultParagraphFont"/>
    <w:link w:val="HeaderSensitivityRight"/>
    <w:rsid w:val="00C57C9A"/>
    <w:rPr>
      <w:rFonts w:ascii="Times New Roman" w:eastAsia="Times New Roman" w:hAnsi="Times New Roman" w:cs="Times New Roman"/>
      <w:sz w:val="28"/>
      <w:szCs w:val="24"/>
      <w:lang w:eastAsia="en-IE"/>
    </w:rPr>
  </w:style>
  <w:style w:type="paragraph" w:styleId="Revision">
    <w:name w:val="Revision"/>
    <w:hidden/>
    <w:uiPriority w:val="99"/>
    <w:semiHidden/>
    <w:rsid w:val="00821D74"/>
    <w:pPr>
      <w:spacing w:after="0"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655B13"/>
    <w:rPr>
      <w:sz w:val="16"/>
      <w:szCs w:val="16"/>
    </w:rPr>
  </w:style>
  <w:style w:type="paragraph" w:styleId="CommentText">
    <w:name w:val="annotation text"/>
    <w:basedOn w:val="Normal"/>
    <w:link w:val="CommentTextChar"/>
    <w:uiPriority w:val="99"/>
    <w:unhideWhenUsed/>
    <w:rsid w:val="00655B13"/>
    <w:rPr>
      <w:sz w:val="20"/>
      <w:szCs w:val="20"/>
    </w:rPr>
  </w:style>
  <w:style w:type="character" w:customStyle="1" w:styleId="CommentTextChar">
    <w:name w:val="Comment Text Char"/>
    <w:basedOn w:val="DefaultParagraphFont"/>
    <w:link w:val="CommentText"/>
    <w:uiPriority w:val="99"/>
    <w:rsid w:val="00655B13"/>
    <w:rPr>
      <w:rFonts w:ascii="Times New Roman" w:eastAsia="Times New Roman" w:hAnsi="Times New Roman" w:cs="Times New Roman"/>
      <w:sz w:val="20"/>
      <w:szCs w:val="20"/>
      <w:lang w:val="ro-RO" w:eastAsia="en-IE"/>
    </w:rPr>
  </w:style>
  <w:style w:type="paragraph" w:styleId="CommentSubject">
    <w:name w:val="annotation subject"/>
    <w:basedOn w:val="CommentText"/>
    <w:next w:val="CommentText"/>
    <w:link w:val="CommentSubjectChar"/>
    <w:uiPriority w:val="99"/>
    <w:semiHidden/>
    <w:unhideWhenUsed/>
    <w:rsid w:val="00655B13"/>
    <w:rPr>
      <w:b/>
      <w:bCs/>
    </w:rPr>
  </w:style>
  <w:style w:type="character" w:customStyle="1" w:styleId="CommentSubjectChar">
    <w:name w:val="Comment Subject Char"/>
    <w:basedOn w:val="CommentTextChar"/>
    <w:link w:val="CommentSubject"/>
    <w:uiPriority w:val="99"/>
    <w:semiHidden/>
    <w:rsid w:val="00655B13"/>
    <w:rPr>
      <w:rFonts w:ascii="Times New Roman" w:eastAsia="Times New Roman" w:hAnsi="Times New Roman" w:cs="Times New Roman"/>
      <w:b/>
      <w:bCs/>
      <w:sz w:val="20"/>
      <w:szCs w:val="20"/>
      <w:lang w:val="ro-RO"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2258</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2026-04-21T16:58:00Z</dcterms:created>
  <dcterms:modified xsi:type="dcterms:W3CDTF">2026-04-24T19:51:00Z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2026-04-21T16:59:01Z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98e357d5-e91d-49e0-bde0-8df74cdc3ca0</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