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header151.xml" ContentType="application/vnd.openxmlformats-officedocument.wordprocessingml.header+xml"/>
  <Override PartName="/word/footer150.xml" ContentType="application/vnd.openxmlformats-officedocument.wordprocessingml.foot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header157.xml" ContentType="application/vnd.openxmlformats-officedocument.wordprocessingml.header+xml"/>
  <Override PartName="/word/footer156.xml" ContentType="application/vnd.openxmlformats-officedocument.wordprocessingml.foot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footer159.xml" ContentType="application/vnd.openxmlformats-officedocument.wordprocessingml.foot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header163.xml" ContentType="application/vnd.openxmlformats-officedocument.wordprocessingml.header+xml"/>
  <Override PartName="/word/footer162.xml" ContentType="application/vnd.openxmlformats-officedocument.wordprocessingml.foot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footer165.xml" ContentType="application/vnd.openxmlformats-officedocument.wordprocessingml.foot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header169.xml" ContentType="application/vnd.openxmlformats-officedocument.wordprocessingml.header+xml"/>
  <Override PartName="/word/footer168.xml" ContentType="application/vnd.openxmlformats-officedocument.wordprocessingml.foot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header175.xml" ContentType="application/vnd.openxmlformats-officedocument.wordprocessingml.header+xml"/>
  <Override PartName="/word/footer174.xml" ContentType="application/vnd.openxmlformats-officedocument.wordprocessingml.foot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177.xml" ContentType="application/vnd.openxmlformats-officedocument.wordprocessingml.foot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header181.xml" ContentType="application/vnd.openxmlformats-officedocument.wordprocessingml.header+xml"/>
  <Override PartName="/word/footer180.xml" ContentType="application/vnd.openxmlformats-officedocument.wordprocessingml.foot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183.xml" ContentType="application/vnd.openxmlformats-officedocument.wordprocessingml.foot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header187.xml" ContentType="application/vnd.openxmlformats-officedocument.wordprocessingml.header+xml"/>
  <Override PartName="/word/footer186.xml" ContentType="application/vnd.openxmlformats-officedocument.wordprocessingml.foot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189.xml" ContentType="application/vnd.openxmlformats-officedocument.wordprocessingml.foot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header193.xml" ContentType="application/vnd.openxmlformats-officedocument.wordprocessingml.header+xml"/>
  <Override PartName="/word/footer192.xml" ContentType="application/vnd.openxmlformats-officedocument.wordprocessingml.foot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95220" w14:textId="1B1F314F" w:rsidR="00A345F4" w:rsidRDefault="00AA39B1" w:rsidP="00AA39B1">
      <w:pPr>
        <w:pStyle w:val="Pagedecouverture"/>
        <w:rPr>
          <w:noProof/>
        </w:rPr>
      </w:pPr>
      <w:bookmarkStart w:id="0" w:name="LW_BM_COVERPAGE"/>
      <w:r>
        <w:rPr>
          <w:noProof/>
        </w:rPr>
        <w:pict w14:anchorId="76707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F539699-4053-4CB8-8FEE-65103D8F11B5" style="width:455.25pt;height:372.75pt">
            <v:imagedata r:id="rId11" o:title=""/>
          </v:shape>
        </w:pict>
      </w:r>
    </w:p>
    <w:bookmarkEnd w:id="0"/>
    <w:p w14:paraId="29477EAB" w14:textId="77777777" w:rsidR="00A345F4" w:rsidRDefault="00A345F4">
      <w:pPr>
        <w:rPr>
          <w:rFonts w:hint="eastAsia"/>
          <w:noProof/>
        </w:rPr>
        <w:sectPr w:rsidR="00A345F4" w:rsidSect="00AA39B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055656F" w14:textId="23B88955" w:rsidR="00A345F4" w:rsidRDefault="005E2D4E">
      <w:pPr>
        <w:pStyle w:val="P68B1DB1-Normal1"/>
        <w:keepNext/>
        <w:numPr>
          <w:ilvl w:val="0"/>
          <w:numId w:val="1"/>
        </w:numPr>
        <w:tabs>
          <w:tab w:val="left" w:pos="850"/>
        </w:tabs>
        <w:spacing w:before="360" w:after="120" w:line="240" w:lineRule="auto"/>
        <w:jc w:val="both"/>
        <w:outlineLvl w:val="0"/>
        <w:rPr>
          <w:bCs/>
          <w:noProof/>
        </w:rPr>
      </w:pPr>
      <w:bookmarkStart w:id="1" w:name="_GoBack"/>
      <w:bookmarkEnd w:id="1"/>
      <w:r>
        <w:rPr>
          <w:noProof/>
        </w:rPr>
        <w:lastRenderedPageBreak/>
        <w:t>Élément 1: Gestion de l'eau</w:t>
      </w:r>
    </w:p>
    <w:p w14:paraId="7721304F" w14:textId="46A90713" w:rsidR="00A345F4" w:rsidRDefault="005E2D4E">
      <w:pPr>
        <w:pStyle w:val="P68B1DB1-Normal4"/>
        <w:spacing w:before="120" w:after="120" w:line="240" w:lineRule="auto"/>
        <w:jc w:val="both"/>
        <w:rPr>
          <w:noProof/>
        </w:rPr>
      </w:pPr>
      <w:r>
        <w:rPr>
          <w:noProof/>
        </w:rPr>
        <w:t xml:space="preserve">L’objectif de ce volet est de garantir un approvisionnement durable en eau pour un avenir sûr des personnes, de l’environnement et de l’économie. En particulier, le volet vise à: 1) améliorer l'accès du public, en particulier dans les zones rurales, aux services publics d'approvisionnement en eau et d'assainissement, conformément aux exigences de la législation de l'Union européenne, et le rendre accessible à tous les groupes sociaux; 2° accroître la sécurité des accumulations existantes; (3) renforcer les capacités administratives et de réaction de l'Administration nationale de l'eau (ANAR) dans les situations d'urgence, en particulier celles liées aux infrastructures de gestion de l'eau. </w:t>
      </w:r>
    </w:p>
    <w:p w14:paraId="4F47307F" w14:textId="275273EB" w:rsidR="00A345F4" w:rsidRDefault="005E2D4E">
      <w:pPr>
        <w:pStyle w:val="P68B1DB1-Normal4"/>
        <w:spacing w:before="120" w:after="120" w:line="240" w:lineRule="auto"/>
        <w:jc w:val="both"/>
        <w:rPr>
          <w:noProof/>
        </w:rPr>
      </w:pPr>
      <w:r>
        <w:rPr>
          <w:noProof/>
        </w:rPr>
        <w:t xml:space="preserve">Le volet comprend deux réformes et cinq investissements, dont un est financé par un soutien financier non remboursable.  </w:t>
      </w:r>
    </w:p>
    <w:p w14:paraId="791C6441" w14:textId="77777777" w:rsidR="00A345F4" w:rsidRDefault="005E2D4E">
      <w:pPr>
        <w:pStyle w:val="P68B1DB1-Normal4"/>
        <w:spacing w:before="120" w:after="120" w:line="240" w:lineRule="auto"/>
        <w:jc w:val="both"/>
        <w:rPr>
          <w:noProof/>
        </w:rPr>
      </w:pPr>
      <w:r>
        <w:rPr>
          <w:noProof/>
        </w:rPr>
        <w:t xml:space="preserve">Les mesures incluses dans le volet devraient relever certains défis mis en évidence par la recommandation par pays visant à concentrer les investissements sur la transition écologique et numérique, en particulier sur les infrastructures environnementales, entre autres (recommandation par pays 4, 2019 et recommandation par pays 3, 2020). </w:t>
      </w:r>
    </w:p>
    <w:p w14:paraId="513F15F0" w14:textId="77777777" w:rsidR="00A345F4" w:rsidRDefault="005E2D4E">
      <w:pPr>
        <w:pStyle w:val="P68B1DB1-Normal4"/>
        <w:spacing w:before="120" w:after="120" w:line="240" w:lineRule="auto"/>
        <w:jc w:val="both"/>
        <w:rPr>
          <w:noProof/>
        </w:rPr>
      </w:pPr>
      <w:r>
        <w:rPr>
          <w:noProof/>
        </w:rPr>
        <w:t>On s'attend à ce qu'aucune mesure de ce volet ne nuise considérablement aux objectifs environnementaux.</w:t>
      </w:r>
    </w:p>
    <w:p w14:paraId="7C3969A2" w14:textId="77777777" w:rsidR="00A345F4" w:rsidRDefault="00A345F4">
      <w:pPr>
        <w:spacing w:before="120" w:after="120" w:line="240" w:lineRule="auto"/>
        <w:jc w:val="both"/>
        <w:rPr>
          <w:rFonts w:ascii="Times New Roman" w:hAnsi="Times New Roman" w:cs="Times New Roman"/>
          <w:noProof/>
        </w:rPr>
      </w:pPr>
    </w:p>
    <w:p w14:paraId="419656B3" w14:textId="77777777" w:rsidR="00A345F4" w:rsidRDefault="005E2D4E">
      <w:pPr>
        <w:pStyle w:val="P68B1DB1-Normal5"/>
        <w:keepNext/>
        <w:spacing w:before="120" w:after="120" w:line="240" w:lineRule="auto"/>
        <w:jc w:val="both"/>
        <w:outlineLvl w:val="1"/>
        <w:rPr>
          <w:bCs/>
          <w:smallCaps/>
          <w:noProof/>
        </w:rPr>
      </w:pPr>
      <w:r>
        <w:rPr>
          <w:noProof/>
        </w:rPr>
        <w:t xml:space="preserve">A.1. </w:t>
      </w:r>
      <w:r>
        <w:rPr>
          <w:smallCaps/>
          <w:noProof/>
        </w:rPr>
        <w:t>Description des réformes et des investissements pour le soutien financier non remboursable</w:t>
      </w:r>
    </w:p>
    <w:p w14:paraId="3F88EBC4"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Investissement 6. Livraison du cadastre d'eau</w:t>
      </w:r>
    </w:p>
    <w:p w14:paraId="02C996C6" w14:textId="77777777" w:rsidR="00A345F4" w:rsidRDefault="005E2D4E">
      <w:pPr>
        <w:pStyle w:val="P68B1DB1-Normal4"/>
        <w:spacing w:before="120" w:after="120" w:line="240" w:lineRule="auto"/>
        <w:jc w:val="both"/>
        <w:rPr>
          <w:noProof/>
        </w:rPr>
      </w:pPr>
      <w:r>
        <w:rPr>
          <w:noProof/>
        </w:rPr>
        <w:t xml:space="preserve">L’objectif de l’investissement est de contribuer à la délimitation rapide des cours d’eau, et en particulier des cours d’eau mineurs. </w:t>
      </w:r>
    </w:p>
    <w:p w14:paraId="0AA9D1DF" w14:textId="77777777" w:rsidR="00A345F4" w:rsidRDefault="005E2D4E">
      <w:pPr>
        <w:pStyle w:val="P68B1DB1-Normal4"/>
        <w:spacing w:before="120" w:after="120" w:line="240" w:lineRule="auto"/>
        <w:jc w:val="both"/>
        <w:rPr>
          <w:noProof/>
        </w:rPr>
      </w:pPr>
      <w:r>
        <w:rPr>
          <w:noProof/>
        </w:rPr>
        <w:t xml:space="preserve">L'investissement consiste en la livraison du cadastre d'eau. </w:t>
      </w:r>
    </w:p>
    <w:p w14:paraId="2FE5045F" w14:textId="77777777" w:rsidR="00A345F4" w:rsidRDefault="00A345F4">
      <w:pPr>
        <w:rPr>
          <w:rFonts w:ascii="Times New Roman" w:hAnsi="Times New Roman" w:cs="Times New Roman"/>
          <w:b/>
          <w:noProof/>
        </w:rPr>
      </w:pPr>
    </w:p>
    <w:p w14:paraId="7FE58F5C" w14:textId="77777777" w:rsidR="00A345F4" w:rsidRDefault="00A345F4">
      <w:pPr>
        <w:keepNext/>
        <w:spacing w:before="120" w:after="120" w:line="240" w:lineRule="auto"/>
        <w:jc w:val="both"/>
        <w:outlineLvl w:val="1"/>
        <w:rPr>
          <w:rFonts w:ascii="Times New Roman" w:hAnsi="Times New Roman" w:cs="Times New Roman"/>
          <w:b/>
          <w:noProof/>
        </w:rPr>
        <w:sectPr w:rsidR="00A345F4" w:rsidSect="00644683">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1134" w:left="1134" w:header="567" w:footer="567" w:gutter="0"/>
          <w:cols w:space="720"/>
          <w:docGrid w:linePitch="360"/>
        </w:sectPr>
      </w:pPr>
    </w:p>
    <w:p w14:paraId="24B9ABBB"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A.2. </w:t>
      </w:r>
      <w:r>
        <w:rPr>
          <w:noProof/>
        </w:rPr>
        <w:t xml:space="preserve"> </w:t>
      </w:r>
      <w:r>
        <w:rPr>
          <w:b/>
          <w:noProof/>
        </w:rPr>
        <w:t>Étapes, cibles, indicateurs et calendrier pour le suivi et la mise en œuvre du soutien financier non remboursable</w:t>
      </w:r>
    </w:p>
    <w:tbl>
      <w:tblPr>
        <w:tblW w:w="15578" w:type="dxa"/>
        <w:jc w:val="center"/>
        <w:tblLayout w:type="fixed"/>
        <w:tblLook w:val="04A0" w:firstRow="1" w:lastRow="0" w:firstColumn="1" w:lastColumn="0" w:noHBand="0" w:noVBand="1"/>
      </w:tblPr>
      <w:tblGrid>
        <w:gridCol w:w="788"/>
        <w:gridCol w:w="1984"/>
        <w:gridCol w:w="1466"/>
        <w:gridCol w:w="1369"/>
        <w:gridCol w:w="1843"/>
        <w:gridCol w:w="1318"/>
        <w:gridCol w:w="1134"/>
        <w:gridCol w:w="1008"/>
        <w:gridCol w:w="1134"/>
        <w:gridCol w:w="851"/>
        <w:gridCol w:w="2683"/>
      </w:tblGrid>
      <w:tr w:rsidR="00A345F4" w14:paraId="16FE3C34" w14:textId="77777777" w:rsidTr="00E75F9B">
        <w:trPr>
          <w:trHeight w:val="927"/>
          <w:tblHeader/>
          <w:jc w:val="center"/>
        </w:trPr>
        <w:tc>
          <w:tcPr>
            <w:tcW w:w="7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FDE500" w14:textId="77777777" w:rsidR="00A345F4" w:rsidRDefault="005E2D4E">
            <w:pPr>
              <w:pStyle w:val="P68B1DB1-Normal13"/>
              <w:spacing w:after="0" w:line="240" w:lineRule="auto"/>
              <w:jc w:val="center"/>
              <w:rPr>
                <w:rFonts w:eastAsia="Times New Roman"/>
                <w:noProof/>
              </w:rPr>
            </w:pPr>
            <w:r>
              <w:rPr>
                <w:noProof/>
              </w:rPr>
              <w:t>Seq. Num.</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46F018"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4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7579F3" w14:textId="77777777" w:rsidR="00A345F4" w:rsidRDefault="005E2D4E">
            <w:pPr>
              <w:pStyle w:val="P68B1DB1-Normal13"/>
              <w:spacing w:after="0" w:line="240" w:lineRule="auto"/>
              <w:jc w:val="center"/>
              <w:rPr>
                <w:noProof/>
              </w:rPr>
            </w:pPr>
            <w:r>
              <w:rPr>
                <w:noProof/>
              </w:rPr>
              <w:t>Étape/</w:t>
            </w:r>
          </w:p>
          <w:p w14:paraId="25D436B6" w14:textId="77777777" w:rsidR="00A345F4" w:rsidRDefault="005E2D4E">
            <w:pPr>
              <w:pStyle w:val="P68B1DB1-Normal13"/>
              <w:spacing w:after="0" w:line="240" w:lineRule="auto"/>
              <w:jc w:val="center"/>
              <w:rPr>
                <w:rFonts w:eastAsia="Times New Roman"/>
                <w:noProof/>
              </w:rPr>
            </w:pPr>
            <w:r>
              <w:rPr>
                <w:noProof/>
              </w:rPr>
              <w:t>Objectif</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43ADBC" w14:textId="77777777" w:rsidR="00A345F4" w:rsidRDefault="005E2D4E">
            <w:pPr>
              <w:pStyle w:val="P68B1DB1-Normal13"/>
              <w:spacing w:after="0" w:line="240" w:lineRule="auto"/>
              <w:jc w:val="center"/>
              <w:rPr>
                <w:rFonts w:eastAsia="Times New Roman"/>
                <w:noProof/>
              </w:rPr>
            </w:pPr>
            <w:r>
              <w:rPr>
                <w:noProof/>
              </w:rPr>
              <w:t>Nom</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F8105DF" w14:textId="1A84E683" w:rsidR="00A345F4" w:rsidRDefault="005E2D4E">
            <w:pPr>
              <w:pStyle w:val="P68B1DB1-Normal14"/>
              <w:spacing w:after="0" w:line="240" w:lineRule="auto"/>
              <w:jc w:val="center"/>
              <w:rPr>
                <w:rFonts w:eastAsia="Times New Roman"/>
                <w:b/>
                <w:noProof/>
              </w:rPr>
            </w:pPr>
            <w:r>
              <w:rPr>
                <w:b/>
                <w:noProof/>
              </w:rPr>
              <w:t>Indicateurs qualitatifs</w:t>
            </w:r>
            <w:r>
              <w:rPr>
                <w:noProof/>
              </w:rPr>
              <w:t xml:space="preserve"> </w:t>
            </w:r>
            <w:r>
              <w:rPr>
                <w:noProof/>
              </w:rPr>
              <w:br/>
            </w:r>
            <w:r>
              <w:rPr>
                <w:b/>
                <w:noProof/>
              </w:rPr>
              <w:t>(pour les jalons)</w:t>
            </w:r>
          </w:p>
        </w:tc>
        <w:tc>
          <w:tcPr>
            <w:tcW w:w="34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1069E63" w14:textId="4C5F172D"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FB3B80C" w14:textId="2CF34F49" w:rsidR="00A345F4" w:rsidRDefault="005E2D4E">
            <w:pPr>
              <w:pStyle w:val="P68B1DB1-Normal13"/>
              <w:spacing w:after="0" w:line="240" w:lineRule="auto"/>
              <w:jc w:val="center"/>
              <w:rPr>
                <w:rFonts w:eastAsia="Times New Roman"/>
                <w:noProof/>
              </w:rPr>
            </w:pPr>
            <w:r>
              <w:rPr>
                <w:noProof/>
              </w:rPr>
              <w:t>Calendrier indicatif d'achèvement</w:t>
            </w:r>
          </w:p>
        </w:tc>
        <w:tc>
          <w:tcPr>
            <w:tcW w:w="2683"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CA87E32" w14:textId="77777777" w:rsidR="00A345F4" w:rsidRDefault="005E2D4E">
            <w:pPr>
              <w:pStyle w:val="P68B1DB1-Normal16"/>
              <w:spacing w:after="0" w:line="240" w:lineRule="auto"/>
              <w:jc w:val="center"/>
              <w:rPr>
                <w:noProof/>
              </w:rPr>
            </w:pPr>
            <w:r>
              <w:rPr>
                <w:noProof/>
              </w:rPr>
              <w:t>Description de chaque jalon et cible</w:t>
            </w:r>
          </w:p>
        </w:tc>
      </w:tr>
      <w:tr w:rsidR="00A345F4" w14:paraId="03B47849" w14:textId="77777777" w:rsidTr="00E75F9B">
        <w:trPr>
          <w:trHeight w:val="1013"/>
          <w:tblHeader/>
          <w:jc w:val="center"/>
        </w:trPr>
        <w:tc>
          <w:tcPr>
            <w:tcW w:w="788" w:type="dxa"/>
            <w:vMerge/>
            <w:tcBorders>
              <w:top w:val="single" w:sz="4" w:space="0" w:color="auto"/>
              <w:left w:val="single" w:sz="4" w:space="0" w:color="auto"/>
              <w:bottom w:val="single" w:sz="4" w:space="0" w:color="auto"/>
              <w:right w:val="single" w:sz="4" w:space="0" w:color="auto"/>
            </w:tcBorders>
            <w:hideMark/>
          </w:tcPr>
          <w:p w14:paraId="32584A11"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984" w:type="dxa"/>
            <w:vMerge/>
            <w:tcBorders>
              <w:top w:val="single" w:sz="4" w:space="0" w:color="auto"/>
              <w:left w:val="single" w:sz="4" w:space="0" w:color="auto"/>
              <w:bottom w:val="single" w:sz="4" w:space="0" w:color="auto"/>
              <w:right w:val="single" w:sz="4" w:space="0" w:color="auto"/>
            </w:tcBorders>
            <w:hideMark/>
          </w:tcPr>
          <w:p w14:paraId="001E4A58"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466" w:type="dxa"/>
            <w:vMerge/>
            <w:tcBorders>
              <w:top w:val="single" w:sz="4" w:space="0" w:color="auto"/>
              <w:left w:val="single" w:sz="4" w:space="0" w:color="auto"/>
              <w:bottom w:val="single" w:sz="4" w:space="0" w:color="auto"/>
              <w:right w:val="single" w:sz="4" w:space="0" w:color="auto"/>
            </w:tcBorders>
            <w:hideMark/>
          </w:tcPr>
          <w:p w14:paraId="2516AF1E"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369" w:type="dxa"/>
            <w:vMerge/>
            <w:tcBorders>
              <w:top w:val="single" w:sz="4" w:space="0" w:color="auto"/>
              <w:left w:val="single" w:sz="4" w:space="0" w:color="auto"/>
              <w:bottom w:val="single" w:sz="4" w:space="0" w:color="auto"/>
              <w:right w:val="single" w:sz="4" w:space="0" w:color="auto"/>
            </w:tcBorders>
            <w:hideMark/>
          </w:tcPr>
          <w:p w14:paraId="7248DEA0"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843" w:type="dxa"/>
            <w:vMerge/>
            <w:tcBorders>
              <w:top w:val="single" w:sz="4" w:space="0" w:color="auto"/>
              <w:left w:val="single" w:sz="4" w:space="0" w:color="auto"/>
              <w:bottom w:val="single" w:sz="4" w:space="0" w:color="auto"/>
              <w:right w:val="single" w:sz="4" w:space="0" w:color="auto"/>
            </w:tcBorders>
            <w:hideMark/>
          </w:tcPr>
          <w:p w14:paraId="70918859"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3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68061E" w14:textId="547A8497" w:rsidR="00A345F4" w:rsidRDefault="005E2D4E">
            <w:pPr>
              <w:pStyle w:val="P68B1DB1-Normal13"/>
              <w:spacing w:after="0" w:line="240" w:lineRule="auto"/>
              <w:jc w:val="center"/>
              <w:rPr>
                <w:rFonts w:eastAsia="Times New Roman"/>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BBF834A" w14:textId="77777777" w:rsidR="00A345F4" w:rsidRDefault="005E2D4E">
            <w:pPr>
              <w:pStyle w:val="P68B1DB1-Normal13"/>
              <w:spacing w:after="0" w:line="240" w:lineRule="auto"/>
              <w:jc w:val="center"/>
              <w:rPr>
                <w:rFonts w:eastAsia="Times New Roman"/>
                <w:noProof/>
              </w:rPr>
            </w:pPr>
            <w:r>
              <w:rPr>
                <w:noProof/>
              </w:rPr>
              <w:t>Données de référence</w:t>
            </w:r>
          </w:p>
        </w:tc>
        <w:tc>
          <w:tcPr>
            <w:tcW w:w="10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D1C9848" w14:textId="77777777" w:rsidR="00A345F4" w:rsidRDefault="005E2D4E">
            <w:pPr>
              <w:pStyle w:val="P68B1DB1-Normal13"/>
              <w:spacing w:after="0" w:line="240" w:lineRule="auto"/>
              <w:jc w:val="center"/>
              <w:rPr>
                <w:rFonts w:eastAsia="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0AD94D" w14:textId="77777777" w:rsidR="00A345F4" w:rsidRDefault="005E2D4E">
            <w:pPr>
              <w:pStyle w:val="P68B1DB1-Normal13"/>
              <w:spacing w:after="0" w:line="240" w:lineRule="auto"/>
              <w:jc w:val="center"/>
              <w:rPr>
                <w:rFonts w:eastAsia="Times New Roman"/>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3F1BF8" w14:textId="77777777" w:rsidR="00A345F4" w:rsidRDefault="005E2D4E">
            <w:pPr>
              <w:pStyle w:val="P68B1DB1-Normal13"/>
              <w:spacing w:after="0" w:line="240" w:lineRule="auto"/>
              <w:jc w:val="center"/>
              <w:rPr>
                <w:rFonts w:eastAsia="Times New Roman"/>
                <w:noProof/>
              </w:rPr>
            </w:pPr>
            <w:r>
              <w:rPr>
                <w:noProof/>
              </w:rPr>
              <w:t>Année</w:t>
            </w:r>
          </w:p>
        </w:tc>
        <w:tc>
          <w:tcPr>
            <w:tcW w:w="2683" w:type="dxa"/>
            <w:vMerge/>
            <w:tcBorders>
              <w:top w:val="single" w:sz="4" w:space="0" w:color="auto"/>
              <w:bottom w:val="single" w:sz="4" w:space="0" w:color="auto"/>
              <w:right w:val="single" w:sz="4" w:space="0" w:color="auto"/>
            </w:tcBorders>
          </w:tcPr>
          <w:p w14:paraId="5420A706"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343A8416" w14:textId="77777777" w:rsidTr="00E75F9B">
        <w:trPr>
          <w:trHeight w:val="309"/>
          <w:jc w:val="center"/>
        </w:trPr>
        <w:tc>
          <w:tcPr>
            <w:tcW w:w="788" w:type="dxa"/>
            <w:tcBorders>
              <w:top w:val="single" w:sz="4" w:space="0" w:color="auto"/>
              <w:left w:val="single" w:sz="4" w:space="0" w:color="auto"/>
              <w:bottom w:val="single" w:sz="4" w:space="0" w:color="auto"/>
              <w:right w:val="single" w:sz="4" w:space="0" w:color="auto"/>
            </w:tcBorders>
            <w:shd w:val="clear" w:color="auto" w:fill="C6EFCE"/>
            <w:noWrap/>
            <w:hideMark/>
          </w:tcPr>
          <w:p w14:paraId="3D773999" w14:textId="77777777" w:rsidR="00A345F4" w:rsidRDefault="005E2D4E">
            <w:pPr>
              <w:pStyle w:val="P68B1DB1-Normal14"/>
              <w:spacing w:after="0" w:line="240" w:lineRule="auto"/>
              <w:jc w:val="center"/>
              <w:rPr>
                <w:rFonts w:eastAsia="Times New Roman"/>
                <w:noProof/>
              </w:rPr>
            </w:pPr>
            <w:r>
              <w:rPr>
                <w:noProof/>
              </w:rPr>
              <w:t>19</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1E97B73" w14:textId="77777777" w:rsidR="00A345F4" w:rsidRDefault="005E2D4E">
            <w:pPr>
              <w:pStyle w:val="P68B1DB1-Normal14"/>
              <w:spacing w:after="0" w:line="240" w:lineRule="auto"/>
              <w:rPr>
                <w:rFonts w:eastAsia="Times New Roman"/>
                <w:noProof/>
              </w:rPr>
            </w:pPr>
            <w:r>
              <w:rPr>
                <w:noProof/>
              </w:rPr>
              <w:t xml:space="preserve">Investissement 6. Livraison du cadastre d'eau </w:t>
            </w:r>
          </w:p>
        </w:tc>
        <w:tc>
          <w:tcPr>
            <w:tcW w:w="1466" w:type="dxa"/>
            <w:tcBorders>
              <w:top w:val="single" w:sz="4" w:space="0" w:color="auto"/>
              <w:left w:val="single" w:sz="4" w:space="0" w:color="auto"/>
              <w:bottom w:val="single" w:sz="4" w:space="0" w:color="auto"/>
              <w:right w:val="single" w:sz="4" w:space="0" w:color="auto"/>
            </w:tcBorders>
            <w:shd w:val="clear" w:color="auto" w:fill="C6EFCE"/>
            <w:noWrap/>
          </w:tcPr>
          <w:p w14:paraId="1531AE97" w14:textId="77777777" w:rsidR="00A345F4" w:rsidRDefault="005E2D4E">
            <w:pPr>
              <w:pStyle w:val="P68B1DB1-Normal14"/>
              <w:spacing w:after="0" w:line="240" w:lineRule="auto"/>
              <w:jc w:val="center"/>
              <w:rPr>
                <w:rFonts w:eastAsia="Times New Roman"/>
                <w:noProof/>
              </w:rPr>
            </w:pPr>
            <w:r>
              <w:rPr>
                <w:noProof/>
              </w:rPr>
              <w:t>Étape</w:t>
            </w:r>
          </w:p>
        </w:tc>
        <w:tc>
          <w:tcPr>
            <w:tcW w:w="1369" w:type="dxa"/>
            <w:tcBorders>
              <w:top w:val="single" w:sz="4" w:space="0" w:color="auto"/>
              <w:left w:val="single" w:sz="4" w:space="0" w:color="auto"/>
              <w:bottom w:val="single" w:sz="4" w:space="0" w:color="auto"/>
              <w:right w:val="single" w:sz="4" w:space="0" w:color="auto"/>
            </w:tcBorders>
            <w:shd w:val="clear" w:color="auto" w:fill="C6EFCE"/>
            <w:noWrap/>
          </w:tcPr>
          <w:p w14:paraId="2E039918" w14:textId="77777777" w:rsidR="00A345F4" w:rsidRDefault="005E2D4E">
            <w:pPr>
              <w:pStyle w:val="P68B1DB1-Normal14"/>
              <w:spacing w:after="0" w:line="240" w:lineRule="auto"/>
              <w:rPr>
                <w:rFonts w:eastAsia="Times New Roman"/>
                <w:noProof/>
              </w:rPr>
            </w:pPr>
            <w:r>
              <w:rPr>
                <w:noProof/>
              </w:rPr>
              <w:t>Cadastre de l'eau livré</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5B14F712" w14:textId="77777777" w:rsidR="00A345F4" w:rsidRDefault="005E2D4E">
            <w:pPr>
              <w:pStyle w:val="P68B1DB1-Normal14"/>
              <w:spacing w:after="0" w:line="240" w:lineRule="auto"/>
              <w:jc w:val="both"/>
              <w:rPr>
                <w:noProof/>
              </w:rPr>
            </w:pPr>
            <w:r>
              <w:rPr>
                <w:noProof/>
              </w:rPr>
              <w:t>Cadastre de l'eau livré</w:t>
            </w:r>
          </w:p>
        </w:tc>
        <w:tc>
          <w:tcPr>
            <w:tcW w:w="1318" w:type="dxa"/>
            <w:tcBorders>
              <w:top w:val="single" w:sz="4" w:space="0" w:color="auto"/>
              <w:left w:val="single" w:sz="4" w:space="0" w:color="auto"/>
              <w:bottom w:val="single" w:sz="4" w:space="0" w:color="auto"/>
              <w:right w:val="single" w:sz="4" w:space="0" w:color="auto"/>
            </w:tcBorders>
            <w:shd w:val="clear" w:color="auto" w:fill="C6EFCE"/>
            <w:noWrap/>
            <w:hideMark/>
          </w:tcPr>
          <w:p w14:paraId="4E576712"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0A1A0F3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08" w:type="dxa"/>
            <w:tcBorders>
              <w:top w:val="single" w:sz="4" w:space="0" w:color="auto"/>
              <w:left w:val="single" w:sz="4" w:space="0" w:color="auto"/>
              <w:bottom w:val="single" w:sz="4" w:space="0" w:color="auto"/>
              <w:right w:val="single" w:sz="4" w:space="0" w:color="auto"/>
            </w:tcBorders>
            <w:shd w:val="clear" w:color="auto" w:fill="C6EFCE"/>
            <w:noWrap/>
            <w:hideMark/>
          </w:tcPr>
          <w:p w14:paraId="24C62CC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61B0EE43" w14:textId="77777777" w:rsidR="00A345F4" w:rsidRDefault="005E2D4E">
            <w:pPr>
              <w:pStyle w:val="P68B1DB1-Normal14"/>
              <w:spacing w:after="0" w:line="240" w:lineRule="auto"/>
              <w:jc w:val="both"/>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5BB178F9" w14:textId="77777777" w:rsidR="00A345F4" w:rsidRDefault="005E2D4E">
            <w:pPr>
              <w:pStyle w:val="P68B1DB1-Normal14"/>
              <w:spacing w:after="0" w:line="240" w:lineRule="auto"/>
              <w:jc w:val="both"/>
              <w:rPr>
                <w:rFonts w:eastAsia="Times New Roman"/>
                <w:noProof/>
              </w:rPr>
            </w:pPr>
            <w:r>
              <w:rPr>
                <w:noProof/>
              </w:rPr>
              <w:t>2025</w:t>
            </w:r>
          </w:p>
        </w:tc>
        <w:tc>
          <w:tcPr>
            <w:tcW w:w="2683" w:type="dxa"/>
            <w:tcBorders>
              <w:top w:val="single" w:sz="4" w:space="0" w:color="auto"/>
              <w:left w:val="single" w:sz="4" w:space="0" w:color="auto"/>
              <w:bottom w:val="single" w:sz="4" w:space="0" w:color="auto"/>
              <w:right w:val="single" w:sz="4" w:space="0" w:color="auto"/>
            </w:tcBorders>
            <w:shd w:val="clear" w:color="auto" w:fill="C6EFCE"/>
            <w:noWrap/>
          </w:tcPr>
          <w:p w14:paraId="427AD33B" w14:textId="60B66E60" w:rsidR="00A345F4" w:rsidRDefault="005E2D4E">
            <w:pPr>
              <w:pStyle w:val="P68B1DB1-Normal14"/>
              <w:spacing w:after="0" w:line="240" w:lineRule="auto"/>
              <w:jc w:val="both"/>
              <w:rPr>
                <w:noProof/>
              </w:rPr>
            </w:pPr>
            <w:r>
              <w:rPr>
                <w:noProof/>
              </w:rPr>
              <w:t>Certificats de réception d'achèvement des travaux pour le cadastre d'eau livré, qui comprend:</w:t>
            </w:r>
          </w:p>
          <w:p w14:paraId="7D06520D" w14:textId="77777777" w:rsidR="00A345F4" w:rsidRDefault="005E2D4E">
            <w:pPr>
              <w:pStyle w:val="P68B1DB1-Normal14"/>
              <w:spacing w:after="0" w:line="240" w:lineRule="auto"/>
              <w:jc w:val="both"/>
              <w:rPr>
                <w:noProof/>
              </w:rPr>
            </w:pPr>
            <w:r>
              <w:rPr>
                <w:noProof/>
              </w:rPr>
              <w:t xml:space="preserve">- Modèle numérique de terrain (DTM)/modèle numérique de surface (DSM) au niveau national, sur la base d’informations satellitaires; </w:t>
            </w:r>
          </w:p>
          <w:p w14:paraId="7686B1D5" w14:textId="77777777" w:rsidR="00A345F4" w:rsidRDefault="005E2D4E">
            <w:pPr>
              <w:pStyle w:val="P68B1DB1-Normal14"/>
              <w:spacing w:after="0" w:line="240" w:lineRule="auto"/>
              <w:jc w:val="both"/>
              <w:rPr>
                <w:noProof/>
              </w:rPr>
            </w:pPr>
            <w:r>
              <w:rPr>
                <w:noProof/>
              </w:rPr>
              <w:t>- développement de logiciels pour la détermination de la modification du lit de la rivière (processus de sédimentation par érosion), la surveillance de l'extraction du gravier et le potentiel de glissement de terrain dans les zones de l'ensemble barrage-lac;</w:t>
            </w:r>
          </w:p>
          <w:p w14:paraId="286134FD" w14:textId="77777777" w:rsidR="00A345F4" w:rsidRDefault="005E2D4E">
            <w:pPr>
              <w:pStyle w:val="P68B1DB1-Normal14"/>
              <w:spacing w:after="0" w:line="240" w:lineRule="auto"/>
              <w:jc w:val="both"/>
              <w:rPr>
                <w:rFonts w:eastAsia="Times New Roman"/>
                <w:noProof/>
              </w:rPr>
            </w:pPr>
            <w:r>
              <w:rPr>
                <w:noProof/>
              </w:rPr>
              <w:t>-numérisation et délimitation semi-automatiques des lits de rivière mineurs sur la base d’orthophotographies DTM/DSM et d’images satellitaires.</w:t>
            </w:r>
          </w:p>
        </w:tc>
      </w:tr>
    </w:tbl>
    <w:p w14:paraId="43E9FFFB" w14:textId="77777777" w:rsidR="00A345F4" w:rsidRDefault="00A345F4">
      <w:pPr>
        <w:keepNext/>
        <w:spacing w:before="120" w:after="120" w:line="240" w:lineRule="auto"/>
        <w:jc w:val="both"/>
        <w:outlineLvl w:val="1"/>
        <w:rPr>
          <w:rFonts w:ascii="Times New Roman" w:hAnsi="Times New Roman" w:cs="Times New Roman"/>
          <w:b/>
          <w:noProof/>
        </w:rPr>
        <w:sectPr w:rsidR="00A345F4" w:rsidSect="00756A50">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030E1EAC" w14:textId="77777777" w:rsidR="00A345F4" w:rsidRDefault="005E2D4E">
      <w:pPr>
        <w:pStyle w:val="P68B1DB1-Normal4"/>
        <w:keepNext/>
        <w:spacing w:before="120" w:after="120" w:line="240" w:lineRule="auto"/>
        <w:jc w:val="both"/>
        <w:outlineLvl w:val="1"/>
        <w:rPr>
          <w:rFonts w:eastAsiaTheme="majorEastAsia"/>
          <w:b/>
          <w:bCs/>
          <w:noProof/>
        </w:rPr>
      </w:pPr>
      <w:r>
        <w:rPr>
          <w:b/>
          <w:noProof/>
        </w:rPr>
        <w:t>A.3.</w:t>
      </w:r>
      <w:r>
        <w:rPr>
          <w:b/>
          <w:smallCaps/>
          <w:noProof/>
        </w:rPr>
        <w:t xml:space="preserve"> </w:t>
      </w:r>
      <w:r>
        <w:rPr>
          <w:noProof/>
        </w:rPr>
        <w:t xml:space="preserve"> </w:t>
      </w:r>
      <w:r>
        <w:rPr>
          <w:b/>
          <w:smallCaps/>
          <w:noProof/>
        </w:rPr>
        <w:t>Description des réformes et des investissements pour le prêt</w:t>
      </w:r>
    </w:p>
    <w:p w14:paraId="4FBB61D5" w14:textId="77777777" w:rsidR="00A345F4" w:rsidRDefault="005E2D4E">
      <w:pPr>
        <w:pStyle w:val="P68B1DB1-Normal12"/>
        <w:suppressAutoHyphens/>
        <w:autoSpaceDN w:val="0"/>
        <w:spacing w:after="0" w:line="240" w:lineRule="auto"/>
        <w:jc w:val="both"/>
        <w:textAlignment w:val="baseline"/>
        <w:rPr>
          <w:rFonts w:eastAsiaTheme="majorEastAsia"/>
          <w:noProof/>
        </w:rPr>
      </w:pPr>
      <w:r>
        <w:rPr>
          <w:noProof/>
        </w:rPr>
        <w:t>Réforme 1. Renforcer le cadre réglementaire pour la gestion durable du secteur de l’eau et des eaux usées et accélérer l’accès du public à des services de qualité au titre des directives européennes</w:t>
      </w:r>
    </w:p>
    <w:p w14:paraId="62A50ECE" w14:textId="77777777" w:rsidR="00A345F4" w:rsidRDefault="005E2D4E">
      <w:pPr>
        <w:pStyle w:val="P68B1DB1-Normal4"/>
        <w:spacing w:before="120" w:after="120" w:line="240" w:lineRule="auto"/>
        <w:jc w:val="both"/>
        <w:rPr>
          <w:noProof/>
        </w:rPr>
      </w:pPr>
      <w:r>
        <w:rPr>
          <w:noProof/>
        </w:rPr>
        <w:t xml:space="preserve">L'objectif de cette réforme est d'améliorer la capacité des opérateurs régionaux d'infrastructures d'eau et d'eaux usées et d'améliorer la qualité et l'efficacité de la coopération entre eux et les autorités locales/associations de développement intercommunautaire (IDA), les propriétaires d'infrastructures d'eau et d'eaux usées. À cette fin, un certain nombre de modifications législatives et réglementaires sont apportées: </w:t>
      </w:r>
    </w:p>
    <w:p w14:paraId="7135F14A" w14:textId="77777777" w:rsidR="00A345F4" w:rsidRDefault="005E2D4E">
      <w:pPr>
        <w:pStyle w:val="P68B1DB1-Normal4"/>
        <w:spacing w:before="120" w:after="120" w:line="240" w:lineRule="auto"/>
        <w:jc w:val="both"/>
        <w:rPr>
          <w:noProof/>
        </w:rPr>
      </w:pPr>
      <w:r>
        <w:rPr>
          <w:noProof/>
        </w:rPr>
        <w:t xml:space="preserve">1) Des modifications de la loi no 241/2006 sur l'approvisionnement en eau et l'assainissement doivent être apportées pour permettre: </w:t>
      </w:r>
    </w:p>
    <w:p w14:paraId="3D7698C5" w14:textId="77777777" w:rsidR="00A345F4" w:rsidRDefault="005E2D4E">
      <w:pPr>
        <w:pStyle w:val="P68B1DB1-Normal17"/>
        <w:numPr>
          <w:ilvl w:val="0"/>
          <w:numId w:val="2"/>
        </w:numPr>
        <w:spacing w:before="120" w:after="120" w:line="240" w:lineRule="auto"/>
        <w:ind w:left="360"/>
        <w:jc w:val="both"/>
        <w:rPr>
          <w:noProof/>
        </w:rPr>
      </w:pPr>
      <w:r>
        <w:rPr>
          <w:noProof/>
        </w:rPr>
        <w:t>Approbation de la stratégie tarifaire de l'opérateur régional de l'eau et de l'assainissement par l'assemblée générale des associations intercommunales de développement (IDA), sur la base du mandat spécial reçu des unités administratives locales. Grâce à cette modification, le temps nécessaire à l’approbation de la stratégie tarifaire sera considérablement réduit, ce qui permettra l’extension de l’infrastructure de service de l’eau et des eaux usées.</w:t>
      </w:r>
    </w:p>
    <w:p w14:paraId="09CFA532" w14:textId="77777777" w:rsidR="00A345F4" w:rsidRDefault="005E2D4E">
      <w:pPr>
        <w:pStyle w:val="P68B1DB1-Normal17"/>
        <w:numPr>
          <w:ilvl w:val="0"/>
          <w:numId w:val="2"/>
        </w:numPr>
        <w:spacing w:before="120" w:after="120" w:line="240" w:lineRule="auto"/>
        <w:ind w:left="360"/>
        <w:jc w:val="both"/>
        <w:rPr>
          <w:noProof/>
        </w:rPr>
      </w:pPr>
      <w:r>
        <w:rPr>
          <w:noProof/>
        </w:rPr>
        <w:t xml:space="preserve">obliger les autorités de l’administration publique locale à tenir des registres des personnes physiques et morales qui ne rejettent pas d’eaux usées dans le réseau public d’assainissement et à transmettre chaque année la liste de ces personnes à la garde nationale de l’environnement. </w:t>
      </w:r>
    </w:p>
    <w:p w14:paraId="7E012AA7" w14:textId="77777777" w:rsidR="00A345F4" w:rsidRDefault="005E2D4E">
      <w:pPr>
        <w:pStyle w:val="P68B1DB1-Normal4"/>
        <w:numPr>
          <w:ilvl w:val="0"/>
          <w:numId w:val="2"/>
        </w:numPr>
        <w:spacing w:before="120" w:after="120" w:line="240" w:lineRule="auto"/>
        <w:ind w:left="360"/>
        <w:jc w:val="both"/>
        <w:rPr>
          <w:noProof/>
          <w:bdr w:val="none" w:sz="0" w:space="0" w:color="auto" w:frame="1"/>
        </w:rPr>
      </w:pPr>
      <w:r>
        <w:rPr>
          <w:noProof/>
          <w:bdr w:val="none" w:sz="0" w:space="0" w:color="auto" w:frame="1"/>
        </w:rPr>
        <w:t>Obliger les utilisateurs à se connecter aux réseaux d'assainissement publics existants s'ils ne disposent pas d'un</w:t>
      </w:r>
      <w:r>
        <w:rPr>
          <w:noProof/>
        </w:rPr>
        <w:t xml:space="preserve"> </w:t>
      </w:r>
      <w:r>
        <w:rPr>
          <w:noProof/>
          <w:bdr w:val="none" w:sz="0" w:space="0" w:color="auto" w:frame="1"/>
        </w:rPr>
        <w:t>système de collecte et de traitement individuel approprié.</w:t>
      </w:r>
    </w:p>
    <w:p w14:paraId="0DCE516A" w14:textId="77777777" w:rsidR="00A345F4" w:rsidRDefault="005E2D4E">
      <w:pPr>
        <w:pStyle w:val="P68B1DB1-Normal4"/>
        <w:numPr>
          <w:ilvl w:val="0"/>
          <w:numId w:val="2"/>
        </w:numPr>
        <w:spacing w:before="120" w:after="120" w:line="240" w:lineRule="auto"/>
        <w:ind w:left="360"/>
        <w:jc w:val="both"/>
        <w:rPr>
          <w:noProof/>
        </w:rPr>
      </w:pPr>
      <w:r>
        <w:rPr>
          <w:noProof/>
          <w:bdr w:val="none" w:sz="0" w:space="0" w:color="auto" w:frame="1"/>
        </w:rPr>
        <w:t xml:space="preserve">Autoriser l’organisation, le cas échéant, de la fourniture du service de l’eau uniquement, à condition que la collecte des eaux usées se fasse au moyen de systèmes individuels de collecte et de traitement qui garantissent le même niveau de protection de l’environnement que les systèmes centralisés de collecte et de traitement. </w:t>
      </w:r>
    </w:p>
    <w:p w14:paraId="3F161604" w14:textId="77777777" w:rsidR="00A345F4" w:rsidRDefault="005E2D4E">
      <w:pPr>
        <w:pStyle w:val="P68B1DB1-Normal4"/>
        <w:numPr>
          <w:ilvl w:val="0"/>
          <w:numId w:val="2"/>
        </w:numPr>
        <w:spacing w:before="120" w:after="120" w:line="240" w:lineRule="auto"/>
        <w:ind w:left="360"/>
        <w:jc w:val="both"/>
        <w:rPr>
          <w:noProof/>
        </w:rPr>
      </w:pPr>
      <w:r>
        <w:rPr>
          <w:noProof/>
        </w:rPr>
        <w:t>Garantir le caractère exceptionnel de systèmes individuels adéquats en ce sens que ces systèmes répondent à des situations dans lesquelles des systèmes centralisés ne sont pas techniquement et économiquement réalisables.</w:t>
      </w:r>
    </w:p>
    <w:p w14:paraId="4D576E5F" w14:textId="77777777" w:rsidR="00A345F4" w:rsidRDefault="005E2D4E">
      <w:pPr>
        <w:pStyle w:val="P68B1DB1-Normal4"/>
        <w:numPr>
          <w:ilvl w:val="0"/>
          <w:numId w:val="2"/>
        </w:numPr>
        <w:spacing w:before="120" w:after="120" w:line="240" w:lineRule="auto"/>
        <w:ind w:left="360"/>
        <w:jc w:val="both"/>
        <w:rPr>
          <w:noProof/>
        </w:rPr>
      </w:pPr>
      <w:r>
        <w:rPr>
          <w:noProof/>
        </w:rPr>
        <w:t>Interdire le rejet direct dans l'environnement d'eaux usées non traitées provenant de systèmes individuels appropriés.</w:t>
      </w:r>
    </w:p>
    <w:p w14:paraId="2E3200F7" w14:textId="77777777" w:rsidR="00A345F4" w:rsidRDefault="005E2D4E">
      <w:pPr>
        <w:pStyle w:val="P68B1DB1-Normal4"/>
        <w:numPr>
          <w:ilvl w:val="0"/>
          <w:numId w:val="2"/>
        </w:numPr>
        <w:spacing w:before="120" w:after="120" w:line="240" w:lineRule="auto"/>
        <w:ind w:left="360"/>
        <w:jc w:val="both"/>
        <w:rPr>
          <w:noProof/>
        </w:rPr>
      </w:pPr>
      <w:r>
        <w:rPr>
          <w:noProof/>
        </w:rPr>
        <w:t>Élaborer des critères pour l'autorisation, la construction, l'enregistrement/enregistrement, l'exploitation et l'entretien des systèmes individuels appropriés.</w:t>
      </w:r>
    </w:p>
    <w:p w14:paraId="4F5BBE06" w14:textId="77777777" w:rsidR="00A345F4" w:rsidRDefault="005E2D4E">
      <w:pPr>
        <w:pStyle w:val="P68B1DB1-Normal4"/>
        <w:spacing w:before="120" w:after="120" w:line="240" w:lineRule="auto"/>
        <w:jc w:val="both"/>
        <w:rPr>
          <w:noProof/>
        </w:rPr>
      </w:pPr>
      <w:r>
        <w:rPr>
          <w:noProof/>
        </w:rPr>
        <w:t xml:space="preserve">La mise en œuvre de la réforme susmentionnée est achevée au plus tard le 31 décembre 2021. </w:t>
      </w:r>
    </w:p>
    <w:p w14:paraId="0D95D229" w14:textId="77777777" w:rsidR="00A345F4" w:rsidRDefault="005E2D4E">
      <w:pPr>
        <w:pStyle w:val="P68B1DB1-Normal4"/>
        <w:spacing w:before="120" w:after="120" w:line="240" w:lineRule="auto"/>
        <w:jc w:val="both"/>
        <w:rPr>
          <w:noProof/>
        </w:rPr>
      </w:pPr>
      <w:r>
        <w:rPr>
          <w:noProof/>
        </w:rPr>
        <w:t xml:space="preserve">2) Entrée en vigueur de la loi approuvant le programme national First Connection to Water and Sanitation (Premier raccordement à l'eau et à l'assainissement), qui doit aider les familles et les personnes seules à faible revenu (qui ont un revenu mensuel net moyen inférieur au salaire minimum national brut garanti par membre de la famille) à payer les coûts encourus pour le raccordement au réseau d'approvisionnement en eau et d'assainissement. La mise en œuvre de la réforme est achevée au plus tard le 31 mars 2022. </w:t>
      </w:r>
    </w:p>
    <w:p w14:paraId="47AC2A8A" w14:textId="77777777" w:rsidR="00A345F4" w:rsidRDefault="005E2D4E">
      <w:pPr>
        <w:pStyle w:val="P68B1DB1-Normal4"/>
        <w:spacing w:before="120" w:after="120" w:line="240" w:lineRule="auto"/>
        <w:jc w:val="both"/>
        <w:rPr>
          <w:rFonts w:eastAsiaTheme="majorEastAsia"/>
          <w:noProof/>
          <w:u w:val="single"/>
        </w:rPr>
      </w:pPr>
      <w:r>
        <w:rPr>
          <w:noProof/>
        </w:rPr>
        <w:t xml:space="preserve">3) Signature d'accords de mise en œuvre entre l'Administration du Fonds pour l'environnement et les autorités locales participant au programme First Connection to Water and Sanitation. Les accords sont achevés au plus tard le 31 décembre 2022. </w:t>
      </w:r>
    </w:p>
    <w:p w14:paraId="32E8BA17" w14:textId="77777777" w:rsidR="00A345F4" w:rsidRDefault="005E2D4E">
      <w:pPr>
        <w:pStyle w:val="P68B1DB1-Normal4"/>
        <w:jc w:val="both"/>
        <w:rPr>
          <w:noProof/>
        </w:rPr>
      </w:pPr>
      <w:r>
        <w:rPr>
          <w:noProof/>
          <w:u w:val="single"/>
        </w:rPr>
        <w:t>Réforme. 2 Reconfiguration du mécanisme économique actuel de l'Administration nationale de l'eau (ANAR) afin d'assurer la modernisation et la maintenance du système national de gestion de l'eau</w:t>
      </w:r>
      <w:r>
        <w:rPr>
          <w:noProof/>
        </w:rPr>
        <w:t xml:space="preserve"> </w:t>
      </w:r>
    </w:p>
    <w:p w14:paraId="2537C28C" w14:textId="77777777" w:rsidR="00A345F4" w:rsidRDefault="005E2D4E">
      <w:pPr>
        <w:pStyle w:val="P68B1DB1-Normal4"/>
        <w:jc w:val="both"/>
        <w:rPr>
          <w:noProof/>
        </w:rPr>
      </w:pPr>
      <w:r>
        <w:rPr>
          <w:noProof/>
        </w:rPr>
        <w:t xml:space="preserve">L'objectif de la réforme est la modernisation et la maintenance du système national de gestion de l'eau et une meilleure gestion des coûts au niveau de l'ANAR. </w:t>
      </w:r>
    </w:p>
    <w:p w14:paraId="672F458E" w14:textId="77777777" w:rsidR="00A345F4" w:rsidRDefault="005E2D4E">
      <w:pPr>
        <w:pStyle w:val="P68B1DB1-Normal4"/>
        <w:jc w:val="both"/>
        <w:rPr>
          <w:noProof/>
        </w:rPr>
      </w:pPr>
      <w:r>
        <w:rPr>
          <w:noProof/>
        </w:rPr>
        <w:t>Cette mesure consiste en l'entrée en vigueur de modifications législatives visant à réglementer le nouveau mécanisme économique pour les ressources en eau en Roumanie.</w:t>
      </w:r>
    </w:p>
    <w:p w14:paraId="1B8C4A7B" w14:textId="77777777" w:rsidR="00A345F4" w:rsidRDefault="005E2D4E">
      <w:pPr>
        <w:pStyle w:val="P68B1DB1-Normal18"/>
        <w:suppressAutoHyphens/>
        <w:autoSpaceDN w:val="0"/>
        <w:spacing w:before="240" w:after="0" w:line="240" w:lineRule="auto"/>
        <w:jc w:val="both"/>
        <w:textAlignment w:val="baseline"/>
        <w:rPr>
          <w:noProof/>
          <w:kern w:val="3"/>
        </w:rPr>
      </w:pPr>
      <w:r>
        <w:rPr>
          <w:noProof/>
          <w:kern w:val="3"/>
        </w:rPr>
        <w:t xml:space="preserve">Investissement 1. Construction de réseaux de </w:t>
      </w:r>
      <w:r>
        <w:rPr>
          <w:noProof/>
        </w:rPr>
        <w:t>distribution d'eau et d'assainissement</w:t>
      </w:r>
    </w:p>
    <w:p w14:paraId="701207C1" w14:textId="534D8647" w:rsidR="00A345F4" w:rsidRDefault="005E2D4E">
      <w:pPr>
        <w:spacing w:before="120" w:after="120" w:line="240" w:lineRule="auto"/>
        <w:jc w:val="both"/>
        <w:rPr>
          <w:rFonts w:ascii="Times New Roman" w:hAnsi="Times New Roman" w:cs="Times New Roman"/>
          <w:noProof/>
        </w:rPr>
      </w:pPr>
      <w:r>
        <w:rPr>
          <w:rFonts w:ascii="Times New Roman" w:hAnsi="Times New Roman" w:cs="Times New Roman"/>
          <w:noProof/>
        </w:rPr>
        <w:t>L’objectif de cet investissement est d’accroître l’accès du public aux services d’eau et d’assainissement dans les agglomérations de plus de 2</w:t>
      </w:r>
      <w:r>
        <w:rPr>
          <w:rFonts w:ascii="Times New Roman" w:eastAsia="Calibri" w:hAnsi="Times New Roman" w:cs="Times New Roman"/>
          <w:noProof/>
          <w:sz w:val="18"/>
          <w:szCs w:val="18"/>
        </w:rPr>
        <w:t> </w:t>
      </w:r>
      <w:r>
        <w:rPr>
          <w:rFonts w:ascii="Times New Roman" w:hAnsi="Times New Roman" w:cs="Times New Roman"/>
          <w:noProof/>
        </w:rPr>
        <w:t xml:space="preserve">000 équivalents habitant. </w:t>
      </w:r>
    </w:p>
    <w:p w14:paraId="7EC0645B" w14:textId="77777777" w:rsidR="00A345F4" w:rsidRDefault="005E2D4E">
      <w:pPr>
        <w:pStyle w:val="P68B1DB1-Normal4"/>
        <w:spacing w:before="120" w:after="120" w:line="240" w:lineRule="auto"/>
        <w:jc w:val="both"/>
        <w:rPr>
          <w:noProof/>
        </w:rPr>
      </w:pPr>
      <w:r>
        <w:rPr>
          <w:noProof/>
        </w:rPr>
        <w:t>Cette mesure consiste à construire des réseaux de distribution d'eau et d'assainissement.</w:t>
      </w:r>
    </w:p>
    <w:p w14:paraId="35D6F0F8" w14:textId="28F989B2"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 xml:space="preserve">Investissement 2. Collecte des eaux usées </w:t>
      </w:r>
    </w:p>
    <w:p w14:paraId="11E721F4" w14:textId="56DB4354" w:rsidR="00A345F4" w:rsidRDefault="005E2D4E">
      <w:pPr>
        <w:spacing w:before="120" w:after="120" w:line="240" w:lineRule="auto"/>
        <w:jc w:val="both"/>
        <w:rPr>
          <w:rFonts w:ascii="Times New Roman" w:hAnsi="Times New Roman" w:cs="Times New Roman"/>
          <w:noProof/>
        </w:rPr>
      </w:pPr>
      <w:r>
        <w:rPr>
          <w:rFonts w:ascii="Times New Roman" w:hAnsi="Times New Roman" w:cs="Times New Roman"/>
          <w:noProof/>
        </w:rPr>
        <w:t>L’objectif de l’investissement est d’accroître l’accès du public aux services d’eau et d’assainissement dans les agglomérations de moins de 2</w:t>
      </w:r>
      <w:r>
        <w:rPr>
          <w:rFonts w:ascii="Times New Roman" w:eastAsia="Calibri" w:hAnsi="Times New Roman" w:cs="Times New Roman"/>
          <w:noProof/>
          <w:sz w:val="18"/>
          <w:szCs w:val="18"/>
        </w:rPr>
        <w:t> </w:t>
      </w:r>
      <w:r>
        <w:rPr>
          <w:rFonts w:ascii="Times New Roman" w:hAnsi="Times New Roman" w:cs="Times New Roman"/>
          <w:noProof/>
        </w:rPr>
        <w:t xml:space="preserve">000 équivalents habitant. </w:t>
      </w:r>
    </w:p>
    <w:p w14:paraId="6B0E4888" w14:textId="77777777" w:rsidR="00A345F4" w:rsidRDefault="005E2D4E">
      <w:pPr>
        <w:spacing w:before="120" w:after="120" w:line="240" w:lineRule="auto"/>
        <w:jc w:val="both"/>
        <w:rPr>
          <w:rFonts w:ascii="Times New Roman" w:hAnsi="Times New Roman" w:cs="Times New Roman"/>
          <w:noProof/>
        </w:rPr>
      </w:pPr>
      <w:r>
        <w:rPr>
          <w:rFonts w:ascii="Times New Roman" w:hAnsi="Times New Roman" w:cs="Times New Roman"/>
          <w:noProof/>
        </w:rPr>
        <w:t>Cette mesure consiste à construire des réseaux d'assainissement et des</w:t>
      </w:r>
      <w:r>
        <w:rPr>
          <w:rStyle w:val="CommentReference"/>
          <w:rFonts w:ascii="Times New Roman" w:hAnsi="Times New Roman" w:cs="Times New Roman"/>
          <w:noProof/>
        </w:rPr>
        <w:t xml:space="preserve"> </w:t>
      </w:r>
      <w:r>
        <w:rPr>
          <w:rFonts w:ascii="Times New Roman" w:hAnsi="Times New Roman" w:cs="Times New Roman"/>
          <w:noProof/>
        </w:rPr>
        <w:t>systèmes individuels ou autres pour la collecte des eaux usées.</w:t>
      </w:r>
    </w:p>
    <w:p w14:paraId="1E0180C5"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 xml:space="preserve">Investissement 4. Réhabilitation des accumulations existantes qui nécessitent des interventions d'urgence pour un fonctionnement sûr </w:t>
      </w:r>
    </w:p>
    <w:p w14:paraId="3AB5C6AE" w14:textId="77777777" w:rsidR="00A345F4" w:rsidRDefault="005E2D4E">
      <w:pPr>
        <w:pStyle w:val="P68B1DB1-Normal4"/>
        <w:spacing w:before="120" w:after="120" w:line="240" w:lineRule="auto"/>
        <w:jc w:val="both"/>
        <w:rPr>
          <w:noProof/>
        </w:rPr>
      </w:pPr>
      <w:r>
        <w:rPr>
          <w:noProof/>
        </w:rPr>
        <w:t xml:space="preserve">L'objectif de cet investissement est la réhabilitation des accumulations existantes afin de restaurer et de maintenir leur capacité à prévenir les inondations. </w:t>
      </w:r>
    </w:p>
    <w:p w14:paraId="6A93D521" w14:textId="77777777" w:rsidR="00A345F4" w:rsidRDefault="005E2D4E">
      <w:pPr>
        <w:pStyle w:val="P68B1DB1-Normal4"/>
        <w:spacing w:before="120" w:after="120" w:line="240" w:lineRule="auto"/>
        <w:jc w:val="both"/>
        <w:rPr>
          <w:noProof/>
        </w:rPr>
      </w:pPr>
      <w:r>
        <w:rPr>
          <w:noProof/>
        </w:rPr>
        <w:t xml:space="preserve">Cette mesure consiste à réparer et à remettre en état un barrage endommagé, Lesu, et un polder de prévention des inondations, Salard, sur les lignes de défense contre les inondations existantes. </w:t>
      </w:r>
    </w:p>
    <w:p w14:paraId="44643D9C"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Investissement 5. Dotation appropriée des administrations des bassins hydrographiques pour la surveillance, la prévention et l'intervention d'urgence en cas d'inondation</w:t>
      </w:r>
    </w:p>
    <w:p w14:paraId="549C75B8" w14:textId="77777777" w:rsidR="00A345F4" w:rsidRDefault="005E2D4E">
      <w:pPr>
        <w:pStyle w:val="P68B1DB1-Normal4"/>
        <w:spacing w:before="120" w:after="120" w:line="240" w:lineRule="auto"/>
        <w:jc w:val="both"/>
        <w:rPr>
          <w:noProof/>
        </w:rPr>
      </w:pPr>
      <w:r>
        <w:rPr>
          <w:noProof/>
        </w:rPr>
        <w:t xml:space="preserve">L’objectif de l’investissement est de doter les administrations de l’ANAR/des bassins de machines et d’équipements d’intervention pour atténuer les effets des phénomènes météorologiques extrêmes. </w:t>
      </w:r>
    </w:p>
    <w:p w14:paraId="115CEAD7" w14:textId="73464779" w:rsidR="00A345F4" w:rsidRDefault="005E2D4E">
      <w:pPr>
        <w:pStyle w:val="P68B1DB1-Normal4"/>
        <w:spacing w:before="120" w:after="120" w:line="240" w:lineRule="auto"/>
        <w:jc w:val="both"/>
        <w:rPr>
          <w:noProof/>
        </w:rPr>
      </w:pPr>
      <w:r>
        <w:rPr>
          <w:noProof/>
        </w:rPr>
        <w:t>Cette mesure consiste à écouler et à équiper les administrations des bassins hydrographiques de machines et d'équipements pouvant comprendre, sans toutefois s'y limiter: machines pour l'accès et l'intervention en terrain accidenté, l'accès amphibie et le transport de sacs de sable mobiles dans les zones difficiles d'accès, drones, technologies géo-électrorésistives / géoradar des corps de digues.</w:t>
      </w:r>
    </w:p>
    <w:p w14:paraId="34A9E929" w14:textId="77777777" w:rsidR="00A345F4" w:rsidRDefault="00A345F4">
      <w:pPr>
        <w:rPr>
          <w:rFonts w:ascii="Times New Roman" w:hAnsi="Times New Roman" w:cs="Times New Roman"/>
          <w:noProof/>
        </w:rPr>
      </w:pPr>
    </w:p>
    <w:p w14:paraId="7562A66E" w14:textId="77777777" w:rsidR="00A345F4" w:rsidRDefault="00A345F4">
      <w:pPr>
        <w:spacing w:before="120" w:after="120" w:line="240" w:lineRule="auto"/>
        <w:jc w:val="both"/>
        <w:rPr>
          <w:rFonts w:ascii="Times New Roman" w:hAnsi="Times New Roman" w:cs="Times New Roman"/>
          <w:noProof/>
        </w:rPr>
        <w:sectPr w:rsidR="00A345F4" w:rsidSect="00756A50">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6497B050"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A.4. </w:t>
      </w:r>
      <w:r>
        <w:rPr>
          <w:noProof/>
        </w:rPr>
        <w:t xml:space="preserve"> </w:t>
      </w:r>
      <w:r>
        <w:rPr>
          <w:b/>
          <w:noProof/>
        </w:rPr>
        <w:t>Étapes, objectifs, indicateurs et calendrier du suivi et de la mise en œuvre du prêt</w:t>
      </w:r>
    </w:p>
    <w:tbl>
      <w:tblPr>
        <w:tblW w:w="15911" w:type="dxa"/>
        <w:jc w:val="center"/>
        <w:tblLayout w:type="fixed"/>
        <w:tblLook w:val="04A0" w:firstRow="1" w:lastRow="0" w:firstColumn="1" w:lastColumn="0" w:noHBand="0" w:noVBand="1"/>
      </w:tblPr>
      <w:tblGrid>
        <w:gridCol w:w="817"/>
        <w:gridCol w:w="2126"/>
        <w:gridCol w:w="1418"/>
        <w:gridCol w:w="1559"/>
        <w:gridCol w:w="1843"/>
        <w:gridCol w:w="1338"/>
        <w:gridCol w:w="1134"/>
        <w:gridCol w:w="959"/>
        <w:gridCol w:w="1134"/>
        <w:gridCol w:w="850"/>
        <w:gridCol w:w="2733"/>
      </w:tblGrid>
      <w:tr w:rsidR="00A345F4" w14:paraId="4C8C3094" w14:textId="77777777" w:rsidTr="004F5975">
        <w:trPr>
          <w:trHeight w:val="927"/>
          <w:tblHeader/>
          <w:jc w:val="center"/>
        </w:trPr>
        <w:tc>
          <w:tcPr>
            <w:tcW w:w="8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53CBB3" w14:textId="77777777" w:rsidR="00A345F4" w:rsidRDefault="005E2D4E">
            <w:pPr>
              <w:pStyle w:val="P68B1DB1-Normal13"/>
              <w:spacing w:after="0" w:line="240" w:lineRule="auto"/>
              <w:jc w:val="center"/>
              <w:rPr>
                <w:rFonts w:eastAsia="Times New Roman"/>
                <w:noProof/>
              </w:rPr>
            </w:pPr>
            <w:r>
              <w:rPr>
                <w:noProof/>
              </w:rPr>
              <w:t>Seq. Num.</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BA5550"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67BC3F" w14:textId="2016DA54" w:rsidR="00A345F4" w:rsidRDefault="005E2D4E">
            <w:pPr>
              <w:pStyle w:val="P68B1DB1-Normal13"/>
              <w:spacing w:after="0" w:line="240" w:lineRule="auto"/>
              <w:jc w:val="center"/>
              <w:rPr>
                <w:rFonts w:eastAsia="Times New Roman"/>
                <w:noProof/>
              </w:rPr>
            </w:pPr>
            <w:r>
              <w:rPr>
                <w:noProof/>
              </w:rPr>
              <w:t>Étape/objectif</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ADA32A" w14:textId="77777777" w:rsidR="00A345F4" w:rsidRDefault="005E2D4E">
            <w:pPr>
              <w:pStyle w:val="P68B1DB1-Normal13"/>
              <w:spacing w:after="0" w:line="240" w:lineRule="auto"/>
              <w:jc w:val="center"/>
              <w:rPr>
                <w:rFonts w:eastAsia="Times New Roman"/>
                <w:noProof/>
              </w:rPr>
            </w:pPr>
            <w:r>
              <w:rPr>
                <w:noProof/>
              </w:rPr>
              <w:t>Nom</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D5E0C3" w14:textId="6B4C6EBF" w:rsidR="00A345F4" w:rsidRDefault="005E2D4E">
            <w:pPr>
              <w:pStyle w:val="P68B1DB1-Normal14"/>
              <w:spacing w:after="0" w:line="240" w:lineRule="auto"/>
              <w:jc w:val="center"/>
              <w:rPr>
                <w:rFonts w:eastAsia="Times New Roman"/>
                <w:b/>
                <w:noProof/>
              </w:rPr>
            </w:pPr>
            <w:r>
              <w:rPr>
                <w:b/>
                <w:noProof/>
              </w:rPr>
              <w:t>Indicateurs qualitatifs</w:t>
            </w:r>
            <w:r>
              <w:rPr>
                <w:noProof/>
              </w:rPr>
              <w:t xml:space="preserve"> </w:t>
            </w:r>
            <w:r>
              <w:rPr>
                <w:noProof/>
              </w:rPr>
              <w:br/>
            </w:r>
            <w:r>
              <w:rPr>
                <w:b/>
                <w:noProof/>
              </w:rPr>
              <w:t>(pour les jalons)</w:t>
            </w:r>
          </w:p>
        </w:tc>
        <w:tc>
          <w:tcPr>
            <w:tcW w:w="343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A3CD9F3" w14:textId="5AC035F3"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DE14DD6" w14:textId="008C70E4" w:rsidR="00A345F4" w:rsidRDefault="005E2D4E">
            <w:pPr>
              <w:pStyle w:val="P68B1DB1-Normal13"/>
              <w:spacing w:after="0" w:line="240" w:lineRule="auto"/>
              <w:jc w:val="center"/>
              <w:rPr>
                <w:rFonts w:eastAsia="Times New Roman"/>
                <w:noProof/>
              </w:rPr>
            </w:pPr>
            <w:r>
              <w:rPr>
                <w:noProof/>
              </w:rPr>
              <w:t>Calendrier indicatif d'achèvement</w:t>
            </w:r>
          </w:p>
        </w:tc>
        <w:tc>
          <w:tcPr>
            <w:tcW w:w="27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73B24F"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107F1B9A" w14:textId="77777777" w:rsidTr="004F5975">
        <w:trPr>
          <w:trHeight w:val="1013"/>
          <w:tblHeader/>
          <w:jc w:val="center"/>
        </w:trPr>
        <w:tc>
          <w:tcPr>
            <w:tcW w:w="817" w:type="dxa"/>
            <w:vMerge/>
            <w:tcBorders>
              <w:top w:val="single" w:sz="4" w:space="0" w:color="auto"/>
              <w:left w:val="single" w:sz="4" w:space="0" w:color="auto"/>
              <w:bottom w:val="single" w:sz="4" w:space="0" w:color="auto"/>
              <w:right w:val="single" w:sz="4" w:space="0" w:color="auto"/>
            </w:tcBorders>
            <w:hideMark/>
          </w:tcPr>
          <w:p w14:paraId="39307A3A"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2126" w:type="dxa"/>
            <w:vMerge/>
            <w:tcBorders>
              <w:top w:val="single" w:sz="4" w:space="0" w:color="auto"/>
              <w:left w:val="single" w:sz="4" w:space="0" w:color="auto"/>
              <w:bottom w:val="single" w:sz="4" w:space="0" w:color="auto"/>
              <w:right w:val="single" w:sz="4" w:space="0" w:color="auto"/>
            </w:tcBorders>
            <w:hideMark/>
          </w:tcPr>
          <w:p w14:paraId="13CDE275"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418" w:type="dxa"/>
            <w:vMerge/>
            <w:tcBorders>
              <w:top w:val="single" w:sz="4" w:space="0" w:color="auto"/>
              <w:left w:val="single" w:sz="4" w:space="0" w:color="auto"/>
              <w:bottom w:val="single" w:sz="4" w:space="0" w:color="auto"/>
              <w:right w:val="single" w:sz="4" w:space="0" w:color="auto"/>
            </w:tcBorders>
            <w:hideMark/>
          </w:tcPr>
          <w:p w14:paraId="5C755EBF"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559" w:type="dxa"/>
            <w:vMerge/>
            <w:tcBorders>
              <w:top w:val="single" w:sz="4" w:space="0" w:color="auto"/>
              <w:left w:val="single" w:sz="4" w:space="0" w:color="auto"/>
              <w:bottom w:val="single" w:sz="4" w:space="0" w:color="auto"/>
              <w:right w:val="single" w:sz="4" w:space="0" w:color="auto"/>
            </w:tcBorders>
            <w:hideMark/>
          </w:tcPr>
          <w:p w14:paraId="1DC0A0BA"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843" w:type="dxa"/>
            <w:vMerge/>
            <w:tcBorders>
              <w:top w:val="single" w:sz="4" w:space="0" w:color="auto"/>
              <w:left w:val="single" w:sz="4" w:space="0" w:color="auto"/>
              <w:bottom w:val="single" w:sz="4" w:space="0" w:color="auto"/>
              <w:right w:val="single" w:sz="4" w:space="0" w:color="auto"/>
            </w:tcBorders>
            <w:hideMark/>
          </w:tcPr>
          <w:p w14:paraId="01E2C329"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33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3778D81" w14:textId="6F756C36" w:rsidR="00A345F4" w:rsidRDefault="005E2D4E">
            <w:pPr>
              <w:pStyle w:val="P68B1DB1-Normal13"/>
              <w:spacing w:after="0" w:line="240" w:lineRule="auto"/>
              <w:jc w:val="center"/>
              <w:rPr>
                <w:rFonts w:eastAsia="Times New Roman"/>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C7C87FE" w14:textId="77777777" w:rsidR="00A345F4" w:rsidRDefault="005E2D4E">
            <w:pPr>
              <w:pStyle w:val="P68B1DB1-Normal13"/>
              <w:spacing w:after="0" w:line="240" w:lineRule="auto"/>
              <w:jc w:val="center"/>
              <w:rPr>
                <w:rFonts w:eastAsia="Times New Roman"/>
                <w:noProof/>
              </w:rPr>
            </w:pPr>
            <w:r>
              <w:rPr>
                <w:noProof/>
              </w:rPr>
              <w:t>Données de référence</w:t>
            </w: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7A1E53" w14:textId="77777777" w:rsidR="00A345F4" w:rsidRDefault="005E2D4E">
            <w:pPr>
              <w:pStyle w:val="P68B1DB1-Normal13"/>
              <w:spacing w:after="0" w:line="240" w:lineRule="auto"/>
              <w:jc w:val="center"/>
              <w:rPr>
                <w:rFonts w:eastAsia="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EA2426" w14:textId="77777777" w:rsidR="00A345F4" w:rsidRDefault="005E2D4E">
            <w:pPr>
              <w:pStyle w:val="P68B1DB1-Normal13"/>
              <w:spacing w:after="0" w:line="240" w:lineRule="auto"/>
              <w:jc w:val="center"/>
              <w:rPr>
                <w:rFonts w:eastAsia="Times New Roman"/>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C79C960" w14:textId="77777777" w:rsidR="00A345F4" w:rsidRDefault="005E2D4E">
            <w:pPr>
              <w:pStyle w:val="P68B1DB1-Normal13"/>
              <w:spacing w:after="0" w:line="240" w:lineRule="auto"/>
              <w:jc w:val="center"/>
              <w:rPr>
                <w:rFonts w:eastAsia="Times New Roman"/>
                <w:noProof/>
              </w:rPr>
            </w:pPr>
            <w:r>
              <w:rPr>
                <w:noProof/>
              </w:rPr>
              <w:t>Année</w:t>
            </w:r>
          </w:p>
        </w:tc>
        <w:tc>
          <w:tcPr>
            <w:tcW w:w="2733" w:type="dxa"/>
            <w:vMerge/>
            <w:tcBorders>
              <w:top w:val="single" w:sz="4" w:space="0" w:color="auto"/>
              <w:bottom w:val="single" w:sz="4" w:space="0" w:color="auto"/>
              <w:right w:val="single" w:sz="4" w:space="0" w:color="auto"/>
            </w:tcBorders>
            <w:hideMark/>
          </w:tcPr>
          <w:p w14:paraId="172F6695"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4E63D41E" w14:textId="77777777" w:rsidTr="004F5975">
        <w:trPr>
          <w:trHeight w:val="309"/>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7752A2A2" w14:textId="77777777" w:rsidR="00A345F4" w:rsidRDefault="005E2D4E">
            <w:pPr>
              <w:pStyle w:val="P68B1DB1-Normal14"/>
              <w:spacing w:after="0" w:line="240" w:lineRule="auto"/>
              <w:jc w:val="center"/>
              <w:rPr>
                <w:rFonts w:eastAsia="Times New Roman"/>
                <w:noProof/>
              </w:rPr>
            </w:pPr>
            <w:r>
              <w:rPr>
                <w:noProof/>
              </w:rPr>
              <w:t>1</w:t>
            </w:r>
          </w:p>
        </w:tc>
        <w:tc>
          <w:tcPr>
            <w:tcW w:w="2126" w:type="dxa"/>
            <w:tcBorders>
              <w:top w:val="single" w:sz="4" w:space="0" w:color="auto"/>
              <w:left w:val="nil"/>
              <w:bottom w:val="single" w:sz="4" w:space="0" w:color="auto"/>
              <w:right w:val="single" w:sz="4" w:space="0" w:color="auto"/>
            </w:tcBorders>
            <w:shd w:val="clear" w:color="auto" w:fill="C6EFCE"/>
            <w:noWrap/>
            <w:hideMark/>
          </w:tcPr>
          <w:p w14:paraId="383609D4" w14:textId="77777777" w:rsidR="00A345F4" w:rsidRDefault="005E2D4E">
            <w:pPr>
              <w:pStyle w:val="P68B1DB1-Normal14"/>
              <w:spacing w:after="0" w:line="240" w:lineRule="auto"/>
              <w:rPr>
                <w:rFonts w:eastAsia="Times New Roman"/>
                <w:noProof/>
              </w:rPr>
            </w:pPr>
            <w:r>
              <w:rPr>
                <w:noProof/>
              </w:rPr>
              <w:t>Réforme 1. Renforcer le cadre réglementaire pour la gestion durable du secteur de l’eau et des eaux usées et accélérer l’accès du public à des services de qualité au titre des directives européennes</w:t>
            </w:r>
          </w:p>
        </w:tc>
        <w:tc>
          <w:tcPr>
            <w:tcW w:w="1418" w:type="dxa"/>
            <w:tcBorders>
              <w:top w:val="single" w:sz="4" w:space="0" w:color="auto"/>
              <w:left w:val="nil"/>
              <w:bottom w:val="single" w:sz="4" w:space="0" w:color="auto"/>
              <w:right w:val="single" w:sz="4" w:space="0" w:color="auto"/>
            </w:tcBorders>
            <w:shd w:val="clear" w:color="auto" w:fill="C6EFCE"/>
            <w:noWrap/>
            <w:hideMark/>
          </w:tcPr>
          <w:p w14:paraId="0C23CFED" w14:textId="77777777" w:rsidR="00A345F4" w:rsidRDefault="005E2D4E">
            <w:pPr>
              <w:pStyle w:val="P68B1DB1-Normal14"/>
              <w:spacing w:after="0" w:line="240" w:lineRule="auto"/>
              <w:jc w:val="center"/>
              <w:rPr>
                <w:rFonts w:eastAsia="Times New Roman"/>
                <w:noProof/>
              </w:rPr>
            </w:pPr>
            <w:r>
              <w:rPr>
                <w:noProof/>
              </w:rPr>
              <w:t>Étape</w:t>
            </w:r>
          </w:p>
        </w:tc>
        <w:tc>
          <w:tcPr>
            <w:tcW w:w="1559" w:type="dxa"/>
            <w:tcBorders>
              <w:top w:val="single" w:sz="4" w:space="0" w:color="auto"/>
              <w:left w:val="nil"/>
              <w:bottom w:val="single" w:sz="4" w:space="0" w:color="auto"/>
              <w:right w:val="single" w:sz="4" w:space="0" w:color="auto"/>
            </w:tcBorders>
            <w:shd w:val="clear" w:color="auto" w:fill="C6EFCE"/>
            <w:noWrap/>
            <w:hideMark/>
          </w:tcPr>
          <w:p w14:paraId="54EC7CA1" w14:textId="77777777" w:rsidR="00A345F4" w:rsidRDefault="005E2D4E">
            <w:pPr>
              <w:pStyle w:val="P68B1DB1-Normal14"/>
              <w:spacing w:after="0" w:line="240" w:lineRule="auto"/>
              <w:rPr>
                <w:rFonts w:eastAsia="Times New Roman"/>
                <w:noProof/>
              </w:rPr>
            </w:pPr>
            <w:r>
              <w:rPr>
                <w:noProof/>
              </w:rPr>
              <w:t xml:space="preserve">Entrée en vigueur des modifications apportées à la loi no 241/2006 sur l’approvisionnement en eau et l’assainissement </w:t>
            </w:r>
          </w:p>
        </w:tc>
        <w:tc>
          <w:tcPr>
            <w:tcW w:w="1843" w:type="dxa"/>
            <w:tcBorders>
              <w:top w:val="single" w:sz="4" w:space="0" w:color="auto"/>
              <w:left w:val="nil"/>
              <w:bottom w:val="single" w:sz="4" w:space="0" w:color="auto"/>
              <w:right w:val="single" w:sz="4" w:space="0" w:color="auto"/>
            </w:tcBorders>
            <w:shd w:val="clear" w:color="auto" w:fill="C6EFCE"/>
            <w:noWrap/>
            <w:hideMark/>
          </w:tcPr>
          <w:p w14:paraId="0F761BE9" w14:textId="77777777" w:rsidR="00A345F4" w:rsidRDefault="005E2D4E">
            <w:pPr>
              <w:pStyle w:val="P68B1DB1-Normal14"/>
              <w:spacing w:after="0" w:line="240" w:lineRule="auto"/>
              <w:jc w:val="both"/>
              <w:rPr>
                <w:rFonts w:eastAsia="Times New Roman"/>
                <w:noProof/>
              </w:rPr>
            </w:pPr>
            <w:r>
              <w:rPr>
                <w:noProof/>
              </w:rPr>
              <w:t xml:space="preserve">Disposition de la loi indiquant l'entrée en vigueur de la loi </w:t>
            </w:r>
          </w:p>
        </w:tc>
        <w:tc>
          <w:tcPr>
            <w:tcW w:w="1338" w:type="dxa"/>
            <w:tcBorders>
              <w:top w:val="single" w:sz="4" w:space="0" w:color="auto"/>
              <w:left w:val="nil"/>
              <w:bottom w:val="single" w:sz="4" w:space="0" w:color="auto"/>
              <w:right w:val="single" w:sz="4" w:space="0" w:color="auto"/>
            </w:tcBorders>
            <w:shd w:val="clear" w:color="auto" w:fill="C6EFCE"/>
            <w:noWrap/>
            <w:hideMark/>
          </w:tcPr>
          <w:p w14:paraId="411970F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hideMark/>
          </w:tcPr>
          <w:p w14:paraId="080EA95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59" w:type="dxa"/>
            <w:tcBorders>
              <w:top w:val="single" w:sz="4" w:space="0" w:color="auto"/>
              <w:left w:val="nil"/>
              <w:bottom w:val="single" w:sz="4" w:space="0" w:color="auto"/>
              <w:right w:val="single" w:sz="4" w:space="0" w:color="auto"/>
            </w:tcBorders>
            <w:shd w:val="clear" w:color="auto" w:fill="C6EFCE"/>
            <w:noWrap/>
            <w:hideMark/>
          </w:tcPr>
          <w:p w14:paraId="358335A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hideMark/>
          </w:tcPr>
          <w:p w14:paraId="05AD8F8D" w14:textId="77777777" w:rsidR="00A345F4" w:rsidRDefault="005E2D4E">
            <w:pPr>
              <w:pStyle w:val="P68B1DB1-Normal14"/>
              <w:spacing w:after="0" w:line="240" w:lineRule="auto"/>
              <w:jc w:val="both"/>
              <w:rPr>
                <w:rFonts w:eastAsia="Times New Roman"/>
                <w:noProof/>
              </w:rPr>
            </w:pPr>
            <w:r>
              <w:rPr>
                <w:noProof/>
              </w:rPr>
              <w:t>T4</w:t>
            </w:r>
          </w:p>
        </w:tc>
        <w:tc>
          <w:tcPr>
            <w:tcW w:w="850" w:type="dxa"/>
            <w:tcBorders>
              <w:top w:val="single" w:sz="4" w:space="0" w:color="auto"/>
              <w:left w:val="nil"/>
              <w:bottom w:val="single" w:sz="4" w:space="0" w:color="auto"/>
              <w:right w:val="single" w:sz="4" w:space="0" w:color="auto"/>
            </w:tcBorders>
            <w:shd w:val="clear" w:color="auto" w:fill="C6EFCE"/>
            <w:noWrap/>
            <w:hideMark/>
          </w:tcPr>
          <w:p w14:paraId="6E68C5D3" w14:textId="77777777" w:rsidR="00A345F4" w:rsidRDefault="005E2D4E">
            <w:pPr>
              <w:pStyle w:val="P68B1DB1-Normal14"/>
              <w:spacing w:after="0" w:line="240" w:lineRule="auto"/>
              <w:jc w:val="both"/>
              <w:rPr>
                <w:rFonts w:eastAsia="Times New Roman"/>
                <w:noProof/>
              </w:rPr>
            </w:pPr>
            <w:r>
              <w:rPr>
                <w:noProof/>
              </w:rPr>
              <w:t>2021</w:t>
            </w:r>
          </w:p>
        </w:tc>
        <w:tc>
          <w:tcPr>
            <w:tcW w:w="2733" w:type="dxa"/>
            <w:tcBorders>
              <w:top w:val="single" w:sz="4" w:space="0" w:color="auto"/>
              <w:left w:val="nil"/>
              <w:bottom w:val="single" w:sz="4" w:space="0" w:color="auto"/>
              <w:right w:val="single" w:sz="4" w:space="0" w:color="auto"/>
            </w:tcBorders>
            <w:shd w:val="clear" w:color="auto" w:fill="C6EFCE"/>
            <w:noWrap/>
          </w:tcPr>
          <w:p w14:paraId="447A12EF" w14:textId="77777777" w:rsidR="00A345F4" w:rsidRDefault="005E2D4E">
            <w:pPr>
              <w:pStyle w:val="P68B1DB1-Normal14"/>
              <w:spacing w:after="0" w:line="240" w:lineRule="auto"/>
              <w:jc w:val="both"/>
              <w:rPr>
                <w:rFonts w:eastAsia="Times New Roman"/>
                <w:noProof/>
              </w:rPr>
            </w:pPr>
            <w:r>
              <w:rPr>
                <w:noProof/>
              </w:rPr>
              <w:t>Entrée en vigueur des modifications apportées à la loi no 241/2006 sur l’approvisionnement en eau et l’assainissement, qui:</w:t>
            </w:r>
          </w:p>
          <w:p w14:paraId="1A35283A" w14:textId="77777777" w:rsidR="00A345F4" w:rsidRDefault="005E2D4E">
            <w:pPr>
              <w:pStyle w:val="P68B1DB1-Normal14"/>
              <w:numPr>
                <w:ilvl w:val="0"/>
                <w:numId w:val="3"/>
              </w:numPr>
              <w:spacing w:after="0" w:line="240" w:lineRule="auto"/>
              <w:ind w:left="175" w:hanging="223"/>
              <w:contextualSpacing/>
              <w:jc w:val="both"/>
              <w:rPr>
                <w:rFonts w:eastAsia="Times New Roman"/>
                <w:noProof/>
              </w:rPr>
            </w:pPr>
            <w:r>
              <w:rPr>
                <w:noProof/>
              </w:rPr>
              <w:t>Permettre l'approbation de la stratégie tarifaire de l'opérateur régional de l'eau et de l'assainissement par l'assemblée générale des associations intercommunales de développement (IDA), sur la base du mandat spécial reçu des unités administratives locales. Grâce à cette modification, le temps nécessaire à l’approbation de la stratégie tarifaire sera considérablement réduit, ce qui permettra l’extension de l’infrastructure de service de l’eau et des eaux usées.</w:t>
            </w:r>
          </w:p>
          <w:p w14:paraId="045504E7" w14:textId="77777777" w:rsidR="00A345F4" w:rsidRDefault="005E2D4E">
            <w:pPr>
              <w:pStyle w:val="P68B1DB1-Normal14"/>
              <w:numPr>
                <w:ilvl w:val="0"/>
                <w:numId w:val="3"/>
              </w:numPr>
              <w:spacing w:after="0" w:line="240" w:lineRule="auto"/>
              <w:ind w:left="175" w:hanging="223"/>
              <w:contextualSpacing/>
              <w:jc w:val="both"/>
              <w:rPr>
                <w:rFonts w:eastAsia="Times New Roman"/>
                <w:noProof/>
              </w:rPr>
            </w:pPr>
            <w:r>
              <w:rPr>
                <w:noProof/>
              </w:rPr>
              <w:t xml:space="preserve">obliger les autorités de l’administration publique locale à tenir des registres des personnes physiques et morales qui ne rejettent pas d’eaux usées dans le réseau public d’assainissement et à transmettre chaque année la liste de ces personnes à la garde nationale de l’environnement. </w:t>
            </w:r>
          </w:p>
          <w:p w14:paraId="4CA9BE80" w14:textId="77777777" w:rsidR="00A345F4" w:rsidRDefault="005E2D4E">
            <w:pPr>
              <w:pStyle w:val="P68B1DB1-Normal14"/>
              <w:numPr>
                <w:ilvl w:val="0"/>
                <w:numId w:val="3"/>
              </w:numPr>
              <w:spacing w:after="0" w:line="240" w:lineRule="auto"/>
              <w:ind w:left="175" w:hanging="223"/>
              <w:contextualSpacing/>
              <w:jc w:val="both"/>
              <w:rPr>
                <w:rFonts w:eastAsia="Times New Roman"/>
                <w:noProof/>
              </w:rPr>
            </w:pPr>
            <w:r>
              <w:rPr>
                <w:noProof/>
              </w:rPr>
              <w:t>Obliger les utilisateurs à se connecter aux réseaux d'assainissement publics existants s'ils ne disposent pas d'un système de collecte et de traitement individuel approprié.</w:t>
            </w:r>
          </w:p>
          <w:p w14:paraId="26FE1143" w14:textId="77777777" w:rsidR="00A345F4" w:rsidRDefault="005E2D4E">
            <w:pPr>
              <w:pStyle w:val="P68B1DB1-Normal14"/>
              <w:numPr>
                <w:ilvl w:val="0"/>
                <w:numId w:val="2"/>
              </w:numPr>
              <w:spacing w:before="120" w:after="120" w:line="240" w:lineRule="auto"/>
              <w:ind w:left="360"/>
              <w:jc w:val="both"/>
              <w:rPr>
                <w:noProof/>
              </w:rPr>
            </w:pPr>
            <w:r>
              <w:rPr>
                <w:noProof/>
                <w:bdr w:val="none" w:sz="0" w:space="0" w:color="auto" w:frame="1"/>
              </w:rPr>
              <w:t xml:space="preserve">Autoriser l’organisation, le cas échéant, de la fourniture du service de l’eau uniquement, à condition que la collecte des eaux usées se fasse au moyen de systèmes individuels de collecte et de traitement qui garantissent le même niveau de protection de l’environnement que les systèmes centralisés de collecte et de traitement. </w:t>
            </w:r>
          </w:p>
          <w:p w14:paraId="7BE90C3B" w14:textId="77777777" w:rsidR="00A345F4" w:rsidRDefault="005E2D4E">
            <w:pPr>
              <w:pStyle w:val="P68B1DB1-Normal14"/>
              <w:numPr>
                <w:ilvl w:val="0"/>
                <w:numId w:val="3"/>
              </w:numPr>
              <w:spacing w:after="0" w:line="240" w:lineRule="auto"/>
              <w:ind w:left="175" w:hanging="223"/>
              <w:contextualSpacing/>
              <w:jc w:val="both"/>
              <w:rPr>
                <w:noProof/>
              </w:rPr>
            </w:pPr>
            <w:r>
              <w:rPr>
                <w:noProof/>
              </w:rPr>
              <w:t>Garantir le caractère exceptionnel de systèmes individuels adéquats, qui ne traitent que des situations dans lesquelles les systèmes centralisés ne sont pas techniquement et économiquement réalisables.</w:t>
            </w:r>
          </w:p>
          <w:p w14:paraId="36872BEB" w14:textId="77777777" w:rsidR="00A345F4" w:rsidRDefault="005E2D4E">
            <w:pPr>
              <w:pStyle w:val="P68B1DB1-Normal14"/>
              <w:numPr>
                <w:ilvl w:val="0"/>
                <w:numId w:val="3"/>
              </w:numPr>
              <w:spacing w:after="0" w:line="240" w:lineRule="auto"/>
              <w:ind w:left="175" w:hanging="223"/>
              <w:contextualSpacing/>
              <w:jc w:val="both"/>
              <w:rPr>
                <w:noProof/>
              </w:rPr>
            </w:pPr>
            <w:r>
              <w:rPr>
                <w:noProof/>
              </w:rPr>
              <w:t>Interdire le rejet direct dans l'environnement d'eaux usées non traitées provenant de systèmes individuels appropriés.</w:t>
            </w:r>
          </w:p>
          <w:p w14:paraId="7AACB334" w14:textId="77777777" w:rsidR="00A345F4" w:rsidRDefault="005E2D4E">
            <w:pPr>
              <w:pStyle w:val="P68B1DB1-Normal14"/>
              <w:numPr>
                <w:ilvl w:val="0"/>
                <w:numId w:val="3"/>
              </w:numPr>
              <w:spacing w:after="0" w:line="240" w:lineRule="auto"/>
              <w:ind w:left="175" w:hanging="223"/>
              <w:contextualSpacing/>
              <w:jc w:val="both"/>
              <w:rPr>
                <w:rFonts w:eastAsia="Times New Roman"/>
                <w:noProof/>
              </w:rPr>
            </w:pPr>
            <w:r>
              <w:rPr>
                <w:noProof/>
              </w:rPr>
              <w:t>Élaborer des critères pour l'autorisation, la construction, l'enregistrement/enregistrement, l'exploitation et l'entretien des systèmes individuels appropriés.</w:t>
            </w:r>
          </w:p>
        </w:tc>
      </w:tr>
      <w:tr w:rsidR="00A345F4" w14:paraId="63F48960" w14:textId="77777777" w:rsidTr="004F5975">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hideMark/>
          </w:tcPr>
          <w:p w14:paraId="66CD510C" w14:textId="77777777" w:rsidR="00A345F4" w:rsidRDefault="005E2D4E">
            <w:pPr>
              <w:pStyle w:val="P68B1DB1-Normal14"/>
              <w:spacing w:after="0" w:line="240" w:lineRule="auto"/>
              <w:jc w:val="center"/>
              <w:rPr>
                <w:rFonts w:eastAsia="Times New Roman"/>
                <w:noProof/>
              </w:rPr>
            </w:pPr>
            <w:r>
              <w:rPr>
                <w:noProof/>
              </w:rPr>
              <w:t>2</w:t>
            </w:r>
          </w:p>
        </w:tc>
        <w:tc>
          <w:tcPr>
            <w:tcW w:w="2126" w:type="dxa"/>
            <w:tcBorders>
              <w:top w:val="nil"/>
              <w:left w:val="nil"/>
              <w:bottom w:val="single" w:sz="4" w:space="0" w:color="auto"/>
              <w:right w:val="single" w:sz="4" w:space="0" w:color="auto"/>
            </w:tcBorders>
            <w:shd w:val="clear" w:color="auto" w:fill="C6EFCE"/>
            <w:noWrap/>
            <w:hideMark/>
          </w:tcPr>
          <w:p w14:paraId="6DAB2481" w14:textId="77777777" w:rsidR="00A345F4" w:rsidRDefault="005E2D4E">
            <w:pPr>
              <w:pStyle w:val="P68B1DB1-Normal14"/>
              <w:spacing w:after="0" w:line="240" w:lineRule="auto"/>
              <w:jc w:val="both"/>
              <w:rPr>
                <w:rFonts w:eastAsia="Times New Roman"/>
                <w:noProof/>
              </w:rPr>
            </w:pPr>
            <w:r>
              <w:rPr>
                <w:noProof/>
              </w:rPr>
              <w:t>Réforme 1. Renforcer le cadre réglementaire pour la gestion durable du secteur de l’eau et des eaux usées et accélérer l’accès des citoyens à des services de qualité au titre des directives européennes</w:t>
            </w:r>
          </w:p>
        </w:tc>
        <w:tc>
          <w:tcPr>
            <w:tcW w:w="1418" w:type="dxa"/>
            <w:tcBorders>
              <w:top w:val="nil"/>
              <w:left w:val="nil"/>
              <w:bottom w:val="single" w:sz="4" w:space="0" w:color="auto"/>
              <w:right w:val="single" w:sz="4" w:space="0" w:color="auto"/>
            </w:tcBorders>
            <w:shd w:val="clear" w:color="auto" w:fill="C6EFCE"/>
            <w:noWrap/>
            <w:hideMark/>
          </w:tcPr>
          <w:p w14:paraId="59A45F53" w14:textId="77777777" w:rsidR="00A345F4" w:rsidRDefault="005E2D4E">
            <w:pPr>
              <w:pStyle w:val="P68B1DB1-Normal14"/>
              <w:spacing w:after="0" w:line="240" w:lineRule="auto"/>
              <w:jc w:val="center"/>
              <w:rPr>
                <w:rFonts w:eastAsia="Times New Roman"/>
                <w:noProof/>
              </w:rPr>
            </w:pPr>
            <w:r>
              <w:rPr>
                <w:noProof/>
              </w:rPr>
              <w:t>Étape</w:t>
            </w:r>
          </w:p>
        </w:tc>
        <w:tc>
          <w:tcPr>
            <w:tcW w:w="1559" w:type="dxa"/>
            <w:tcBorders>
              <w:top w:val="nil"/>
              <w:left w:val="nil"/>
              <w:bottom w:val="single" w:sz="4" w:space="0" w:color="auto"/>
              <w:right w:val="single" w:sz="4" w:space="0" w:color="auto"/>
            </w:tcBorders>
            <w:shd w:val="clear" w:color="auto" w:fill="C6EFCE"/>
            <w:noWrap/>
            <w:hideMark/>
          </w:tcPr>
          <w:p w14:paraId="11E9D3BD" w14:textId="77777777" w:rsidR="00A345F4" w:rsidRDefault="005E2D4E">
            <w:pPr>
              <w:pStyle w:val="P68B1DB1-Normal14"/>
              <w:spacing w:after="0" w:line="240" w:lineRule="auto"/>
              <w:jc w:val="both"/>
              <w:rPr>
                <w:rFonts w:eastAsia="Times New Roman"/>
                <w:noProof/>
              </w:rPr>
            </w:pPr>
            <w:r>
              <w:rPr>
                <w:noProof/>
              </w:rPr>
              <w:t xml:space="preserve">Entrée en vigueur de la loi portant approbation du programme national «Premier raccordement à l’eau et à l’assainissement» </w:t>
            </w:r>
          </w:p>
        </w:tc>
        <w:tc>
          <w:tcPr>
            <w:tcW w:w="1843" w:type="dxa"/>
            <w:tcBorders>
              <w:top w:val="nil"/>
              <w:left w:val="nil"/>
              <w:bottom w:val="single" w:sz="4" w:space="0" w:color="auto"/>
              <w:right w:val="single" w:sz="4" w:space="0" w:color="auto"/>
            </w:tcBorders>
            <w:shd w:val="clear" w:color="auto" w:fill="C6EFCE"/>
            <w:noWrap/>
            <w:hideMark/>
          </w:tcPr>
          <w:p w14:paraId="526CB24E"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 loi relative au programme «Premier raccordement à l’eau et à l’assainissement»</w:t>
            </w:r>
          </w:p>
        </w:tc>
        <w:tc>
          <w:tcPr>
            <w:tcW w:w="1338" w:type="dxa"/>
            <w:tcBorders>
              <w:top w:val="nil"/>
              <w:left w:val="nil"/>
              <w:bottom w:val="single" w:sz="4" w:space="0" w:color="auto"/>
              <w:right w:val="single" w:sz="4" w:space="0" w:color="auto"/>
            </w:tcBorders>
            <w:shd w:val="clear" w:color="auto" w:fill="C6EFCE"/>
            <w:noWrap/>
            <w:hideMark/>
          </w:tcPr>
          <w:p w14:paraId="2F01407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5E12DEC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hideMark/>
          </w:tcPr>
          <w:p w14:paraId="14FA934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6BF0C9BB" w14:textId="77777777" w:rsidR="00A345F4" w:rsidRDefault="005E2D4E">
            <w:pPr>
              <w:pStyle w:val="P68B1DB1-Normal14"/>
              <w:spacing w:after="0" w:line="240" w:lineRule="auto"/>
              <w:jc w:val="both"/>
              <w:rPr>
                <w:rFonts w:eastAsia="Times New Roman"/>
                <w:noProof/>
              </w:rPr>
            </w:pPr>
            <w:r>
              <w:rPr>
                <w:noProof/>
              </w:rPr>
              <w:t>T1</w:t>
            </w:r>
          </w:p>
        </w:tc>
        <w:tc>
          <w:tcPr>
            <w:tcW w:w="850" w:type="dxa"/>
            <w:tcBorders>
              <w:top w:val="nil"/>
              <w:left w:val="nil"/>
              <w:bottom w:val="single" w:sz="4" w:space="0" w:color="auto"/>
              <w:right w:val="single" w:sz="4" w:space="0" w:color="auto"/>
            </w:tcBorders>
            <w:shd w:val="clear" w:color="auto" w:fill="C6EFCE"/>
            <w:noWrap/>
            <w:hideMark/>
          </w:tcPr>
          <w:p w14:paraId="0F77FAF4" w14:textId="77777777" w:rsidR="00A345F4" w:rsidRDefault="005E2D4E">
            <w:pPr>
              <w:pStyle w:val="P68B1DB1-Normal14"/>
              <w:spacing w:after="0" w:line="240" w:lineRule="auto"/>
              <w:jc w:val="both"/>
              <w:rPr>
                <w:rFonts w:eastAsia="Times New Roman"/>
                <w:noProof/>
              </w:rPr>
            </w:pPr>
            <w:r>
              <w:rPr>
                <w:noProof/>
              </w:rPr>
              <w:t>2022</w:t>
            </w:r>
          </w:p>
        </w:tc>
        <w:tc>
          <w:tcPr>
            <w:tcW w:w="2733" w:type="dxa"/>
            <w:tcBorders>
              <w:top w:val="nil"/>
              <w:left w:val="nil"/>
              <w:bottom w:val="single" w:sz="4" w:space="0" w:color="auto"/>
              <w:right w:val="single" w:sz="4" w:space="0" w:color="auto"/>
            </w:tcBorders>
            <w:shd w:val="clear" w:color="auto" w:fill="C6EFCE"/>
            <w:noWrap/>
            <w:hideMark/>
          </w:tcPr>
          <w:p w14:paraId="08E32B66" w14:textId="77777777" w:rsidR="00A345F4" w:rsidRDefault="005E2D4E">
            <w:pPr>
              <w:pStyle w:val="P68B1DB1-Normal14"/>
              <w:spacing w:after="0" w:line="240" w:lineRule="auto"/>
              <w:jc w:val="both"/>
              <w:rPr>
                <w:rFonts w:eastAsia="Times New Roman"/>
                <w:noProof/>
              </w:rPr>
            </w:pPr>
            <w:r>
              <w:rPr>
                <w:noProof/>
              </w:rPr>
              <w:t>Entrée en vigueur de la loi portant approbation du programme national «Premier raccordement à l’eau et à l’assainissement», qui aide les familles et les célibataires à faible revenu (ayant un revenu mensuel net moyen inférieur au salaire minimum national brut garanti par membre de la famille) à payer les frais de raccordement au réseau d’approvisionnement en eau et d’assainissement.</w:t>
            </w:r>
          </w:p>
          <w:p w14:paraId="0E04A9D8" w14:textId="77777777" w:rsidR="00A345F4" w:rsidRDefault="005E2D4E">
            <w:pPr>
              <w:pStyle w:val="P68B1DB1-Normal14"/>
              <w:spacing w:after="0" w:line="240" w:lineRule="auto"/>
              <w:jc w:val="both"/>
              <w:rPr>
                <w:rFonts w:eastAsia="Times New Roman"/>
                <w:noProof/>
              </w:rPr>
            </w:pPr>
            <w:r>
              <w:rPr>
                <w:noProof/>
              </w:rPr>
              <w:t>Les ménages à faible revenu sont identifiés par les autorités locales. Le programme First Connection financera ensuite, par l'intermédiaire de l'Administration du Fonds pour l'environnement, les travaux de raccordement pour les familles identifiées sous contrat avec les autorités locales.</w:t>
            </w:r>
          </w:p>
        </w:tc>
      </w:tr>
      <w:tr w:rsidR="00A345F4" w14:paraId="66D8B3FF" w14:textId="77777777" w:rsidTr="004F5975">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hideMark/>
          </w:tcPr>
          <w:p w14:paraId="374713C6" w14:textId="77777777" w:rsidR="00A345F4" w:rsidRDefault="005E2D4E">
            <w:pPr>
              <w:pStyle w:val="P68B1DB1-Normal14"/>
              <w:spacing w:after="0" w:line="240" w:lineRule="auto"/>
              <w:jc w:val="center"/>
              <w:rPr>
                <w:rFonts w:eastAsia="Times New Roman"/>
                <w:noProof/>
              </w:rPr>
            </w:pPr>
            <w:r>
              <w:rPr>
                <w:noProof/>
              </w:rPr>
              <w:t>3</w:t>
            </w:r>
          </w:p>
        </w:tc>
        <w:tc>
          <w:tcPr>
            <w:tcW w:w="2126" w:type="dxa"/>
            <w:tcBorders>
              <w:top w:val="nil"/>
              <w:left w:val="nil"/>
              <w:bottom w:val="single" w:sz="4" w:space="0" w:color="auto"/>
              <w:right w:val="single" w:sz="4" w:space="0" w:color="auto"/>
            </w:tcBorders>
            <w:shd w:val="clear" w:color="auto" w:fill="C6EFCE"/>
            <w:noWrap/>
            <w:hideMark/>
          </w:tcPr>
          <w:p w14:paraId="3CCE5BFC" w14:textId="77777777" w:rsidR="00A345F4" w:rsidRDefault="005E2D4E">
            <w:pPr>
              <w:pStyle w:val="P68B1DB1-Normal14"/>
              <w:spacing w:after="0" w:line="240" w:lineRule="auto"/>
              <w:jc w:val="both"/>
              <w:rPr>
                <w:rFonts w:eastAsia="Times New Roman"/>
                <w:noProof/>
              </w:rPr>
            </w:pPr>
            <w:r>
              <w:rPr>
                <w:noProof/>
              </w:rPr>
              <w:t xml:space="preserve">Réforme 1. Renforcer le cadre réglementaire pour la gestion durable du secteur de l’eau et des eaux usées et accélérer l’accès des citoyens à des services de qualité au titre des directives européennes </w:t>
            </w:r>
          </w:p>
        </w:tc>
        <w:tc>
          <w:tcPr>
            <w:tcW w:w="1418" w:type="dxa"/>
            <w:tcBorders>
              <w:top w:val="nil"/>
              <w:left w:val="nil"/>
              <w:bottom w:val="single" w:sz="4" w:space="0" w:color="auto"/>
              <w:right w:val="single" w:sz="4" w:space="0" w:color="auto"/>
            </w:tcBorders>
            <w:shd w:val="clear" w:color="auto" w:fill="C6EFCE"/>
            <w:noWrap/>
            <w:hideMark/>
          </w:tcPr>
          <w:p w14:paraId="53ABB035" w14:textId="77777777" w:rsidR="00A345F4" w:rsidRDefault="005E2D4E">
            <w:pPr>
              <w:pStyle w:val="P68B1DB1-Normal14"/>
              <w:spacing w:after="0" w:line="240" w:lineRule="auto"/>
              <w:jc w:val="center"/>
              <w:rPr>
                <w:rFonts w:eastAsia="Times New Roman"/>
                <w:noProof/>
              </w:rPr>
            </w:pPr>
            <w:r>
              <w:rPr>
                <w:noProof/>
              </w:rPr>
              <w:t>Étape</w:t>
            </w:r>
          </w:p>
        </w:tc>
        <w:tc>
          <w:tcPr>
            <w:tcW w:w="1559" w:type="dxa"/>
            <w:tcBorders>
              <w:top w:val="nil"/>
              <w:left w:val="nil"/>
              <w:bottom w:val="single" w:sz="4" w:space="0" w:color="auto"/>
              <w:right w:val="single" w:sz="4" w:space="0" w:color="auto"/>
            </w:tcBorders>
            <w:shd w:val="clear" w:color="auto" w:fill="C6EFCE"/>
            <w:noWrap/>
            <w:hideMark/>
          </w:tcPr>
          <w:p w14:paraId="7C93BD0A" w14:textId="6A30DDCC" w:rsidR="00A345F4" w:rsidRDefault="005E2D4E">
            <w:pPr>
              <w:pStyle w:val="P68B1DB1-Normal14"/>
              <w:spacing w:after="0" w:line="240" w:lineRule="auto"/>
              <w:jc w:val="both"/>
              <w:rPr>
                <w:rFonts w:eastAsia="Times New Roman"/>
                <w:noProof/>
              </w:rPr>
            </w:pPr>
            <w:r>
              <w:rPr>
                <w:noProof/>
              </w:rPr>
              <w:t>Accords de mise en œuvre signés avec les autorités locales participant au programme «Premier raccordement à l’eau et à l’assainissement»</w:t>
            </w:r>
          </w:p>
        </w:tc>
        <w:tc>
          <w:tcPr>
            <w:tcW w:w="1843" w:type="dxa"/>
            <w:tcBorders>
              <w:top w:val="nil"/>
              <w:left w:val="nil"/>
              <w:bottom w:val="single" w:sz="4" w:space="0" w:color="auto"/>
              <w:right w:val="single" w:sz="4" w:space="0" w:color="auto"/>
            </w:tcBorders>
            <w:shd w:val="clear" w:color="auto" w:fill="C6EFCE"/>
            <w:noWrap/>
            <w:hideMark/>
          </w:tcPr>
          <w:p w14:paraId="4AC81607" w14:textId="77777777" w:rsidR="00A345F4" w:rsidRDefault="005E2D4E">
            <w:pPr>
              <w:pStyle w:val="P68B1DB1-Normal14"/>
              <w:spacing w:after="0" w:line="240" w:lineRule="auto"/>
              <w:jc w:val="both"/>
              <w:rPr>
                <w:rFonts w:eastAsia="Times New Roman"/>
                <w:noProof/>
              </w:rPr>
            </w:pPr>
            <w:r>
              <w:rPr>
                <w:noProof/>
              </w:rPr>
              <w:t>Accords de mise en œuvre signés avec les autorités locales participant au programme «Premier raccordement à l’eau et à l’assainissement»</w:t>
            </w:r>
          </w:p>
        </w:tc>
        <w:tc>
          <w:tcPr>
            <w:tcW w:w="1338" w:type="dxa"/>
            <w:tcBorders>
              <w:top w:val="nil"/>
              <w:left w:val="nil"/>
              <w:bottom w:val="single" w:sz="4" w:space="0" w:color="auto"/>
              <w:right w:val="single" w:sz="4" w:space="0" w:color="auto"/>
            </w:tcBorders>
            <w:shd w:val="clear" w:color="auto" w:fill="C6EFCE"/>
            <w:noWrap/>
            <w:hideMark/>
          </w:tcPr>
          <w:p w14:paraId="7901EBD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59C2C85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hideMark/>
          </w:tcPr>
          <w:p w14:paraId="208C950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4C3E5588" w14:textId="77777777" w:rsidR="00A345F4" w:rsidRDefault="005E2D4E">
            <w:pPr>
              <w:pStyle w:val="P68B1DB1-Normal14"/>
              <w:spacing w:after="0" w:line="240" w:lineRule="auto"/>
              <w:jc w:val="both"/>
              <w:rPr>
                <w:rFonts w:eastAsia="Times New Roman"/>
                <w:noProof/>
              </w:rPr>
            </w:pPr>
            <w:r>
              <w:rPr>
                <w:noProof/>
              </w:rPr>
              <w:t>T4</w:t>
            </w:r>
          </w:p>
        </w:tc>
        <w:tc>
          <w:tcPr>
            <w:tcW w:w="850" w:type="dxa"/>
            <w:tcBorders>
              <w:top w:val="nil"/>
              <w:left w:val="nil"/>
              <w:bottom w:val="single" w:sz="4" w:space="0" w:color="auto"/>
              <w:right w:val="single" w:sz="4" w:space="0" w:color="auto"/>
            </w:tcBorders>
            <w:shd w:val="clear" w:color="auto" w:fill="C6EFCE"/>
            <w:noWrap/>
            <w:hideMark/>
          </w:tcPr>
          <w:p w14:paraId="0E642564" w14:textId="77777777" w:rsidR="00A345F4" w:rsidRDefault="005E2D4E">
            <w:pPr>
              <w:pStyle w:val="P68B1DB1-Normal14"/>
              <w:spacing w:after="0" w:line="240" w:lineRule="auto"/>
              <w:jc w:val="both"/>
              <w:rPr>
                <w:rFonts w:eastAsia="Times New Roman"/>
                <w:noProof/>
              </w:rPr>
            </w:pPr>
            <w:r>
              <w:rPr>
                <w:noProof/>
              </w:rPr>
              <w:t>2022</w:t>
            </w:r>
          </w:p>
        </w:tc>
        <w:tc>
          <w:tcPr>
            <w:tcW w:w="2733" w:type="dxa"/>
            <w:tcBorders>
              <w:top w:val="nil"/>
              <w:left w:val="nil"/>
              <w:bottom w:val="single" w:sz="4" w:space="0" w:color="auto"/>
              <w:right w:val="single" w:sz="4" w:space="0" w:color="auto"/>
            </w:tcBorders>
            <w:shd w:val="clear" w:color="auto" w:fill="C6EFCE"/>
            <w:noWrap/>
            <w:hideMark/>
          </w:tcPr>
          <w:p w14:paraId="32FB1EC8" w14:textId="77777777" w:rsidR="00A345F4" w:rsidRDefault="005E2D4E">
            <w:pPr>
              <w:pStyle w:val="P68B1DB1-Normal14"/>
              <w:spacing w:after="0" w:line="240" w:lineRule="auto"/>
              <w:jc w:val="both"/>
              <w:rPr>
                <w:rFonts w:eastAsia="Times New Roman"/>
                <w:noProof/>
              </w:rPr>
            </w:pPr>
            <w:r>
              <w:rPr>
                <w:noProof/>
              </w:rPr>
              <w:t>L’administration du Fonds pour l’environnement signe les accords de mise en œuvre avec les autorités locales participant au programme «Premier raccordement à l’eau et à l’assainissement».</w:t>
            </w:r>
          </w:p>
        </w:tc>
      </w:tr>
      <w:tr w:rsidR="00A345F4" w14:paraId="2B5C780C" w14:textId="77777777" w:rsidTr="004F5975">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227E3992" w14:textId="77777777" w:rsidR="00A345F4" w:rsidRDefault="005E2D4E">
            <w:pPr>
              <w:pStyle w:val="P68B1DB1-Normal14"/>
              <w:spacing w:after="0" w:line="240" w:lineRule="auto"/>
              <w:jc w:val="center"/>
              <w:rPr>
                <w:rFonts w:eastAsia="Times New Roman"/>
                <w:noProof/>
              </w:rPr>
            </w:pPr>
            <w:r>
              <w:rPr>
                <w:noProof/>
              </w:rPr>
              <w:t>4</w:t>
            </w:r>
          </w:p>
        </w:tc>
        <w:tc>
          <w:tcPr>
            <w:tcW w:w="2126" w:type="dxa"/>
            <w:tcBorders>
              <w:top w:val="nil"/>
              <w:left w:val="nil"/>
              <w:bottom w:val="single" w:sz="4" w:space="0" w:color="auto"/>
              <w:right w:val="single" w:sz="4" w:space="0" w:color="auto"/>
            </w:tcBorders>
            <w:shd w:val="clear" w:color="auto" w:fill="C6EFCE"/>
            <w:noWrap/>
          </w:tcPr>
          <w:p w14:paraId="5F735A26" w14:textId="77777777" w:rsidR="00A345F4" w:rsidRDefault="005E2D4E">
            <w:pPr>
              <w:pStyle w:val="P68B1DB1-Normal14"/>
              <w:spacing w:after="0" w:line="240" w:lineRule="auto"/>
              <w:jc w:val="both"/>
              <w:rPr>
                <w:rFonts w:eastAsia="Times New Roman"/>
                <w:noProof/>
              </w:rPr>
            </w:pPr>
            <w:r>
              <w:rPr>
                <w:noProof/>
              </w:rPr>
              <w:t>Réforme 2. Reconfiguration du mécanisme économique actuel de l’ANAR pour assurer la modernisation et la maintenance du système national de gestion de l’eau</w:t>
            </w:r>
          </w:p>
        </w:tc>
        <w:tc>
          <w:tcPr>
            <w:tcW w:w="1418" w:type="dxa"/>
            <w:tcBorders>
              <w:top w:val="nil"/>
              <w:left w:val="nil"/>
              <w:bottom w:val="single" w:sz="4" w:space="0" w:color="auto"/>
              <w:right w:val="single" w:sz="4" w:space="0" w:color="auto"/>
            </w:tcBorders>
            <w:shd w:val="clear" w:color="auto" w:fill="C6EFCE"/>
            <w:noWrap/>
          </w:tcPr>
          <w:p w14:paraId="675641EA" w14:textId="77777777" w:rsidR="00A345F4" w:rsidRDefault="005E2D4E">
            <w:pPr>
              <w:pStyle w:val="P68B1DB1-Normal14"/>
              <w:spacing w:after="0" w:line="240" w:lineRule="auto"/>
              <w:jc w:val="center"/>
              <w:rPr>
                <w:rFonts w:eastAsia="Times New Roman"/>
                <w:noProof/>
              </w:rPr>
            </w:pPr>
            <w:r>
              <w:rPr>
                <w:noProof/>
              </w:rPr>
              <w:t>Étape</w:t>
            </w:r>
          </w:p>
        </w:tc>
        <w:tc>
          <w:tcPr>
            <w:tcW w:w="1559" w:type="dxa"/>
            <w:tcBorders>
              <w:top w:val="nil"/>
              <w:left w:val="nil"/>
              <w:bottom w:val="single" w:sz="4" w:space="0" w:color="auto"/>
              <w:right w:val="single" w:sz="4" w:space="0" w:color="auto"/>
            </w:tcBorders>
            <w:shd w:val="clear" w:color="auto" w:fill="C6EFCE"/>
            <w:noWrap/>
          </w:tcPr>
          <w:p w14:paraId="732B8D3D" w14:textId="77777777" w:rsidR="00A345F4" w:rsidRDefault="005E2D4E">
            <w:pPr>
              <w:pStyle w:val="P68B1DB1-Normal14"/>
              <w:spacing w:after="0" w:line="240" w:lineRule="auto"/>
              <w:jc w:val="both"/>
              <w:rPr>
                <w:rFonts w:eastAsia="Times New Roman"/>
                <w:noProof/>
              </w:rPr>
            </w:pPr>
            <w:r>
              <w:rPr>
                <w:noProof/>
              </w:rPr>
              <w:t>Entrée en vigueur de la loi introduisant des modifications visant à réglementer le nouveau mécanisme économique pour les ressources en eau en Roumanie</w:t>
            </w:r>
          </w:p>
        </w:tc>
        <w:tc>
          <w:tcPr>
            <w:tcW w:w="1843" w:type="dxa"/>
            <w:tcBorders>
              <w:top w:val="nil"/>
              <w:left w:val="nil"/>
              <w:bottom w:val="single" w:sz="4" w:space="0" w:color="auto"/>
              <w:right w:val="single" w:sz="4" w:space="0" w:color="auto"/>
            </w:tcBorders>
            <w:shd w:val="clear" w:color="auto" w:fill="C6EFCE"/>
            <w:noWrap/>
          </w:tcPr>
          <w:p w14:paraId="68D65831" w14:textId="77777777" w:rsidR="00A345F4" w:rsidRDefault="005E2D4E">
            <w:pPr>
              <w:pStyle w:val="P68B1DB1-Normal14"/>
              <w:spacing w:after="0" w:line="240" w:lineRule="auto"/>
              <w:jc w:val="both"/>
              <w:rPr>
                <w:rFonts w:eastAsia="Times New Roman"/>
                <w:noProof/>
              </w:rPr>
            </w:pPr>
            <w:r>
              <w:rPr>
                <w:noProof/>
              </w:rPr>
              <w:t>Disposition de la loi indiquant l’entrée en vigueur d’un acte législatif portant modification de la réglementation du nouveau mécanisme économique pour les ressources en eau en Roumanie</w:t>
            </w:r>
          </w:p>
        </w:tc>
        <w:tc>
          <w:tcPr>
            <w:tcW w:w="1338" w:type="dxa"/>
            <w:tcBorders>
              <w:top w:val="nil"/>
              <w:left w:val="nil"/>
              <w:bottom w:val="single" w:sz="4" w:space="0" w:color="auto"/>
              <w:right w:val="single" w:sz="4" w:space="0" w:color="auto"/>
            </w:tcBorders>
            <w:shd w:val="clear" w:color="auto" w:fill="C6EFCE"/>
            <w:noWrap/>
          </w:tcPr>
          <w:p w14:paraId="02023389" w14:textId="77777777" w:rsidR="00A345F4" w:rsidRDefault="005E2D4E">
            <w:pPr>
              <w:pStyle w:val="P68B1DB1-Normal14"/>
              <w:spacing w:after="0" w:line="240" w:lineRule="auto"/>
              <w:jc w:val="both"/>
              <w:rPr>
                <w:rFonts w:eastAsia="Times New Roman"/>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297FB92E" w14:textId="77777777" w:rsidR="00A345F4" w:rsidRDefault="005E2D4E">
            <w:pPr>
              <w:pStyle w:val="P68B1DB1-Normal14"/>
              <w:spacing w:after="0" w:line="240" w:lineRule="auto"/>
              <w:jc w:val="both"/>
              <w:rPr>
                <w:rFonts w:eastAsia="Times New Roman"/>
                <w:noProof/>
              </w:rPr>
            </w:pPr>
            <w:r>
              <w:rPr>
                <w:noProof/>
              </w:rPr>
              <w:t xml:space="preserve"> </w:t>
            </w:r>
          </w:p>
        </w:tc>
        <w:tc>
          <w:tcPr>
            <w:tcW w:w="959" w:type="dxa"/>
            <w:tcBorders>
              <w:top w:val="nil"/>
              <w:left w:val="nil"/>
              <w:bottom w:val="single" w:sz="4" w:space="0" w:color="auto"/>
              <w:right w:val="single" w:sz="4" w:space="0" w:color="auto"/>
            </w:tcBorders>
            <w:shd w:val="clear" w:color="auto" w:fill="C6EFCE"/>
            <w:noWrap/>
          </w:tcPr>
          <w:p w14:paraId="23EFEC36" w14:textId="77777777" w:rsidR="00A345F4" w:rsidRDefault="005E2D4E">
            <w:pPr>
              <w:pStyle w:val="P68B1DB1-Normal14"/>
              <w:spacing w:after="0" w:line="240" w:lineRule="auto"/>
              <w:jc w:val="both"/>
              <w:rPr>
                <w:rFonts w:eastAsia="Times New Roman"/>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46459D92" w14:textId="77777777" w:rsidR="00A345F4" w:rsidRDefault="005E2D4E">
            <w:pPr>
              <w:pStyle w:val="P68B1DB1-Normal14"/>
              <w:spacing w:after="0" w:line="240" w:lineRule="auto"/>
              <w:jc w:val="both"/>
              <w:rPr>
                <w:rFonts w:eastAsia="Times New Roman"/>
                <w:noProof/>
              </w:rPr>
            </w:pPr>
            <w:r>
              <w:rPr>
                <w:noProof/>
              </w:rPr>
              <w:t>T1</w:t>
            </w:r>
          </w:p>
        </w:tc>
        <w:tc>
          <w:tcPr>
            <w:tcW w:w="850" w:type="dxa"/>
            <w:tcBorders>
              <w:top w:val="nil"/>
              <w:left w:val="nil"/>
              <w:bottom w:val="single" w:sz="4" w:space="0" w:color="auto"/>
              <w:right w:val="single" w:sz="4" w:space="0" w:color="auto"/>
            </w:tcBorders>
            <w:shd w:val="clear" w:color="auto" w:fill="C6EFCE"/>
            <w:noWrap/>
          </w:tcPr>
          <w:p w14:paraId="77BACE97" w14:textId="77777777" w:rsidR="00A345F4" w:rsidRDefault="005E2D4E">
            <w:pPr>
              <w:pStyle w:val="P68B1DB1-Normal14"/>
              <w:spacing w:after="0" w:line="240" w:lineRule="auto"/>
              <w:jc w:val="both"/>
              <w:rPr>
                <w:rFonts w:eastAsia="Times New Roman"/>
                <w:noProof/>
              </w:rPr>
            </w:pPr>
            <w:r>
              <w:rPr>
                <w:noProof/>
              </w:rPr>
              <w:t>2026</w:t>
            </w:r>
          </w:p>
        </w:tc>
        <w:tc>
          <w:tcPr>
            <w:tcW w:w="2733" w:type="dxa"/>
            <w:tcBorders>
              <w:top w:val="nil"/>
              <w:left w:val="nil"/>
              <w:bottom w:val="single" w:sz="4" w:space="0" w:color="auto"/>
              <w:right w:val="single" w:sz="4" w:space="0" w:color="auto"/>
            </w:tcBorders>
            <w:shd w:val="clear" w:color="auto" w:fill="C6EFCE"/>
            <w:noWrap/>
          </w:tcPr>
          <w:p w14:paraId="54946DEA" w14:textId="332CAA15" w:rsidR="00A345F4" w:rsidRDefault="005E2D4E">
            <w:pPr>
              <w:pStyle w:val="P68B1DB1-Normal14"/>
              <w:spacing w:after="0" w:line="240" w:lineRule="auto"/>
              <w:jc w:val="both"/>
              <w:rPr>
                <w:noProof/>
              </w:rPr>
            </w:pPr>
            <w:r>
              <w:rPr>
                <w:noProof/>
              </w:rPr>
              <w:t>Les études relatives aux onze bassins hydrographiques de Roumanie sont mises à disposition sur un site internet et couvrent: l’importance économique de la gestion et de l’utilisation durables de l’eau; ii) les tendances de l’évolution des besoins en eau et des volumes d’eau collectés au niveau des bassins hydrographiques/zones; et iii) les indicateurs macroéconomiques à moyen et long terme et le mécanisme optimal de recouvrement des coûts pour les volumes d'eau .</w:t>
            </w:r>
          </w:p>
          <w:p w14:paraId="5D499BF9" w14:textId="77777777" w:rsidR="00A345F4" w:rsidRDefault="005E2D4E">
            <w:pPr>
              <w:pStyle w:val="P68B1DB1-Normal14"/>
              <w:spacing w:after="0" w:line="240" w:lineRule="auto"/>
              <w:jc w:val="both"/>
              <w:rPr>
                <w:noProof/>
              </w:rPr>
            </w:pPr>
            <w:r>
              <w:rPr>
                <w:noProof/>
              </w:rPr>
              <w:t xml:space="preserve">Sur la base de ces études, des modifications législatives entreront en vigueur pour réglementer le nouveau mécanisme économique pour les ressources en eau en Roumanie. </w:t>
            </w:r>
          </w:p>
          <w:p w14:paraId="6BF183DC" w14:textId="495118D3" w:rsidR="00A345F4" w:rsidRDefault="005E2D4E">
            <w:pPr>
              <w:pStyle w:val="P68B1DB1-Normal14"/>
              <w:spacing w:after="0" w:line="240" w:lineRule="auto"/>
              <w:jc w:val="both"/>
              <w:rPr>
                <w:rFonts w:eastAsia="Times New Roman"/>
                <w:noProof/>
              </w:rPr>
            </w:pPr>
            <w:r>
              <w:rPr>
                <w:noProof/>
              </w:rPr>
              <w:t xml:space="preserve">Ces modifications législatives prévoient l'augmentation du recouvrement des coûts pour le système de recettes de l'eau et des recettes propres de l'ANAR. </w:t>
            </w:r>
          </w:p>
        </w:tc>
      </w:tr>
      <w:tr w:rsidR="00A345F4" w14:paraId="7F00D32C" w14:textId="77777777" w:rsidTr="004F5975">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15763835" w14:textId="77777777" w:rsidR="00A345F4" w:rsidRDefault="005E2D4E">
            <w:pPr>
              <w:pStyle w:val="P68B1DB1-Normal19"/>
              <w:spacing w:after="0" w:line="240" w:lineRule="auto"/>
              <w:jc w:val="center"/>
              <w:rPr>
                <w:noProof/>
              </w:rPr>
            </w:pPr>
            <w:r>
              <w:rPr>
                <w:noProof/>
              </w:rPr>
              <w:t>6</w:t>
            </w:r>
          </w:p>
        </w:tc>
        <w:tc>
          <w:tcPr>
            <w:tcW w:w="2126" w:type="dxa"/>
            <w:tcBorders>
              <w:top w:val="nil"/>
              <w:left w:val="single" w:sz="4" w:space="0" w:color="auto"/>
              <w:bottom w:val="single" w:sz="4" w:space="0" w:color="auto"/>
              <w:right w:val="single" w:sz="4" w:space="0" w:color="auto"/>
            </w:tcBorders>
            <w:shd w:val="clear" w:color="auto" w:fill="C6EFCE"/>
            <w:noWrap/>
          </w:tcPr>
          <w:p w14:paraId="7357068B" w14:textId="77777777" w:rsidR="00A345F4" w:rsidRDefault="005E2D4E">
            <w:pPr>
              <w:pStyle w:val="P68B1DB1-Normal14"/>
              <w:spacing w:after="0" w:line="240" w:lineRule="auto"/>
              <w:jc w:val="both"/>
              <w:rPr>
                <w:rFonts w:eastAsia="Times New Roman"/>
                <w:noProof/>
              </w:rPr>
            </w:pPr>
            <w:r>
              <w:rPr>
                <w:noProof/>
              </w:rPr>
              <w:t xml:space="preserve">Investissement 1. Construction de réseaux de distribution d'eau et d'assainissement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6CA2F2A9" w14:textId="77777777" w:rsidR="00A345F4" w:rsidRDefault="005E2D4E">
            <w:pPr>
              <w:pStyle w:val="P68B1DB1-Normal14"/>
              <w:spacing w:after="0" w:line="240" w:lineRule="auto"/>
              <w:jc w:val="center"/>
              <w:rPr>
                <w:rFonts w:eastAsia="Times New Roman"/>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97F5F78" w14:textId="1DC7AF59" w:rsidR="00A345F4" w:rsidRDefault="005E2D4E">
            <w:pPr>
              <w:pStyle w:val="P68B1DB1-Normal14"/>
              <w:spacing w:after="0" w:line="240" w:lineRule="auto"/>
              <w:jc w:val="both"/>
              <w:rPr>
                <w:rFonts w:eastAsia="Times New Roman"/>
                <w:noProof/>
              </w:rPr>
            </w:pPr>
            <w:r>
              <w:rPr>
                <w:noProof/>
              </w:rPr>
              <w:t xml:space="preserve">Construction de réseaux de distribution d'eau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467E38F6" w14:textId="77777777" w:rsidR="00A345F4" w:rsidRDefault="005E2D4E">
            <w:pPr>
              <w:pStyle w:val="P68B1DB1-Normal14"/>
              <w:spacing w:after="0" w:line="240" w:lineRule="auto"/>
              <w:jc w:val="both"/>
              <w:rPr>
                <w:rFonts w:eastAsia="Times New Roman"/>
                <w:noProof/>
              </w:rPr>
            </w:pPr>
            <w:r>
              <w:rPr>
                <w:noProof/>
              </w:rPr>
              <w:t xml:space="preserve"> </w:t>
            </w:r>
          </w:p>
        </w:tc>
        <w:tc>
          <w:tcPr>
            <w:tcW w:w="1338" w:type="dxa"/>
            <w:tcBorders>
              <w:top w:val="single" w:sz="4" w:space="0" w:color="auto"/>
              <w:left w:val="single" w:sz="4" w:space="0" w:color="auto"/>
              <w:bottom w:val="single" w:sz="4" w:space="0" w:color="auto"/>
              <w:right w:val="single" w:sz="4" w:space="0" w:color="auto"/>
            </w:tcBorders>
            <w:shd w:val="clear" w:color="auto" w:fill="C6EFCE"/>
            <w:noWrap/>
          </w:tcPr>
          <w:p w14:paraId="735C224F" w14:textId="77777777" w:rsidR="00A345F4" w:rsidRDefault="005E2D4E">
            <w:pPr>
              <w:pStyle w:val="P68B1DB1-Normal14"/>
              <w:spacing w:after="0" w:line="240" w:lineRule="auto"/>
              <w:jc w:val="both"/>
              <w:rPr>
                <w:rFonts w:eastAsia="Times New Roman"/>
                <w:noProof/>
              </w:rPr>
            </w:pPr>
            <w:r>
              <w:rPr>
                <w:noProof/>
              </w:rPr>
              <w:t>Kilomètres (km)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09D34F3" w14:textId="77777777" w:rsidR="00A345F4" w:rsidRDefault="005E2D4E">
            <w:pPr>
              <w:pStyle w:val="P68B1DB1-Normal14"/>
              <w:spacing w:after="0" w:line="240" w:lineRule="auto"/>
              <w:jc w:val="both"/>
              <w:rPr>
                <w:rFonts w:eastAsia="Times New Roman"/>
                <w:noProof/>
              </w:rPr>
            </w:pPr>
            <w:r>
              <w:rPr>
                <w:noProof/>
              </w:rPr>
              <w:t xml:space="preserve"> 0</w:t>
            </w:r>
          </w:p>
        </w:tc>
        <w:tc>
          <w:tcPr>
            <w:tcW w:w="959" w:type="dxa"/>
            <w:tcBorders>
              <w:top w:val="nil"/>
              <w:left w:val="single" w:sz="4" w:space="0" w:color="auto"/>
              <w:bottom w:val="single" w:sz="4" w:space="0" w:color="auto"/>
              <w:right w:val="single" w:sz="4" w:space="0" w:color="auto"/>
            </w:tcBorders>
            <w:shd w:val="clear" w:color="auto" w:fill="C6EFCE"/>
            <w:noWrap/>
          </w:tcPr>
          <w:p w14:paraId="1A0518AF" w14:textId="77777777" w:rsidR="00A345F4" w:rsidRDefault="005E2D4E">
            <w:pPr>
              <w:pStyle w:val="P68B1DB1-Normal14"/>
              <w:spacing w:after="0" w:line="240" w:lineRule="auto"/>
              <w:jc w:val="both"/>
              <w:rPr>
                <w:rFonts w:eastAsia="Times New Roman"/>
                <w:noProof/>
              </w:rPr>
            </w:pPr>
            <w:r>
              <w:rPr>
                <w:noProof/>
              </w:rPr>
              <w:t>288.3</w:t>
            </w:r>
          </w:p>
        </w:tc>
        <w:tc>
          <w:tcPr>
            <w:tcW w:w="1134" w:type="dxa"/>
            <w:tcBorders>
              <w:top w:val="nil"/>
              <w:left w:val="single" w:sz="4" w:space="0" w:color="auto"/>
              <w:bottom w:val="single" w:sz="4" w:space="0" w:color="auto"/>
              <w:right w:val="single" w:sz="4" w:space="0" w:color="auto"/>
            </w:tcBorders>
            <w:shd w:val="clear" w:color="auto" w:fill="C6EFCE"/>
            <w:noWrap/>
          </w:tcPr>
          <w:p w14:paraId="5090B336" w14:textId="77777777" w:rsidR="00A345F4" w:rsidRDefault="005E2D4E">
            <w:pPr>
              <w:pStyle w:val="P68B1DB1-Normal14"/>
              <w:spacing w:after="0" w:line="240" w:lineRule="auto"/>
              <w:jc w:val="both"/>
              <w:rPr>
                <w:rFonts w:eastAsia="Times New Roman"/>
                <w:noProof/>
              </w:rPr>
            </w:pPr>
            <w:r>
              <w:rPr>
                <w:noProof/>
              </w:rPr>
              <w:t> T2</w:t>
            </w:r>
          </w:p>
        </w:tc>
        <w:tc>
          <w:tcPr>
            <w:tcW w:w="850" w:type="dxa"/>
            <w:tcBorders>
              <w:top w:val="nil"/>
              <w:left w:val="single" w:sz="4" w:space="0" w:color="auto"/>
              <w:bottom w:val="single" w:sz="4" w:space="0" w:color="auto"/>
              <w:right w:val="single" w:sz="4" w:space="0" w:color="auto"/>
            </w:tcBorders>
            <w:shd w:val="clear" w:color="auto" w:fill="C6EFCE"/>
            <w:noWrap/>
          </w:tcPr>
          <w:p w14:paraId="5A37FCF3" w14:textId="77777777" w:rsidR="00A345F4" w:rsidRDefault="005E2D4E">
            <w:pPr>
              <w:pStyle w:val="P68B1DB1-Normal14"/>
              <w:spacing w:after="0" w:line="240" w:lineRule="auto"/>
              <w:jc w:val="both"/>
              <w:rPr>
                <w:rFonts w:eastAsia="Times New Roman"/>
                <w:noProof/>
              </w:rPr>
            </w:pPr>
            <w:r>
              <w:rPr>
                <w:noProof/>
              </w:rPr>
              <w:t>2026 </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30EFEA6B" w14:textId="6986F9F2" w:rsidR="00A345F4" w:rsidRDefault="005E2D4E">
            <w:pPr>
              <w:pStyle w:val="P68B1DB1-Normal14"/>
              <w:spacing w:after="0" w:line="240" w:lineRule="auto"/>
              <w:jc w:val="both"/>
              <w:rPr>
                <w:noProof/>
              </w:rPr>
            </w:pPr>
            <w:r>
              <w:rPr>
                <w:noProof/>
              </w:rPr>
              <w:t xml:space="preserve">Au total, 288,3 km de réseaux de distribution d'eau doivent être construits. </w:t>
            </w:r>
          </w:p>
        </w:tc>
      </w:tr>
      <w:tr w:rsidR="00A345F4" w14:paraId="71AFE9FC" w14:textId="77777777" w:rsidTr="004F5975">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5DB24A0D" w14:textId="77777777" w:rsidR="00A345F4" w:rsidRDefault="005E2D4E">
            <w:pPr>
              <w:pStyle w:val="P68B1DB1-Normal14"/>
              <w:spacing w:after="0" w:line="240" w:lineRule="auto"/>
              <w:jc w:val="center"/>
              <w:rPr>
                <w:rFonts w:eastAsia="Times New Roman"/>
                <w:noProof/>
              </w:rPr>
            </w:pPr>
            <w:r>
              <w:rPr>
                <w:noProof/>
              </w:rPr>
              <w:t>8</w:t>
            </w:r>
          </w:p>
        </w:tc>
        <w:tc>
          <w:tcPr>
            <w:tcW w:w="2126" w:type="dxa"/>
            <w:tcBorders>
              <w:top w:val="nil"/>
              <w:left w:val="single" w:sz="4" w:space="0" w:color="auto"/>
              <w:bottom w:val="single" w:sz="4" w:space="0" w:color="auto"/>
              <w:right w:val="single" w:sz="4" w:space="0" w:color="auto"/>
            </w:tcBorders>
            <w:shd w:val="clear" w:color="auto" w:fill="C6EFCE"/>
            <w:noWrap/>
          </w:tcPr>
          <w:p w14:paraId="1BCFB35C" w14:textId="12061AC8" w:rsidR="00A345F4" w:rsidRDefault="005E2D4E">
            <w:pPr>
              <w:pStyle w:val="P68B1DB1-Normal14"/>
              <w:spacing w:after="0" w:line="240" w:lineRule="auto"/>
              <w:jc w:val="both"/>
              <w:rPr>
                <w:rFonts w:eastAsia="Times New Roman"/>
                <w:noProof/>
              </w:rPr>
            </w:pPr>
            <w:r>
              <w:rPr>
                <w:noProof/>
              </w:rPr>
              <w:t xml:space="preserve">Investissement 1. Construction de réseaux de distribution d'eau et d'assainissement </w:t>
            </w:r>
          </w:p>
        </w:tc>
        <w:tc>
          <w:tcPr>
            <w:tcW w:w="1418" w:type="dxa"/>
            <w:tcBorders>
              <w:top w:val="nil"/>
              <w:left w:val="single" w:sz="4" w:space="0" w:color="auto"/>
              <w:bottom w:val="single" w:sz="4" w:space="0" w:color="auto"/>
              <w:right w:val="single" w:sz="4" w:space="0" w:color="auto"/>
            </w:tcBorders>
            <w:shd w:val="clear" w:color="auto" w:fill="C6EFCE"/>
            <w:noWrap/>
          </w:tcPr>
          <w:p w14:paraId="0A2093B6" w14:textId="77777777" w:rsidR="00A345F4" w:rsidRDefault="005E2D4E">
            <w:pPr>
              <w:pStyle w:val="P68B1DB1-Normal14"/>
              <w:spacing w:after="0" w:line="240" w:lineRule="auto"/>
              <w:jc w:val="center"/>
              <w:rPr>
                <w:rFonts w:eastAsia="Times New Roman"/>
                <w:noProof/>
              </w:rPr>
            </w:pPr>
            <w:r>
              <w:rPr>
                <w:noProof/>
              </w:rPr>
              <w:t>Objectif</w:t>
            </w:r>
          </w:p>
        </w:tc>
        <w:tc>
          <w:tcPr>
            <w:tcW w:w="1559" w:type="dxa"/>
            <w:tcBorders>
              <w:top w:val="nil"/>
              <w:left w:val="single" w:sz="4" w:space="0" w:color="auto"/>
              <w:bottom w:val="single" w:sz="4" w:space="0" w:color="auto"/>
              <w:right w:val="single" w:sz="4" w:space="0" w:color="auto"/>
            </w:tcBorders>
            <w:shd w:val="clear" w:color="auto" w:fill="C6EFCE"/>
            <w:noWrap/>
          </w:tcPr>
          <w:p w14:paraId="15603165" w14:textId="109EA04C" w:rsidR="00A345F4" w:rsidRDefault="005E2D4E">
            <w:pPr>
              <w:pStyle w:val="P68B1DB1-Normal14"/>
              <w:spacing w:after="0" w:line="240" w:lineRule="auto"/>
              <w:jc w:val="both"/>
              <w:rPr>
                <w:noProof/>
              </w:rPr>
            </w:pPr>
            <w:r>
              <w:rPr>
                <w:noProof/>
              </w:rPr>
              <w:t xml:space="preserve">Réseaux d'assainissement construits </w:t>
            </w:r>
          </w:p>
        </w:tc>
        <w:tc>
          <w:tcPr>
            <w:tcW w:w="1843" w:type="dxa"/>
            <w:tcBorders>
              <w:top w:val="nil"/>
              <w:left w:val="single" w:sz="4" w:space="0" w:color="auto"/>
              <w:bottom w:val="single" w:sz="4" w:space="0" w:color="auto"/>
              <w:right w:val="single" w:sz="4" w:space="0" w:color="auto"/>
            </w:tcBorders>
            <w:shd w:val="clear" w:color="auto" w:fill="C6EFCE"/>
            <w:noWrap/>
          </w:tcPr>
          <w:p w14:paraId="265399E1" w14:textId="77777777" w:rsidR="00A345F4" w:rsidRDefault="005E2D4E">
            <w:pPr>
              <w:pStyle w:val="P68B1DB1-Normal14"/>
              <w:spacing w:after="0" w:line="240" w:lineRule="auto"/>
              <w:jc w:val="both"/>
              <w:rPr>
                <w:rFonts w:eastAsia="Times New Roman"/>
                <w:noProof/>
              </w:rPr>
            </w:pPr>
            <w:r>
              <w:rPr>
                <w:noProof/>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70430A54" w14:textId="77777777" w:rsidR="00A345F4" w:rsidRDefault="005E2D4E">
            <w:pPr>
              <w:pStyle w:val="P68B1DB1-Normal14"/>
              <w:spacing w:after="0" w:line="240" w:lineRule="auto"/>
              <w:jc w:val="both"/>
              <w:rPr>
                <w:rFonts w:eastAsia="Times New Roman"/>
                <w:noProof/>
              </w:rPr>
            </w:pPr>
            <w:r>
              <w:rPr>
                <w:noProof/>
              </w:rPr>
              <w:t>Kilomètres (km)</w:t>
            </w:r>
          </w:p>
        </w:tc>
        <w:tc>
          <w:tcPr>
            <w:tcW w:w="1134" w:type="dxa"/>
            <w:tcBorders>
              <w:top w:val="nil"/>
              <w:left w:val="single" w:sz="4" w:space="0" w:color="auto"/>
              <w:bottom w:val="single" w:sz="4" w:space="0" w:color="auto"/>
              <w:right w:val="single" w:sz="4" w:space="0" w:color="auto"/>
            </w:tcBorders>
            <w:shd w:val="clear" w:color="auto" w:fill="C6EFCE"/>
            <w:noWrap/>
          </w:tcPr>
          <w:p w14:paraId="56F01E31" w14:textId="77777777" w:rsidR="00A345F4" w:rsidRDefault="005E2D4E">
            <w:pPr>
              <w:pStyle w:val="P68B1DB1-Normal14"/>
              <w:spacing w:after="0" w:line="240" w:lineRule="auto"/>
              <w:jc w:val="both"/>
              <w:rPr>
                <w:rFonts w:eastAsia="Times New Roman"/>
                <w:noProof/>
              </w:rPr>
            </w:pPr>
            <w:r>
              <w:rPr>
                <w:noProof/>
              </w:rPr>
              <w:t>0</w:t>
            </w:r>
          </w:p>
        </w:tc>
        <w:tc>
          <w:tcPr>
            <w:tcW w:w="959" w:type="dxa"/>
            <w:tcBorders>
              <w:top w:val="nil"/>
              <w:left w:val="single" w:sz="4" w:space="0" w:color="auto"/>
              <w:bottom w:val="single" w:sz="4" w:space="0" w:color="auto"/>
              <w:right w:val="single" w:sz="4" w:space="0" w:color="auto"/>
            </w:tcBorders>
            <w:shd w:val="clear" w:color="auto" w:fill="C6EFCE"/>
            <w:noWrap/>
          </w:tcPr>
          <w:p w14:paraId="54C32A5F" w14:textId="77777777" w:rsidR="00A345F4" w:rsidRDefault="005E2D4E">
            <w:pPr>
              <w:pStyle w:val="P68B1DB1-Normal14"/>
              <w:spacing w:after="0" w:line="240" w:lineRule="auto"/>
              <w:jc w:val="both"/>
              <w:rPr>
                <w:rFonts w:eastAsia="Times New Roman"/>
                <w:noProof/>
              </w:rPr>
            </w:pPr>
            <w:r>
              <w:rPr>
                <w:noProof/>
              </w:rPr>
              <w:t>975</w:t>
            </w:r>
          </w:p>
        </w:tc>
        <w:tc>
          <w:tcPr>
            <w:tcW w:w="1134" w:type="dxa"/>
            <w:tcBorders>
              <w:top w:val="nil"/>
              <w:left w:val="single" w:sz="4" w:space="0" w:color="auto"/>
              <w:bottom w:val="single" w:sz="4" w:space="0" w:color="auto"/>
              <w:right w:val="single" w:sz="4" w:space="0" w:color="auto"/>
            </w:tcBorders>
            <w:shd w:val="clear" w:color="auto" w:fill="C6EFCE"/>
            <w:noWrap/>
          </w:tcPr>
          <w:p w14:paraId="5E3D5FEB"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nil"/>
              <w:left w:val="single" w:sz="4" w:space="0" w:color="auto"/>
              <w:bottom w:val="single" w:sz="4" w:space="0" w:color="auto"/>
              <w:right w:val="single" w:sz="4" w:space="0" w:color="auto"/>
            </w:tcBorders>
            <w:shd w:val="clear" w:color="auto" w:fill="C6EFCE"/>
            <w:noWrap/>
          </w:tcPr>
          <w:p w14:paraId="7395994D" w14:textId="77777777" w:rsidR="00A345F4" w:rsidRDefault="005E2D4E">
            <w:pPr>
              <w:pStyle w:val="P68B1DB1-Normal14"/>
              <w:spacing w:after="0" w:line="240" w:lineRule="auto"/>
              <w:jc w:val="both"/>
              <w:rPr>
                <w:rFonts w:eastAsia="Times New Roman"/>
                <w:noProof/>
              </w:rPr>
            </w:pPr>
            <w:r>
              <w:rPr>
                <w:noProof/>
              </w:rPr>
              <w:t>2026</w:t>
            </w:r>
          </w:p>
        </w:tc>
        <w:tc>
          <w:tcPr>
            <w:tcW w:w="2733" w:type="dxa"/>
            <w:tcBorders>
              <w:top w:val="nil"/>
              <w:left w:val="single" w:sz="4" w:space="0" w:color="auto"/>
              <w:bottom w:val="single" w:sz="4" w:space="0" w:color="auto"/>
              <w:right w:val="single" w:sz="4" w:space="0" w:color="auto"/>
            </w:tcBorders>
            <w:shd w:val="clear" w:color="auto" w:fill="C6EFCE"/>
            <w:noWrap/>
          </w:tcPr>
          <w:p w14:paraId="4D27247F" w14:textId="77777777" w:rsidR="00A345F4" w:rsidRDefault="005E2D4E">
            <w:pPr>
              <w:pStyle w:val="P68B1DB1-Normal14"/>
              <w:spacing w:after="0" w:line="240" w:lineRule="auto"/>
              <w:jc w:val="both"/>
              <w:rPr>
                <w:rFonts w:eastAsia="Times New Roman"/>
                <w:noProof/>
              </w:rPr>
            </w:pPr>
            <w:r>
              <w:rPr>
                <w:noProof/>
              </w:rPr>
              <w:t>Au total, 975 km de réseaux d'assainissement doivent être construits.</w:t>
            </w:r>
          </w:p>
        </w:tc>
      </w:tr>
      <w:tr w:rsidR="00A345F4" w14:paraId="2621C1CA" w14:textId="77777777" w:rsidTr="004F5975">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04B05E30" w14:textId="77777777" w:rsidR="00A345F4" w:rsidRDefault="005E2D4E">
            <w:pPr>
              <w:pStyle w:val="P68B1DB1-Normal14"/>
              <w:spacing w:after="0" w:line="240" w:lineRule="auto"/>
              <w:jc w:val="center"/>
              <w:rPr>
                <w:rFonts w:eastAsia="Times New Roman"/>
                <w:noProof/>
              </w:rPr>
            </w:pPr>
            <w:r>
              <w:rPr>
                <w:noProof/>
              </w:rPr>
              <w:t>10</w:t>
            </w:r>
          </w:p>
        </w:tc>
        <w:tc>
          <w:tcPr>
            <w:tcW w:w="2126" w:type="dxa"/>
            <w:tcBorders>
              <w:top w:val="nil"/>
              <w:left w:val="single" w:sz="4" w:space="0" w:color="auto"/>
              <w:bottom w:val="single" w:sz="4" w:space="0" w:color="auto"/>
              <w:right w:val="single" w:sz="4" w:space="0" w:color="auto"/>
            </w:tcBorders>
            <w:shd w:val="clear" w:color="auto" w:fill="C6EFCE"/>
            <w:noWrap/>
          </w:tcPr>
          <w:p w14:paraId="7D1A11CE" w14:textId="6FB9CA3A" w:rsidR="00A345F4" w:rsidRDefault="005E2D4E">
            <w:pPr>
              <w:pStyle w:val="P68B1DB1-Normal14"/>
              <w:spacing w:after="0" w:line="240" w:lineRule="auto"/>
              <w:jc w:val="both"/>
              <w:rPr>
                <w:rFonts w:eastAsia="Times New Roman"/>
                <w:noProof/>
              </w:rPr>
            </w:pPr>
            <w:r>
              <w:rPr>
                <w:noProof/>
              </w:rPr>
              <w:t xml:space="preserve">Investissement 2. Collecte des eaux usées </w:t>
            </w:r>
          </w:p>
        </w:tc>
        <w:tc>
          <w:tcPr>
            <w:tcW w:w="1418" w:type="dxa"/>
            <w:tcBorders>
              <w:top w:val="nil"/>
              <w:left w:val="single" w:sz="4" w:space="0" w:color="auto"/>
              <w:bottom w:val="single" w:sz="4" w:space="0" w:color="auto"/>
              <w:right w:val="single" w:sz="4" w:space="0" w:color="auto"/>
            </w:tcBorders>
            <w:shd w:val="clear" w:color="auto" w:fill="C6EFCE"/>
            <w:noWrap/>
          </w:tcPr>
          <w:p w14:paraId="6C29F8C8" w14:textId="77777777" w:rsidR="00A345F4" w:rsidRDefault="005E2D4E">
            <w:pPr>
              <w:pStyle w:val="P68B1DB1-Normal14"/>
              <w:spacing w:after="0" w:line="240" w:lineRule="auto"/>
              <w:jc w:val="center"/>
              <w:rPr>
                <w:rFonts w:eastAsia="Times New Roman"/>
                <w:noProof/>
              </w:rPr>
            </w:pPr>
            <w:r>
              <w:rPr>
                <w:noProof/>
              </w:rPr>
              <w:t>Objectif</w:t>
            </w:r>
          </w:p>
        </w:tc>
        <w:tc>
          <w:tcPr>
            <w:tcW w:w="1559" w:type="dxa"/>
            <w:tcBorders>
              <w:top w:val="nil"/>
              <w:left w:val="single" w:sz="4" w:space="0" w:color="auto"/>
              <w:bottom w:val="single" w:sz="4" w:space="0" w:color="auto"/>
              <w:right w:val="single" w:sz="4" w:space="0" w:color="auto"/>
            </w:tcBorders>
            <w:shd w:val="clear" w:color="auto" w:fill="C6EFCE"/>
            <w:noWrap/>
          </w:tcPr>
          <w:p w14:paraId="2139EEB2" w14:textId="77777777" w:rsidR="00A345F4" w:rsidRDefault="005E2D4E">
            <w:pPr>
              <w:pStyle w:val="P68B1DB1-Normal14"/>
              <w:spacing w:after="0" w:line="240" w:lineRule="auto"/>
              <w:jc w:val="both"/>
              <w:rPr>
                <w:rFonts w:eastAsia="Times New Roman"/>
                <w:noProof/>
              </w:rPr>
            </w:pPr>
            <w:r>
              <w:rPr>
                <w:noProof/>
              </w:rPr>
              <w:t xml:space="preserve">Systèmes individuels ou autres construits </w:t>
            </w:r>
          </w:p>
        </w:tc>
        <w:tc>
          <w:tcPr>
            <w:tcW w:w="1843" w:type="dxa"/>
            <w:tcBorders>
              <w:top w:val="nil"/>
              <w:left w:val="single" w:sz="4" w:space="0" w:color="auto"/>
              <w:bottom w:val="single" w:sz="4" w:space="0" w:color="auto"/>
              <w:right w:val="single" w:sz="4" w:space="0" w:color="auto"/>
            </w:tcBorders>
            <w:shd w:val="clear" w:color="auto" w:fill="C6EFCE"/>
            <w:noWrap/>
          </w:tcPr>
          <w:p w14:paraId="4686D4A4" w14:textId="77777777" w:rsidR="00A345F4" w:rsidRDefault="005E2D4E">
            <w:pPr>
              <w:pStyle w:val="P68B1DB1-Normal14"/>
              <w:spacing w:after="0" w:line="240" w:lineRule="auto"/>
              <w:jc w:val="both"/>
              <w:rPr>
                <w:rFonts w:eastAsia="Times New Roman"/>
                <w:noProof/>
              </w:rPr>
            </w:pPr>
            <w:r>
              <w:rPr>
                <w:noProof/>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3D987756" w14:textId="77777777" w:rsidR="00A345F4" w:rsidRDefault="005E2D4E">
            <w:pPr>
              <w:pStyle w:val="P68B1DB1-Normal14"/>
              <w:spacing w:after="0" w:line="240" w:lineRule="auto"/>
              <w:jc w:val="both"/>
              <w:rPr>
                <w:rFonts w:eastAsia="Times New Roman"/>
                <w:noProof/>
              </w:rPr>
            </w:pPr>
            <w:r>
              <w:rPr>
                <w:noProof/>
              </w:rPr>
              <w:t>Numéro</w:t>
            </w:r>
          </w:p>
        </w:tc>
        <w:tc>
          <w:tcPr>
            <w:tcW w:w="1134" w:type="dxa"/>
            <w:tcBorders>
              <w:top w:val="nil"/>
              <w:left w:val="single" w:sz="4" w:space="0" w:color="auto"/>
              <w:bottom w:val="single" w:sz="4" w:space="0" w:color="auto"/>
              <w:right w:val="single" w:sz="4" w:space="0" w:color="auto"/>
            </w:tcBorders>
            <w:shd w:val="clear" w:color="auto" w:fill="C6EFCE"/>
            <w:noWrap/>
          </w:tcPr>
          <w:p w14:paraId="1D26FD54" w14:textId="77777777" w:rsidR="00A345F4" w:rsidRDefault="005E2D4E">
            <w:pPr>
              <w:pStyle w:val="P68B1DB1-Normal14"/>
              <w:spacing w:after="0" w:line="240" w:lineRule="auto"/>
              <w:jc w:val="both"/>
              <w:rPr>
                <w:rFonts w:eastAsia="Times New Roman"/>
                <w:noProof/>
              </w:rPr>
            </w:pPr>
            <w:r>
              <w:rPr>
                <w:noProof/>
              </w:rPr>
              <w:t>0</w:t>
            </w:r>
          </w:p>
        </w:tc>
        <w:tc>
          <w:tcPr>
            <w:tcW w:w="959" w:type="dxa"/>
            <w:tcBorders>
              <w:top w:val="nil"/>
              <w:left w:val="single" w:sz="4" w:space="0" w:color="auto"/>
              <w:bottom w:val="single" w:sz="4" w:space="0" w:color="auto"/>
              <w:right w:val="single" w:sz="4" w:space="0" w:color="auto"/>
            </w:tcBorders>
            <w:shd w:val="clear" w:color="auto" w:fill="C6EFCE"/>
            <w:noWrap/>
          </w:tcPr>
          <w:p w14:paraId="7BD1463F" w14:textId="77777777" w:rsidR="00A345F4" w:rsidRDefault="005E2D4E">
            <w:pPr>
              <w:pStyle w:val="P68B1DB1-Normal14"/>
              <w:spacing w:after="0" w:line="240" w:lineRule="auto"/>
              <w:jc w:val="both"/>
              <w:rPr>
                <w:rFonts w:eastAsia="Times New Roman"/>
                <w:noProof/>
              </w:rPr>
            </w:pPr>
            <w:r>
              <w:rPr>
                <w:noProof/>
              </w:rPr>
              <w:t xml:space="preserve">9 545 </w:t>
            </w:r>
          </w:p>
        </w:tc>
        <w:tc>
          <w:tcPr>
            <w:tcW w:w="1134" w:type="dxa"/>
            <w:tcBorders>
              <w:top w:val="nil"/>
              <w:left w:val="single" w:sz="4" w:space="0" w:color="auto"/>
              <w:bottom w:val="single" w:sz="4" w:space="0" w:color="auto"/>
              <w:right w:val="single" w:sz="4" w:space="0" w:color="auto"/>
            </w:tcBorders>
            <w:shd w:val="clear" w:color="auto" w:fill="C6EFCE"/>
            <w:noWrap/>
          </w:tcPr>
          <w:p w14:paraId="2680CAB6"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nil"/>
              <w:left w:val="single" w:sz="4" w:space="0" w:color="auto"/>
              <w:bottom w:val="single" w:sz="4" w:space="0" w:color="auto"/>
              <w:right w:val="single" w:sz="4" w:space="0" w:color="auto"/>
            </w:tcBorders>
            <w:shd w:val="clear" w:color="auto" w:fill="C6EFCE"/>
            <w:noWrap/>
          </w:tcPr>
          <w:p w14:paraId="35ED6A48" w14:textId="77777777" w:rsidR="00A345F4" w:rsidRDefault="005E2D4E">
            <w:pPr>
              <w:pStyle w:val="P68B1DB1-Normal14"/>
              <w:spacing w:after="0" w:line="240" w:lineRule="auto"/>
              <w:jc w:val="both"/>
              <w:rPr>
                <w:rFonts w:eastAsia="Times New Roman"/>
                <w:noProof/>
              </w:rPr>
            </w:pPr>
            <w:r>
              <w:rPr>
                <w:noProof/>
              </w:rPr>
              <w:t>2026</w:t>
            </w:r>
          </w:p>
        </w:tc>
        <w:tc>
          <w:tcPr>
            <w:tcW w:w="2733" w:type="dxa"/>
            <w:tcBorders>
              <w:top w:val="nil"/>
              <w:left w:val="single" w:sz="4" w:space="0" w:color="auto"/>
              <w:bottom w:val="single" w:sz="4" w:space="0" w:color="auto"/>
              <w:right w:val="single" w:sz="4" w:space="0" w:color="auto"/>
            </w:tcBorders>
            <w:shd w:val="clear" w:color="auto" w:fill="C6EFCE"/>
            <w:noWrap/>
          </w:tcPr>
          <w:p w14:paraId="70130E8A" w14:textId="6097A7AC" w:rsidR="00A345F4" w:rsidRDefault="005E2D4E">
            <w:pPr>
              <w:pStyle w:val="P68B1DB1-Normal14"/>
              <w:spacing w:after="0" w:line="240" w:lineRule="auto"/>
              <w:jc w:val="both"/>
              <w:rPr>
                <w:rFonts w:eastAsia="Times New Roman"/>
                <w:noProof/>
              </w:rPr>
            </w:pPr>
            <w:r>
              <w:rPr>
                <w:noProof/>
              </w:rPr>
              <w:t xml:space="preserve">Au total, 9 545 systèmes individuels ou autres doivent être construits. </w:t>
            </w:r>
          </w:p>
        </w:tc>
      </w:tr>
      <w:tr w:rsidR="00A345F4" w14:paraId="595FCDC5" w14:textId="77777777" w:rsidTr="004F5975">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78142D62" w14:textId="77777777" w:rsidR="00A345F4" w:rsidRDefault="005E2D4E">
            <w:pPr>
              <w:pStyle w:val="P68B1DB1-Normal14"/>
              <w:spacing w:after="0" w:line="240" w:lineRule="auto"/>
              <w:jc w:val="center"/>
              <w:rPr>
                <w:rFonts w:eastAsia="Times New Roman"/>
                <w:noProof/>
              </w:rPr>
            </w:pPr>
            <w:r>
              <w:rPr>
                <w:noProof/>
              </w:rPr>
              <w:t>12</w:t>
            </w:r>
          </w:p>
        </w:tc>
        <w:tc>
          <w:tcPr>
            <w:tcW w:w="2126" w:type="dxa"/>
            <w:tcBorders>
              <w:top w:val="nil"/>
              <w:left w:val="single" w:sz="4" w:space="0" w:color="auto"/>
              <w:bottom w:val="single" w:sz="4" w:space="0" w:color="auto"/>
              <w:right w:val="single" w:sz="4" w:space="0" w:color="auto"/>
            </w:tcBorders>
            <w:shd w:val="clear" w:color="auto" w:fill="C6EFCE"/>
            <w:noWrap/>
          </w:tcPr>
          <w:p w14:paraId="391E01FC" w14:textId="458FFB38" w:rsidR="00A345F4" w:rsidRDefault="005E2D4E">
            <w:pPr>
              <w:pStyle w:val="P68B1DB1-Normal14"/>
              <w:spacing w:after="0" w:line="240" w:lineRule="auto"/>
              <w:jc w:val="both"/>
              <w:rPr>
                <w:rFonts w:eastAsia="Times New Roman"/>
                <w:noProof/>
              </w:rPr>
            </w:pPr>
            <w:r>
              <w:rPr>
                <w:noProof/>
              </w:rPr>
              <w:t xml:space="preserve">Investissement 2. Collecte des eaux usées </w:t>
            </w:r>
          </w:p>
        </w:tc>
        <w:tc>
          <w:tcPr>
            <w:tcW w:w="1418" w:type="dxa"/>
            <w:tcBorders>
              <w:top w:val="nil"/>
              <w:left w:val="single" w:sz="4" w:space="0" w:color="auto"/>
              <w:bottom w:val="single" w:sz="4" w:space="0" w:color="auto"/>
              <w:right w:val="single" w:sz="4" w:space="0" w:color="auto"/>
            </w:tcBorders>
            <w:shd w:val="clear" w:color="auto" w:fill="C6EFCE"/>
            <w:noWrap/>
          </w:tcPr>
          <w:p w14:paraId="4F3F0447" w14:textId="77777777" w:rsidR="00A345F4" w:rsidRDefault="005E2D4E">
            <w:pPr>
              <w:pStyle w:val="P68B1DB1-Normal14"/>
              <w:spacing w:after="0" w:line="240" w:lineRule="auto"/>
              <w:jc w:val="center"/>
              <w:rPr>
                <w:rFonts w:eastAsia="Times New Roman"/>
                <w:noProof/>
              </w:rPr>
            </w:pPr>
            <w:r>
              <w:rPr>
                <w:noProof/>
              </w:rPr>
              <w:t>Objectif</w:t>
            </w:r>
          </w:p>
        </w:tc>
        <w:tc>
          <w:tcPr>
            <w:tcW w:w="1559" w:type="dxa"/>
            <w:tcBorders>
              <w:top w:val="nil"/>
              <w:left w:val="single" w:sz="4" w:space="0" w:color="auto"/>
              <w:bottom w:val="single" w:sz="4" w:space="0" w:color="auto"/>
              <w:right w:val="single" w:sz="4" w:space="0" w:color="auto"/>
            </w:tcBorders>
            <w:shd w:val="clear" w:color="auto" w:fill="C6EFCE"/>
            <w:noWrap/>
          </w:tcPr>
          <w:p w14:paraId="3F93E891" w14:textId="77777777" w:rsidR="00A345F4" w:rsidRDefault="005E2D4E">
            <w:pPr>
              <w:pStyle w:val="P68B1DB1-Normal14"/>
              <w:spacing w:after="0" w:line="240" w:lineRule="auto"/>
              <w:jc w:val="both"/>
              <w:rPr>
                <w:rFonts w:eastAsia="Times New Roman"/>
                <w:noProof/>
              </w:rPr>
            </w:pPr>
            <w:r>
              <w:rPr>
                <w:noProof/>
              </w:rPr>
              <w:t xml:space="preserve">Réseaux d'assainissement construits </w:t>
            </w:r>
          </w:p>
        </w:tc>
        <w:tc>
          <w:tcPr>
            <w:tcW w:w="1843" w:type="dxa"/>
            <w:tcBorders>
              <w:top w:val="nil"/>
              <w:left w:val="single" w:sz="4" w:space="0" w:color="auto"/>
              <w:bottom w:val="single" w:sz="4" w:space="0" w:color="auto"/>
              <w:right w:val="single" w:sz="4" w:space="0" w:color="auto"/>
            </w:tcBorders>
            <w:shd w:val="clear" w:color="auto" w:fill="C6EFCE"/>
            <w:noWrap/>
          </w:tcPr>
          <w:p w14:paraId="284DD52C" w14:textId="77777777" w:rsidR="00A345F4" w:rsidRDefault="005E2D4E">
            <w:pPr>
              <w:pStyle w:val="P68B1DB1-Normal14"/>
              <w:spacing w:after="0" w:line="240" w:lineRule="auto"/>
              <w:jc w:val="both"/>
              <w:rPr>
                <w:rFonts w:eastAsia="Times New Roman"/>
                <w:noProof/>
              </w:rPr>
            </w:pPr>
            <w:r>
              <w:rPr>
                <w:noProof/>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4CF7D24C" w14:textId="77777777" w:rsidR="00A345F4" w:rsidRDefault="005E2D4E">
            <w:pPr>
              <w:pStyle w:val="P68B1DB1-Normal14"/>
              <w:spacing w:after="0" w:line="240" w:lineRule="auto"/>
              <w:jc w:val="both"/>
              <w:rPr>
                <w:rFonts w:eastAsia="Times New Roman"/>
                <w:noProof/>
              </w:rPr>
            </w:pPr>
            <w:r>
              <w:rPr>
                <w:noProof/>
              </w:rPr>
              <w:t>Kilomètres (km)</w:t>
            </w:r>
          </w:p>
        </w:tc>
        <w:tc>
          <w:tcPr>
            <w:tcW w:w="1134" w:type="dxa"/>
            <w:tcBorders>
              <w:top w:val="nil"/>
              <w:left w:val="single" w:sz="4" w:space="0" w:color="auto"/>
              <w:bottom w:val="single" w:sz="4" w:space="0" w:color="auto"/>
              <w:right w:val="single" w:sz="4" w:space="0" w:color="auto"/>
            </w:tcBorders>
            <w:shd w:val="clear" w:color="auto" w:fill="C6EFCE"/>
            <w:noWrap/>
          </w:tcPr>
          <w:p w14:paraId="5A4B9B3A" w14:textId="77777777" w:rsidR="00A345F4" w:rsidRDefault="005E2D4E">
            <w:pPr>
              <w:pStyle w:val="P68B1DB1-Normal14"/>
              <w:spacing w:after="0" w:line="240" w:lineRule="auto"/>
              <w:jc w:val="both"/>
              <w:rPr>
                <w:rFonts w:eastAsia="Times New Roman"/>
                <w:noProof/>
              </w:rPr>
            </w:pPr>
            <w:r>
              <w:rPr>
                <w:noProof/>
              </w:rPr>
              <w:t>0</w:t>
            </w:r>
          </w:p>
        </w:tc>
        <w:tc>
          <w:tcPr>
            <w:tcW w:w="959" w:type="dxa"/>
            <w:tcBorders>
              <w:top w:val="nil"/>
              <w:left w:val="single" w:sz="4" w:space="0" w:color="auto"/>
              <w:bottom w:val="single" w:sz="4" w:space="0" w:color="auto"/>
              <w:right w:val="single" w:sz="4" w:space="0" w:color="auto"/>
            </w:tcBorders>
            <w:shd w:val="clear" w:color="auto" w:fill="C6EFCE"/>
            <w:noWrap/>
          </w:tcPr>
          <w:p w14:paraId="218EF64F" w14:textId="77777777" w:rsidR="00A345F4" w:rsidRDefault="005E2D4E">
            <w:pPr>
              <w:pStyle w:val="P68B1DB1-Normal14"/>
              <w:spacing w:after="0" w:line="240" w:lineRule="auto"/>
              <w:jc w:val="both"/>
              <w:rPr>
                <w:rFonts w:eastAsia="Times New Roman"/>
                <w:noProof/>
              </w:rPr>
            </w:pPr>
            <w:r>
              <w:rPr>
                <w:noProof/>
              </w:rPr>
              <w:t>88.7</w:t>
            </w:r>
          </w:p>
        </w:tc>
        <w:tc>
          <w:tcPr>
            <w:tcW w:w="1134" w:type="dxa"/>
            <w:tcBorders>
              <w:top w:val="nil"/>
              <w:left w:val="single" w:sz="4" w:space="0" w:color="auto"/>
              <w:bottom w:val="single" w:sz="4" w:space="0" w:color="auto"/>
              <w:right w:val="single" w:sz="4" w:space="0" w:color="auto"/>
            </w:tcBorders>
            <w:shd w:val="clear" w:color="auto" w:fill="C6EFCE"/>
            <w:noWrap/>
          </w:tcPr>
          <w:p w14:paraId="048C004E"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nil"/>
              <w:left w:val="single" w:sz="4" w:space="0" w:color="auto"/>
              <w:bottom w:val="single" w:sz="4" w:space="0" w:color="auto"/>
              <w:right w:val="single" w:sz="4" w:space="0" w:color="auto"/>
            </w:tcBorders>
            <w:shd w:val="clear" w:color="auto" w:fill="C6EFCE"/>
            <w:noWrap/>
          </w:tcPr>
          <w:p w14:paraId="09F46E61" w14:textId="77777777" w:rsidR="00A345F4" w:rsidRDefault="005E2D4E">
            <w:pPr>
              <w:pStyle w:val="P68B1DB1-Normal14"/>
              <w:spacing w:after="0" w:line="240" w:lineRule="auto"/>
              <w:jc w:val="both"/>
              <w:rPr>
                <w:rFonts w:eastAsia="Times New Roman"/>
                <w:noProof/>
              </w:rPr>
            </w:pPr>
            <w:r>
              <w:rPr>
                <w:noProof/>
              </w:rPr>
              <w:t>2026</w:t>
            </w:r>
          </w:p>
        </w:tc>
        <w:tc>
          <w:tcPr>
            <w:tcW w:w="2733" w:type="dxa"/>
            <w:tcBorders>
              <w:top w:val="nil"/>
              <w:left w:val="single" w:sz="4" w:space="0" w:color="auto"/>
              <w:bottom w:val="single" w:sz="4" w:space="0" w:color="auto"/>
              <w:right w:val="single" w:sz="4" w:space="0" w:color="auto"/>
            </w:tcBorders>
            <w:shd w:val="clear" w:color="auto" w:fill="C6EFCE"/>
            <w:noWrap/>
          </w:tcPr>
          <w:p w14:paraId="013B4201" w14:textId="1CF62188" w:rsidR="00A345F4" w:rsidRDefault="005E2D4E">
            <w:pPr>
              <w:pStyle w:val="P68B1DB1-Normal14"/>
              <w:spacing w:after="0" w:line="240" w:lineRule="auto"/>
              <w:jc w:val="both"/>
              <w:rPr>
                <w:rFonts w:eastAsia="Times New Roman"/>
                <w:noProof/>
              </w:rPr>
            </w:pPr>
            <w:r>
              <w:rPr>
                <w:noProof/>
              </w:rPr>
              <w:t xml:space="preserve">Au total, 88,7 km de réseaux d'assainissement doivent être construits. </w:t>
            </w:r>
          </w:p>
        </w:tc>
      </w:tr>
      <w:tr w:rsidR="00A345F4" w14:paraId="6FD58F6E" w14:textId="77777777" w:rsidTr="004F5975">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4B65DB41" w14:textId="77777777" w:rsidR="00A345F4" w:rsidRDefault="005E2D4E">
            <w:pPr>
              <w:pStyle w:val="P68B1DB1-Normal14"/>
              <w:spacing w:after="0" w:line="240" w:lineRule="auto"/>
              <w:jc w:val="center"/>
              <w:rPr>
                <w:rFonts w:eastAsia="Times New Roman"/>
                <w:noProof/>
              </w:rPr>
            </w:pPr>
            <w:r>
              <w:rPr>
                <w:noProof/>
              </w:rPr>
              <w:t>17</w:t>
            </w:r>
          </w:p>
        </w:tc>
        <w:tc>
          <w:tcPr>
            <w:tcW w:w="2126" w:type="dxa"/>
            <w:tcBorders>
              <w:top w:val="nil"/>
              <w:left w:val="single" w:sz="4" w:space="0" w:color="auto"/>
              <w:bottom w:val="single" w:sz="4" w:space="0" w:color="auto"/>
              <w:right w:val="single" w:sz="4" w:space="0" w:color="auto"/>
            </w:tcBorders>
            <w:shd w:val="clear" w:color="auto" w:fill="C6EFCE"/>
            <w:noWrap/>
          </w:tcPr>
          <w:p w14:paraId="1D992601" w14:textId="77777777" w:rsidR="00A345F4" w:rsidRDefault="005E2D4E">
            <w:pPr>
              <w:pStyle w:val="P68B1DB1-Normal14"/>
              <w:spacing w:after="0" w:line="240" w:lineRule="auto"/>
              <w:jc w:val="both"/>
              <w:rPr>
                <w:rFonts w:eastAsia="Times New Roman"/>
                <w:noProof/>
              </w:rPr>
            </w:pPr>
            <w:r>
              <w:rPr>
                <w:noProof/>
              </w:rPr>
              <w:t xml:space="preserve">Investissement 4. Réhabilitation des accumulations existantes qui nécessitent des interventions d'urgence pour un fonctionnement sûr </w:t>
            </w:r>
          </w:p>
        </w:tc>
        <w:tc>
          <w:tcPr>
            <w:tcW w:w="1418" w:type="dxa"/>
            <w:tcBorders>
              <w:top w:val="nil"/>
              <w:left w:val="single" w:sz="4" w:space="0" w:color="auto"/>
              <w:bottom w:val="single" w:sz="4" w:space="0" w:color="auto"/>
              <w:right w:val="single" w:sz="4" w:space="0" w:color="auto"/>
            </w:tcBorders>
            <w:shd w:val="clear" w:color="auto" w:fill="C6EFCE"/>
            <w:noWrap/>
          </w:tcPr>
          <w:p w14:paraId="1753C297" w14:textId="77777777" w:rsidR="00A345F4" w:rsidRDefault="005E2D4E">
            <w:pPr>
              <w:pStyle w:val="P68B1DB1-Normal14"/>
              <w:spacing w:after="0" w:line="240" w:lineRule="auto"/>
              <w:jc w:val="center"/>
              <w:rPr>
                <w:rFonts w:eastAsia="Times New Roman"/>
                <w:noProof/>
              </w:rPr>
            </w:pPr>
            <w:r>
              <w:rPr>
                <w:noProof/>
              </w:rPr>
              <w:t>Objectif</w:t>
            </w:r>
          </w:p>
        </w:tc>
        <w:tc>
          <w:tcPr>
            <w:tcW w:w="1559" w:type="dxa"/>
            <w:tcBorders>
              <w:top w:val="nil"/>
              <w:left w:val="single" w:sz="4" w:space="0" w:color="auto"/>
              <w:bottom w:val="single" w:sz="4" w:space="0" w:color="auto"/>
              <w:right w:val="single" w:sz="4" w:space="0" w:color="auto"/>
            </w:tcBorders>
            <w:shd w:val="clear" w:color="auto" w:fill="C6EFCE"/>
            <w:noWrap/>
          </w:tcPr>
          <w:p w14:paraId="035CE69D" w14:textId="77777777" w:rsidR="00A345F4" w:rsidRDefault="005E2D4E">
            <w:pPr>
              <w:pStyle w:val="P68B1DB1-Normal14"/>
              <w:spacing w:after="0" w:line="240" w:lineRule="auto"/>
              <w:jc w:val="both"/>
              <w:rPr>
                <w:noProof/>
              </w:rPr>
            </w:pPr>
            <w:r>
              <w:rPr>
                <w:noProof/>
              </w:rPr>
              <w:t xml:space="preserve">Remise en état d'un barrage et d'un polder existants </w:t>
            </w:r>
          </w:p>
          <w:p w14:paraId="1E07BAA7" w14:textId="77777777" w:rsidR="00A345F4" w:rsidRDefault="00A345F4">
            <w:pPr>
              <w:spacing w:after="0" w:line="240" w:lineRule="auto"/>
              <w:jc w:val="both"/>
              <w:rPr>
                <w:rFonts w:ascii="Times New Roman" w:hAnsi="Times New Roman" w:cs="Times New Roman"/>
                <w:noProof/>
                <w:sz w:val="20"/>
                <w:szCs w:val="20"/>
              </w:rPr>
            </w:pPr>
          </w:p>
          <w:p w14:paraId="29905330"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843" w:type="dxa"/>
            <w:tcBorders>
              <w:top w:val="nil"/>
              <w:left w:val="single" w:sz="4" w:space="0" w:color="auto"/>
              <w:bottom w:val="single" w:sz="4" w:space="0" w:color="auto"/>
              <w:right w:val="single" w:sz="4" w:space="0" w:color="auto"/>
            </w:tcBorders>
            <w:shd w:val="clear" w:color="auto" w:fill="C6EFCE"/>
            <w:noWrap/>
          </w:tcPr>
          <w:p w14:paraId="20D42CF5" w14:textId="77777777" w:rsidR="00A345F4" w:rsidRDefault="005E2D4E">
            <w:pPr>
              <w:pStyle w:val="P68B1DB1-Normal14"/>
              <w:spacing w:after="0" w:line="240" w:lineRule="auto"/>
              <w:jc w:val="both"/>
              <w:rPr>
                <w:rFonts w:eastAsia="Times New Roman"/>
                <w:noProof/>
              </w:rPr>
            </w:pPr>
            <w:r>
              <w:rPr>
                <w:noProof/>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06CD88A7" w14:textId="77777777" w:rsidR="00A345F4" w:rsidRDefault="005E2D4E">
            <w:pPr>
              <w:pStyle w:val="P68B1DB1-Normal14"/>
              <w:spacing w:after="0" w:line="240" w:lineRule="auto"/>
              <w:jc w:val="both"/>
              <w:rPr>
                <w:rFonts w:eastAsia="Times New Roman"/>
                <w:noProof/>
              </w:rPr>
            </w:pPr>
            <w:r>
              <w:rPr>
                <w:noProof/>
              </w:rPr>
              <w:t>Numéro</w:t>
            </w:r>
          </w:p>
        </w:tc>
        <w:tc>
          <w:tcPr>
            <w:tcW w:w="1134" w:type="dxa"/>
            <w:tcBorders>
              <w:top w:val="nil"/>
              <w:left w:val="single" w:sz="4" w:space="0" w:color="auto"/>
              <w:bottom w:val="single" w:sz="4" w:space="0" w:color="auto"/>
              <w:right w:val="single" w:sz="4" w:space="0" w:color="auto"/>
            </w:tcBorders>
            <w:shd w:val="clear" w:color="auto" w:fill="C6EFCE"/>
            <w:noWrap/>
          </w:tcPr>
          <w:p w14:paraId="16001363" w14:textId="77777777" w:rsidR="00A345F4" w:rsidRDefault="005E2D4E">
            <w:pPr>
              <w:pStyle w:val="P68B1DB1-Normal14"/>
              <w:spacing w:after="0" w:line="240" w:lineRule="auto"/>
              <w:jc w:val="both"/>
              <w:rPr>
                <w:rFonts w:eastAsia="Times New Roman"/>
                <w:noProof/>
              </w:rPr>
            </w:pPr>
            <w:r>
              <w:rPr>
                <w:noProof/>
              </w:rPr>
              <w:t>0</w:t>
            </w:r>
          </w:p>
        </w:tc>
        <w:tc>
          <w:tcPr>
            <w:tcW w:w="959" w:type="dxa"/>
            <w:tcBorders>
              <w:top w:val="nil"/>
              <w:left w:val="single" w:sz="4" w:space="0" w:color="auto"/>
              <w:bottom w:val="single" w:sz="4" w:space="0" w:color="auto"/>
              <w:right w:val="single" w:sz="4" w:space="0" w:color="auto"/>
            </w:tcBorders>
            <w:shd w:val="clear" w:color="auto" w:fill="C6EFCE"/>
            <w:noWrap/>
          </w:tcPr>
          <w:p w14:paraId="1BF47098" w14:textId="77777777" w:rsidR="00A345F4" w:rsidRDefault="005E2D4E">
            <w:pPr>
              <w:pStyle w:val="P68B1DB1-Normal14"/>
              <w:spacing w:after="0" w:line="240" w:lineRule="auto"/>
              <w:jc w:val="both"/>
              <w:rPr>
                <w:rFonts w:eastAsia="Times New Roman"/>
                <w:noProof/>
              </w:rPr>
            </w:pPr>
            <w:r>
              <w:rPr>
                <w:noProof/>
              </w:rPr>
              <w:t>2</w:t>
            </w:r>
          </w:p>
        </w:tc>
        <w:tc>
          <w:tcPr>
            <w:tcW w:w="1134" w:type="dxa"/>
            <w:tcBorders>
              <w:top w:val="nil"/>
              <w:left w:val="single" w:sz="4" w:space="0" w:color="auto"/>
              <w:bottom w:val="single" w:sz="4" w:space="0" w:color="auto"/>
              <w:right w:val="single" w:sz="4" w:space="0" w:color="auto"/>
            </w:tcBorders>
            <w:shd w:val="clear" w:color="auto" w:fill="C6EFCE"/>
            <w:noWrap/>
          </w:tcPr>
          <w:p w14:paraId="0B903078"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nil"/>
              <w:left w:val="single" w:sz="4" w:space="0" w:color="auto"/>
              <w:bottom w:val="single" w:sz="4" w:space="0" w:color="auto"/>
              <w:right w:val="single" w:sz="4" w:space="0" w:color="auto"/>
            </w:tcBorders>
            <w:shd w:val="clear" w:color="auto" w:fill="C6EFCE"/>
            <w:noWrap/>
          </w:tcPr>
          <w:p w14:paraId="35A01661" w14:textId="77777777" w:rsidR="00A345F4" w:rsidRDefault="005E2D4E">
            <w:pPr>
              <w:pStyle w:val="P68B1DB1-Normal14"/>
              <w:spacing w:after="0" w:line="240" w:lineRule="auto"/>
              <w:jc w:val="both"/>
              <w:rPr>
                <w:rFonts w:eastAsia="Times New Roman"/>
                <w:noProof/>
              </w:rPr>
            </w:pPr>
            <w:r>
              <w:rPr>
                <w:noProof/>
              </w:rPr>
              <w:t>2026</w:t>
            </w:r>
          </w:p>
        </w:tc>
        <w:tc>
          <w:tcPr>
            <w:tcW w:w="2733" w:type="dxa"/>
            <w:tcBorders>
              <w:top w:val="nil"/>
              <w:left w:val="single" w:sz="4" w:space="0" w:color="auto"/>
              <w:bottom w:val="single" w:sz="4" w:space="0" w:color="auto"/>
              <w:right w:val="single" w:sz="4" w:space="0" w:color="auto"/>
            </w:tcBorders>
            <w:shd w:val="clear" w:color="auto" w:fill="C6EFCE"/>
            <w:noWrap/>
          </w:tcPr>
          <w:p w14:paraId="59875636" w14:textId="71BC5D4A" w:rsidR="00A345F4" w:rsidRDefault="005E2D4E">
            <w:pPr>
              <w:pStyle w:val="P68B1DB1-Normal14"/>
              <w:spacing w:after="0" w:line="240" w:lineRule="auto"/>
              <w:jc w:val="both"/>
              <w:rPr>
                <w:noProof/>
              </w:rPr>
            </w:pPr>
            <w:r>
              <w:rPr>
                <w:noProof/>
              </w:rPr>
              <w:t xml:space="preserve">1 barrage existant – LESU, pour lequel la documentation pour l’approbation des travaux d’intervention a conclu qu’il n’existe pas de solutions de remplacement réalisables pour réduire les risques d’inondation et que le projet est conforme aux exigences DNSH, doit être réhabilité. </w:t>
            </w:r>
          </w:p>
          <w:p w14:paraId="380340B1" w14:textId="77777777" w:rsidR="00A345F4" w:rsidRDefault="005E2D4E">
            <w:pPr>
              <w:pStyle w:val="P68B1DB1-Normal14"/>
              <w:spacing w:after="0" w:line="240" w:lineRule="auto"/>
              <w:jc w:val="both"/>
              <w:rPr>
                <w:rFonts w:eastAsia="Times New Roman"/>
                <w:noProof/>
              </w:rPr>
            </w:pPr>
            <w:r>
              <w:rPr>
                <w:noProof/>
              </w:rPr>
              <w:t xml:space="preserve">En outre, 1 polder – SALARD doit être réhabilité. </w:t>
            </w:r>
          </w:p>
        </w:tc>
      </w:tr>
      <w:tr w:rsidR="00A345F4" w14:paraId="5B8BCD32" w14:textId="77777777" w:rsidTr="004F5975">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6EEC5396" w14:textId="77777777" w:rsidR="00A345F4" w:rsidRDefault="005E2D4E">
            <w:pPr>
              <w:pStyle w:val="P68B1DB1-Normal14"/>
              <w:spacing w:after="0" w:line="240" w:lineRule="auto"/>
              <w:jc w:val="center"/>
              <w:rPr>
                <w:rFonts w:eastAsia="Times New Roman"/>
                <w:noProof/>
              </w:rPr>
            </w:pPr>
            <w:r>
              <w:rPr>
                <w:noProof/>
              </w:rPr>
              <w:t>18</w:t>
            </w:r>
          </w:p>
        </w:tc>
        <w:tc>
          <w:tcPr>
            <w:tcW w:w="2126" w:type="dxa"/>
            <w:tcBorders>
              <w:top w:val="nil"/>
              <w:left w:val="single" w:sz="4" w:space="0" w:color="auto"/>
              <w:bottom w:val="single" w:sz="4" w:space="0" w:color="auto"/>
              <w:right w:val="single" w:sz="4" w:space="0" w:color="auto"/>
            </w:tcBorders>
            <w:shd w:val="clear" w:color="auto" w:fill="C6EFCE"/>
            <w:noWrap/>
          </w:tcPr>
          <w:p w14:paraId="7B4F9F98" w14:textId="77777777" w:rsidR="00A345F4" w:rsidRDefault="005E2D4E">
            <w:pPr>
              <w:pStyle w:val="P68B1DB1-Normal14"/>
              <w:spacing w:after="0" w:line="240" w:lineRule="auto"/>
              <w:jc w:val="both"/>
              <w:rPr>
                <w:rFonts w:eastAsia="Times New Roman"/>
                <w:noProof/>
              </w:rPr>
            </w:pPr>
            <w:r>
              <w:rPr>
                <w:noProof/>
              </w:rPr>
              <w:t xml:space="preserve">Investissement 5. Dotation appropriée des administrations des bassins hydrographiques pour la surveillance, la prévention et l'intervention d'urgence en cas d'inondation </w:t>
            </w:r>
          </w:p>
        </w:tc>
        <w:tc>
          <w:tcPr>
            <w:tcW w:w="1418" w:type="dxa"/>
            <w:tcBorders>
              <w:top w:val="nil"/>
              <w:left w:val="single" w:sz="4" w:space="0" w:color="auto"/>
              <w:bottom w:val="single" w:sz="4" w:space="0" w:color="auto"/>
              <w:right w:val="single" w:sz="4" w:space="0" w:color="auto"/>
            </w:tcBorders>
            <w:shd w:val="clear" w:color="auto" w:fill="C6EFCE"/>
            <w:noWrap/>
          </w:tcPr>
          <w:p w14:paraId="38AA7F08" w14:textId="77777777" w:rsidR="00A345F4" w:rsidRDefault="005E2D4E">
            <w:pPr>
              <w:pStyle w:val="P68B1DB1-Normal14"/>
              <w:spacing w:after="0" w:line="240" w:lineRule="auto"/>
              <w:jc w:val="center"/>
              <w:rPr>
                <w:rFonts w:eastAsia="Times New Roman"/>
                <w:noProof/>
              </w:rPr>
            </w:pPr>
            <w:r>
              <w:rPr>
                <w:noProof/>
              </w:rPr>
              <w:t>Objectif</w:t>
            </w:r>
          </w:p>
        </w:tc>
        <w:tc>
          <w:tcPr>
            <w:tcW w:w="1559" w:type="dxa"/>
            <w:tcBorders>
              <w:top w:val="nil"/>
              <w:left w:val="single" w:sz="4" w:space="0" w:color="auto"/>
              <w:bottom w:val="single" w:sz="4" w:space="0" w:color="auto"/>
              <w:right w:val="single" w:sz="4" w:space="0" w:color="auto"/>
            </w:tcBorders>
            <w:shd w:val="clear" w:color="auto" w:fill="C6EFCE"/>
            <w:noWrap/>
          </w:tcPr>
          <w:p w14:paraId="7FD836A3" w14:textId="77777777" w:rsidR="00A345F4" w:rsidRDefault="005E2D4E">
            <w:pPr>
              <w:pStyle w:val="P68B1DB1-Normal14"/>
              <w:spacing w:after="0" w:line="240" w:lineRule="auto"/>
              <w:jc w:val="both"/>
              <w:rPr>
                <w:rFonts w:eastAsia="Times New Roman"/>
                <w:noProof/>
              </w:rPr>
            </w:pPr>
            <w:r>
              <w:rPr>
                <w:noProof/>
              </w:rPr>
              <w:t>Administrations de bassins fluviaux équipées</w:t>
            </w:r>
          </w:p>
        </w:tc>
        <w:tc>
          <w:tcPr>
            <w:tcW w:w="1843" w:type="dxa"/>
            <w:tcBorders>
              <w:top w:val="nil"/>
              <w:left w:val="single" w:sz="4" w:space="0" w:color="auto"/>
              <w:bottom w:val="single" w:sz="4" w:space="0" w:color="auto"/>
              <w:right w:val="single" w:sz="4" w:space="0" w:color="auto"/>
            </w:tcBorders>
            <w:shd w:val="clear" w:color="auto" w:fill="C6EFCE"/>
            <w:noWrap/>
          </w:tcPr>
          <w:p w14:paraId="24B4F82A" w14:textId="77777777" w:rsidR="00A345F4" w:rsidRDefault="005E2D4E">
            <w:pPr>
              <w:pStyle w:val="P68B1DB1-Normal14"/>
              <w:spacing w:after="0" w:line="240" w:lineRule="auto"/>
              <w:jc w:val="both"/>
              <w:rPr>
                <w:rFonts w:eastAsia="Times New Roman"/>
                <w:noProof/>
              </w:rPr>
            </w:pPr>
            <w:r>
              <w:rPr>
                <w:noProof/>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4DA11AEE" w14:textId="77777777" w:rsidR="00A345F4" w:rsidRDefault="005E2D4E">
            <w:pPr>
              <w:pStyle w:val="P68B1DB1-Normal14"/>
              <w:spacing w:after="0" w:line="240" w:lineRule="auto"/>
              <w:jc w:val="both"/>
              <w:rPr>
                <w:rFonts w:eastAsia="Times New Roman"/>
                <w:noProof/>
              </w:rPr>
            </w:pPr>
            <w:r>
              <w:rPr>
                <w:noProof/>
              </w:rPr>
              <w:t>Numéro</w:t>
            </w:r>
          </w:p>
        </w:tc>
        <w:tc>
          <w:tcPr>
            <w:tcW w:w="1134" w:type="dxa"/>
            <w:tcBorders>
              <w:top w:val="nil"/>
              <w:left w:val="single" w:sz="4" w:space="0" w:color="auto"/>
              <w:bottom w:val="single" w:sz="4" w:space="0" w:color="auto"/>
              <w:right w:val="single" w:sz="4" w:space="0" w:color="auto"/>
            </w:tcBorders>
            <w:shd w:val="clear" w:color="auto" w:fill="C6EFCE"/>
            <w:noWrap/>
          </w:tcPr>
          <w:p w14:paraId="3892F4BA" w14:textId="77777777" w:rsidR="00A345F4" w:rsidRDefault="005E2D4E">
            <w:pPr>
              <w:pStyle w:val="P68B1DB1-Normal14"/>
              <w:spacing w:after="0" w:line="240" w:lineRule="auto"/>
              <w:jc w:val="both"/>
              <w:rPr>
                <w:rFonts w:eastAsia="Times New Roman"/>
                <w:noProof/>
              </w:rPr>
            </w:pPr>
            <w:r>
              <w:rPr>
                <w:noProof/>
              </w:rPr>
              <w:t>0</w:t>
            </w:r>
          </w:p>
        </w:tc>
        <w:tc>
          <w:tcPr>
            <w:tcW w:w="959" w:type="dxa"/>
            <w:tcBorders>
              <w:top w:val="nil"/>
              <w:left w:val="single" w:sz="4" w:space="0" w:color="auto"/>
              <w:bottom w:val="single" w:sz="4" w:space="0" w:color="auto"/>
              <w:right w:val="single" w:sz="4" w:space="0" w:color="auto"/>
            </w:tcBorders>
            <w:shd w:val="clear" w:color="auto" w:fill="C6EFCE"/>
            <w:noWrap/>
          </w:tcPr>
          <w:p w14:paraId="78C35C5B" w14:textId="77777777" w:rsidR="00A345F4" w:rsidRDefault="005E2D4E">
            <w:pPr>
              <w:pStyle w:val="P68B1DB1-Normal14"/>
              <w:spacing w:after="0" w:line="240" w:lineRule="auto"/>
              <w:jc w:val="both"/>
              <w:rPr>
                <w:rFonts w:eastAsia="Times New Roman"/>
                <w:noProof/>
              </w:rPr>
            </w:pPr>
            <w:r>
              <w:rPr>
                <w:noProof/>
              </w:rPr>
              <w:t>11</w:t>
            </w:r>
          </w:p>
        </w:tc>
        <w:tc>
          <w:tcPr>
            <w:tcW w:w="1134" w:type="dxa"/>
            <w:tcBorders>
              <w:top w:val="nil"/>
              <w:left w:val="single" w:sz="4" w:space="0" w:color="auto"/>
              <w:bottom w:val="single" w:sz="4" w:space="0" w:color="auto"/>
              <w:right w:val="single" w:sz="4" w:space="0" w:color="auto"/>
            </w:tcBorders>
            <w:shd w:val="clear" w:color="auto" w:fill="C6EFCE"/>
            <w:noWrap/>
          </w:tcPr>
          <w:p w14:paraId="79BB18A0"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nil"/>
              <w:left w:val="single" w:sz="4" w:space="0" w:color="auto"/>
              <w:bottom w:val="single" w:sz="4" w:space="0" w:color="auto"/>
              <w:right w:val="single" w:sz="4" w:space="0" w:color="auto"/>
            </w:tcBorders>
            <w:shd w:val="clear" w:color="auto" w:fill="C6EFCE"/>
            <w:noWrap/>
          </w:tcPr>
          <w:p w14:paraId="19AC9ED9" w14:textId="77777777" w:rsidR="00A345F4" w:rsidRDefault="005E2D4E">
            <w:pPr>
              <w:pStyle w:val="P68B1DB1-Normal14"/>
              <w:spacing w:after="0" w:line="240" w:lineRule="auto"/>
              <w:jc w:val="both"/>
              <w:rPr>
                <w:rFonts w:eastAsia="Times New Roman"/>
                <w:noProof/>
              </w:rPr>
            </w:pPr>
            <w:r>
              <w:rPr>
                <w:noProof/>
              </w:rPr>
              <w:t>2026</w:t>
            </w:r>
          </w:p>
        </w:tc>
        <w:tc>
          <w:tcPr>
            <w:tcW w:w="2733" w:type="dxa"/>
            <w:tcBorders>
              <w:top w:val="nil"/>
              <w:left w:val="single" w:sz="4" w:space="0" w:color="auto"/>
              <w:bottom w:val="single" w:sz="4" w:space="0" w:color="auto"/>
              <w:right w:val="single" w:sz="4" w:space="0" w:color="auto"/>
            </w:tcBorders>
            <w:shd w:val="clear" w:color="auto" w:fill="C6EFCE"/>
            <w:noWrap/>
          </w:tcPr>
          <w:p w14:paraId="0E56B3E4" w14:textId="77777777" w:rsidR="00A345F4" w:rsidRDefault="005E2D4E">
            <w:pPr>
              <w:pStyle w:val="P68B1DB1-Normal14"/>
              <w:spacing w:after="0" w:line="240" w:lineRule="auto"/>
              <w:jc w:val="both"/>
              <w:rPr>
                <w:noProof/>
              </w:rPr>
            </w:pPr>
            <w:r>
              <w:rPr>
                <w:noProof/>
              </w:rPr>
              <w:t>L'achat de l'équipement suivant pour 11 administrations de bassin fluvial qui peut inclure, mais sans s'y limiter:</w:t>
            </w:r>
          </w:p>
          <w:p w14:paraId="2F3FE920" w14:textId="3680FE95" w:rsidR="00A345F4" w:rsidRDefault="005E2D4E">
            <w:pPr>
              <w:pStyle w:val="P68B1DB1-Normal14"/>
              <w:spacing w:after="0" w:line="240" w:lineRule="auto"/>
              <w:jc w:val="both"/>
              <w:rPr>
                <w:noProof/>
              </w:rPr>
            </w:pPr>
            <w:r>
              <w:rPr>
                <w:noProof/>
              </w:rPr>
              <w:t>-machines pour l'accès et l'intervention en terrain accidenté, l'accès amphibie et le transport de sacs de sable mobiles dans les zones difficiles d'accès. Afin de garantir que la mesure est conforme aux orientations techniques DNSH (2021/C58/01), les machines achetées au titre de cette mesure constituent la meilleure technologie disponible d’un point de vue environnemental;</w:t>
            </w:r>
          </w:p>
          <w:p w14:paraId="41DF4C6A" w14:textId="77777777" w:rsidR="00A345F4" w:rsidRDefault="005E2D4E">
            <w:pPr>
              <w:pStyle w:val="P68B1DB1-Normal14"/>
              <w:spacing w:after="0" w:line="240" w:lineRule="auto"/>
              <w:jc w:val="both"/>
              <w:rPr>
                <w:noProof/>
              </w:rPr>
            </w:pPr>
            <w:r>
              <w:rPr>
                <w:noProof/>
              </w:rPr>
              <w:t xml:space="preserve">-drones équipés de capteurs LIDAR/Flir/photogrammétrie; </w:t>
            </w:r>
          </w:p>
          <w:p w14:paraId="2E83458B" w14:textId="77777777" w:rsidR="00A345F4" w:rsidRDefault="005E2D4E">
            <w:pPr>
              <w:pStyle w:val="P68B1DB1-Normal14"/>
              <w:spacing w:after="0" w:line="240" w:lineRule="auto"/>
              <w:jc w:val="both"/>
              <w:rPr>
                <w:noProof/>
              </w:rPr>
            </w:pPr>
            <w:r>
              <w:rPr>
                <w:noProof/>
              </w:rPr>
              <w:t>technologies géo-électrorésistives/géo-radar des corps de digues;</w:t>
            </w:r>
          </w:p>
          <w:p w14:paraId="7D0FA076" w14:textId="77777777" w:rsidR="00A345F4" w:rsidRDefault="005E2D4E">
            <w:pPr>
              <w:pStyle w:val="P68B1DB1-Normal14"/>
              <w:spacing w:after="0" w:line="240" w:lineRule="auto"/>
              <w:jc w:val="both"/>
              <w:rPr>
                <w:rFonts w:eastAsia="Times New Roman"/>
                <w:noProof/>
              </w:rPr>
            </w:pPr>
            <w:r>
              <w:rPr>
                <w:noProof/>
              </w:rPr>
              <w:t xml:space="preserve">-l’infrastructure matérielle et logicielle pour l’analyse et le stockage des données collectées par les équipements susmentionnés. </w:t>
            </w:r>
          </w:p>
        </w:tc>
      </w:tr>
    </w:tbl>
    <w:p w14:paraId="1D4BDA99" w14:textId="77777777" w:rsidR="00A345F4" w:rsidRDefault="00A345F4">
      <w:pPr>
        <w:rPr>
          <w:rFonts w:ascii="Times New Roman" w:hAnsi="Times New Roman" w:cs="Times New Roman"/>
          <w:noProof/>
        </w:rPr>
        <w:sectPr w:rsidR="00A345F4" w:rsidSect="00756A50">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1ED94B8A" w14:textId="77777777" w:rsidR="00A345F4" w:rsidRDefault="005E2D4E">
      <w:pPr>
        <w:pStyle w:val="P68B1DB1-Normal1"/>
        <w:keepNext/>
        <w:numPr>
          <w:ilvl w:val="0"/>
          <w:numId w:val="1"/>
        </w:numPr>
        <w:tabs>
          <w:tab w:val="left" w:pos="850"/>
        </w:tabs>
        <w:spacing w:before="360" w:after="120" w:line="240" w:lineRule="auto"/>
        <w:jc w:val="both"/>
        <w:outlineLvl w:val="0"/>
        <w:rPr>
          <w:bCs/>
          <w:noProof/>
        </w:rPr>
      </w:pPr>
      <w:r>
        <w:rPr>
          <w:noProof/>
        </w:rPr>
        <w:t>Élément 2: Forêts et protection de la biodiversité</w:t>
      </w:r>
    </w:p>
    <w:p w14:paraId="1133ABC7" w14:textId="77777777" w:rsidR="00A345F4" w:rsidRDefault="005E2D4E">
      <w:pPr>
        <w:pStyle w:val="P68B1DB1-Normal4"/>
        <w:spacing w:before="120" w:after="120" w:line="240" w:lineRule="auto"/>
        <w:jc w:val="both"/>
        <w:rPr>
          <w:noProof/>
        </w:rPr>
      </w:pPr>
      <w:r>
        <w:rPr>
          <w:noProof/>
        </w:rPr>
        <w:t xml:space="preserve">L’objectif de ce volet est d’harmoniser les pratiques nationales de gestion des forêts avec celles visant à préserver la biodiversité, à protéger l’environnement et à assurer une transition vers une Europe neutre pour le climat en créant de nouvelles zones couvertes par les forêts et en restaurant les habitats dégradés. </w:t>
      </w:r>
    </w:p>
    <w:p w14:paraId="06519F14" w14:textId="77777777" w:rsidR="00A345F4" w:rsidRDefault="005E2D4E">
      <w:pPr>
        <w:pStyle w:val="P68B1DB1-Normal4"/>
        <w:spacing w:before="120" w:after="120" w:line="240" w:lineRule="auto"/>
        <w:jc w:val="both"/>
        <w:rPr>
          <w:noProof/>
        </w:rPr>
      </w:pPr>
      <w:r>
        <w:rPr>
          <w:noProof/>
        </w:rPr>
        <w:t xml:space="preserve">Ce volet comprend deux réformes et cinq investissements. </w:t>
      </w:r>
    </w:p>
    <w:p w14:paraId="04507512" w14:textId="77777777" w:rsidR="00A345F4" w:rsidRDefault="005E2D4E">
      <w:pPr>
        <w:pStyle w:val="P68B1DB1-Normal4"/>
        <w:spacing w:before="120" w:after="120" w:line="240" w:lineRule="auto"/>
        <w:jc w:val="both"/>
        <w:rPr>
          <w:noProof/>
        </w:rPr>
      </w:pPr>
      <w:r>
        <w:rPr>
          <w:noProof/>
        </w:rPr>
        <w:t>Les mesures incluses dans le volet devraient relever certains défis mis en évidence par la recommandation par pays visant à concentrer les investissements sur la transition écologique et numérique, en particulier sur les infrastructures environnementales, entre autres (recommandation par pays 4, 2019 et recommandation par pays 3, 2020).</w:t>
      </w:r>
    </w:p>
    <w:p w14:paraId="1DA7ECDD" w14:textId="77777777" w:rsidR="00A345F4" w:rsidRDefault="005E2D4E">
      <w:pPr>
        <w:pStyle w:val="P68B1DB1-Normal4"/>
        <w:spacing w:before="120" w:after="120"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4E368C09" w14:textId="77777777" w:rsidR="00A345F4" w:rsidRDefault="005E2D4E">
      <w:pPr>
        <w:pStyle w:val="P68B1DB1-Normal5"/>
        <w:keepNext/>
        <w:spacing w:before="120" w:after="120" w:line="240" w:lineRule="auto"/>
        <w:jc w:val="both"/>
        <w:outlineLvl w:val="1"/>
        <w:rPr>
          <w:rFonts w:eastAsiaTheme="majorEastAsia"/>
          <w:bCs/>
          <w:noProof/>
        </w:rPr>
      </w:pPr>
      <w:r>
        <w:rPr>
          <w:noProof/>
        </w:rPr>
        <w:t>B.1. Description des réformes et des investissements pour le soutien financier non remboursable</w:t>
      </w:r>
    </w:p>
    <w:p w14:paraId="1DA7267D" w14:textId="77777777" w:rsidR="00A345F4" w:rsidRDefault="005E2D4E">
      <w:pPr>
        <w:pStyle w:val="P68B1DB1-Normal12"/>
        <w:suppressAutoHyphens/>
        <w:autoSpaceDN w:val="0"/>
        <w:spacing w:after="0" w:line="240" w:lineRule="auto"/>
        <w:jc w:val="both"/>
        <w:textAlignment w:val="baseline"/>
        <w:rPr>
          <w:rFonts w:eastAsiaTheme="majorEastAsia"/>
          <w:noProof/>
        </w:rPr>
      </w:pPr>
      <w:r>
        <w:rPr>
          <w:noProof/>
        </w:rPr>
        <w:t xml:space="preserve">Réforme 1. Réforme des systèmes de gestion et de gouvernance des forêts au moyen d’une nouvelle stratégie nationale pour les forêts et d’actes juridiques ultérieurs </w:t>
      </w:r>
    </w:p>
    <w:p w14:paraId="307C4E7F" w14:textId="77777777" w:rsidR="00A345F4" w:rsidRDefault="005E2D4E">
      <w:pPr>
        <w:pStyle w:val="P68B1DB1-Normal4"/>
        <w:spacing w:before="120" w:after="120" w:line="240" w:lineRule="auto"/>
        <w:jc w:val="both"/>
        <w:rPr>
          <w:noProof/>
          <w:u w:val="single"/>
        </w:rPr>
      </w:pPr>
      <w:r>
        <w:rPr>
          <w:noProof/>
        </w:rPr>
        <w:t>L’objectif de la réforme est de garantir un cadre réglementaire pour des politiques forestières durables qui soutiennent l’atténuation du changement climatique et l’adaptation à celui-ci. La réforme consiste en l'adoption de stratégies et d'actes juridiques pour le boisement et le reboisement, la lutte contre l'exploitation illégale des forêts et l'amélioration de la gestion des forêts.</w:t>
      </w:r>
    </w:p>
    <w:p w14:paraId="2BDC23BF" w14:textId="77777777" w:rsidR="00A345F4" w:rsidRDefault="005E2D4E">
      <w:pPr>
        <w:pStyle w:val="P68B1DB1-Normal12"/>
        <w:suppressAutoHyphens/>
        <w:autoSpaceDN w:val="0"/>
        <w:spacing w:after="0" w:line="240" w:lineRule="auto"/>
        <w:jc w:val="both"/>
        <w:textAlignment w:val="baseline"/>
        <w:rPr>
          <w:rFonts w:eastAsiaTheme="majorEastAsia"/>
          <w:noProof/>
        </w:rPr>
      </w:pPr>
      <w:r>
        <w:rPr>
          <w:noProof/>
        </w:rPr>
        <w:t xml:space="preserve">Investissement 1. Campagne nationale de boisement et de reboisement, y compris les forêts urbaines </w:t>
      </w:r>
    </w:p>
    <w:p w14:paraId="37542669" w14:textId="77777777" w:rsidR="00A345F4" w:rsidRDefault="005E2D4E">
      <w:pPr>
        <w:pStyle w:val="P68B1DB1-Normal4"/>
        <w:spacing w:before="120" w:after="120" w:line="240" w:lineRule="auto"/>
        <w:jc w:val="both"/>
        <w:rPr>
          <w:noProof/>
        </w:rPr>
      </w:pPr>
      <w:r>
        <w:rPr>
          <w:noProof/>
        </w:rPr>
        <w:t xml:space="preserve">L'objectif de l'investissement est de créer des forêts. L'investissement consiste en des projets de boisement et de reboisement dans les zones urbaines et non urbaines. </w:t>
      </w:r>
    </w:p>
    <w:p w14:paraId="325263AF" w14:textId="77777777" w:rsidR="00A345F4" w:rsidRDefault="005E2D4E">
      <w:pPr>
        <w:pStyle w:val="P68B1DB1-Normal12"/>
        <w:suppressAutoHyphens/>
        <w:autoSpaceDN w:val="0"/>
        <w:spacing w:after="0" w:line="240" w:lineRule="auto"/>
        <w:jc w:val="both"/>
        <w:textAlignment w:val="baseline"/>
        <w:rPr>
          <w:rFonts w:eastAsiaTheme="majorEastAsia"/>
          <w:noProof/>
        </w:rPr>
      </w:pPr>
      <w:r>
        <w:rPr>
          <w:noProof/>
        </w:rPr>
        <w:t xml:space="preserve">Investissement 2. Capacités modernes de production de matériel forestier de reproduction </w:t>
      </w:r>
    </w:p>
    <w:p w14:paraId="1DC70CBD" w14:textId="77777777" w:rsidR="00A345F4" w:rsidRDefault="005E2D4E">
      <w:pPr>
        <w:pStyle w:val="P68B1DB1-Normal4"/>
        <w:spacing w:before="120" w:after="120" w:line="240" w:lineRule="auto"/>
        <w:jc w:val="both"/>
        <w:rPr>
          <w:noProof/>
        </w:rPr>
      </w:pPr>
      <w:r>
        <w:rPr>
          <w:noProof/>
        </w:rPr>
        <w:t>L’objectif de l’investissement est de développer des capacités de production reproductive suffisantes (espèces d’arbres). L'investissement consiste en la construction ou la réhabilitation de pépinières d'arbres.</w:t>
      </w:r>
    </w:p>
    <w:p w14:paraId="7840722B" w14:textId="77777777" w:rsidR="00A345F4" w:rsidRDefault="005E2D4E">
      <w:pPr>
        <w:pStyle w:val="P68B1DB1-Normal12"/>
        <w:suppressAutoHyphens/>
        <w:autoSpaceDN w:val="0"/>
        <w:spacing w:after="0" w:line="240" w:lineRule="auto"/>
        <w:jc w:val="both"/>
        <w:textAlignment w:val="baseline"/>
        <w:rPr>
          <w:rFonts w:eastAsiaTheme="majorEastAsia"/>
          <w:noProof/>
        </w:rPr>
      </w:pPr>
      <w:r>
        <w:rPr>
          <w:noProof/>
        </w:rPr>
        <w:t>Investissement 3. Recensement des zones susceptibles de bénéficier d’une protection stricte dans les habitats terrestres et marins naturels, conformément à la stratégie de l’UE en faveur de la biodiversité à l’horizon 2030</w:t>
      </w:r>
    </w:p>
    <w:p w14:paraId="5B68CEB6" w14:textId="77777777" w:rsidR="00A345F4" w:rsidRDefault="005E2D4E">
      <w:pPr>
        <w:pStyle w:val="P68B1DB1-Normal4"/>
        <w:spacing w:before="120" w:after="120" w:line="240" w:lineRule="auto"/>
        <w:jc w:val="both"/>
        <w:rPr>
          <w:noProof/>
        </w:rPr>
      </w:pPr>
      <w:r>
        <w:rPr>
          <w:noProof/>
        </w:rPr>
        <w:t>L'objectif de cet investissement est de fournir un cadre pour la protection de la nature. L’investissement consiste en des actes juridiques pour la désignation de zones strictement protégées identifiées dans des zones protégées Natura 2000.</w:t>
      </w:r>
    </w:p>
    <w:p w14:paraId="5ECEF5F4"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Investissement 4. Système de surveillance des esturgeons sauvages le long du Bas-Danube</w:t>
      </w:r>
    </w:p>
    <w:p w14:paraId="44BE89AD" w14:textId="77777777" w:rsidR="00A345F4" w:rsidRDefault="005E2D4E">
      <w:pPr>
        <w:pStyle w:val="P68B1DB1-Normal4"/>
        <w:spacing w:before="120" w:after="120" w:line="240" w:lineRule="auto"/>
        <w:jc w:val="both"/>
        <w:rPr>
          <w:noProof/>
        </w:rPr>
      </w:pPr>
      <w:r>
        <w:rPr>
          <w:noProof/>
        </w:rPr>
        <w:t>L'objectif de cet investissement est de doter l'Institut national de recherche et de développement pour la protection de l'environnement d'équipements et de véhicules pour la surveillance de l'esturgeon sauvage le long du bas Danube. L'investissement consiste en l'achat d'équipements et de véhicules.</w:t>
      </w:r>
    </w:p>
    <w:p w14:paraId="5CB48B3C"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 xml:space="preserve">Investissement 5. Systèmes intégrés d'atténuation des risques d'inondation dans les bassins hydrographiques forestiers </w:t>
      </w:r>
    </w:p>
    <w:p w14:paraId="154E7163" w14:textId="77777777" w:rsidR="00A345F4" w:rsidRDefault="005E2D4E">
      <w:pPr>
        <w:pStyle w:val="P68B1DB1-Normal4"/>
        <w:spacing w:before="120" w:after="120" w:line="240" w:lineRule="auto"/>
        <w:jc w:val="both"/>
        <w:rPr>
          <w:noProof/>
        </w:rPr>
      </w:pPr>
      <w:r>
        <w:rPr>
          <w:noProof/>
        </w:rPr>
        <w:t xml:space="preserve">L’objectif de l’investissement est de réduire les risques d’inondation afin de protéger les personnes, les infrastructures et les objectifs socio-économiques dans les zones à risque, ainsi que de protéger l’environnement et la biodiversité au moyen de mesures environnementales, en particulier celles relatives à la migration des poissons et à la garantie des flux écologiques. L'investissement consiste en des travaux de modernisation pour la protection contre les inondations. </w:t>
      </w:r>
    </w:p>
    <w:p w14:paraId="7D60AEB7" w14:textId="77777777" w:rsidR="00A345F4" w:rsidRDefault="00A345F4">
      <w:pPr>
        <w:spacing w:before="120" w:after="120" w:line="240" w:lineRule="auto"/>
        <w:jc w:val="both"/>
        <w:rPr>
          <w:rFonts w:ascii="Times New Roman" w:hAnsi="Times New Roman" w:cs="Times New Roman"/>
          <w:noProof/>
        </w:rPr>
        <w:sectPr w:rsidR="00A345F4" w:rsidSect="005E1674">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011B94D3"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B.2. </w:t>
      </w:r>
      <w:r>
        <w:rPr>
          <w:noProof/>
        </w:rPr>
        <w:t xml:space="preserve"> </w:t>
      </w:r>
      <w:r>
        <w:rPr>
          <w:b/>
          <w:noProof/>
        </w:rPr>
        <w:t>Étapes, cibles, indicateurs et calendrier pour le suivi et la mise en œuvre du soutien financier non remboursable</w:t>
      </w:r>
    </w:p>
    <w:tbl>
      <w:tblPr>
        <w:tblW w:w="15831" w:type="dxa"/>
        <w:jc w:val="center"/>
        <w:tblLayout w:type="fixed"/>
        <w:tblLook w:val="04A0" w:firstRow="1" w:lastRow="0" w:firstColumn="1" w:lastColumn="0" w:noHBand="0" w:noVBand="1"/>
      </w:tblPr>
      <w:tblGrid>
        <w:gridCol w:w="786"/>
        <w:gridCol w:w="1619"/>
        <w:gridCol w:w="1276"/>
        <w:gridCol w:w="1578"/>
        <w:gridCol w:w="1760"/>
        <w:gridCol w:w="1088"/>
        <w:gridCol w:w="1357"/>
        <w:gridCol w:w="1089"/>
        <w:gridCol w:w="1134"/>
        <w:gridCol w:w="850"/>
        <w:gridCol w:w="3294"/>
      </w:tblGrid>
      <w:tr w:rsidR="00A345F4" w14:paraId="6644359B" w14:textId="77777777" w:rsidTr="000431DB">
        <w:trPr>
          <w:trHeight w:val="632"/>
          <w:tblHeader/>
          <w:jc w:val="center"/>
        </w:trPr>
        <w:tc>
          <w:tcPr>
            <w:tcW w:w="7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291D53" w14:textId="77777777" w:rsidR="00A345F4" w:rsidRDefault="005E2D4E">
            <w:pPr>
              <w:pStyle w:val="P68B1DB1-Normal13"/>
              <w:spacing w:after="0" w:line="240" w:lineRule="auto"/>
              <w:jc w:val="center"/>
              <w:rPr>
                <w:rFonts w:eastAsia="Times New Roman"/>
                <w:noProof/>
              </w:rPr>
            </w:pPr>
            <w:r>
              <w:rPr>
                <w:noProof/>
              </w:rPr>
              <w:t>Seq. Num.</w:t>
            </w:r>
          </w:p>
        </w:tc>
        <w:tc>
          <w:tcPr>
            <w:tcW w:w="16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56B53F"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740ACA" w14:textId="77777777" w:rsidR="00A345F4" w:rsidRDefault="005E2D4E">
            <w:pPr>
              <w:pStyle w:val="P68B1DB1-Normal13"/>
              <w:spacing w:after="0" w:line="240" w:lineRule="auto"/>
              <w:jc w:val="center"/>
              <w:rPr>
                <w:rFonts w:eastAsia="Times New Roman"/>
                <w:noProof/>
              </w:rPr>
            </w:pPr>
            <w:r>
              <w:rPr>
                <w:noProof/>
              </w:rPr>
              <w:t>Étape/cible</w:t>
            </w:r>
          </w:p>
        </w:tc>
        <w:tc>
          <w:tcPr>
            <w:tcW w:w="15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CEC1E5" w14:textId="77777777" w:rsidR="00A345F4" w:rsidRDefault="005E2D4E">
            <w:pPr>
              <w:pStyle w:val="P68B1DB1-Normal13"/>
              <w:spacing w:after="0" w:line="240" w:lineRule="auto"/>
              <w:jc w:val="center"/>
              <w:rPr>
                <w:rFonts w:eastAsia="Times New Roman"/>
                <w:noProof/>
              </w:rPr>
            </w:pPr>
            <w:r>
              <w:rPr>
                <w:noProof/>
              </w:rPr>
              <w:t>Nom</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D210B8" w14:textId="1ED816D2" w:rsidR="00A345F4" w:rsidRDefault="005E2D4E">
            <w:pPr>
              <w:pStyle w:val="P68B1DB1-Normal14"/>
              <w:spacing w:after="0" w:line="240" w:lineRule="auto"/>
              <w:jc w:val="center"/>
              <w:rPr>
                <w:rFonts w:eastAsia="Times New Roman"/>
                <w:b/>
                <w:noProof/>
              </w:rPr>
            </w:pPr>
            <w:r>
              <w:rPr>
                <w:b/>
                <w:noProof/>
              </w:rPr>
              <w:t>Indicateurs qualitatifs</w:t>
            </w:r>
            <w:r>
              <w:rPr>
                <w:noProof/>
              </w:rPr>
              <w:t xml:space="preserve"> </w:t>
            </w:r>
            <w:r>
              <w:rPr>
                <w:noProof/>
              </w:rPr>
              <w:br/>
            </w:r>
            <w:r>
              <w:rPr>
                <w:b/>
                <w:noProof/>
              </w:rPr>
              <w:t>(pour les jalons)</w:t>
            </w:r>
          </w:p>
        </w:tc>
        <w:tc>
          <w:tcPr>
            <w:tcW w:w="353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76BF973" w14:textId="4C79DBE5"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6FACF92" w14:textId="61D20361" w:rsidR="00A345F4" w:rsidRDefault="005E2D4E">
            <w:pPr>
              <w:pStyle w:val="P68B1DB1-Normal13"/>
              <w:spacing w:after="0" w:line="240" w:lineRule="auto"/>
              <w:jc w:val="center"/>
              <w:rPr>
                <w:rFonts w:eastAsia="Times New Roman"/>
                <w:noProof/>
              </w:rPr>
            </w:pPr>
            <w:r>
              <w:rPr>
                <w:noProof/>
              </w:rPr>
              <w:t>Calendrier indicatif d'achèvement</w:t>
            </w:r>
          </w:p>
        </w:tc>
        <w:tc>
          <w:tcPr>
            <w:tcW w:w="329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EF9F54C"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27FAFE15" w14:textId="77777777" w:rsidTr="000431DB">
        <w:trPr>
          <w:trHeight w:val="502"/>
          <w:tblHeader/>
          <w:jc w:val="center"/>
        </w:trPr>
        <w:tc>
          <w:tcPr>
            <w:tcW w:w="786" w:type="dxa"/>
            <w:vMerge/>
            <w:tcBorders>
              <w:top w:val="single" w:sz="4" w:space="0" w:color="auto"/>
              <w:left w:val="single" w:sz="4" w:space="0" w:color="auto"/>
              <w:bottom w:val="single" w:sz="4" w:space="0" w:color="auto"/>
              <w:right w:val="single" w:sz="4" w:space="0" w:color="auto"/>
            </w:tcBorders>
            <w:hideMark/>
          </w:tcPr>
          <w:p w14:paraId="61C962B5"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619" w:type="dxa"/>
            <w:vMerge/>
            <w:tcBorders>
              <w:top w:val="single" w:sz="4" w:space="0" w:color="auto"/>
              <w:left w:val="single" w:sz="4" w:space="0" w:color="auto"/>
              <w:bottom w:val="single" w:sz="4" w:space="0" w:color="auto"/>
              <w:right w:val="single" w:sz="4" w:space="0" w:color="auto"/>
            </w:tcBorders>
            <w:hideMark/>
          </w:tcPr>
          <w:p w14:paraId="05DCAD13"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76" w:type="dxa"/>
            <w:vMerge/>
            <w:tcBorders>
              <w:top w:val="single" w:sz="4" w:space="0" w:color="auto"/>
              <w:left w:val="single" w:sz="4" w:space="0" w:color="auto"/>
              <w:bottom w:val="single" w:sz="4" w:space="0" w:color="auto"/>
              <w:right w:val="single" w:sz="4" w:space="0" w:color="auto"/>
            </w:tcBorders>
            <w:hideMark/>
          </w:tcPr>
          <w:p w14:paraId="7DE853EB"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578" w:type="dxa"/>
            <w:vMerge/>
            <w:tcBorders>
              <w:top w:val="single" w:sz="4" w:space="0" w:color="auto"/>
              <w:left w:val="single" w:sz="4" w:space="0" w:color="auto"/>
              <w:bottom w:val="single" w:sz="4" w:space="0" w:color="auto"/>
              <w:right w:val="single" w:sz="4" w:space="0" w:color="auto"/>
            </w:tcBorders>
            <w:hideMark/>
          </w:tcPr>
          <w:p w14:paraId="54E84A0B"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760" w:type="dxa"/>
            <w:vMerge/>
            <w:tcBorders>
              <w:top w:val="single" w:sz="4" w:space="0" w:color="auto"/>
              <w:left w:val="single" w:sz="4" w:space="0" w:color="auto"/>
              <w:bottom w:val="single" w:sz="4" w:space="0" w:color="auto"/>
              <w:right w:val="single" w:sz="4" w:space="0" w:color="auto"/>
            </w:tcBorders>
            <w:hideMark/>
          </w:tcPr>
          <w:p w14:paraId="6E6D6295"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08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F1C76E2" w14:textId="3843E73A" w:rsidR="00A345F4" w:rsidRDefault="005E2D4E">
            <w:pPr>
              <w:pStyle w:val="P68B1DB1-Normal13"/>
              <w:spacing w:after="0" w:line="240" w:lineRule="auto"/>
              <w:jc w:val="center"/>
              <w:rPr>
                <w:rFonts w:eastAsia="Times New Roman"/>
                <w:noProof/>
              </w:rPr>
            </w:pPr>
            <w:r>
              <w:rPr>
                <w:noProof/>
              </w:rPr>
              <w:t>Unité de mesure</w:t>
            </w:r>
          </w:p>
        </w:tc>
        <w:tc>
          <w:tcPr>
            <w:tcW w:w="13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0991F8" w14:textId="77777777" w:rsidR="00A345F4" w:rsidRDefault="005E2D4E">
            <w:pPr>
              <w:pStyle w:val="P68B1DB1-Normal13"/>
              <w:spacing w:after="0" w:line="240" w:lineRule="auto"/>
              <w:jc w:val="center"/>
              <w:rPr>
                <w:rFonts w:eastAsia="Times New Roman"/>
                <w:noProof/>
              </w:rPr>
            </w:pPr>
            <w:r>
              <w:rPr>
                <w:noProof/>
              </w:rPr>
              <w:t>Données de référence</w:t>
            </w:r>
          </w:p>
        </w:tc>
        <w:tc>
          <w:tcPr>
            <w:tcW w:w="108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431B715" w14:textId="77777777" w:rsidR="00A345F4" w:rsidRDefault="005E2D4E">
            <w:pPr>
              <w:pStyle w:val="P68B1DB1-Normal13"/>
              <w:spacing w:after="0" w:line="240" w:lineRule="auto"/>
              <w:jc w:val="center"/>
              <w:rPr>
                <w:rFonts w:eastAsia="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4947E5" w14:textId="77777777" w:rsidR="00A345F4" w:rsidRDefault="005E2D4E">
            <w:pPr>
              <w:pStyle w:val="P68B1DB1-Normal13"/>
              <w:spacing w:after="0" w:line="240" w:lineRule="auto"/>
              <w:jc w:val="center"/>
              <w:rPr>
                <w:rFonts w:eastAsia="Times New Roman"/>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57D68F" w14:textId="77777777" w:rsidR="00A345F4" w:rsidRDefault="005E2D4E">
            <w:pPr>
              <w:pStyle w:val="P68B1DB1-Normal13"/>
              <w:spacing w:after="0" w:line="240" w:lineRule="auto"/>
              <w:jc w:val="center"/>
              <w:rPr>
                <w:rFonts w:eastAsia="Times New Roman"/>
                <w:noProof/>
              </w:rPr>
            </w:pPr>
            <w:r>
              <w:rPr>
                <w:noProof/>
              </w:rPr>
              <w:t>Année</w:t>
            </w:r>
          </w:p>
        </w:tc>
        <w:tc>
          <w:tcPr>
            <w:tcW w:w="3294" w:type="dxa"/>
            <w:vMerge/>
            <w:tcBorders>
              <w:top w:val="single" w:sz="4" w:space="0" w:color="auto"/>
              <w:bottom w:val="single" w:sz="4" w:space="0" w:color="auto"/>
              <w:right w:val="single" w:sz="4" w:space="0" w:color="auto"/>
            </w:tcBorders>
            <w:hideMark/>
          </w:tcPr>
          <w:p w14:paraId="54CF18E5"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42BA77E6" w14:textId="77777777" w:rsidTr="000431DB">
        <w:trPr>
          <w:trHeight w:val="309"/>
          <w:jc w:val="center"/>
        </w:trPr>
        <w:tc>
          <w:tcPr>
            <w:tcW w:w="786" w:type="dxa"/>
            <w:tcBorders>
              <w:top w:val="single" w:sz="4" w:space="0" w:color="auto"/>
              <w:left w:val="single" w:sz="4" w:space="0" w:color="auto"/>
              <w:bottom w:val="single" w:sz="4" w:space="0" w:color="auto"/>
              <w:right w:val="single" w:sz="4" w:space="0" w:color="auto"/>
            </w:tcBorders>
            <w:shd w:val="clear" w:color="auto" w:fill="C6EFCE"/>
            <w:noWrap/>
          </w:tcPr>
          <w:p w14:paraId="62F22CE4" w14:textId="77777777" w:rsidR="00A345F4" w:rsidRDefault="005E2D4E">
            <w:pPr>
              <w:pStyle w:val="P68B1DB1-Normal14"/>
              <w:spacing w:after="0" w:line="240" w:lineRule="auto"/>
              <w:jc w:val="center"/>
              <w:rPr>
                <w:rFonts w:eastAsia="Times New Roman"/>
                <w:noProof/>
              </w:rPr>
            </w:pPr>
            <w:r>
              <w:rPr>
                <w:noProof/>
              </w:rPr>
              <w:t>22</w:t>
            </w:r>
          </w:p>
        </w:tc>
        <w:tc>
          <w:tcPr>
            <w:tcW w:w="1619" w:type="dxa"/>
            <w:tcBorders>
              <w:top w:val="single" w:sz="4" w:space="0" w:color="auto"/>
              <w:left w:val="single" w:sz="4" w:space="0" w:color="auto"/>
              <w:bottom w:val="single" w:sz="4" w:space="0" w:color="auto"/>
              <w:right w:val="single" w:sz="4" w:space="0" w:color="auto"/>
            </w:tcBorders>
            <w:shd w:val="clear" w:color="auto" w:fill="C6EFCE"/>
            <w:noWrap/>
          </w:tcPr>
          <w:p w14:paraId="7FB108AE" w14:textId="77777777" w:rsidR="00A345F4" w:rsidRDefault="005E2D4E">
            <w:pPr>
              <w:pStyle w:val="P68B1DB1-Normal14"/>
              <w:spacing w:after="0" w:line="240" w:lineRule="auto"/>
              <w:jc w:val="both"/>
              <w:rPr>
                <w:rFonts w:eastAsia="Times New Roman"/>
                <w:noProof/>
              </w:rPr>
            </w:pPr>
            <w:r>
              <w:rPr>
                <w:noProof/>
              </w:rPr>
              <w:t xml:space="preserve">Réforme 1. Réforme des systèmes de gestion et de gouvernance des forêts au moyen d’une nouvelle stratégie nationale pour les forêts et d’actes juridiques ultérieurs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5A703F4" w14:textId="77777777" w:rsidR="00A345F4" w:rsidRDefault="005E2D4E">
            <w:pPr>
              <w:pStyle w:val="P68B1DB1-Normal14"/>
              <w:spacing w:after="0" w:line="240" w:lineRule="auto"/>
              <w:jc w:val="center"/>
              <w:rPr>
                <w:rFonts w:eastAsia="Times New Roman"/>
                <w:noProof/>
              </w:rPr>
            </w:pPr>
            <w:r>
              <w:rPr>
                <w:noProof/>
              </w:rPr>
              <w:t>Étape</w:t>
            </w:r>
          </w:p>
        </w:tc>
        <w:tc>
          <w:tcPr>
            <w:tcW w:w="1578" w:type="dxa"/>
            <w:tcBorders>
              <w:top w:val="single" w:sz="4" w:space="0" w:color="auto"/>
              <w:left w:val="single" w:sz="4" w:space="0" w:color="auto"/>
              <w:bottom w:val="single" w:sz="4" w:space="0" w:color="auto"/>
              <w:right w:val="single" w:sz="4" w:space="0" w:color="auto"/>
            </w:tcBorders>
            <w:shd w:val="clear" w:color="auto" w:fill="C6EFCE"/>
            <w:noWrap/>
          </w:tcPr>
          <w:p w14:paraId="334F9483" w14:textId="77777777" w:rsidR="00A345F4" w:rsidRDefault="005E2D4E">
            <w:pPr>
              <w:pStyle w:val="P68B1DB1-Normal14"/>
              <w:spacing w:after="0" w:line="240" w:lineRule="auto"/>
              <w:jc w:val="both"/>
              <w:rPr>
                <w:noProof/>
              </w:rPr>
            </w:pPr>
            <w:r>
              <w:rPr>
                <w:noProof/>
              </w:rPr>
              <w:t>Adoption de la stratégie forestière nationale 2020-2030</w:t>
            </w:r>
          </w:p>
          <w:p w14:paraId="0F013C8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760" w:type="dxa"/>
            <w:tcBorders>
              <w:top w:val="single" w:sz="4" w:space="0" w:color="auto"/>
              <w:left w:val="single" w:sz="4" w:space="0" w:color="auto"/>
              <w:bottom w:val="single" w:sz="4" w:space="0" w:color="auto"/>
              <w:right w:val="single" w:sz="4" w:space="0" w:color="auto"/>
            </w:tcBorders>
            <w:shd w:val="clear" w:color="auto" w:fill="C6EFCE"/>
            <w:noWrap/>
          </w:tcPr>
          <w:p w14:paraId="3D7B15AD" w14:textId="77777777" w:rsidR="00A345F4" w:rsidRDefault="005E2D4E">
            <w:pPr>
              <w:pStyle w:val="P68B1DB1-Normal14"/>
              <w:spacing w:after="0" w:line="240" w:lineRule="auto"/>
              <w:jc w:val="both"/>
              <w:rPr>
                <w:rFonts w:eastAsia="Times New Roman"/>
                <w:noProof/>
              </w:rPr>
            </w:pPr>
            <w:r>
              <w:rPr>
                <w:noProof/>
              </w:rPr>
              <w:t xml:space="preserve">Adoption de la stratégie forestière nationale 2020-2030 </w:t>
            </w:r>
          </w:p>
        </w:tc>
        <w:tc>
          <w:tcPr>
            <w:tcW w:w="1088" w:type="dxa"/>
            <w:tcBorders>
              <w:top w:val="single" w:sz="4" w:space="0" w:color="auto"/>
              <w:left w:val="single" w:sz="4" w:space="0" w:color="auto"/>
              <w:bottom w:val="single" w:sz="4" w:space="0" w:color="auto"/>
              <w:right w:val="single" w:sz="4" w:space="0" w:color="auto"/>
            </w:tcBorders>
            <w:shd w:val="clear" w:color="auto" w:fill="C6EFCE"/>
            <w:noWrap/>
          </w:tcPr>
          <w:p w14:paraId="35FB6E82" w14:textId="77777777" w:rsidR="00A345F4" w:rsidRDefault="005E2D4E">
            <w:pPr>
              <w:pStyle w:val="P68B1DB1-Normal14"/>
              <w:spacing w:after="0" w:line="240" w:lineRule="auto"/>
              <w:jc w:val="both"/>
              <w:rPr>
                <w:rFonts w:eastAsia="Times New Roman"/>
                <w:noProof/>
              </w:rPr>
            </w:pPr>
            <w:r>
              <w:rPr>
                <w:noProof/>
              </w:rPr>
              <w:t xml:space="preserve"> </w:t>
            </w:r>
          </w:p>
        </w:tc>
        <w:tc>
          <w:tcPr>
            <w:tcW w:w="1357" w:type="dxa"/>
            <w:tcBorders>
              <w:top w:val="single" w:sz="4" w:space="0" w:color="auto"/>
              <w:left w:val="single" w:sz="4" w:space="0" w:color="auto"/>
              <w:bottom w:val="single" w:sz="4" w:space="0" w:color="auto"/>
              <w:right w:val="single" w:sz="4" w:space="0" w:color="auto"/>
            </w:tcBorders>
            <w:shd w:val="clear" w:color="auto" w:fill="C6EFCE"/>
            <w:noWrap/>
          </w:tcPr>
          <w:p w14:paraId="09CB30D8" w14:textId="77777777" w:rsidR="00A345F4" w:rsidRDefault="005E2D4E">
            <w:pPr>
              <w:pStyle w:val="P68B1DB1-Normal14"/>
              <w:spacing w:after="0" w:line="240" w:lineRule="auto"/>
              <w:jc w:val="both"/>
              <w:rPr>
                <w:rFonts w:eastAsia="Times New Roman"/>
                <w:noProof/>
              </w:rPr>
            </w:pPr>
            <w:r>
              <w:rPr>
                <w:noProof/>
              </w:rPr>
              <w:t xml:space="preserv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31D8A1C" w14:textId="77777777" w:rsidR="00A345F4" w:rsidRDefault="005E2D4E">
            <w:pPr>
              <w:pStyle w:val="P68B1DB1-Normal14"/>
              <w:spacing w:after="0" w:line="240" w:lineRule="auto"/>
              <w:jc w:val="both"/>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F48447E" w14:textId="77777777" w:rsidR="00A345F4" w:rsidRDefault="005E2D4E">
            <w:pPr>
              <w:pStyle w:val="P68B1DB1-Normal14"/>
              <w:spacing w:after="0" w:line="240" w:lineRule="auto"/>
              <w:jc w:val="both"/>
              <w:rPr>
                <w:rFonts w:eastAsia="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27853F8" w14:textId="77777777" w:rsidR="00A345F4" w:rsidRDefault="005E2D4E">
            <w:pPr>
              <w:pStyle w:val="P68B1DB1-Normal14"/>
              <w:spacing w:after="0" w:line="240" w:lineRule="auto"/>
              <w:jc w:val="both"/>
              <w:rPr>
                <w:rFonts w:eastAsia="Times New Roman"/>
                <w:noProof/>
              </w:rPr>
            </w:pPr>
            <w:r>
              <w:rPr>
                <w:noProof/>
              </w:rPr>
              <w:t>2022</w:t>
            </w:r>
          </w:p>
        </w:tc>
        <w:tc>
          <w:tcPr>
            <w:tcW w:w="3294" w:type="dxa"/>
            <w:tcBorders>
              <w:top w:val="single" w:sz="4" w:space="0" w:color="auto"/>
              <w:left w:val="single" w:sz="4" w:space="0" w:color="auto"/>
              <w:bottom w:val="single" w:sz="4" w:space="0" w:color="auto"/>
              <w:right w:val="single" w:sz="4" w:space="0" w:color="auto"/>
            </w:tcBorders>
            <w:shd w:val="clear" w:color="auto" w:fill="C6EFCE"/>
            <w:noWrap/>
          </w:tcPr>
          <w:p w14:paraId="5D39FB6D" w14:textId="77777777" w:rsidR="00A345F4" w:rsidRDefault="005E2D4E">
            <w:pPr>
              <w:pStyle w:val="P68B1DB1-Normal14"/>
              <w:spacing w:after="0" w:line="240" w:lineRule="auto"/>
              <w:jc w:val="both"/>
              <w:rPr>
                <w:noProof/>
              </w:rPr>
            </w:pPr>
            <w:r>
              <w:rPr>
                <w:noProof/>
              </w:rPr>
              <w:t xml:space="preserve">La stratégie nationale pour les forêts 2020-2030 est adoptée. </w:t>
            </w:r>
          </w:p>
          <w:p w14:paraId="146F767E" w14:textId="77777777" w:rsidR="00A345F4" w:rsidRDefault="005E2D4E">
            <w:pPr>
              <w:pStyle w:val="P68B1DB1-Normal14"/>
              <w:spacing w:after="0" w:line="240" w:lineRule="auto"/>
              <w:jc w:val="both"/>
              <w:rPr>
                <w:noProof/>
              </w:rPr>
            </w:pPr>
            <w:r>
              <w:rPr>
                <w:noProof/>
              </w:rPr>
              <w:t>Sur la base des recommandations des études indépendantes, la stratégie fixe les règles contraignantes suivantes pour le boisement et le reboisement:</w:t>
            </w:r>
          </w:p>
          <w:p w14:paraId="13218DDA" w14:textId="77777777" w:rsidR="00A345F4" w:rsidRDefault="005E2D4E">
            <w:pPr>
              <w:pStyle w:val="P68B1DB1-Normal14"/>
              <w:spacing w:after="0" w:line="240" w:lineRule="auto"/>
              <w:jc w:val="both"/>
              <w:rPr>
                <w:noProof/>
              </w:rPr>
            </w:pPr>
            <w:r>
              <w:rPr>
                <w:noProof/>
              </w:rPr>
              <w:t>a. Exigences pour que les espèces et les écotypes soient résilients au changement climatique et n’aient pas d’incidence négative sur la biodiversité. La stratégie répond à la nécessité de disposer de lignes directrices actualisées sur la plantation d’arbres en Roumanie et crée des garanties, en particulier pour exclure l’utilisation ou la libération d’espèces exotiques envahissantes.</w:t>
            </w:r>
          </w:p>
          <w:p w14:paraId="094BA204" w14:textId="77777777" w:rsidR="00A345F4" w:rsidRDefault="005E2D4E">
            <w:pPr>
              <w:pStyle w:val="P68B1DB1-Normal14"/>
              <w:spacing w:after="0" w:line="240" w:lineRule="auto"/>
              <w:jc w:val="both"/>
              <w:rPr>
                <w:noProof/>
              </w:rPr>
            </w:pPr>
            <w:r>
              <w:rPr>
                <w:noProof/>
              </w:rPr>
              <w:t xml:space="preserve">b. Exigences relatives à la production de matériel de reproduction destiné à cibler des espèces d’arbres et des écotypes adaptés aux futures prévisions climatiques de la Roumanie en quantités suffisantes, avec la participation du secteur privé, et aux mesures visant à décourager la création de pépinières commerciales pour la production à courte rotation ou en monoculture. </w:t>
            </w:r>
          </w:p>
          <w:p w14:paraId="3593214F" w14:textId="77777777" w:rsidR="00A345F4" w:rsidRDefault="005E2D4E">
            <w:pPr>
              <w:pStyle w:val="P68B1DB1-Normal14"/>
              <w:spacing w:after="0" w:line="240" w:lineRule="auto"/>
              <w:jc w:val="both"/>
              <w:rPr>
                <w:noProof/>
              </w:rPr>
            </w:pPr>
            <w:r>
              <w:rPr>
                <w:noProof/>
              </w:rPr>
              <w:t xml:space="preserve">c. Exigences relatives au boisement visant à contribuer positivement aux objectifs de conservation de la biodiversité, de gestion de l’eau et de protection des sols en interdisant le boisement ou le reboisement sur les terres agricoles à haute valeur naturelle, les prairies ou les zones humides, à l’exclusion de la restauration des habitats. </w:t>
            </w:r>
          </w:p>
          <w:p w14:paraId="6871B3D4" w14:textId="77777777" w:rsidR="00A345F4" w:rsidRDefault="005E2D4E">
            <w:pPr>
              <w:pStyle w:val="P68B1DB1-Normal14"/>
              <w:spacing w:after="0" w:line="240" w:lineRule="auto"/>
              <w:jc w:val="both"/>
              <w:rPr>
                <w:noProof/>
              </w:rPr>
            </w:pPr>
            <w:r>
              <w:rPr>
                <w:noProof/>
              </w:rPr>
              <w:t xml:space="preserve">d. Exigences relatives aux mesures préventives qui augmentent la capacité d’absorption naturelle du sol à inclure dans les activités de gestion des forêts et exigences spécifiques en matière d’adaptation au changement climatique afin de garantir que la gestion des forêts repose sur la surveillance des espèces. </w:t>
            </w:r>
          </w:p>
          <w:p w14:paraId="6D0CCDF0" w14:textId="77777777" w:rsidR="00A345F4" w:rsidRDefault="005E2D4E">
            <w:pPr>
              <w:pStyle w:val="P68B1DB1-Normal14"/>
              <w:spacing w:after="0" w:line="240" w:lineRule="auto"/>
              <w:jc w:val="both"/>
              <w:rPr>
                <w:noProof/>
              </w:rPr>
            </w:pPr>
            <w:r>
              <w:rPr>
                <w:noProof/>
              </w:rPr>
              <w:t>e. Les exigences en matière de boisement urbain doivent être satisfaites au moyen d’une approche au niveau du paysage qui contribue à renforcer la connectivité avec les zones naturelles ou semi-naturelles (telles que les forêts ou les zones agricoles), en mettant l’accent sur l’établissement de liens entre les habitats et les infrastructures vertes et les corridors écologiques.</w:t>
            </w:r>
          </w:p>
          <w:p w14:paraId="1F456F0B" w14:textId="77777777" w:rsidR="00A345F4" w:rsidRDefault="005E2D4E">
            <w:pPr>
              <w:pStyle w:val="P68B1DB1-Normal14"/>
              <w:spacing w:after="0" w:line="240" w:lineRule="auto"/>
              <w:jc w:val="both"/>
              <w:rPr>
                <w:noProof/>
              </w:rPr>
            </w:pPr>
            <w:r>
              <w:rPr>
                <w:noProof/>
              </w:rPr>
              <w:t>f. Exigences applicables aux projets de boisement et de reboisement à réaliser dans les zones exposées et vulnérables aux aléas climatiques, en particulier à la sécheresse et aux inondations, et, le cas échéant, le boisement ou le reboisement réduit les risques qui en résultent.</w:t>
            </w:r>
          </w:p>
          <w:p w14:paraId="45C1C067" w14:textId="77777777" w:rsidR="00A345F4" w:rsidRDefault="005E2D4E">
            <w:pPr>
              <w:pStyle w:val="P68B1DB1-Normal14"/>
              <w:spacing w:after="0" w:line="240" w:lineRule="auto"/>
              <w:jc w:val="both"/>
              <w:rPr>
                <w:noProof/>
              </w:rPr>
            </w:pPr>
            <w:r>
              <w:rPr>
                <w:noProof/>
              </w:rPr>
              <w:t>g. La stratégie définit des critères de durabilité pour la biomasse forestière utilisée à des fins énergétiques.</w:t>
            </w:r>
          </w:p>
          <w:p w14:paraId="34FF0D3B" w14:textId="77777777" w:rsidR="00A345F4" w:rsidRDefault="005E2D4E">
            <w:pPr>
              <w:pStyle w:val="P68B1DB1-Normal14"/>
              <w:spacing w:after="0" w:line="240" w:lineRule="auto"/>
              <w:jc w:val="both"/>
              <w:rPr>
                <w:noProof/>
              </w:rPr>
            </w:pPr>
            <w:r>
              <w:rPr>
                <w:noProof/>
              </w:rPr>
              <w:t xml:space="preserve">h. La stratégie comprend des actions spécifiques visant à lutter contre l’exploitation illégale des forêts, telles que la mise en œuvre intégrale de SUMAL, y compris la surveillance de l’exploitation par télédétection, le renforcement du régime de sanctions et d’autres mesures, le cas échéant. </w:t>
            </w:r>
          </w:p>
          <w:p w14:paraId="37AB53CC" w14:textId="77777777" w:rsidR="00A345F4" w:rsidRDefault="005E2D4E">
            <w:pPr>
              <w:pStyle w:val="P68B1DB1-Normal14"/>
              <w:spacing w:after="0" w:line="240" w:lineRule="auto"/>
              <w:jc w:val="both"/>
              <w:rPr>
                <w:noProof/>
              </w:rPr>
            </w:pPr>
            <w:r>
              <w:rPr>
                <w:noProof/>
              </w:rPr>
              <w:t>i. La stratégie comprend également des mesures concrètes pour protéger les habitats et les espèces forestiers, et en particulier l’alignement des normes forestières sur les considérations relatives à la biodiversité.</w:t>
            </w:r>
          </w:p>
        </w:tc>
      </w:tr>
      <w:tr w:rsidR="00A345F4" w14:paraId="585E8016" w14:textId="77777777" w:rsidTr="000431DB">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069694A4" w14:textId="77777777" w:rsidR="00A345F4" w:rsidRDefault="005E2D4E">
            <w:pPr>
              <w:pStyle w:val="P68B1DB1-Normal14"/>
              <w:spacing w:after="0" w:line="240" w:lineRule="auto"/>
              <w:jc w:val="center"/>
              <w:rPr>
                <w:rFonts w:eastAsia="Times New Roman"/>
                <w:noProof/>
              </w:rPr>
            </w:pPr>
            <w:r>
              <w:rPr>
                <w:noProof/>
              </w:rPr>
              <w:t>23</w:t>
            </w:r>
          </w:p>
        </w:tc>
        <w:tc>
          <w:tcPr>
            <w:tcW w:w="1619" w:type="dxa"/>
            <w:tcBorders>
              <w:top w:val="nil"/>
              <w:left w:val="single" w:sz="4" w:space="0" w:color="auto"/>
              <w:bottom w:val="single" w:sz="4" w:space="0" w:color="auto"/>
              <w:right w:val="single" w:sz="4" w:space="0" w:color="auto"/>
            </w:tcBorders>
            <w:shd w:val="clear" w:color="auto" w:fill="C6EFCE"/>
            <w:noWrap/>
          </w:tcPr>
          <w:p w14:paraId="59D10223" w14:textId="77777777" w:rsidR="00A345F4" w:rsidRDefault="005E2D4E">
            <w:pPr>
              <w:pStyle w:val="P68B1DB1-Normal14"/>
              <w:spacing w:after="0" w:line="240" w:lineRule="auto"/>
              <w:jc w:val="both"/>
              <w:rPr>
                <w:rFonts w:eastAsia="Times New Roman"/>
                <w:noProof/>
              </w:rPr>
            </w:pPr>
            <w:r>
              <w:rPr>
                <w:noProof/>
              </w:rPr>
              <w:t xml:space="preserve">Réforme 1. Réforme des systèmes de gestion et de gouvernance des forêts au moyen d’une nouvelle stratégie nationale pour les forêts et d’actes juridiques ultérieurs </w:t>
            </w:r>
          </w:p>
        </w:tc>
        <w:tc>
          <w:tcPr>
            <w:tcW w:w="1276" w:type="dxa"/>
            <w:tcBorders>
              <w:top w:val="nil"/>
              <w:left w:val="single" w:sz="4" w:space="0" w:color="auto"/>
              <w:bottom w:val="single" w:sz="4" w:space="0" w:color="auto"/>
              <w:right w:val="single" w:sz="4" w:space="0" w:color="auto"/>
            </w:tcBorders>
            <w:shd w:val="clear" w:color="auto" w:fill="C6EFCE"/>
            <w:noWrap/>
          </w:tcPr>
          <w:p w14:paraId="424BD926" w14:textId="77777777" w:rsidR="00A345F4" w:rsidRDefault="005E2D4E">
            <w:pPr>
              <w:pStyle w:val="P68B1DB1-Normal14"/>
              <w:spacing w:after="0" w:line="240" w:lineRule="auto"/>
              <w:jc w:val="center"/>
              <w:rPr>
                <w:rFonts w:eastAsia="Times New Roman"/>
                <w:noProof/>
              </w:rPr>
            </w:pPr>
            <w:r>
              <w:rPr>
                <w:noProof/>
              </w:rPr>
              <w:t>Étape</w:t>
            </w:r>
          </w:p>
        </w:tc>
        <w:tc>
          <w:tcPr>
            <w:tcW w:w="1578" w:type="dxa"/>
            <w:tcBorders>
              <w:top w:val="nil"/>
              <w:left w:val="single" w:sz="4" w:space="0" w:color="auto"/>
              <w:bottom w:val="single" w:sz="4" w:space="0" w:color="auto"/>
              <w:right w:val="single" w:sz="4" w:space="0" w:color="auto"/>
            </w:tcBorders>
            <w:shd w:val="clear" w:color="auto" w:fill="C6EFCE"/>
            <w:noWrap/>
          </w:tcPr>
          <w:p w14:paraId="72D657E0" w14:textId="77777777" w:rsidR="00A345F4" w:rsidRDefault="005E2D4E">
            <w:pPr>
              <w:pStyle w:val="P68B1DB1-Normal14"/>
              <w:spacing w:after="0" w:line="240" w:lineRule="auto"/>
              <w:jc w:val="both"/>
              <w:rPr>
                <w:rFonts w:eastAsia="Times New Roman"/>
                <w:noProof/>
              </w:rPr>
            </w:pPr>
            <w:r>
              <w:rPr>
                <w:noProof/>
              </w:rPr>
              <w:t>Entrée en vigueur des ordonnances ministérielles modifiées établissant des règles contraignantes pour le boisement et le reboisement prévues dans la stratégie forestière nationale 2020-2030</w:t>
            </w:r>
          </w:p>
        </w:tc>
        <w:tc>
          <w:tcPr>
            <w:tcW w:w="1760" w:type="dxa"/>
            <w:tcBorders>
              <w:top w:val="nil"/>
              <w:left w:val="single" w:sz="4" w:space="0" w:color="auto"/>
              <w:bottom w:val="single" w:sz="4" w:space="0" w:color="auto"/>
              <w:right w:val="single" w:sz="4" w:space="0" w:color="auto"/>
            </w:tcBorders>
            <w:shd w:val="clear" w:color="auto" w:fill="C6EFCE"/>
            <w:noWrap/>
          </w:tcPr>
          <w:p w14:paraId="23F61ABF" w14:textId="77777777" w:rsidR="00A345F4" w:rsidRDefault="005E2D4E">
            <w:pPr>
              <w:pStyle w:val="P68B1DB1-Normal14"/>
              <w:spacing w:after="0" w:line="240" w:lineRule="auto"/>
              <w:jc w:val="both"/>
              <w:rPr>
                <w:noProof/>
              </w:rPr>
            </w:pPr>
            <w:r>
              <w:rPr>
                <w:noProof/>
              </w:rPr>
              <w:t>Disposition des ordonnances ministérielles indiquant l'entrée en vigueur des amendements</w:t>
            </w:r>
          </w:p>
          <w:p w14:paraId="336CDA4B" w14:textId="77777777" w:rsidR="00A345F4" w:rsidRDefault="00A345F4">
            <w:pPr>
              <w:spacing w:after="0" w:line="240" w:lineRule="auto"/>
              <w:jc w:val="both"/>
              <w:rPr>
                <w:rFonts w:ascii="Times New Roman" w:hAnsi="Times New Roman" w:cs="Times New Roman"/>
                <w:noProof/>
                <w:sz w:val="20"/>
                <w:szCs w:val="20"/>
              </w:rPr>
            </w:pPr>
          </w:p>
          <w:p w14:paraId="71FF3EF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8" w:type="dxa"/>
            <w:tcBorders>
              <w:top w:val="nil"/>
              <w:left w:val="single" w:sz="4" w:space="0" w:color="auto"/>
              <w:bottom w:val="single" w:sz="4" w:space="0" w:color="auto"/>
              <w:right w:val="single" w:sz="4" w:space="0" w:color="auto"/>
            </w:tcBorders>
            <w:shd w:val="clear" w:color="auto" w:fill="C6EFCE"/>
            <w:noWrap/>
          </w:tcPr>
          <w:p w14:paraId="681F941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57" w:type="dxa"/>
            <w:tcBorders>
              <w:top w:val="nil"/>
              <w:left w:val="single" w:sz="4" w:space="0" w:color="auto"/>
              <w:bottom w:val="single" w:sz="4" w:space="0" w:color="auto"/>
              <w:right w:val="single" w:sz="4" w:space="0" w:color="auto"/>
            </w:tcBorders>
            <w:shd w:val="clear" w:color="auto" w:fill="C6EFCE"/>
            <w:noWrap/>
          </w:tcPr>
          <w:p w14:paraId="1E8255FC"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9" w:type="dxa"/>
            <w:tcBorders>
              <w:top w:val="nil"/>
              <w:left w:val="single" w:sz="4" w:space="0" w:color="auto"/>
              <w:bottom w:val="single" w:sz="4" w:space="0" w:color="auto"/>
              <w:right w:val="single" w:sz="4" w:space="0" w:color="auto"/>
            </w:tcBorders>
            <w:shd w:val="clear" w:color="auto" w:fill="C6EFCE"/>
            <w:noWrap/>
          </w:tcPr>
          <w:p w14:paraId="09296D8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nil"/>
              <w:left w:val="single" w:sz="4" w:space="0" w:color="auto"/>
              <w:bottom w:val="single" w:sz="4" w:space="0" w:color="auto"/>
              <w:right w:val="single" w:sz="4" w:space="0" w:color="auto"/>
            </w:tcBorders>
            <w:shd w:val="clear" w:color="auto" w:fill="C6EFCE"/>
            <w:noWrap/>
          </w:tcPr>
          <w:p w14:paraId="155BAABD" w14:textId="77777777" w:rsidR="00A345F4" w:rsidRDefault="005E2D4E">
            <w:pPr>
              <w:pStyle w:val="P68B1DB1-Normal14"/>
              <w:spacing w:after="0" w:line="240" w:lineRule="auto"/>
              <w:jc w:val="both"/>
              <w:rPr>
                <w:rFonts w:eastAsia="Times New Roman"/>
                <w:noProof/>
              </w:rPr>
            </w:pPr>
            <w:r>
              <w:rPr>
                <w:noProof/>
              </w:rPr>
              <w:t>T3</w:t>
            </w:r>
          </w:p>
        </w:tc>
        <w:tc>
          <w:tcPr>
            <w:tcW w:w="850" w:type="dxa"/>
            <w:tcBorders>
              <w:top w:val="nil"/>
              <w:left w:val="single" w:sz="4" w:space="0" w:color="auto"/>
              <w:bottom w:val="single" w:sz="4" w:space="0" w:color="auto"/>
              <w:right w:val="single" w:sz="4" w:space="0" w:color="auto"/>
            </w:tcBorders>
            <w:shd w:val="clear" w:color="auto" w:fill="C6EFCE"/>
            <w:noWrap/>
          </w:tcPr>
          <w:p w14:paraId="78B1CE34" w14:textId="77777777" w:rsidR="00A345F4" w:rsidRDefault="005E2D4E">
            <w:pPr>
              <w:pStyle w:val="P68B1DB1-Normal14"/>
              <w:spacing w:after="0" w:line="240" w:lineRule="auto"/>
              <w:jc w:val="both"/>
              <w:rPr>
                <w:rFonts w:eastAsia="Times New Roman"/>
                <w:noProof/>
              </w:rPr>
            </w:pPr>
            <w:r>
              <w:rPr>
                <w:noProof/>
              </w:rPr>
              <w:t>2022</w:t>
            </w:r>
          </w:p>
        </w:tc>
        <w:tc>
          <w:tcPr>
            <w:tcW w:w="3294" w:type="dxa"/>
            <w:tcBorders>
              <w:top w:val="nil"/>
              <w:left w:val="single" w:sz="4" w:space="0" w:color="auto"/>
              <w:bottom w:val="single" w:sz="4" w:space="0" w:color="auto"/>
              <w:right w:val="single" w:sz="4" w:space="0" w:color="auto"/>
            </w:tcBorders>
            <w:shd w:val="clear" w:color="auto" w:fill="C6EFCE"/>
            <w:noWrap/>
          </w:tcPr>
          <w:p w14:paraId="58408DE9" w14:textId="77777777" w:rsidR="00A345F4" w:rsidRDefault="005E2D4E">
            <w:pPr>
              <w:pStyle w:val="P68B1DB1-Normal14"/>
              <w:spacing w:after="0" w:line="240" w:lineRule="auto"/>
              <w:jc w:val="both"/>
              <w:rPr>
                <w:noProof/>
              </w:rPr>
            </w:pPr>
            <w:r>
              <w:rPr>
                <w:noProof/>
              </w:rPr>
              <w:t>Entrée en vigueur des ordonnances ministérielles (OM) modifiées suivantes, conformément aux règles contraignantes en matière de boisement et de reboisement prévues dans la stratégie nationale pour les forêts 2020-2030:</w:t>
            </w:r>
          </w:p>
          <w:p w14:paraId="3F910893" w14:textId="77777777" w:rsidR="00A345F4" w:rsidRDefault="005E2D4E">
            <w:pPr>
              <w:pStyle w:val="P68B1DB1-Normal14"/>
              <w:numPr>
                <w:ilvl w:val="0"/>
                <w:numId w:val="4"/>
              </w:numPr>
              <w:spacing w:before="120" w:after="0" w:line="240" w:lineRule="auto"/>
              <w:ind w:left="317"/>
              <w:jc w:val="both"/>
              <w:rPr>
                <w:noProof/>
              </w:rPr>
            </w:pPr>
            <w:r>
              <w:rPr>
                <w:noProof/>
              </w:rPr>
              <w:t>Arrêté n° 766/2018 relatif à l'élaboration et à la modification des plans de gestion forestière, y compris des dispositions relatives à l'utilisation des terres forestières, ainsi que de la méthodologie relative à l'approbation des quotas annuels de récolte de jets de vent.</w:t>
            </w:r>
          </w:p>
          <w:p w14:paraId="3A02BC94" w14:textId="77777777" w:rsidR="00A345F4" w:rsidRDefault="005E2D4E">
            <w:pPr>
              <w:pStyle w:val="P68B1DB1-Normal14"/>
              <w:numPr>
                <w:ilvl w:val="0"/>
                <w:numId w:val="4"/>
              </w:numPr>
              <w:spacing w:before="120" w:after="0" w:line="240" w:lineRule="auto"/>
              <w:ind w:left="317"/>
              <w:jc w:val="both"/>
              <w:rPr>
                <w:noProof/>
              </w:rPr>
            </w:pPr>
            <w:r>
              <w:rPr>
                <w:noProof/>
              </w:rPr>
              <w:t>Arrêté n° 1648/2000 portant approbation des règles techniques relatives aux compositions, schémas et techniques de régénération des forêts et de boisement des terres dégradées</w:t>
            </w:r>
          </w:p>
          <w:p w14:paraId="1609570E" w14:textId="77777777" w:rsidR="00A345F4" w:rsidRDefault="005E2D4E">
            <w:pPr>
              <w:pStyle w:val="P68B1DB1-Normal14"/>
              <w:numPr>
                <w:ilvl w:val="0"/>
                <w:numId w:val="4"/>
              </w:numPr>
              <w:spacing w:before="120" w:after="0" w:line="240" w:lineRule="auto"/>
              <w:ind w:left="317"/>
              <w:jc w:val="both"/>
              <w:rPr>
                <w:noProof/>
              </w:rPr>
            </w:pPr>
            <w:r>
              <w:rPr>
                <w:noProof/>
              </w:rPr>
              <w:t>Arrêté n° 1649/2000 portant approbation des Normes techniques pour l'entretien et la gestion des stands</w:t>
            </w:r>
          </w:p>
          <w:p w14:paraId="7F5D6D07" w14:textId="77777777" w:rsidR="00A345F4" w:rsidRDefault="005E2D4E">
            <w:pPr>
              <w:pStyle w:val="P68B1DB1-Normal14"/>
              <w:numPr>
                <w:ilvl w:val="0"/>
                <w:numId w:val="4"/>
              </w:numPr>
              <w:spacing w:before="120" w:after="0" w:line="240" w:lineRule="auto"/>
              <w:ind w:left="317"/>
              <w:jc w:val="both"/>
              <w:rPr>
                <w:noProof/>
              </w:rPr>
            </w:pPr>
            <w:r>
              <w:rPr>
                <w:noProof/>
              </w:rPr>
              <w:t>Arrêté n° 1650/2000 relatif à l'approbation des Normes Techniques sur le choix et l'application des traitements</w:t>
            </w:r>
          </w:p>
          <w:p w14:paraId="3E2CA78B" w14:textId="77777777" w:rsidR="00A345F4" w:rsidRDefault="005E2D4E">
            <w:pPr>
              <w:pStyle w:val="P68B1DB1-Normal14"/>
              <w:numPr>
                <w:ilvl w:val="0"/>
                <w:numId w:val="4"/>
              </w:numPr>
              <w:spacing w:before="120" w:after="0" w:line="240" w:lineRule="auto"/>
              <w:ind w:left="317"/>
              <w:jc w:val="both"/>
              <w:rPr>
                <w:noProof/>
              </w:rPr>
            </w:pPr>
            <w:r>
              <w:rPr>
                <w:noProof/>
              </w:rPr>
              <w:t>Arrêté n° 1653/2000 relatif à l'approbation des Normes techniques concernant le contrôle annuel des régénérations</w:t>
            </w:r>
          </w:p>
          <w:p w14:paraId="52245F07" w14:textId="77777777" w:rsidR="00A345F4" w:rsidRDefault="005E2D4E">
            <w:pPr>
              <w:pStyle w:val="P68B1DB1-Normal14"/>
              <w:numPr>
                <w:ilvl w:val="0"/>
                <w:numId w:val="4"/>
              </w:numPr>
              <w:spacing w:before="120" w:after="0" w:line="240" w:lineRule="auto"/>
              <w:ind w:left="317"/>
              <w:jc w:val="both"/>
              <w:rPr>
                <w:noProof/>
              </w:rPr>
            </w:pPr>
            <w:r>
              <w:rPr>
                <w:noProof/>
              </w:rPr>
              <w:t>Arrêté n° 1672/2000 relatif à l'approbation des Normes techniques de gestion forestière</w:t>
            </w:r>
          </w:p>
        </w:tc>
      </w:tr>
      <w:tr w:rsidR="00A345F4" w14:paraId="236B3F49" w14:textId="77777777" w:rsidTr="000431DB">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3C649F17" w14:textId="77777777" w:rsidR="00A345F4" w:rsidRDefault="005E2D4E">
            <w:pPr>
              <w:pStyle w:val="P68B1DB1-Normal14"/>
              <w:spacing w:after="0" w:line="240" w:lineRule="auto"/>
              <w:jc w:val="center"/>
              <w:rPr>
                <w:rFonts w:eastAsia="Times New Roman"/>
                <w:noProof/>
              </w:rPr>
            </w:pPr>
            <w:r>
              <w:rPr>
                <w:noProof/>
              </w:rPr>
              <w:t>24</w:t>
            </w:r>
          </w:p>
        </w:tc>
        <w:tc>
          <w:tcPr>
            <w:tcW w:w="1619" w:type="dxa"/>
            <w:tcBorders>
              <w:top w:val="nil"/>
              <w:left w:val="single" w:sz="4" w:space="0" w:color="auto"/>
              <w:bottom w:val="single" w:sz="4" w:space="0" w:color="auto"/>
              <w:right w:val="single" w:sz="4" w:space="0" w:color="auto"/>
            </w:tcBorders>
            <w:shd w:val="clear" w:color="auto" w:fill="C6EFCE"/>
            <w:noWrap/>
          </w:tcPr>
          <w:p w14:paraId="7B37F9B0" w14:textId="77777777" w:rsidR="00A345F4" w:rsidRDefault="005E2D4E">
            <w:pPr>
              <w:pStyle w:val="P68B1DB1-Normal14"/>
              <w:spacing w:after="0" w:line="240" w:lineRule="auto"/>
              <w:jc w:val="both"/>
              <w:rPr>
                <w:rFonts w:eastAsia="Times New Roman"/>
                <w:noProof/>
              </w:rPr>
            </w:pPr>
            <w:r>
              <w:rPr>
                <w:noProof/>
              </w:rPr>
              <w:t xml:space="preserve">Réforme 1. Réforme des systèmes de gestion et de gouvernance des forêts au moyen d’une nouvelle stratégie nationale pour les forêts et d’actes juridiques ultérieurs </w:t>
            </w:r>
          </w:p>
        </w:tc>
        <w:tc>
          <w:tcPr>
            <w:tcW w:w="1276" w:type="dxa"/>
            <w:tcBorders>
              <w:top w:val="nil"/>
              <w:left w:val="single" w:sz="4" w:space="0" w:color="auto"/>
              <w:bottom w:val="single" w:sz="4" w:space="0" w:color="auto"/>
              <w:right w:val="single" w:sz="4" w:space="0" w:color="auto"/>
            </w:tcBorders>
            <w:shd w:val="clear" w:color="auto" w:fill="C6EFCE"/>
            <w:noWrap/>
          </w:tcPr>
          <w:p w14:paraId="2D72C7F4" w14:textId="77777777" w:rsidR="00A345F4" w:rsidRDefault="005E2D4E">
            <w:pPr>
              <w:pStyle w:val="P68B1DB1-Normal14"/>
              <w:spacing w:after="0" w:line="240" w:lineRule="auto"/>
              <w:jc w:val="center"/>
              <w:rPr>
                <w:rFonts w:eastAsia="Times New Roman"/>
                <w:noProof/>
              </w:rPr>
            </w:pPr>
            <w:r>
              <w:rPr>
                <w:noProof/>
              </w:rPr>
              <w:t>Étape</w:t>
            </w:r>
          </w:p>
        </w:tc>
        <w:tc>
          <w:tcPr>
            <w:tcW w:w="1578" w:type="dxa"/>
            <w:tcBorders>
              <w:top w:val="nil"/>
              <w:left w:val="single" w:sz="4" w:space="0" w:color="auto"/>
              <w:bottom w:val="single" w:sz="4" w:space="0" w:color="auto"/>
              <w:right w:val="single" w:sz="4" w:space="0" w:color="auto"/>
            </w:tcBorders>
            <w:shd w:val="clear" w:color="auto" w:fill="C6EFCE"/>
            <w:noWrap/>
          </w:tcPr>
          <w:p w14:paraId="276DAE97" w14:textId="77777777" w:rsidR="00A345F4" w:rsidRDefault="005E2D4E">
            <w:pPr>
              <w:pStyle w:val="P68B1DB1-Normal14"/>
              <w:spacing w:after="0" w:line="240" w:lineRule="auto"/>
              <w:jc w:val="both"/>
              <w:rPr>
                <w:noProof/>
              </w:rPr>
            </w:pPr>
            <w:r>
              <w:rPr>
                <w:noProof/>
              </w:rPr>
              <w:t>Entrée en vigueur des actes législatifs modifiant et complétant la législation existante sur les forêts</w:t>
            </w:r>
          </w:p>
          <w:p w14:paraId="35CF8D4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760" w:type="dxa"/>
            <w:tcBorders>
              <w:top w:val="nil"/>
              <w:left w:val="single" w:sz="4" w:space="0" w:color="auto"/>
              <w:bottom w:val="single" w:sz="4" w:space="0" w:color="auto"/>
              <w:right w:val="single" w:sz="4" w:space="0" w:color="auto"/>
            </w:tcBorders>
            <w:shd w:val="clear" w:color="auto" w:fill="C6EFCE"/>
            <w:noWrap/>
          </w:tcPr>
          <w:p w14:paraId="766ACB81" w14:textId="77777777" w:rsidR="00A345F4" w:rsidRDefault="005E2D4E">
            <w:pPr>
              <w:pStyle w:val="P68B1DB1-Normal14"/>
              <w:spacing w:after="0" w:line="240" w:lineRule="auto"/>
              <w:jc w:val="both"/>
              <w:rPr>
                <w:rFonts w:eastAsia="Times New Roman"/>
                <w:noProof/>
              </w:rPr>
            </w:pPr>
            <w:r>
              <w:rPr>
                <w:noProof/>
              </w:rPr>
              <w:t xml:space="preserve">Disposition de la loi indiquant l'entrée en vigueur des actes législatifs </w:t>
            </w:r>
          </w:p>
        </w:tc>
        <w:tc>
          <w:tcPr>
            <w:tcW w:w="1088" w:type="dxa"/>
            <w:tcBorders>
              <w:top w:val="nil"/>
              <w:left w:val="single" w:sz="4" w:space="0" w:color="auto"/>
              <w:bottom w:val="single" w:sz="4" w:space="0" w:color="auto"/>
              <w:right w:val="single" w:sz="4" w:space="0" w:color="auto"/>
            </w:tcBorders>
            <w:shd w:val="clear" w:color="auto" w:fill="C6EFCE"/>
            <w:noWrap/>
          </w:tcPr>
          <w:p w14:paraId="7A0E0C58" w14:textId="77777777" w:rsidR="00A345F4" w:rsidRDefault="005E2D4E">
            <w:pPr>
              <w:pStyle w:val="P68B1DB1-Normal14"/>
              <w:spacing w:after="0" w:line="240" w:lineRule="auto"/>
              <w:jc w:val="both"/>
              <w:rPr>
                <w:rFonts w:eastAsia="Times New Roman"/>
                <w:noProof/>
              </w:rPr>
            </w:pPr>
            <w:r>
              <w:rPr>
                <w:noProof/>
              </w:rPr>
              <w:t xml:space="preserve"> </w:t>
            </w:r>
          </w:p>
        </w:tc>
        <w:tc>
          <w:tcPr>
            <w:tcW w:w="1357" w:type="dxa"/>
            <w:tcBorders>
              <w:top w:val="nil"/>
              <w:left w:val="single" w:sz="4" w:space="0" w:color="auto"/>
              <w:bottom w:val="single" w:sz="4" w:space="0" w:color="auto"/>
              <w:right w:val="single" w:sz="4" w:space="0" w:color="auto"/>
            </w:tcBorders>
            <w:shd w:val="clear" w:color="auto" w:fill="C6EFCE"/>
            <w:noWrap/>
          </w:tcPr>
          <w:p w14:paraId="07FC8F2C" w14:textId="77777777" w:rsidR="00A345F4" w:rsidRDefault="005E2D4E">
            <w:pPr>
              <w:pStyle w:val="P68B1DB1-Normal14"/>
              <w:spacing w:after="0" w:line="240" w:lineRule="auto"/>
              <w:jc w:val="both"/>
              <w:rPr>
                <w:rFonts w:eastAsia="Times New Roman"/>
                <w:noProof/>
              </w:rPr>
            </w:pPr>
            <w:r>
              <w:rPr>
                <w:noProof/>
              </w:rPr>
              <w:t xml:space="preserve"> </w:t>
            </w:r>
          </w:p>
        </w:tc>
        <w:tc>
          <w:tcPr>
            <w:tcW w:w="1089" w:type="dxa"/>
            <w:tcBorders>
              <w:top w:val="nil"/>
              <w:left w:val="single" w:sz="4" w:space="0" w:color="auto"/>
              <w:bottom w:val="single" w:sz="4" w:space="0" w:color="auto"/>
              <w:right w:val="single" w:sz="4" w:space="0" w:color="auto"/>
            </w:tcBorders>
            <w:shd w:val="clear" w:color="auto" w:fill="C6EFCE"/>
            <w:noWrap/>
          </w:tcPr>
          <w:p w14:paraId="7F0D408E" w14:textId="77777777" w:rsidR="00A345F4" w:rsidRDefault="005E2D4E">
            <w:pPr>
              <w:pStyle w:val="P68B1DB1-Normal14"/>
              <w:spacing w:after="0" w:line="240" w:lineRule="auto"/>
              <w:jc w:val="both"/>
              <w:rPr>
                <w:rFonts w:eastAsia="Times New Roman"/>
                <w:noProof/>
              </w:rPr>
            </w:pPr>
            <w:r>
              <w:rPr>
                <w:noProof/>
              </w:rPr>
              <w:t xml:space="preserve"> </w:t>
            </w:r>
          </w:p>
        </w:tc>
        <w:tc>
          <w:tcPr>
            <w:tcW w:w="1134" w:type="dxa"/>
            <w:tcBorders>
              <w:top w:val="nil"/>
              <w:left w:val="single" w:sz="4" w:space="0" w:color="auto"/>
              <w:bottom w:val="single" w:sz="4" w:space="0" w:color="auto"/>
              <w:right w:val="single" w:sz="4" w:space="0" w:color="auto"/>
            </w:tcBorders>
            <w:shd w:val="clear" w:color="auto" w:fill="C6EFCE"/>
            <w:noWrap/>
          </w:tcPr>
          <w:p w14:paraId="3A7282EB" w14:textId="77777777" w:rsidR="00A345F4" w:rsidRDefault="005E2D4E">
            <w:pPr>
              <w:pStyle w:val="P68B1DB1-Normal14"/>
              <w:spacing w:after="0" w:line="240" w:lineRule="auto"/>
              <w:jc w:val="both"/>
              <w:rPr>
                <w:rFonts w:eastAsia="Times New Roman"/>
                <w:noProof/>
              </w:rPr>
            </w:pPr>
            <w:r>
              <w:rPr>
                <w:noProof/>
              </w:rPr>
              <w:t>T4</w:t>
            </w:r>
          </w:p>
        </w:tc>
        <w:tc>
          <w:tcPr>
            <w:tcW w:w="850" w:type="dxa"/>
            <w:tcBorders>
              <w:top w:val="nil"/>
              <w:left w:val="single" w:sz="4" w:space="0" w:color="auto"/>
              <w:bottom w:val="single" w:sz="4" w:space="0" w:color="auto"/>
              <w:right w:val="single" w:sz="4" w:space="0" w:color="auto"/>
            </w:tcBorders>
            <w:shd w:val="clear" w:color="auto" w:fill="C6EFCE"/>
            <w:noWrap/>
          </w:tcPr>
          <w:p w14:paraId="56154A9C" w14:textId="77777777" w:rsidR="00A345F4" w:rsidRDefault="005E2D4E">
            <w:pPr>
              <w:pStyle w:val="P68B1DB1-Normal14"/>
              <w:spacing w:after="0" w:line="240" w:lineRule="auto"/>
              <w:jc w:val="both"/>
              <w:rPr>
                <w:rFonts w:eastAsia="Times New Roman"/>
                <w:noProof/>
              </w:rPr>
            </w:pPr>
            <w:r>
              <w:rPr>
                <w:noProof/>
              </w:rPr>
              <w:t>2025</w:t>
            </w:r>
          </w:p>
        </w:tc>
        <w:tc>
          <w:tcPr>
            <w:tcW w:w="3294" w:type="dxa"/>
            <w:tcBorders>
              <w:top w:val="nil"/>
              <w:left w:val="single" w:sz="4" w:space="0" w:color="auto"/>
              <w:bottom w:val="single" w:sz="4" w:space="0" w:color="auto"/>
              <w:right w:val="single" w:sz="4" w:space="0" w:color="auto"/>
            </w:tcBorders>
            <w:shd w:val="clear" w:color="auto" w:fill="C6EFCE"/>
            <w:noWrap/>
          </w:tcPr>
          <w:p w14:paraId="09DC2954" w14:textId="77777777" w:rsidR="00A345F4" w:rsidRDefault="005E2D4E">
            <w:pPr>
              <w:pStyle w:val="P68B1DB1-Normal14"/>
              <w:spacing w:after="0" w:line="240" w:lineRule="auto"/>
              <w:jc w:val="both"/>
              <w:rPr>
                <w:noProof/>
              </w:rPr>
            </w:pPr>
            <w:r>
              <w:rPr>
                <w:noProof/>
              </w:rPr>
              <w:t xml:space="preserve">Entrée en vigueur des actes juridiques: </w:t>
            </w:r>
          </w:p>
          <w:p w14:paraId="5E2A2925" w14:textId="77777777" w:rsidR="00A345F4" w:rsidRDefault="005E2D4E">
            <w:pPr>
              <w:pStyle w:val="P68B1DB1-Normal14"/>
              <w:spacing w:after="0" w:line="240" w:lineRule="auto"/>
              <w:jc w:val="both"/>
              <w:rPr>
                <w:noProof/>
              </w:rPr>
            </w:pPr>
            <w:r>
              <w:rPr>
                <w:noProof/>
              </w:rPr>
              <w:t>i) en apportant des modifications au système de sanctions pénales;</w:t>
            </w:r>
          </w:p>
          <w:p w14:paraId="12796209" w14:textId="77777777" w:rsidR="00A345F4" w:rsidRDefault="005E2D4E">
            <w:pPr>
              <w:pStyle w:val="P68B1DB1-Normal14"/>
              <w:spacing w:after="0" w:line="240" w:lineRule="auto"/>
              <w:jc w:val="both"/>
              <w:rPr>
                <w:noProof/>
              </w:rPr>
            </w:pPr>
            <w:r>
              <w:rPr>
                <w:noProof/>
              </w:rPr>
              <w:t>ii) établir les méthodes d'évaluation des dommages causés à la végétation forestière dans les forêts et au-delà;</w:t>
            </w:r>
          </w:p>
          <w:p w14:paraId="55B2B4D5" w14:textId="77777777" w:rsidR="00A345F4" w:rsidRDefault="005E2D4E">
            <w:pPr>
              <w:pStyle w:val="P68B1DB1-Normal14"/>
              <w:spacing w:after="0" w:line="240" w:lineRule="auto"/>
              <w:jc w:val="both"/>
              <w:rPr>
                <w:noProof/>
              </w:rPr>
            </w:pPr>
            <w:r>
              <w:rPr>
                <w:noProof/>
              </w:rPr>
              <w:t xml:space="preserve">iii) la sanction des infractions forestières, l’établissement de méthodes de calcul des dommages environnementaux et financiers causés par l’exploitation illégale des forêts et d’autres formes de criminalité forestière, </w:t>
            </w:r>
          </w:p>
          <w:p w14:paraId="43D026BF" w14:textId="436FE447" w:rsidR="00A345F4" w:rsidRDefault="005E2D4E">
            <w:pPr>
              <w:pStyle w:val="P68B1DB1-Normal14"/>
              <w:spacing w:after="0" w:line="240" w:lineRule="auto"/>
              <w:jc w:val="both"/>
              <w:rPr>
                <w:rFonts w:eastAsia="Times New Roman"/>
                <w:noProof/>
              </w:rPr>
            </w:pPr>
            <w:r>
              <w:rPr>
                <w:noProof/>
              </w:rPr>
              <w:t>iv) y compris des dispositions visant à lutter contre l’exploitation illégale des forêts et à réorganiser la gestion des forêts (décision gouvernementale no 229/2009).</w:t>
            </w:r>
          </w:p>
        </w:tc>
      </w:tr>
      <w:tr w:rsidR="00A345F4" w14:paraId="786E9BFD" w14:textId="77777777" w:rsidTr="000431DB">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64679B73" w14:textId="77777777" w:rsidR="00A345F4" w:rsidRDefault="005E2D4E">
            <w:pPr>
              <w:pStyle w:val="P68B1DB1-Normal14"/>
              <w:spacing w:after="0" w:line="240" w:lineRule="auto"/>
              <w:jc w:val="center"/>
              <w:rPr>
                <w:rFonts w:eastAsia="Times New Roman"/>
                <w:noProof/>
              </w:rPr>
            </w:pPr>
            <w:r>
              <w:rPr>
                <w:noProof/>
              </w:rPr>
              <w:t>26</w:t>
            </w:r>
          </w:p>
        </w:tc>
        <w:tc>
          <w:tcPr>
            <w:tcW w:w="1619" w:type="dxa"/>
            <w:tcBorders>
              <w:top w:val="nil"/>
              <w:left w:val="single" w:sz="4" w:space="0" w:color="auto"/>
              <w:bottom w:val="single" w:sz="4" w:space="0" w:color="auto"/>
              <w:right w:val="single" w:sz="4" w:space="0" w:color="auto"/>
            </w:tcBorders>
            <w:shd w:val="clear" w:color="auto" w:fill="C6EFCE"/>
            <w:noWrap/>
          </w:tcPr>
          <w:p w14:paraId="75C37300" w14:textId="77777777" w:rsidR="00A345F4" w:rsidRDefault="005E2D4E">
            <w:pPr>
              <w:pStyle w:val="P68B1DB1-Normal14"/>
              <w:spacing w:after="0" w:line="240" w:lineRule="auto"/>
              <w:rPr>
                <w:rFonts w:eastAsia="Times New Roman"/>
                <w:noProof/>
              </w:rPr>
            </w:pPr>
            <w:r>
              <w:rPr>
                <w:noProof/>
              </w:rPr>
              <w:t>Investissement 1. Campagne nationale de boisement et de reboisement, y compris les forêts urbaines</w:t>
            </w:r>
          </w:p>
        </w:tc>
        <w:tc>
          <w:tcPr>
            <w:tcW w:w="1276" w:type="dxa"/>
            <w:tcBorders>
              <w:top w:val="nil"/>
              <w:left w:val="single" w:sz="4" w:space="0" w:color="auto"/>
              <w:bottom w:val="single" w:sz="4" w:space="0" w:color="auto"/>
              <w:right w:val="single" w:sz="4" w:space="0" w:color="auto"/>
            </w:tcBorders>
            <w:shd w:val="clear" w:color="auto" w:fill="C6EFCE"/>
            <w:noWrap/>
          </w:tcPr>
          <w:p w14:paraId="661FBA3D" w14:textId="77777777" w:rsidR="00A345F4" w:rsidRDefault="005E2D4E">
            <w:pPr>
              <w:pStyle w:val="P68B1DB1-Normal14"/>
              <w:spacing w:after="0" w:line="240" w:lineRule="auto"/>
              <w:jc w:val="center"/>
              <w:rPr>
                <w:rFonts w:eastAsia="Times New Roman"/>
                <w:noProof/>
              </w:rPr>
            </w:pPr>
            <w:r>
              <w:rPr>
                <w:noProof/>
              </w:rPr>
              <w:t>Objectif</w:t>
            </w:r>
          </w:p>
        </w:tc>
        <w:tc>
          <w:tcPr>
            <w:tcW w:w="1578" w:type="dxa"/>
            <w:tcBorders>
              <w:top w:val="nil"/>
              <w:left w:val="single" w:sz="4" w:space="0" w:color="auto"/>
              <w:bottom w:val="single" w:sz="4" w:space="0" w:color="auto"/>
              <w:right w:val="single" w:sz="4" w:space="0" w:color="auto"/>
            </w:tcBorders>
            <w:shd w:val="clear" w:color="auto" w:fill="C6EFCE"/>
            <w:noWrap/>
          </w:tcPr>
          <w:p w14:paraId="78900811" w14:textId="50D8920E" w:rsidR="00A345F4" w:rsidRDefault="005E2D4E">
            <w:pPr>
              <w:pStyle w:val="P68B1DB1-Normal14"/>
              <w:spacing w:after="0" w:line="240" w:lineRule="auto"/>
              <w:jc w:val="both"/>
              <w:rPr>
                <w:rFonts w:eastAsia="Times New Roman"/>
                <w:noProof/>
              </w:rPr>
            </w:pPr>
            <w:r>
              <w:rPr>
                <w:noProof/>
              </w:rPr>
              <w:t>Nouvelles superficies de terres boisées ou reboisées</w:t>
            </w:r>
          </w:p>
        </w:tc>
        <w:tc>
          <w:tcPr>
            <w:tcW w:w="1760" w:type="dxa"/>
            <w:tcBorders>
              <w:top w:val="nil"/>
              <w:left w:val="single" w:sz="4" w:space="0" w:color="auto"/>
              <w:bottom w:val="single" w:sz="4" w:space="0" w:color="auto"/>
              <w:right w:val="single" w:sz="4" w:space="0" w:color="auto"/>
            </w:tcBorders>
            <w:shd w:val="clear" w:color="auto" w:fill="C6EFCE"/>
            <w:noWrap/>
          </w:tcPr>
          <w:p w14:paraId="4892676A" w14:textId="77777777" w:rsidR="00A345F4" w:rsidRDefault="005E2D4E">
            <w:pPr>
              <w:pStyle w:val="P68B1DB1-Normal14"/>
              <w:spacing w:after="0" w:line="240" w:lineRule="auto"/>
              <w:jc w:val="both"/>
              <w:rPr>
                <w:rFonts w:eastAsia="Times New Roman"/>
                <w:noProof/>
              </w:rPr>
            </w:pPr>
            <w:r>
              <w:rPr>
                <w:noProof/>
              </w:rPr>
              <w:t xml:space="preserve"> </w:t>
            </w:r>
          </w:p>
        </w:tc>
        <w:tc>
          <w:tcPr>
            <w:tcW w:w="1088" w:type="dxa"/>
            <w:tcBorders>
              <w:top w:val="nil"/>
              <w:left w:val="single" w:sz="4" w:space="0" w:color="auto"/>
              <w:bottom w:val="single" w:sz="4" w:space="0" w:color="auto"/>
              <w:right w:val="single" w:sz="4" w:space="0" w:color="auto"/>
            </w:tcBorders>
            <w:shd w:val="clear" w:color="auto" w:fill="C6EFCE"/>
            <w:noWrap/>
          </w:tcPr>
          <w:p w14:paraId="3396356F" w14:textId="77777777" w:rsidR="00A345F4" w:rsidRDefault="005E2D4E">
            <w:pPr>
              <w:pStyle w:val="P68B1DB1-Normal14"/>
              <w:spacing w:after="0" w:line="240" w:lineRule="auto"/>
              <w:jc w:val="both"/>
              <w:rPr>
                <w:rFonts w:eastAsia="Times New Roman"/>
                <w:noProof/>
              </w:rPr>
            </w:pPr>
            <w:r>
              <w:rPr>
                <w:noProof/>
              </w:rPr>
              <w:t>ha</w:t>
            </w:r>
          </w:p>
        </w:tc>
        <w:tc>
          <w:tcPr>
            <w:tcW w:w="1357" w:type="dxa"/>
            <w:tcBorders>
              <w:top w:val="nil"/>
              <w:left w:val="single" w:sz="4" w:space="0" w:color="auto"/>
              <w:bottom w:val="single" w:sz="4" w:space="0" w:color="auto"/>
              <w:right w:val="single" w:sz="4" w:space="0" w:color="auto"/>
            </w:tcBorders>
            <w:shd w:val="clear" w:color="auto" w:fill="C6EFCE"/>
            <w:noWrap/>
          </w:tcPr>
          <w:p w14:paraId="248CBAB1" w14:textId="77777777" w:rsidR="00A345F4" w:rsidRDefault="005E2D4E">
            <w:pPr>
              <w:pStyle w:val="P68B1DB1-Normal14"/>
              <w:spacing w:after="0" w:line="240" w:lineRule="auto"/>
              <w:jc w:val="both"/>
              <w:rPr>
                <w:rFonts w:eastAsia="Times New Roman"/>
                <w:noProof/>
              </w:rPr>
            </w:pPr>
            <w:r>
              <w:rPr>
                <w:noProof/>
              </w:rPr>
              <w:t>0</w:t>
            </w:r>
          </w:p>
        </w:tc>
        <w:tc>
          <w:tcPr>
            <w:tcW w:w="1089" w:type="dxa"/>
            <w:tcBorders>
              <w:top w:val="nil"/>
              <w:left w:val="single" w:sz="4" w:space="0" w:color="auto"/>
              <w:bottom w:val="single" w:sz="4" w:space="0" w:color="auto"/>
              <w:right w:val="single" w:sz="4" w:space="0" w:color="auto"/>
            </w:tcBorders>
            <w:shd w:val="clear" w:color="auto" w:fill="C6EFCE"/>
            <w:noWrap/>
          </w:tcPr>
          <w:p w14:paraId="45E2EA33" w14:textId="77777777" w:rsidR="00A345F4" w:rsidRDefault="005E2D4E">
            <w:pPr>
              <w:pStyle w:val="P68B1DB1-Normal14"/>
              <w:spacing w:after="0" w:line="240" w:lineRule="auto"/>
              <w:jc w:val="both"/>
              <w:rPr>
                <w:rFonts w:eastAsia="Times New Roman"/>
                <w:noProof/>
              </w:rPr>
            </w:pPr>
            <w:r>
              <w:rPr>
                <w:noProof/>
              </w:rPr>
              <w:t xml:space="preserve">18 000 </w:t>
            </w:r>
          </w:p>
        </w:tc>
        <w:tc>
          <w:tcPr>
            <w:tcW w:w="1134" w:type="dxa"/>
            <w:tcBorders>
              <w:top w:val="nil"/>
              <w:left w:val="single" w:sz="4" w:space="0" w:color="auto"/>
              <w:bottom w:val="single" w:sz="4" w:space="0" w:color="auto"/>
              <w:right w:val="single" w:sz="4" w:space="0" w:color="auto"/>
            </w:tcBorders>
            <w:shd w:val="clear" w:color="auto" w:fill="C6EFCE"/>
            <w:noWrap/>
          </w:tcPr>
          <w:p w14:paraId="2D3F6E76"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nil"/>
              <w:left w:val="single" w:sz="4" w:space="0" w:color="auto"/>
              <w:bottom w:val="single" w:sz="4" w:space="0" w:color="auto"/>
              <w:right w:val="single" w:sz="4" w:space="0" w:color="auto"/>
            </w:tcBorders>
            <w:shd w:val="clear" w:color="auto" w:fill="C6EFCE"/>
            <w:noWrap/>
          </w:tcPr>
          <w:p w14:paraId="757D66BA" w14:textId="77777777" w:rsidR="00A345F4" w:rsidRDefault="005E2D4E">
            <w:pPr>
              <w:pStyle w:val="P68B1DB1-Normal14"/>
              <w:spacing w:after="0" w:line="240" w:lineRule="auto"/>
              <w:jc w:val="both"/>
              <w:rPr>
                <w:rFonts w:eastAsia="Times New Roman"/>
                <w:noProof/>
              </w:rPr>
            </w:pPr>
            <w:r>
              <w:rPr>
                <w:noProof/>
              </w:rPr>
              <w:t>2026</w:t>
            </w:r>
          </w:p>
        </w:tc>
        <w:tc>
          <w:tcPr>
            <w:tcW w:w="3294" w:type="dxa"/>
            <w:tcBorders>
              <w:top w:val="nil"/>
              <w:left w:val="single" w:sz="4" w:space="0" w:color="auto"/>
              <w:bottom w:val="single" w:sz="4" w:space="0" w:color="auto"/>
              <w:right w:val="single" w:sz="4" w:space="0" w:color="auto"/>
            </w:tcBorders>
            <w:shd w:val="clear" w:color="auto" w:fill="C6EFCE"/>
            <w:noWrap/>
          </w:tcPr>
          <w:p w14:paraId="75EF4D1F" w14:textId="1F67F98E" w:rsidR="00A345F4" w:rsidRDefault="005E2D4E">
            <w:pPr>
              <w:pStyle w:val="P68B1DB1-Normal14"/>
              <w:spacing w:after="0" w:line="240" w:lineRule="auto"/>
              <w:jc w:val="both"/>
              <w:rPr>
                <w:rFonts w:eastAsia="Times New Roman"/>
                <w:noProof/>
              </w:rPr>
            </w:pPr>
            <w:r>
              <w:rPr>
                <w:noProof/>
              </w:rPr>
              <w:t>Nouvelles superficies boisées ou reboisées (18 000 ha au total).</w:t>
            </w:r>
          </w:p>
        </w:tc>
      </w:tr>
      <w:tr w:rsidR="00A345F4" w14:paraId="2D5BFF7E" w14:textId="77777777" w:rsidTr="000431DB">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46633152" w14:textId="77777777" w:rsidR="00A345F4" w:rsidRDefault="005E2D4E">
            <w:pPr>
              <w:pStyle w:val="P68B1DB1-Normal14"/>
              <w:spacing w:after="0" w:line="240" w:lineRule="auto"/>
              <w:jc w:val="center"/>
              <w:rPr>
                <w:rFonts w:eastAsia="Times New Roman"/>
                <w:noProof/>
              </w:rPr>
            </w:pPr>
            <w:r>
              <w:rPr>
                <w:noProof/>
              </w:rPr>
              <w:t>28</w:t>
            </w:r>
          </w:p>
        </w:tc>
        <w:tc>
          <w:tcPr>
            <w:tcW w:w="1619" w:type="dxa"/>
            <w:tcBorders>
              <w:top w:val="nil"/>
              <w:left w:val="single" w:sz="4" w:space="0" w:color="auto"/>
              <w:bottom w:val="single" w:sz="4" w:space="0" w:color="auto"/>
              <w:right w:val="single" w:sz="4" w:space="0" w:color="auto"/>
            </w:tcBorders>
            <w:shd w:val="clear" w:color="auto" w:fill="C6EFCE"/>
            <w:noWrap/>
          </w:tcPr>
          <w:p w14:paraId="6667ECBB" w14:textId="77777777" w:rsidR="00A345F4" w:rsidRDefault="005E2D4E">
            <w:pPr>
              <w:pStyle w:val="P68B1DB1-Normal14"/>
              <w:spacing w:after="0" w:line="240" w:lineRule="auto"/>
              <w:jc w:val="both"/>
              <w:rPr>
                <w:rFonts w:eastAsia="Times New Roman"/>
                <w:noProof/>
              </w:rPr>
            </w:pPr>
            <w:r>
              <w:rPr>
                <w:noProof/>
              </w:rPr>
              <w:t>Investissement 1. Campagne nationale de boisement et de reboisement, y compris les forêts urbaines</w:t>
            </w:r>
          </w:p>
        </w:tc>
        <w:tc>
          <w:tcPr>
            <w:tcW w:w="1276" w:type="dxa"/>
            <w:tcBorders>
              <w:top w:val="nil"/>
              <w:left w:val="single" w:sz="4" w:space="0" w:color="auto"/>
              <w:bottom w:val="single" w:sz="4" w:space="0" w:color="auto"/>
              <w:right w:val="single" w:sz="4" w:space="0" w:color="auto"/>
            </w:tcBorders>
            <w:shd w:val="clear" w:color="auto" w:fill="C6EFCE"/>
            <w:noWrap/>
          </w:tcPr>
          <w:p w14:paraId="3BF1A8E3" w14:textId="77777777" w:rsidR="00A345F4" w:rsidRDefault="005E2D4E">
            <w:pPr>
              <w:pStyle w:val="P68B1DB1-Normal14"/>
              <w:spacing w:after="0" w:line="240" w:lineRule="auto"/>
              <w:jc w:val="center"/>
              <w:rPr>
                <w:rFonts w:eastAsia="Times New Roman"/>
                <w:noProof/>
              </w:rPr>
            </w:pPr>
            <w:r>
              <w:rPr>
                <w:noProof/>
              </w:rPr>
              <w:t>Objectif</w:t>
            </w:r>
          </w:p>
        </w:tc>
        <w:tc>
          <w:tcPr>
            <w:tcW w:w="1578" w:type="dxa"/>
            <w:tcBorders>
              <w:top w:val="nil"/>
              <w:left w:val="single" w:sz="4" w:space="0" w:color="auto"/>
              <w:bottom w:val="single" w:sz="4" w:space="0" w:color="auto"/>
              <w:right w:val="single" w:sz="4" w:space="0" w:color="auto"/>
            </w:tcBorders>
            <w:shd w:val="clear" w:color="auto" w:fill="C6EFCE"/>
            <w:noWrap/>
          </w:tcPr>
          <w:p w14:paraId="40E8D5F8" w14:textId="77777777" w:rsidR="00A345F4" w:rsidRDefault="005E2D4E">
            <w:pPr>
              <w:pStyle w:val="P68B1DB1-Normal14"/>
              <w:spacing w:after="0" w:line="240" w:lineRule="auto"/>
              <w:jc w:val="both"/>
              <w:rPr>
                <w:rFonts w:eastAsia="Times New Roman"/>
                <w:noProof/>
              </w:rPr>
            </w:pPr>
            <w:r>
              <w:rPr>
                <w:noProof/>
              </w:rPr>
              <w:t>Création de nouvelles zones de forêts urbaines</w:t>
            </w:r>
          </w:p>
          <w:p w14:paraId="3F656C34" w14:textId="77777777" w:rsidR="00A345F4" w:rsidRDefault="00A345F4">
            <w:pPr>
              <w:spacing w:after="0" w:line="240" w:lineRule="auto"/>
              <w:jc w:val="both"/>
              <w:rPr>
                <w:rFonts w:ascii="Times New Roman" w:eastAsia="Times New Roman" w:hAnsi="Times New Roman" w:cs="Times New Roman"/>
                <w:noProof/>
                <w:sz w:val="20"/>
                <w:szCs w:val="20"/>
              </w:rPr>
            </w:pPr>
          </w:p>
          <w:p w14:paraId="30F4C9F4" w14:textId="77777777" w:rsidR="00A345F4" w:rsidRDefault="005E2D4E">
            <w:pPr>
              <w:pStyle w:val="P68B1DB1-Normal14"/>
              <w:spacing w:after="0" w:line="240" w:lineRule="auto"/>
              <w:jc w:val="both"/>
              <w:rPr>
                <w:rFonts w:eastAsia="Times New Roman"/>
                <w:noProof/>
              </w:rPr>
            </w:pPr>
            <w:r>
              <w:rPr>
                <w:noProof/>
              </w:rPr>
              <w:t xml:space="preserve"> </w:t>
            </w:r>
          </w:p>
        </w:tc>
        <w:tc>
          <w:tcPr>
            <w:tcW w:w="1760" w:type="dxa"/>
            <w:tcBorders>
              <w:top w:val="nil"/>
              <w:left w:val="single" w:sz="4" w:space="0" w:color="auto"/>
              <w:bottom w:val="single" w:sz="4" w:space="0" w:color="auto"/>
              <w:right w:val="single" w:sz="4" w:space="0" w:color="auto"/>
            </w:tcBorders>
            <w:shd w:val="clear" w:color="auto" w:fill="C6EFCE"/>
            <w:noWrap/>
          </w:tcPr>
          <w:p w14:paraId="39F45EEC" w14:textId="77777777" w:rsidR="00A345F4" w:rsidRDefault="005E2D4E">
            <w:pPr>
              <w:pStyle w:val="P68B1DB1-Normal14"/>
              <w:spacing w:after="0" w:line="240" w:lineRule="auto"/>
              <w:jc w:val="both"/>
              <w:rPr>
                <w:rFonts w:eastAsia="Times New Roman"/>
                <w:noProof/>
              </w:rPr>
            </w:pPr>
            <w:r>
              <w:rPr>
                <w:noProof/>
              </w:rPr>
              <w:t xml:space="preserve"> </w:t>
            </w:r>
          </w:p>
        </w:tc>
        <w:tc>
          <w:tcPr>
            <w:tcW w:w="1088" w:type="dxa"/>
            <w:tcBorders>
              <w:top w:val="nil"/>
              <w:left w:val="single" w:sz="4" w:space="0" w:color="auto"/>
              <w:bottom w:val="single" w:sz="4" w:space="0" w:color="auto"/>
              <w:right w:val="single" w:sz="4" w:space="0" w:color="auto"/>
            </w:tcBorders>
            <w:shd w:val="clear" w:color="auto" w:fill="C6EFCE"/>
            <w:noWrap/>
          </w:tcPr>
          <w:p w14:paraId="6EEA4FEF" w14:textId="77777777" w:rsidR="00A345F4" w:rsidRDefault="005E2D4E">
            <w:pPr>
              <w:pStyle w:val="P68B1DB1-Normal14"/>
              <w:spacing w:after="0" w:line="240" w:lineRule="auto"/>
              <w:jc w:val="both"/>
              <w:rPr>
                <w:rFonts w:eastAsia="Times New Roman"/>
                <w:noProof/>
              </w:rPr>
            </w:pPr>
            <w:r>
              <w:rPr>
                <w:noProof/>
              </w:rPr>
              <w:t>m</w:t>
            </w:r>
            <w:r>
              <w:rPr>
                <w:noProof/>
                <w:vertAlign w:val="superscript"/>
              </w:rPr>
              <w:t xml:space="preserve"> 2</w:t>
            </w:r>
          </w:p>
        </w:tc>
        <w:tc>
          <w:tcPr>
            <w:tcW w:w="1357" w:type="dxa"/>
            <w:tcBorders>
              <w:top w:val="nil"/>
              <w:left w:val="single" w:sz="4" w:space="0" w:color="auto"/>
              <w:bottom w:val="single" w:sz="4" w:space="0" w:color="auto"/>
              <w:right w:val="single" w:sz="4" w:space="0" w:color="auto"/>
            </w:tcBorders>
            <w:shd w:val="clear" w:color="auto" w:fill="C6EFCE"/>
            <w:noWrap/>
          </w:tcPr>
          <w:p w14:paraId="2E09799D" w14:textId="77777777" w:rsidR="00A345F4" w:rsidRDefault="005E2D4E">
            <w:pPr>
              <w:pStyle w:val="P68B1DB1-Normal14"/>
              <w:spacing w:after="0" w:line="240" w:lineRule="auto"/>
              <w:jc w:val="both"/>
              <w:rPr>
                <w:rFonts w:eastAsia="Times New Roman"/>
                <w:noProof/>
              </w:rPr>
            </w:pPr>
            <w:r>
              <w:rPr>
                <w:noProof/>
              </w:rPr>
              <w:t>0</w:t>
            </w:r>
          </w:p>
        </w:tc>
        <w:tc>
          <w:tcPr>
            <w:tcW w:w="1089" w:type="dxa"/>
            <w:tcBorders>
              <w:top w:val="nil"/>
              <w:left w:val="single" w:sz="4" w:space="0" w:color="auto"/>
              <w:bottom w:val="single" w:sz="4" w:space="0" w:color="auto"/>
              <w:right w:val="single" w:sz="4" w:space="0" w:color="auto"/>
            </w:tcBorders>
            <w:shd w:val="clear" w:color="auto" w:fill="C6EFCE"/>
            <w:noWrap/>
          </w:tcPr>
          <w:p w14:paraId="3C8B4431" w14:textId="77777777" w:rsidR="00A345F4" w:rsidRDefault="005E2D4E">
            <w:pPr>
              <w:pStyle w:val="P68B1DB1-Normal14"/>
              <w:spacing w:after="0" w:line="240" w:lineRule="auto"/>
              <w:jc w:val="both"/>
              <w:rPr>
                <w:rFonts w:eastAsia="Times New Roman"/>
                <w:noProof/>
              </w:rPr>
            </w:pPr>
            <w:r>
              <w:rPr>
                <w:noProof/>
              </w:rPr>
              <w:t>130 000</w:t>
            </w:r>
          </w:p>
        </w:tc>
        <w:tc>
          <w:tcPr>
            <w:tcW w:w="1134" w:type="dxa"/>
            <w:tcBorders>
              <w:top w:val="nil"/>
              <w:left w:val="single" w:sz="4" w:space="0" w:color="auto"/>
              <w:bottom w:val="single" w:sz="4" w:space="0" w:color="auto"/>
              <w:right w:val="single" w:sz="4" w:space="0" w:color="auto"/>
            </w:tcBorders>
            <w:shd w:val="clear" w:color="auto" w:fill="C6EFCE"/>
            <w:noWrap/>
          </w:tcPr>
          <w:p w14:paraId="45C3E291"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nil"/>
              <w:left w:val="single" w:sz="4" w:space="0" w:color="auto"/>
              <w:bottom w:val="single" w:sz="4" w:space="0" w:color="auto"/>
              <w:right w:val="single" w:sz="4" w:space="0" w:color="auto"/>
            </w:tcBorders>
            <w:shd w:val="clear" w:color="auto" w:fill="C6EFCE"/>
            <w:noWrap/>
          </w:tcPr>
          <w:p w14:paraId="06D7BB8E" w14:textId="77777777" w:rsidR="00A345F4" w:rsidRDefault="005E2D4E">
            <w:pPr>
              <w:pStyle w:val="P68B1DB1-Normal14"/>
              <w:spacing w:after="0" w:line="240" w:lineRule="auto"/>
              <w:jc w:val="both"/>
              <w:rPr>
                <w:rFonts w:eastAsia="Times New Roman"/>
                <w:noProof/>
              </w:rPr>
            </w:pPr>
            <w:r>
              <w:rPr>
                <w:noProof/>
              </w:rPr>
              <w:t>2026</w:t>
            </w:r>
          </w:p>
        </w:tc>
        <w:tc>
          <w:tcPr>
            <w:tcW w:w="3294" w:type="dxa"/>
            <w:tcBorders>
              <w:top w:val="nil"/>
              <w:left w:val="single" w:sz="4" w:space="0" w:color="auto"/>
              <w:bottom w:val="single" w:sz="4" w:space="0" w:color="auto"/>
              <w:right w:val="single" w:sz="4" w:space="0" w:color="auto"/>
            </w:tcBorders>
            <w:shd w:val="clear" w:color="auto" w:fill="C6EFCE"/>
            <w:noWrap/>
          </w:tcPr>
          <w:p w14:paraId="1D42F920" w14:textId="77777777" w:rsidR="00A345F4" w:rsidRDefault="005E2D4E">
            <w:pPr>
              <w:pStyle w:val="P68B1DB1-Normal14"/>
              <w:spacing w:after="0" w:line="240" w:lineRule="auto"/>
              <w:jc w:val="both"/>
              <w:rPr>
                <w:rFonts w:eastAsia="Times New Roman"/>
                <w:noProof/>
              </w:rPr>
            </w:pPr>
            <w:r>
              <w:rPr>
                <w:noProof/>
              </w:rPr>
              <w:t xml:space="preserve">Nouvelles zones de forêts urbaines (total 130 000 m2). </w:t>
            </w:r>
          </w:p>
        </w:tc>
      </w:tr>
      <w:tr w:rsidR="00A345F4" w14:paraId="20A7744D" w14:textId="77777777" w:rsidTr="000431DB">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3D654776" w14:textId="77777777" w:rsidR="00A345F4" w:rsidRDefault="005E2D4E">
            <w:pPr>
              <w:pStyle w:val="P68B1DB1-Normal14"/>
              <w:spacing w:after="0" w:line="240" w:lineRule="auto"/>
              <w:jc w:val="center"/>
              <w:rPr>
                <w:rFonts w:eastAsia="Times New Roman"/>
                <w:noProof/>
              </w:rPr>
            </w:pPr>
            <w:r>
              <w:rPr>
                <w:noProof/>
              </w:rPr>
              <w:t>29</w:t>
            </w:r>
          </w:p>
        </w:tc>
        <w:tc>
          <w:tcPr>
            <w:tcW w:w="1619" w:type="dxa"/>
            <w:tcBorders>
              <w:top w:val="nil"/>
              <w:left w:val="single" w:sz="4" w:space="0" w:color="auto"/>
              <w:bottom w:val="single" w:sz="4" w:space="0" w:color="auto"/>
              <w:right w:val="single" w:sz="4" w:space="0" w:color="auto"/>
            </w:tcBorders>
            <w:shd w:val="clear" w:color="auto" w:fill="C6EFCE"/>
            <w:noWrap/>
          </w:tcPr>
          <w:p w14:paraId="717346AA" w14:textId="77777777" w:rsidR="00A345F4" w:rsidRDefault="005E2D4E">
            <w:pPr>
              <w:pStyle w:val="P68B1DB1-Normal14"/>
              <w:spacing w:after="0" w:line="240" w:lineRule="auto"/>
              <w:jc w:val="both"/>
              <w:rPr>
                <w:noProof/>
              </w:rPr>
            </w:pPr>
            <w:r>
              <w:rPr>
                <w:noProof/>
              </w:rPr>
              <w:t xml:space="preserve">Investissement 2. Capacités modernes de production de matériel forestier de reproduction </w:t>
            </w:r>
          </w:p>
        </w:tc>
        <w:tc>
          <w:tcPr>
            <w:tcW w:w="1276" w:type="dxa"/>
            <w:tcBorders>
              <w:top w:val="nil"/>
              <w:left w:val="single" w:sz="4" w:space="0" w:color="auto"/>
              <w:bottom w:val="single" w:sz="4" w:space="0" w:color="auto"/>
              <w:right w:val="single" w:sz="4" w:space="0" w:color="auto"/>
            </w:tcBorders>
            <w:shd w:val="clear" w:color="auto" w:fill="C6EFCE"/>
            <w:noWrap/>
          </w:tcPr>
          <w:p w14:paraId="6E6AEEED" w14:textId="77777777" w:rsidR="00A345F4" w:rsidRDefault="005E2D4E">
            <w:pPr>
              <w:pStyle w:val="P68B1DB1-Normal14"/>
              <w:spacing w:after="0" w:line="240" w:lineRule="auto"/>
              <w:jc w:val="center"/>
              <w:rPr>
                <w:noProof/>
              </w:rPr>
            </w:pPr>
            <w:r>
              <w:rPr>
                <w:noProof/>
              </w:rPr>
              <w:t>Objectif</w:t>
            </w:r>
          </w:p>
        </w:tc>
        <w:tc>
          <w:tcPr>
            <w:tcW w:w="1578" w:type="dxa"/>
            <w:tcBorders>
              <w:top w:val="nil"/>
              <w:left w:val="single" w:sz="4" w:space="0" w:color="auto"/>
              <w:bottom w:val="single" w:sz="4" w:space="0" w:color="auto"/>
              <w:right w:val="single" w:sz="4" w:space="0" w:color="auto"/>
            </w:tcBorders>
            <w:shd w:val="clear" w:color="auto" w:fill="C6EFCE"/>
            <w:noWrap/>
          </w:tcPr>
          <w:p w14:paraId="175CEE04" w14:textId="77777777" w:rsidR="00A345F4" w:rsidRDefault="005E2D4E">
            <w:pPr>
              <w:pStyle w:val="P68B1DB1-Normal14"/>
              <w:spacing w:after="0" w:line="240" w:lineRule="auto"/>
              <w:jc w:val="both"/>
              <w:rPr>
                <w:noProof/>
              </w:rPr>
            </w:pPr>
            <w:r>
              <w:rPr>
                <w:noProof/>
              </w:rPr>
              <w:t xml:space="preserve">Pépinières d'arbres nouvelles ou réhabilitées </w:t>
            </w:r>
          </w:p>
        </w:tc>
        <w:tc>
          <w:tcPr>
            <w:tcW w:w="1760" w:type="dxa"/>
            <w:tcBorders>
              <w:top w:val="nil"/>
              <w:left w:val="single" w:sz="4" w:space="0" w:color="auto"/>
              <w:bottom w:val="single" w:sz="4" w:space="0" w:color="auto"/>
              <w:right w:val="single" w:sz="4" w:space="0" w:color="auto"/>
            </w:tcBorders>
            <w:shd w:val="clear" w:color="auto" w:fill="C6EFCE"/>
            <w:noWrap/>
          </w:tcPr>
          <w:p w14:paraId="6323C2ED" w14:textId="77777777" w:rsidR="00A345F4" w:rsidRDefault="005E2D4E">
            <w:pPr>
              <w:pStyle w:val="P68B1DB1-Normal14"/>
              <w:spacing w:after="0" w:line="240" w:lineRule="auto"/>
              <w:jc w:val="both"/>
              <w:rPr>
                <w:noProof/>
              </w:rPr>
            </w:pPr>
            <w:r>
              <w:rPr>
                <w:noProof/>
              </w:rPr>
              <w:t xml:space="preserve"> </w:t>
            </w:r>
          </w:p>
        </w:tc>
        <w:tc>
          <w:tcPr>
            <w:tcW w:w="1088" w:type="dxa"/>
            <w:tcBorders>
              <w:top w:val="nil"/>
              <w:left w:val="single" w:sz="4" w:space="0" w:color="auto"/>
              <w:bottom w:val="single" w:sz="4" w:space="0" w:color="auto"/>
              <w:right w:val="single" w:sz="4" w:space="0" w:color="auto"/>
            </w:tcBorders>
            <w:shd w:val="clear" w:color="auto" w:fill="C6EFCE"/>
            <w:noWrap/>
          </w:tcPr>
          <w:p w14:paraId="6DF9F621" w14:textId="77777777" w:rsidR="00A345F4" w:rsidRDefault="005E2D4E">
            <w:pPr>
              <w:pStyle w:val="P68B1DB1-Normal14"/>
              <w:spacing w:after="0" w:line="240" w:lineRule="auto"/>
              <w:jc w:val="both"/>
              <w:rPr>
                <w:noProof/>
              </w:rPr>
            </w:pPr>
            <w:r>
              <w:rPr>
                <w:noProof/>
              </w:rPr>
              <w:t>Numéro</w:t>
            </w:r>
          </w:p>
        </w:tc>
        <w:tc>
          <w:tcPr>
            <w:tcW w:w="1357" w:type="dxa"/>
            <w:tcBorders>
              <w:top w:val="nil"/>
              <w:left w:val="single" w:sz="4" w:space="0" w:color="auto"/>
              <w:bottom w:val="single" w:sz="4" w:space="0" w:color="auto"/>
              <w:right w:val="single" w:sz="4" w:space="0" w:color="auto"/>
            </w:tcBorders>
            <w:shd w:val="clear" w:color="auto" w:fill="C6EFCE"/>
            <w:noWrap/>
          </w:tcPr>
          <w:p w14:paraId="29644FBE" w14:textId="77777777" w:rsidR="00A345F4" w:rsidRDefault="005E2D4E">
            <w:pPr>
              <w:pStyle w:val="P68B1DB1-Normal14"/>
              <w:spacing w:after="0" w:line="240" w:lineRule="auto"/>
              <w:jc w:val="both"/>
              <w:rPr>
                <w:noProof/>
              </w:rPr>
            </w:pPr>
            <w:r>
              <w:rPr>
                <w:noProof/>
              </w:rPr>
              <w:t>0</w:t>
            </w:r>
          </w:p>
        </w:tc>
        <w:tc>
          <w:tcPr>
            <w:tcW w:w="1089" w:type="dxa"/>
            <w:tcBorders>
              <w:top w:val="nil"/>
              <w:left w:val="single" w:sz="4" w:space="0" w:color="auto"/>
              <w:bottom w:val="single" w:sz="4" w:space="0" w:color="auto"/>
              <w:right w:val="single" w:sz="4" w:space="0" w:color="auto"/>
            </w:tcBorders>
            <w:shd w:val="clear" w:color="auto" w:fill="C6EFCE"/>
            <w:noWrap/>
          </w:tcPr>
          <w:p w14:paraId="0853FA54" w14:textId="77777777" w:rsidR="00A345F4" w:rsidRDefault="005E2D4E">
            <w:pPr>
              <w:pStyle w:val="P68B1DB1-Normal14"/>
              <w:spacing w:after="0" w:line="240" w:lineRule="auto"/>
              <w:jc w:val="both"/>
              <w:rPr>
                <w:noProof/>
              </w:rPr>
            </w:pPr>
            <w:r>
              <w:rPr>
                <w:noProof/>
              </w:rPr>
              <w:t>90</w:t>
            </w:r>
          </w:p>
        </w:tc>
        <w:tc>
          <w:tcPr>
            <w:tcW w:w="1134" w:type="dxa"/>
            <w:tcBorders>
              <w:top w:val="nil"/>
              <w:left w:val="single" w:sz="4" w:space="0" w:color="auto"/>
              <w:bottom w:val="single" w:sz="4" w:space="0" w:color="auto"/>
              <w:right w:val="single" w:sz="4" w:space="0" w:color="auto"/>
            </w:tcBorders>
            <w:shd w:val="clear" w:color="auto" w:fill="C6EFCE"/>
            <w:noWrap/>
          </w:tcPr>
          <w:p w14:paraId="18B714E0" w14:textId="77777777" w:rsidR="00A345F4" w:rsidRDefault="005E2D4E">
            <w:pPr>
              <w:pStyle w:val="P68B1DB1-Normal14"/>
              <w:spacing w:after="0" w:line="240" w:lineRule="auto"/>
              <w:jc w:val="both"/>
              <w:rPr>
                <w:noProof/>
              </w:rPr>
            </w:pPr>
            <w:r>
              <w:rPr>
                <w:noProof/>
              </w:rPr>
              <w:t>T2</w:t>
            </w:r>
          </w:p>
        </w:tc>
        <w:tc>
          <w:tcPr>
            <w:tcW w:w="850" w:type="dxa"/>
            <w:tcBorders>
              <w:top w:val="nil"/>
              <w:left w:val="single" w:sz="4" w:space="0" w:color="auto"/>
              <w:bottom w:val="single" w:sz="4" w:space="0" w:color="auto"/>
              <w:right w:val="single" w:sz="4" w:space="0" w:color="auto"/>
            </w:tcBorders>
            <w:shd w:val="clear" w:color="auto" w:fill="C6EFCE"/>
            <w:noWrap/>
          </w:tcPr>
          <w:p w14:paraId="42A89D3B" w14:textId="77777777" w:rsidR="00A345F4" w:rsidRDefault="005E2D4E">
            <w:pPr>
              <w:pStyle w:val="P68B1DB1-Normal14"/>
              <w:spacing w:after="0" w:line="240" w:lineRule="auto"/>
              <w:jc w:val="both"/>
              <w:rPr>
                <w:noProof/>
              </w:rPr>
            </w:pPr>
            <w:r>
              <w:rPr>
                <w:noProof/>
              </w:rPr>
              <w:t>2026</w:t>
            </w:r>
          </w:p>
        </w:tc>
        <w:tc>
          <w:tcPr>
            <w:tcW w:w="3294" w:type="dxa"/>
            <w:tcBorders>
              <w:top w:val="nil"/>
              <w:left w:val="single" w:sz="4" w:space="0" w:color="auto"/>
              <w:bottom w:val="single" w:sz="4" w:space="0" w:color="auto"/>
              <w:right w:val="single" w:sz="4" w:space="0" w:color="auto"/>
            </w:tcBorders>
            <w:shd w:val="clear" w:color="auto" w:fill="C6EFCE"/>
            <w:noWrap/>
          </w:tcPr>
          <w:p w14:paraId="59A4C1B0" w14:textId="77777777" w:rsidR="00A345F4" w:rsidRDefault="005E2D4E">
            <w:pPr>
              <w:pStyle w:val="P68B1DB1-Normal14"/>
              <w:spacing w:after="0" w:line="240" w:lineRule="auto"/>
              <w:jc w:val="both"/>
              <w:rPr>
                <w:noProof/>
              </w:rPr>
            </w:pPr>
            <w:r>
              <w:rPr>
                <w:noProof/>
              </w:rPr>
              <w:t>Au total, 90 pépinières sont construites ou réhabilitées. La production de matériel de reproduction comprend des espèces d’arbres adaptées aux futures prévisions climatiques de la Roumanie.</w:t>
            </w:r>
          </w:p>
        </w:tc>
      </w:tr>
      <w:tr w:rsidR="00A345F4" w14:paraId="2A52D747" w14:textId="77777777" w:rsidTr="000431DB">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53256F02" w14:textId="77777777" w:rsidR="00A345F4" w:rsidRDefault="005E2D4E">
            <w:pPr>
              <w:pStyle w:val="P68B1DB1-Normal14"/>
              <w:spacing w:after="0" w:line="240" w:lineRule="auto"/>
              <w:jc w:val="center"/>
              <w:rPr>
                <w:noProof/>
              </w:rPr>
            </w:pPr>
            <w:r>
              <w:rPr>
                <w:noProof/>
              </w:rPr>
              <w:t>34</w:t>
            </w:r>
          </w:p>
        </w:tc>
        <w:tc>
          <w:tcPr>
            <w:tcW w:w="1619" w:type="dxa"/>
            <w:tcBorders>
              <w:top w:val="nil"/>
              <w:left w:val="nil"/>
              <w:bottom w:val="single" w:sz="4" w:space="0" w:color="auto"/>
              <w:right w:val="single" w:sz="4" w:space="0" w:color="auto"/>
            </w:tcBorders>
            <w:shd w:val="clear" w:color="auto" w:fill="C6EFCE"/>
            <w:noWrap/>
          </w:tcPr>
          <w:p w14:paraId="5E20930A" w14:textId="77777777" w:rsidR="00A345F4" w:rsidRDefault="005E2D4E">
            <w:pPr>
              <w:pStyle w:val="P68B1DB1-Normal14"/>
              <w:spacing w:after="0" w:line="240" w:lineRule="auto"/>
              <w:jc w:val="both"/>
              <w:rPr>
                <w:noProof/>
              </w:rPr>
            </w:pPr>
            <w:r>
              <w:rPr>
                <w:noProof/>
              </w:rPr>
              <w:t>Investissement 3 Recensement des zones susceptibles de bénéficier d’une protection stricte dans les habitats terrestres et marins naturels, conformément à la stratégie de l’UE en faveur de la biodiversité à l’horizon 2030</w:t>
            </w:r>
          </w:p>
        </w:tc>
        <w:tc>
          <w:tcPr>
            <w:tcW w:w="1276" w:type="dxa"/>
            <w:tcBorders>
              <w:top w:val="nil"/>
              <w:left w:val="nil"/>
              <w:bottom w:val="single" w:sz="4" w:space="0" w:color="auto"/>
              <w:right w:val="single" w:sz="4" w:space="0" w:color="auto"/>
            </w:tcBorders>
            <w:shd w:val="clear" w:color="auto" w:fill="C6EFCE"/>
            <w:noWrap/>
          </w:tcPr>
          <w:p w14:paraId="22B5D561" w14:textId="77777777" w:rsidR="00A345F4" w:rsidRDefault="005E2D4E">
            <w:pPr>
              <w:pStyle w:val="P68B1DB1-Normal14"/>
              <w:spacing w:after="0" w:line="240" w:lineRule="auto"/>
              <w:jc w:val="center"/>
              <w:rPr>
                <w:noProof/>
              </w:rPr>
            </w:pPr>
            <w:r>
              <w:rPr>
                <w:noProof/>
              </w:rPr>
              <w:t>Étape</w:t>
            </w:r>
          </w:p>
        </w:tc>
        <w:tc>
          <w:tcPr>
            <w:tcW w:w="1578" w:type="dxa"/>
            <w:tcBorders>
              <w:top w:val="nil"/>
              <w:left w:val="nil"/>
              <w:bottom w:val="single" w:sz="4" w:space="0" w:color="auto"/>
              <w:right w:val="single" w:sz="4" w:space="0" w:color="auto"/>
            </w:tcBorders>
            <w:shd w:val="clear" w:color="auto" w:fill="C6EFCE"/>
            <w:noWrap/>
          </w:tcPr>
          <w:p w14:paraId="34C7AF8C" w14:textId="77777777" w:rsidR="00A345F4" w:rsidRDefault="005E2D4E">
            <w:pPr>
              <w:pStyle w:val="P68B1DB1-Normal14"/>
              <w:spacing w:after="0" w:line="240" w:lineRule="auto"/>
              <w:jc w:val="both"/>
              <w:rPr>
                <w:noProof/>
              </w:rPr>
            </w:pPr>
            <w:r>
              <w:rPr>
                <w:noProof/>
              </w:rPr>
              <w:t xml:space="preserve">Entrée en vigueur du ou des actes juridiques relatifs à la désignation des zones strictement protégées </w:t>
            </w:r>
          </w:p>
          <w:p w14:paraId="6BA6685F" w14:textId="77777777" w:rsidR="00A345F4" w:rsidRDefault="00A345F4">
            <w:pPr>
              <w:spacing w:after="0" w:line="240" w:lineRule="auto"/>
              <w:jc w:val="both"/>
              <w:rPr>
                <w:rFonts w:ascii="Times New Roman" w:hAnsi="Times New Roman" w:cs="Times New Roman"/>
                <w:noProof/>
                <w:sz w:val="20"/>
                <w:szCs w:val="20"/>
              </w:rPr>
            </w:pPr>
          </w:p>
        </w:tc>
        <w:tc>
          <w:tcPr>
            <w:tcW w:w="1760" w:type="dxa"/>
            <w:tcBorders>
              <w:top w:val="nil"/>
              <w:left w:val="nil"/>
              <w:bottom w:val="single" w:sz="4" w:space="0" w:color="auto"/>
              <w:right w:val="single" w:sz="4" w:space="0" w:color="auto"/>
            </w:tcBorders>
            <w:shd w:val="clear" w:color="auto" w:fill="C6EFCE"/>
            <w:noWrap/>
          </w:tcPr>
          <w:p w14:paraId="69FEEE88" w14:textId="77777777" w:rsidR="00A345F4" w:rsidRDefault="005E2D4E">
            <w:pPr>
              <w:pStyle w:val="P68B1DB1-Normal14"/>
              <w:spacing w:after="0" w:line="240" w:lineRule="auto"/>
              <w:jc w:val="both"/>
              <w:rPr>
                <w:noProof/>
              </w:rPr>
            </w:pPr>
            <w:r>
              <w:rPr>
                <w:noProof/>
              </w:rPr>
              <w:t>Disposition de la loi indiquant l’entrée en vigueur d’un ou de plusieurs actes juridiques</w:t>
            </w:r>
          </w:p>
        </w:tc>
        <w:tc>
          <w:tcPr>
            <w:tcW w:w="1088" w:type="dxa"/>
            <w:tcBorders>
              <w:top w:val="nil"/>
              <w:left w:val="nil"/>
              <w:bottom w:val="single" w:sz="4" w:space="0" w:color="auto"/>
              <w:right w:val="single" w:sz="4" w:space="0" w:color="auto"/>
            </w:tcBorders>
            <w:shd w:val="clear" w:color="auto" w:fill="C6EFCE"/>
            <w:noWrap/>
          </w:tcPr>
          <w:p w14:paraId="7411D881" w14:textId="77777777" w:rsidR="00A345F4" w:rsidRDefault="00A345F4">
            <w:pPr>
              <w:spacing w:after="0" w:line="240" w:lineRule="auto"/>
              <w:jc w:val="both"/>
              <w:rPr>
                <w:rFonts w:ascii="Times New Roman" w:hAnsi="Times New Roman" w:cs="Times New Roman"/>
                <w:noProof/>
                <w:sz w:val="20"/>
                <w:szCs w:val="20"/>
              </w:rPr>
            </w:pPr>
          </w:p>
        </w:tc>
        <w:tc>
          <w:tcPr>
            <w:tcW w:w="1357" w:type="dxa"/>
            <w:tcBorders>
              <w:top w:val="nil"/>
              <w:left w:val="nil"/>
              <w:bottom w:val="single" w:sz="4" w:space="0" w:color="auto"/>
              <w:right w:val="single" w:sz="4" w:space="0" w:color="auto"/>
            </w:tcBorders>
            <w:shd w:val="clear" w:color="auto" w:fill="C6EFCE"/>
            <w:noWrap/>
          </w:tcPr>
          <w:p w14:paraId="6BABCBCA" w14:textId="77777777" w:rsidR="00A345F4" w:rsidRDefault="00A345F4">
            <w:pPr>
              <w:spacing w:after="0" w:line="240" w:lineRule="auto"/>
              <w:jc w:val="both"/>
              <w:rPr>
                <w:rFonts w:ascii="Times New Roman" w:hAnsi="Times New Roman" w:cs="Times New Roman"/>
                <w:noProof/>
                <w:sz w:val="20"/>
                <w:szCs w:val="20"/>
              </w:rPr>
            </w:pPr>
          </w:p>
        </w:tc>
        <w:tc>
          <w:tcPr>
            <w:tcW w:w="1089" w:type="dxa"/>
            <w:tcBorders>
              <w:top w:val="nil"/>
              <w:left w:val="nil"/>
              <w:bottom w:val="single" w:sz="4" w:space="0" w:color="auto"/>
              <w:right w:val="single" w:sz="4" w:space="0" w:color="auto"/>
            </w:tcBorders>
            <w:shd w:val="clear" w:color="auto" w:fill="C6EFCE"/>
            <w:noWrap/>
          </w:tcPr>
          <w:p w14:paraId="38B5F932" w14:textId="77777777" w:rsidR="00A345F4" w:rsidRDefault="00A345F4">
            <w:pPr>
              <w:spacing w:after="0" w:line="240" w:lineRule="auto"/>
              <w:jc w:val="both"/>
              <w:rPr>
                <w:rFonts w:ascii="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3825D3E6" w14:textId="77777777" w:rsidR="00A345F4" w:rsidRDefault="005E2D4E">
            <w:pPr>
              <w:pStyle w:val="P68B1DB1-Normal14"/>
              <w:spacing w:after="0" w:line="240" w:lineRule="auto"/>
              <w:jc w:val="both"/>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1E3EE524" w14:textId="77777777" w:rsidR="00A345F4" w:rsidRDefault="005E2D4E">
            <w:pPr>
              <w:pStyle w:val="P68B1DB1-Normal14"/>
              <w:spacing w:after="0" w:line="240" w:lineRule="auto"/>
              <w:jc w:val="both"/>
              <w:rPr>
                <w:noProof/>
              </w:rPr>
            </w:pPr>
            <w:r>
              <w:rPr>
                <w:noProof/>
              </w:rPr>
              <w:t>2026</w:t>
            </w:r>
          </w:p>
        </w:tc>
        <w:tc>
          <w:tcPr>
            <w:tcW w:w="3294" w:type="dxa"/>
            <w:tcBorders>
              <w:top w:val="nil"/>
              <w:left w:val="nil"/>
              <w:bottom w:val="single" w:sz="4" w:space="0" w:color="auto"/>
              <w:right w:val="single" w:sz="4" w:space="0" w:color="auto"/>
            </w:tcBorders>
            <w:shd w:val="clear" w:color="auto" w:fill="C6EFCE"/>
            <w:noWrap/>
          </w:tcPr>
          <w:p w14:paraId="6DE94D99" w14:textId="77777777" w:rsidR="00A345F4" w:rsidRDefault="005E2D4E">
            <w:pPr>
              <w:pStyle w:val="P68B1DB1-Normal14"/>
              <w:spacing w:after="0" w:line="240" w:lineRule="auto"/>
              <w:jc w:val="both"/>
              <w:rPr>
                <w:noProof/>
              </w:rPr>
            </w:pPr>
            <w:r>
              <w:rPr>
                <w:noProof/>
              </w:rPr>
              <w:t>Entrée en vigueur d’un ou de plusieurs actes juridiques pour la désignation de zones strictement protégées (au sens de la stratégie de l’UE en faveur de la biodiversité à l’horizon 2030 et qui peuvent être désignées sous un nom différent dans les actes juridiques roumains) recensées dans des zones protégées Natura 2000 et des zones supplémentaires.</w:t>
            </w:r>
          </w:p>
        </w:tc>
      </w:tr>
      <w:tr w:rsidR="00A345F4" w14:paraId="578FA4DB" w14:textId="77777777" w:rsidTr="000431DB">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47197976" w14:textId="77777777" w:rsidR="00A345F4" w:rsidRDefault="005E2D4E">
            <w:pPr>
              <w:pStyle w:val="P68B1DB1-Normal14"/>
              <w:spacing w:after="0" w:line="240" w:lineRule="auto"/>
              <w:jc w:val="center"/>
              <w:rPr>
                <w:noProof/>
              </w:rPr>
            </w:pPr>
            <w:r>
              <w:rPr>
                <w:noProof/>
              </w:rPr>
              <w:t>39</w:t>
            </w:r>
          </w:p>
        </w:tc>
        <w:tc>
          <w:tcPr>
            <w:tcW w:w="1619" w:type="dxa"/>
            <w:tcBorders>
              <w:top w:val="nil"/>
              <w:left w:val="nil"/>
              <w:bottom w:val="single" w:sz="4" w:space="0" w:color="auto"/>
              <w:right w:val="single" w:sz="4" w:space="0" w:color="auto"/>
            </w:tcBorders>
            <w:shd w:val="clear" w:color="auto" w:fill="C6EFCE"/>
            <w:noWrap/>
          </w:tcPr>
          <w:p w14:paraId="37558653" w14:textId="77777777" w:rsidR="00A345F4" w:rsidRDefault="005E2D4E">
            <w:pPr>
              <w:pStyle w:val="P68B1DB1-Normal14"/>
              <w:spacing w:after="0" w:line="240" w:lineRule="auto"/>
              <w:jc w:val="both"/>
              <w:rPr>
                <w:noProof/>
              </w:rPr>
            </w:pPr>
            <w:r>
              <w:rPr>
                <w:noProof/>
              </w:rPr>
              <w:t>Investissement 4 Système de surveillance des esturgeons sauvages le long du Bas-Danube</w:t>
            </w:r>
          </w:p>
        </w:tc>
        <w:tc>
          <w:tcPr>
            <w:tcW w:w="1276" w:type="dxa"/>
            <w:tcBorders>
              <w:top w:val="nil"/>
              <w:left w:val="nil"/>
              <w:bottom w:val="single" w:sz="4" w:space="0" w:color="auto"/>
              <w:right w:val="single" w:sz="4" w:space="0" w:color="auto"/>
            </w:tcBorders>
            <w:shd w:val="clear" w:color="auto" w:fill="C6EFCE"/>
            <w:noWrap/>
          </w:tcPr>
          <w:p w14:paraId="670EEB8D" w14:textId="77777777" w:rsidR="00A345F4" w:rsidRDefault="005E2D4E">
            <w:pPr>
              <w:pStyle w:val="P68B1DB1-Normal14"/>
              <w:spacing w:after="0" w:line="240" w:lineRule="auto"/>
              <w:jc w:val="center"/>
              <w:rPr>
                <w:noProof/>
              </w:rPr>
            </w:pPr>
            <w:r>
              <w:rPr>
                <w:noProof/>
              </w:rPr>
              <w:t>Étape</w:t>
            </w:r>
          </w:p>
        </w:tc>
        <w:tc>
          <w:tcPr>
            <w:tcW w:w="1578" w:type="dxa"/>
            <w:tcBorders>
              <w:top w:val="nil"/>
              <w:left w:val="nil"/>
              <w:bottom w:val="single" w:sz="4" w:space="0" w:color="auto"/>
              <w:right w:val="single" w:sz="4" w:space="0" w:color="auto"/>
            </w:tcBorders>
            <w:shd w:val="clear" w:color="auto" w:fill="C6EFCE"/>
            <w:noWrap/>
          </w:tcPr>
          <w:p w14:paraId="426F726A" w14:textId="77777777" w:rsidR="00A345F4" w:rsidRDefault="005E2D4E">
            <w:pPr>
              <w:pStyle w:val="P68B1DB1-Normal14"/>
              <w:spacing w:after="0" w:line="240" w:lineRule="auto"/>
              <w:jc w:val="both"/>
              <w:rPr>
                <w:noProof/>
              </w:rPr>
            </w:pPr>
            <w:r>
              <w:rPr>
                <w:noProof/>
              </w:rPr>
              <w:t xml:space="preserve">Livraison d'équipements et de véhicules pour la surveillance des données sur l'esturgeon sauvage </w:t>
            </w:r>
          </w:p>
        </w:tc>
        <w:tc>
          <w:tcPr>
            <w:tcW w:w="1760" w:type="dxa"/>
            <w:tcBorders>
              <w:top w:val="nil"/>
              <w:left w:val="nil"/>
              <w:bottom w:val="single" w:sz="4" w:space="0" w:color="auto"/>
              <w:right w:val="single" w:sz="4" w:space="0" w:color="auto"/>
            </w:tcBorders>
            <w:shd w:val="clear" w:color="auto" w:fill="C6EFCE"/>
            <w:noWrap/>
          </w:tcPr>
          <w:p w14:paraId="48851F74" w14:textId="77777777" w:rsidR="00A345F4" w:rsidRDefault="005E2D4E">
            <w:pPr>
              <w:pStyle w:val="P68B1DB1-Normal14"/>
              <w:spacing w:after="0" w:line="240" w:lineRule="auto"/>
              <w:jc w:val="both"/>
              <w:rPr>
                <w:noProof/>
              </w:rPr>
            </w:pPr>
            <w:r>
              <w:rPr>
                <w:noProof/>
              </w:rPr>
              <w:t xml:space="preserve">Matériel et véhicules livrés </w:t>
            </w:r>
          </w:p>
        </w:tc>
        <w:tc>
          <w:tcPr>
            <w:tcW w:w="1088" w:type="dxa"/>
            <w:tcBorders>
              <w:top w:val="nil"/>
              <w:left w:val="nil"/>
              <w:bottom w:val="single" w:sz="4" w:space="0" w:color="auto"/>
              <w:right w:val="single" w:sz="4" w:space="0" w:color="auto"/>
            </w:tcBorders>
            <w:shd w:val="clear" w:color="auto" w:fill="C6EFCE"/>
            <w:noWrap/>
          </w:tcPr>
          <w:p w14:paraId="361481E7" w14:textId="77777777" w:rsidR="00A345F4" w:rsidRDefault="00A345F4">
            <w:pPr>
              <w:spacing w:after="0" w:line="240" w:lineRule="auto"/>
              <w:jc w:val="both"/>
              <w:rPr>
                <w:rFonts w:ascii="Times New Roman" w:hAnsi="Times New Roman" w:cs="Times New Roman"/>
                <w:noProof/>
                <w:sz w:val="20"/>
                <w:szCs w:val="20"/>
              </w:rPr>
            </w:pPr>
          </w:p>
        </w:tc>
        <w:tc>
          <w:tcPr>
            <w:tcW w:w="1357" w:type="dxa"/>
            <w:tcBorders>
              <w:top w:val="nil"/>
              <w:left w:val="nil"/>
              <w:bottom w:val="single" w:sz="4" w:space="0" w:color="auto"/>
              <w:right w:val="single" w:sz="4" w:space="0" w:color="auto"/>
            </w:tcBorders>
            <w:shd w:val="clear" w:color="auto" w:fill="C6EFCE"/>
            <w:noWrap/>
          </w:tcPr>
          <w:p w14:paraId="4BC84FD0" w14:textId="77777777" w:rsidR="00A345F4" w:rsidRDefault="00A345F4">
            <w:pPr>
              <w:spacing w:after="0" w:line="240" w:lineRule="auto"/>
              <w:jc w:val="both"/>
              <w:rPr>
                <w:rFonts w:ascii="Times New Roman" w:hAnsi="Times New Roman" w:cs="Times New Roman"/>
                <w:noProof/>
                <w:sz w:val="20"/>
                <w:szCs w:val="20"/>
              </w:rPr>
            </w:pPr>
          </w:p>
        </w:tc>
        <w:tc>
          <w:tcPr>
            <w:tcW w:w="1089" w:type="dxa"/>
            <w:tcBorders>
              <w:top w:val="nil"/>
              <w:left w:val="nil"/>
              <w:bottom w:val="single" w:sz="4" w:space="0" w:color="auto"/>
              <w:right w:val="single" w:sz="4" w:space="0" w:color="auto"/>
            </w:tcBorders>
            <w:shd w:val="clear" w:color="auto" w:fill="C6EFCE"/>
            <w:noWrap/>
          </w:tcPr>
          <w:p w14:paraId="5EAAB0AF" w14:textId="77777777" w:rsidR="00A345F4" w:rsidRDefault="00A345F4">
            <w:pPr>
              <w:spacing w:after="0" w:line="240" w:lineRule="auto"/>
              <w:jc w:val="both"/>
              <w:rPr>
                <w:rFonts w:ascii="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55490669" w14:textId="77777777" w:rsidR="00A345F4" w:rsidRDefault="005E2D4E">
            <w:pPr>
              <w:pStyle w:val="P68B1DB1-Normal14"/>
              <w:spacing w:after="0" w:line="240" w:lineRule="auto"/>
              <w:jc w:val="both"/>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6D87C601" w14:textId="77777777" w:rsidR="00A345F4" w:rsidRDefault="005E2D4E">
            <w:pPr>
              <w:pStyle w:val="P68B1DB1-Normal14"/>
              <w:spacing w:after="0" w:line="240" w:lineRule="auto"/>
              <w:jc w:val="both"/>
              <w:rPr>
                <w:noProof/>
              </w:rPr>
            </w:pPr>
            <w:r>
              <w:rPr>
                <w:noProof/>
              </w:rPr>
              <w:t>2026</w:t>
            </w:r>
          </w:p>
        </w:tc>
        <w:tc>
          <w:tcPr>
            <w:tcW w:w="3294" w:type="dxa"/>
            <w:tcBorders>
              <w:top w:val="nil"/>
              <w:left w:val="nil"/>
              <w:bottom w:val="single" w:sz="4" w:space="0" w:color="auto"/>
              <w:right w:val="single" w:sz="4" w:space="0" w:color="auto"/>
            </w:tcBorders>
            <w:shd w:val="clear" w:color="auto" w:fill="C6EFCE"/>
            <w:noWrap/>
          </w:tcPr>
          <w:p w14:paraId="0CC408BB" w14:textId="77777777" w:rsidR="00A345F4" w:rsidRDefault="005E2D4E">
            <w:pPr>
              <w:pStyle w:val="P68B1DB1-Normal14"/>
              <w:spacing w:after="0" w:line="240" w:lineRule="auto"/>
              <w:jc w:val="both"/>
              <w:rPr>
                <w:noProof/>
              </w:rPr>
            </w:pPr>
            <w:r>
              <w:rPr>
                <w:noProof/>
              </w:rPr>
              <w:t xml:space="preserve">Livraison d'un ponton, de bateaux de mesure, d'équipements de laboratoire, d'équipements informatiques, de voitures SUV et d'un système de traitement d'intelligence artificielle. Les véhicules à acheter ont des émissions spécifiques de CO2 inférieures à 50 g de CO2/km. Les bateaux de mesure à acheter doivent correspondre à la meilleure technologie disponible du point de vue environnemental. </w:t>
            </w:r>
          </w:p>
        </w:tc>
      </w:tr>
      <w:tr w:rsidR="00A345F4" w14:paraId="145B30A2" w14:textId="77777777" w:rsidTr="000431DB">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3CB444DE" w14:textId="77777777" w:rsidR="00A345F4" w:rsidRDefault="005E2D4E">
            <w:pPr>
              <w:pStyle w:val="P68B1DB1-Normal14"/>
              <w:spacing w:after="0" w:line="240" w:lineRule="auto"/>
              <w:jc w:val="center"/>
              <w:rPr>
                <w:noProof/>
              </w:rPr>
            </w:pPr>
            <w:r>
              <w:rPr>
                <w:noProof/>
              </w:rPr>
              <w:t>41</w:t>
            </w:r>
          </w:p>
        </w:tc>
        <w:tc>
          <w:tcPr>
            <w:tcW w:w="1619" w:type="dxa"/>
            <w:tcBorders>
              <w:top w:val="nil"/>
              <w:left w:val="nil"/>
              <w:bottom w:val="single" w:sz="4" w:space="0" w:color="auto"/>
              <w:right w:val="single" w:sz="4" w:space="0" w:color="auto"/>
            </w:tcBorders>
            <w:shd w:val="clear" w:color="auto" w:fill="C6EFCE"/>
            <w:noWrap/>
          </w:tcPr>
          <w:p w14:paraId="6AC2D449" w14:textId="77777777" w:rsidR="00A345F4" w:rsidRDefault="005E2D4E">
            <w:pPr>
              <w:pStyle w:val="P68B1DB1-Normal14"/>
              <w:spacing w:after="0" w:line="240" w:lineRule="auto"/>
              <w:jc w:val="both"/>
              <w:rPr>
                <w:noProof/>
              </w:rPr>
            </w:pPr>
            <w:r>
              <w:rPr>
                <w:noProof/>
              </w:rPr>
              <w:t xml:space="preserve">Investissement 5. Systèmes intégrés d'atténuation des risques d'inondation dans les bassins hydrographiques forestiers </w:t>
            </w:r>
          </w:p>
        </w:tc>
        <w:tc>
          <w:tcPr>
            <w:tcW w:w="1276" w:type="dxa"/>
            <w:tcBorders>
              <w:top w:val="nil"/>
              <w:left w:val="nil"/>
              <w:bottom w:val="single" w:sz="4" w:space="0" w:color="auto"/>
              <w:right w:val="single" w:sz="4" w:space="0" w:color="auto"/>
            </w:tcBorders>
            <w:shd w:val="clear" w:color="auto" w:fill="C6EFCE"/>
            <w:noWrap/>
          </w:tcPr>
          <w:p w14:paraId="4F56D3FA" w14:textId="77777777" w:rsidR="00A345F4" w:rsidRDefault="005E2D4E">
            <w:pPr>
              <w:pStyle w:val="P68B1DB1-Normal14"/>
              <w:spacing w:after="0" w:line="240" w:lineRule="auto"/>
              <w:jc w:val="center"/>
              <w:rPr>
                <w:noProof/>
              </w:rPr>
            </w:pPr>
            <w:r>
              <w:rPr>
                <w:noProof/>
              </w:rPr>
              <w:t>Étape</w:t>
            </w:r>
          </w:p>
        </w:tc>
        <w:tc>
          <w:tcPr>
            <w:tcW w:w="1578" w:type="dxa"/>
            <w:tcBorders>
              <w:top w:val="nil"/>
              <w:left w:val="nil"/>
              <w:bottom w:val="single" w:sz="4" w:space="0" w:color="auto"/>
              <w:right w:val="single" w:sz="4" w:space="0" w:color="auto"/>
            </w:tcBorders>
            <w:shd w:val="clear" w:color="auto" w:fill="C6EFCE"/>
            <w:noWrap/>
          </w:tcPr>
          <w:p w14:paraId="510F0765" w14:textId="77777777" w:rsidR="00A345F4" w:rsidRDefault="005E2D4E">
            <w:pPr>
              <w:pStyle w:val="P68B1DB1-Normal14"/>
              <w:spacing w:after="0" w:line="240" w:lineRule="auto"/>
              <w:jc w:val="both"/>
              <w:rPr>
                <w:noProof/>
              </w:rPr>
            </w:pPr>
            <w:r>
              <w:rPr>
                <w:noProof/>
              </w:rPr>
              <w:t>Approbation de la conception du projet</w:t>
            </w:r>
          </w:p>
        </w:tc>
        <w:tc>
          <w:tcPr>
            <w:tcW w:w="1760" w:type="dxa"/>
            <w:tcBorders>
              <w:top w:val="nil"/>
              <w:left w:val="nil"/>
              <w:bottom w:val="single" w:sz="4" w:space="0" w:color="auto"/>
              <w:right w:val="single" w:sz="4" w:space="0" w:color="auto"/>
            </w:tcBorders>
            <w:shd w:val="clear" w:color="auto" w:fill="C6EFCE"/>
            <w:noWrap/>
          </w:tcPr>
          <w:p w14:paraId="489B84E8" w14:textId="77777777" w:rsidR="00A345F4" w:rsidRDefault="005E2D4E">
            <w:pPr>
              <w:pStyle w:val="P68B1DB1-Normal14"/>
              <w:spacing w:after="0" w:line="240" w:lineRule="auto"/>
              <w:jc w:val="both"/>
              <w:rPr>
                <w:noProof/>
              </w:rPr>
            </w:pPr>
            <w:r>
              <w:rPr>
                <w:noProof/>
              </w:rPr>
              <w:t xml:space="preserve">Approbation de la conception du projet </w:t>
            </w:r>
          </w:p>
        </w:tc>
        <w:tc>
          <w:tcPr>
            <w:tcW w:w="1088" w:type="dxa"/>
            <w:tcBorders>
              <w:top w:val="nil"/>
              <w:left w:val="nil"/>
              <w:bottom w:val="single" w:sz="4" w:space="0" w:color="auto"/>
              <w:right w:val="single" w:sz="4" w:space="0" w:color="auto"/>
            </w:tcBorders>
            <w:shd w:val="clear" w:color="auto" w:fill="C6EFCE"/>
            <w:noWrap/>
          </w:tcPr>
          <w:p w14:paraId="1146A29C" w14:textId="77777777" w:rsidR="00A345F4" w:rsidRDefault="00A345F4">
            <w:pPr>
              <w:spacing w:after="0" w:line="240" w:lineRule="auto"/>
              <w:jc w:val="both"/>
              <w:rPr>
                <w:rFonts w:ascii="Times New Roman" w:hAnsi="Times New Roman" w:cs="Times New Roman"/>
                <w:noProof/>
                <w:sz w:val="20"/>
                <w:szCs w:val="20"/>
              </w:rPr>
            </w:pPr>
          </w:p>
        </w:tc>
        <w:tc>
          <w:tcPr>
            <w:tcW w:w="1357" w:type="dxa"/>
            <w:tcBorders>
              <w:top w:val="nil"/>
              <w:left w:val="nil"/>
              <w:bottom w:val="single" w:sz="4" w:space="0" w:color="auto"/>
              <w:right w:val="single" w:sz="4" w:space="0" w:color="auto"/>
            </w:tcBorders>
            <w:shd w:val="clear" w:color="auto" w:fill="C6EFCE"/>
            <w:noWrap/>
          </w:tcPr>
          <w:p w14:paraId="5DD8E47B" w14:textId="77777777" w:rsidR="00A345F4" w:rsidRDefault="00A345F4">
            <w:pPr>
              <w:spacing w:after="0" w:line="240" w:lineRule="auto"/>
              <w:jc w:val="both"/>
              <w:rPr>
                <w:rFonts w:ascii="Times New Roman" w:hAnsi="Times New Roman" w:cs="Times New Roman"/>
                <w:noProof/>
                <w:sz w:val="20"/>
                <w:szCs w:val="20"/>
              </w:rPr>
            </w:pPr>
          </w:p>
        </w:tc>
        <w:tc>
          <w:tcPr>
            <w:tcW w:w="1089" w:type="dxa"/>
            <w:tcBorders>
              <w:top w:val="nil"/>
              <w:left w:val="nil"/>
              <w:bottom w:val="single" w:sz="4" w:space="0" w:color="auto"/>
              <w:right w:val="single" w:sz="4" w:space="0" w:color="auto"/>
            </w:tcBorders>
            <w:shd w:val="clear" w:color="auto" w:fill="C6EFCE"/>
            <w:noWrap/>
          </w:tcPr>
          <w:p w14:paraId="64C22A28" w14:textId="77777777" w:rsidR="00A345F4" w:rsidRDefault="00A345F4">
            <w:pPr>
              <w:spacing w:after="0" w:line="240" w:lineRule="auto"/>
              <w:jc w:val="both"/>
              <w:rPr>
                <w:rFonts w:ascii="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07D83AD1" w14:textId="77777777" w:rsidR="00A345F4" w:rsidRDefault="005E2D4E">
            <w:pPr>
              <w:pStyle w:val="P68B1DB1-Normal14"/>
              <w:spacing w:after="0" w:line="240" w:lineRule="auto"/>
              <w:jc w:val="both"/>
              <w:rPr>
                <w:noProof/>
              </w:rPr>
            </w:pPr>
            <w:r>
              <w:rPr>
                <w:noProof/>
              </w:rPr>
              <w:t>T1</w:t>
            </w:r>
          </w:p>
        </w:tc>
        <w:tc>
          <w:tcPr>
            <w:tcW w:w="850" w:type="dxa"/>
            <w:tcBorders>
              <w:top w:val="nil"/>
              <w:left w:val="nil"/>
              <w:bottom w:val="single" w:sz="4" w:space="0" w:color="auto"/>
              <w:right w:val="single" w:sz="4" w:space="0" w:color="auto"/>
            </w:tcBorders>
            <w:shd w:val="clear" w:color="auto" w:fill="C6EFCE"/>
            <w:noWrap/>
          </w:tcPr>
          <w:p w14:paraId="0D552830" w14:textId="77777777" w:rsidR="00A345F4" w:rsidRDefault="005E2D4E">
            <w:pPr>
              <w:pStyle w:val="P68B1DB1-Normal14"/>
              <w:spacing w:after="0" w:line="240" w:lineRule="auto"/>
              <w:jc w:val="both"/>
              <w:rPr>
                <w:noProof/>
              </w:rPr>
            </w:pPr>
            <w:r>
              <w:rPr>
                <w:noProof/>
              </w:rPr>
              <w:t>2023</w:t>
            </w:r>
          </w:p>
        </w:tc>
        <w:tc>
          <w:tcPr>
            <w:tcW w:w="3294" w:type="dxa"/>
            <w:tcBorders>
              <w:top w:val="nil"/>
              <w:left w:val="nil"/>
              <w:bottom w:val="single" w:sz="4" w:space="0" w:color="auto"/>
              <w:right w:val="single" w:sz="4" w:space="0" w:color="auto"/>
            </w:tcBorders>
            <w:shd w:val="clear" w:color="auto" w:fill="C6EFCE"/>
            <w:noWrap/>
          </w:tcPr>
          <w:p w14:paraId="16F37F20" w14:textId="77777777" w:rsidR="00A345F4" w:rsidRDefault="005E2D4E">
            <w:pPr>
              <w:pStyle w:val="P68B1DB1-Normal14"/>
              <w:spacing w:after="0" w:line="240" w:lineRule="auto"/>
              <w:jc w:val="both"/>
              <w:rPr>
                <w:noProof/>
              </w:rPr>
            </w:pPr>
            <w:r>
              <w:rPr>
                <w:noProof/>
              </w:rPr>
              <w:t>La conception du projet pour les travaux de modernisation de la protection contre les inondations doit être approuvée. Il comprend des actions pour:</w:t>
            </w:r>
          </w:p>
          <w:p w14:paraId="16609F42" w14:textId="77777777" w:rsidR="00A345F4" w:rsidRDefault="005E2D4E">
            <w:pPr>
              <w:pStyle w:val="P68B1DB1-Normal14"/>
              <w:numPr>
                <w:ilvl w:val="0"/>
                <w:numId w:val="5"/>
              </w:numPr>
              <w:spacing w:after="0" w:line="240" w:lineRule="auto"/>
              <w:ind w:left="173" w:hanging="218"/>
              <w:contextualSpacing/>
              <w:jc w:val="both"/>
              <w:rPr>
                <w:noProof/>
              </w:rPr>
            </w:pPr>
            <w:r>
              <w:rPr>
                <w:noProof/>
              </w:rPr>
              <w:t>Restauration d'au moins six structures de rétention d'alluvions endommagées pour installer des mesures longitudinales, entre autres, des échelles à poissons;</w:t>
            </w:r>
          </w:p>
          <w:p w14:paraId="13CA5609" w14:textId="77777777" w:rsidR="00A345F4" w:rsidRDefault="005E2D4E">
            <w:pPr>
              <w:pStyle w:val="P68B1DB1-Normal14"/>
              <w:numPr>
                <w:ilvl w:val="0"/>
                <w:numId w:val="5"/>
              </w:numPr>
              <w:spacing w:after="0" w:line="240" w:lineRule="auto"/>
              <w:ind w:left="173" w:hanging="218"/>
              <w:contextualSpacing/>
              <w:jc w:val="both"/>
              <w:rPr>
                <w:noProof/>
              </w:rPr>
            </w:pPr>
            <w:r>
              <w:rPr>
                <w:noProof/>
              </w:rPr>
              <w:t>Construction d'au moins 30 nouvelles structures alluviales, y compris des échelles à poissons et un débit écologique, d'une hauteur maximale de 5 m;</w:t>
            </w:r>
          </w:p>
          <w:p w14:paraId="54534D71" w14:textId="77777777" w:rsidR="00A345F4" w:rsidRDefault="005E2D4E">
            <w:pPr>
              <w:pStyle w:val="P68B1DB1-Normal14"/>
              <w:numPr>
                <w:ilvl w:val="0"/>
                <w:numId w:val="5"/>
              </w:numPr>
              <w:spacing w:after="0" w:line="240" w:lineRule="auto"/>
              <w:ind w:left="173" w:hanging="218"/>
              <w:contextualSpacing/>
              <w:jc w:val="both"/>
              <w:rPr>
                <w:noProof/>
              </w:rPr>
            </w:pPr>
            <w:r>
              <w:rPr>
                <w:noProof/>
              </w:rPr>
              <w:t>La restauration d'au moins 4ha de terres par le reboisement, le désherbage ou la construction de clôtures de brindilles;</w:t>
            </w:r>
          </w:p>
          <w:p w14:paraId="1ACECE68" w14:textId="77777777" w:rsidR="00A345F4" w:rsidRDefault="005E2D4E">
            <w:pPr>
              <w:pStyle w:val="P68B1DB1-Normal14"/>
              <w:numPr>
                <w:ilvl w:val="0"/>
                <w:numId w:val="5"/>
              </w:numPr>
              <w:spacing w:after="0" w:line="240" w:lineRule="auto"/>
              <w:ind w:left="173" w:hanging="218"/>
              <w:contextualSpacing/>
              <w:jc w:val="both"/>
              <w:rPr>
                <w:noProof/>
              </w:rPr>
            </w:pPr>
            <w:r>
              <w:rPr>
                <w:noProof/>
              </w:rPr>
              <w:t>La restauration d'au moins 30km de lit torrent.</w:t>
            </w:r>
          </w:p>
          <w:p w14:paraId="0AD123E8" w14:textId="77777777" w:rsidR="00A345F4" w:rsidRDefault="005E2D4E">
            <w:pPr>
              <w:pStyle w:val="P68B1DB1-Normal14"/>
              <w:spacing w:after="0" w:line="240" w:lineRule="auto"/>
              <w:ind w:left="-45"/>
              <w:jc w:val="both"/>
              <w:rPr>
                <w:noProof/>
              </w:rPr>
            </w:pPr>
            <w:r>
              <w:rPr>
                <w:noProof/>
              </w:rPr>
              <w:t>Toute mesure jugée nécessaire dans le cadre de l’évaluation au titre de la directive 2000/60/CE (directive-cadre sur l’eau) pour garantir le respect des orientations techniques «Ne pas causer de préjudice important» (2021/C58/01) est intégrée dans la conception du projet et strictement respectée aux stades de la construction, de la modernisation, de l’exploitation et du déclassement.</w:t>
            </w:r>
          </w:p>
        </w:tc>
      </w:tr>
      <w:tr w:rsidR="00A345F4" w14:paraId="61929B26" w14:textId="77777777" w:rsidTr="000431DB">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096576EB" w14:textId="77777777" w:rsidR="00A345F4" w:rsidRDefault="005E2D4E">
            <w:pPr>
              <w:pStyle w:val="P68B1DB1-Normal14"/>
              <w:spacing w:after="0" w:line="240" w:lineRule="auto"/>
              <w:jc w:val="center"/>
              <w:rPr>
                <w:noProof/>
              </w:rPr>
            </w:pPr>
            <w:r>
              <w:rPr>
                <w:noProof/>
              </w:rPr>
              <w:t>42</w:t>
            </w:r>
          </w:p>
        </w:tc>
        <w:tc>
          <w:tcPr>
            <w:tcW w:w="1619" w:type="dxa"/>
            <w:tcBorders>
              <w:top w:val="nil"/>
              <w:left w:val="nil"/>
              <w:bottom w:val="single" w:sz="4" w:space="0" w:color="auto"/>
              <w:right w:val="single" w:sz="4" w:space="0" w:color="auto"/>
            </w:tcBorders>
            <w:shd w:val="clear" w:color="auto" w:fill="C6EFCE"/>
            <w:noWrap/>
          </w:tcPr>
          <w:p w14:paraId="148FD477" w14:textId="77777777" w:rsidR="00A345F4" w:rsidRDefault="005E2D4E">
            <w:pPr>
              <w:pStyle w:val="P68B1DB1-Normal14"/>
              <w:spacing w:after="0" w:line="240" w:lineRule="auto"/>
              <w:jc w:val="both"/>
              <w:rPr>
                <w:noProof/>
              </w:rPr>
            </w:pPr>
            <w:r>
              <w:rPr>
                <w:noProof/>
              </w:rPr>
              <w:t xml:space="preserve">Investissement 5. Systèmes intégrés d'atténuation des risques d'inondation dans les bassins hydrographiques forestiers </w:t>
            </w:r>
          </w:p>
        </w:tc>
        <w:tc>
          <w:tcPr>
            <w:tcW w:w="1276" w:type="dxa"/>
            <w:tcBorders>
              <w:top w:val="nil"/>
              <w:left w:val="nil"/>
              <w:bottom w:val="single" w:sz="4" w:space="0" w:color="auto"/>
              <w:right w:val="single" w:sz="4" w:space="0" w:color="auto"/>
            </w:tcBorders>
            <w:shd w:val="clear" w:color="auto" w:fill="C6EFCE"/>
            <w:noWrap/>
          </w:tcPr>
          <w:p w14:paraId="6CD68A75" w14:textId="77777777" w:rsidR="00A345F4" w:rsidRDefault="005E2D4E">
            <w:pPr>
              <w:pStyle w:val="P68B1DB1-Normal14"/>
              <w:spacing w:after="0" w:line="240" w:lineRule="auto"/>
              <w:jc w:val="center"/>
              <w:rPr>
                <w:noProof/>
              </w:rPr>
            </w:pPr>
            <w:r>
              <w:rPr>
                <w:noProof/>
              </w:rPr>
              <w:t>Étape</w:t>
            </w:r>
          </w:p>
        </w:tc>
        <w:tc>
          <w:tcPr>
            <w:tcW w:w="1578" w:type="dxa"/>
            <w:tcBorders>
              <w:top w:val="nil"/>
              <w:left w:val="nil"/>
              <w:bottom w:val="single" w:sz="4" w:space="0" w:color="auto"/>
              <w:right w:val="single" w:sz="4" w:space="0" w:color="auto"/>
            </w:tcBorders>
            <w:shd w:val="clear" w:color="auto" w:fill="C6EFCE"/>
            <w:noWrap/>
          </w:tcPr>
          <w:p w14:paraId="7D8A914D" w14:textId="77777777" w:rsidR="00A345F4" w:rsidRDefault="005E2D4E">
            <w:pPr>
              <w:pStyle w:val="P68B1DB1-Normal14"/>
              <w:spacing w:after="0" w:line="240" w:lineRule="auto"/>
              <w:jc w:val="both"/>
              <w:rPr>
                <w:noProof/>
              </w:rPr>
            </w:pPr>
            <w:r>
              <w:rPr>
                <w:noProof/>
              </w:rPr>
              <w:t>Travaux de modernisation pour la protection contre les inondations</w:t>
            </w:r>
          </w:p>
        </w:tc>
        <w:tc>
          <w:tcPr>
            <w:tcW w:w="1760" w:type="dxa"/>
            <w:tcBorders>
              <w:top w:val="nil"/>
              <w:left w:val="nil"/>
              <w:bottom w:val="single" w:sz="4" w:space="0" w:color="auto"/>
              <w:right w:val="single" w:sz="4" w:space="0" w:color="auto"/>
            </w:tcBorders>
            <w:shd w:val="clear" w:color="auto" w:fill="C6EFCE"/>
            <w:noWrap/>
          </w:tcPr>
          <w:p w14:paraId="47F53F44" w14:textId="77777777" w:rsidR="00A345F4" w:rsidRDefault="005E2D4E">
            <w:pPr>
              <w:pStyle w:val="P68B1DB1-Normal14"/>
              <w:spacing w:after="0" w:line="240" w:lineRule="auto"/>
              <w:jc w:val="both"/>
              <w:rPr>
                <w:noProof/>
              </w:rPr>
            </w:pPr>
            <w:r>
              <w:rPr>
                <w:noProof/>
              </w:rPr>
              <w:t>Modernisation des ouvrages de protection contre les inondations</w:t>
            </w:r>
          </w:p>
        </w:tc>
        <w:tc>
          <w:tcPr>
            <w:tcW w:w="1088" w:type="dxa"/>
            <w:tcBorders>
              <w:top w:val="nil"/>
              <w:left w:val="nil"/>
              <w:bottom w:val="single" w:sz="4" w:space="0" w:color="auto"/>
              <w:right w:val="single" w:sz="4" w:space="0" w:color="auto"/>
            </w:tcBorders>
            <w:shd w:val="clear" w:color="auto" w:fill="C6EFCE"/>
            <w:noWrap/>
          </w:tcPr>
          <w:p w14:paraId="2688FD21" w14:textId="77777777" w:rsidR="00A345F4" w:rsidRDefault="00A345F4">
            <w:pPr>
              <w:spacing w:after="0" w:line="240" w:lineRule="auto"/>
              <w:jc w:val="both"/>
              <w:rPr>
                <w:rFonts w:ascii="Times New Roman" w:hAnsi="Times New Roman" w:cs="Times New Roman"/>
                <w:noProof/>
                <w:sz w:val="20"/>
                <w:szCs w:val="20"/>
              </w:rPr>
            </w:pPr>
          </w:p>
        </w:tc>
        <w:tc>
          <w:tcPr>
            <w:tcW w:w="1357" w:type="dxa"/>
            <w:tcBorders>
              <w:top w:val="nil"/>
              <w:left w:val="nil"/>
              <w:bottom w:val="single" w:sz="4" w:space="0" w:color="auto"/>
              <w:right w:val="single" w:sz="4" w:space="0" w:color="auto"/>
            </w:tcBorders>
            <w:shd w:val="clear" w:color="auto" w:fill="C6EFCE"/>
            <w:noWrap/>
          </w:tcPr>
          <w:p w14:paraId="7063A444" w14:textId="77777777" w:rsidR="00A345F4" w:rsidRDefault="00A345F4">
            <w:pPr>
              <w:spacing w:after="0" w:line="240" w:lineRule="auto"/>
              <w:jc w:val="both"/>
              <w:rPr>
                <w:rFonts w:ascii="Times New Roman" w:hAnsi="Times New Roman" w:cs="Times New Roman"/>
                <w:noProof/>
                <w:sz w:val="20"/>
                <w:szCs w:val="20"/>
              </w:rPr>
            </w:pPr>
          </w:p>
        </w:tc>
        <w:tc>
          <w:tcPr>
            <w:tcW w:w="1089" w:type="dxa"/>
            <w:tcBorders>
              <w:top w:val="nil"/>
              <w:left w:val="nil"/>
              <w:bottom w:val="single" w:sz="4" w:space="0" w:color="auto"/>
              <w:right w:val="single" w:sz="4" w:space="0" w:color="auto"/>
            </w:tcBorders>
            <w:shd w:val="clear" w:color="auto" w:fill="C6EFCE"/>
            <w:noWrap/>
          </w:tcPr>
          <w:p w14:paraId="39A1B745" w14:textId="77777777" w:rsidR="00A345F4" w:rsidRDefault="00A345F4">
            <w:pPr>
              <w:spacing w:after="0" w:line="240" w:lineRule="auto"/>
              <w:jc w:val="both"/>
              <w:rPr>
                <w:rFonts w:ascii="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0C00A192" w14:textId="77777777" w:rsidR="00A345F4" w:rsidRDefault="005E2D4E">
            <w:pPr>
              <w:pStyle w:val="P68B1DB1-Normal14"/>
              <w:spacing w:after="0" w:line="240" w:lineRule="auto"/>
              <w:jc w:val="both"/>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0F4306CE" w14:textId="77777777" w:rsidR="00A345F4" w:rsidRDefault="005E2D4E">
            <w:pPr>
              <w:pStyle w:val="P68B1DB1-Normal14"/>
              <w:spacing w:after="0" w:line="240" w:lineRule="auto"/>
              <w:jc w:val="both"/>
              <w:rPr>
                <w:noProof/>
              </w:rPr>
            </w:pPr>
            <w:r>
              <w:rPr>
                <w:noProof/>
              </w:rPr>
              <w:t>2026</w:t>
            </w:r>
          </w:p>
        </w:tc>
        <w:tc>
          <w:tcPr>
            <w:tcW w:w="3294" w:type="dxa"/>
            <w:tcBorders>
              <w:top w:val="nil"/>
              <w:left w:val="nil"/>
              <w:bottom w:val="single" w:sz="4" w:space="0" w:color="auto"/>
              <w:right w:val="single" w:sz="4" w:space="0" w:color="auto"/>
            </w:tcBorders>
            <w:shd w:val="clear" w:color="auto" w:fill="C6EFCE"/>
            <w:noWrap/>
          </w:tcPr>
          <w:p w14:paraId="1968B91F" w14:textId="77777777" w:rsidR="00A345F4" w:rsidRDefault="005E2D4E">
            <w:pPr>
              <w:pStyle w:val="P68B1DB1-Normal14"/>
              <w:rPr>
                <w:noProof/>
              </w:rPr>
            </w:pPr>
            <w:r>
              <w:rPr>
                <w:noProof/>
              </w:rPr>
              <w:t>La conception des projets de modernisation des projets de protection contre les inondations définis au jalon 41 est construite.</w:t>
            </w:r>
          </w:p>
        </w:tc>
      </w:tr>
    </w:tbl>
    <w:p w14:paraId="5056E62F" w14:textId="77777777" w:rsidR="00A345F4" w:rsidRDefault="00A345F4">
      <w:pPr>
        <w:spacing w:before="120" w:after="120" w:line="240" w:lineRule="auto"/>
        <w:ind w:left="709"/>
        <w:jc w:val="both"/>
        <w:rPr>
          <w:rFonts w:ascii="Times New Roman" w:hAnsi="Times New Roman" w:cs="Times New Roman"/>
          <w:noProof/>
        </w:rPr>
      </w:pPr>
    </w:p>
    <w:p w14:paraId="30C969B3" w14:textId="77777777" w:rsidR="00A345F4" w:rsidRDefault="00A345F4">
      <w:pPr>
        <w:spacing w:before="120" w:after="120" w:line="240" w:lineRule="auto"/>
        <w:ind w:left="709"/>
        <w:jc w:val="both"/>
        <w:rPr>
          <w:rFonts w:ascii="Times New Roman" w:hAnsi="Times New Roman" w:cs="Times New Roman"/>
          <w:noProof/>
        </w:rPr>
        <w:sectPr w:rsidR="00A345F4" w:rsidSect="005E1674">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39E8BC96" w14:textId="77777777" w:rsidR="00A345F4" w:rsidRDefault="005E2D4E">
      <w:pPr>
        <w:pStyle w:val="P68B1DB1-Normal5"/>
        <w:keepNext/>
        <w:spacing w:before="120" w:after="120" w:line="240" w:lineRule="auto"/>
        <w:jc w:val="both"/>
        <w:outlineLvl w:val="1"/>
        <w:rPr>
          <w:noProof/>
        </w:rPr>
      </w:pPr>
      <w:r>
        <w:rPr>
          <w:noProof/>
        </w:rPr>
        <w:t xml:space="preserve">B.3. </w:t>
      </w:r>
      <w:r>
        <w:rPr>
          <w:noProof/>
        </w:rPr>
        <w:tab/>
        <w:t xml:space="preserve">Description des réformes du prêt </w:t>
      </w:r>
    </w:p>
    <w:p w14:paraId="3097A80D"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Réforme 2. Réforme du système de gestion des zones naturelles protégées pour la stratégie européenne en faveur de la biodiversité</w:t>
      </w:r>
    </w:p>
    <w:p w14:paraId="4516C13B" w14:textId="77777777" w:rsidR="00A345F4" w:rsidRDefault="005E2D4E">
      <w:pPr>
        <w:spacing w:before="120" w:after="120" w:line="240" w:lineRule="auto"/>
        <w:jc w:val="both"/>
        <w:rPr>
          <w:rFonts w:ascii="Times New Roman" w:hAnsi="Times New Roman" w:cs="Times New Roman"/>
          <w:noProof/>
        </w:rPr>
      </w:pPr>
      <w:r>
        <w:rPr>
          <w:rFonts w:ascii="Times New Roman" w:hAnsi="Times New Roman" w:cs="Times New Roman"/>
          <w:noProof/>
        </w:rPr>
        <w:t xml:space="preserve">L’objectif de cette réforme est de modifier le cadre actuel de désignation des zones naturelles protégées. </w:t>
      </w:r>
      <w:r>
        <w:rPr>
          <w:rFonts w:ascii="Times New Roman" w:eastAsia="NSimSun" w:hAnsi="Times New Roman" w:cs="Times New Roman"/>
          <w:noProof/>
          <w:kern w:val="3"/>
        </w:rPr>
        <w:t>La</w:t>
      </w:r>
      <w:r>
        <w:rPr>
          <w:rFonts w:ascii="Times New Roman" w:hAnsi="Times New Roman" w:cs="Times New Roman"/>
          <w:noProof/>
        </w:rPr>
        <w:t xml:space="preserve"> réforme consiste en un ou plusieurs actes juridiques visant à garantir que le cadre juridique existant pour différents secteurs ayant une incidence sur la biodiversité n’affecte ni ne restreint les mesures de conservation prévues dans les plans de gestion des zones naturelles protégées.</w:t>
      </w:r>
    </w:p>
    <w:p w14:paraId="14FFCB5A" w14:textId="77777777" w:rsidR="00A345F4" w:rsidRDefault="00A345F4">
      <w:pPr>
        <w:spacing w:before="120" w:after="120" w:line="240" w:lineRule="auto"/>
        <w:jc w:val="both"/>
        <w:rPr>
          <w:rFonts w:ascii="Times New Roman" w:hAnsi="Times New Roman" w:cs="Times New Roman"/>
          <w:noProof/>
        </w:rPr>
        <w:sectPr w:rsidR="00A345F4" w:rsidSect="005E1674">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34290A25"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B.4. </w:t>
      </w:r>
      <w:r>
        <w:rPr>
          <w:noProof/>
        </w:rPr>
        <w:t xml:space="preserve"> </w:t>
      </w:r>
      <w:r>
        <w:rPr>
          <w:b/>
          <w:noProof/>
        </w:rPr>
        <w:t>Étapes, objectifs, indicateurs et calendrier du suivi et de la mise en œuvre du prêt</w:t>
      </w:r>
    </w:p>
    <w:tbl>
      <w:tblPr>
        <w:tblW w:w="15502" w:type="dxa"/>
        <w:jc w:val="center"/>
        <w:tblLayout w:type="fixed"/>
        <w:tblLook w:val="04A0" w:firstRow="1" w:lastRow="0" w:firstColumn="1" w:lastColumn="0" w:noHBand="0" w:noVBand="1"/>
      </w:tblPr>
      <w:tblGrid>
        <w:gridCol w:w="809"/>
        <w:gridCol w:w="1738"/>
        <w:gridCol w:w="1276"/>
        <w:gridCol w:w="1734"/>
        <w:gridCol w:w="1757"/>
        <w:gridCol w:w="1087"/>
        <w:gridCol w:w="1356"/>
        <w:gridCol w:w="1011"/>
        <w:gridCol w:w="1134"/>
        <w:gridCol w:w="851"/>
        <w:gridCol w:w="2749"/>
      </w:tblGrid>
      <w:tr w:rsidR="00A345F4" w14:paraId="5518C862" w14:textId="77777777" w:rsidTr="00CB0A8A">
        <w:trPr>
          <w:trHeight w:val="939"/>
          <w:tblHeader/>
          <w:jc w:val="center"/>
        </w:trPr>
        <w:tc>
          <w:tcPr>
            <w:tcW w:w="8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770E1A" w14:textId="77777777" w:rsidR="00A345F4" w:rsidRDefault="005E2D4E">
            <w:pPr>
              <w:pStyle w:val="P68B1DB1-Normal13"/>
              <w:spacing w:after="0" w:line="240" w:lineRule="auto"/>
              <w:jc w:val="center"/>
              <w:rPr>
                <w:rFonts w:eastAsia="Times New Roman"/>
                <w:noProof/>
              </w:rPr>
            </w:pPr>
            <w:r>
              <w:rPr>
                <w:noProof/>
              </w:rPr>
              <w:t>Seq. Num.</w:t>
            </w:r>
          </w:p>
        </w:tc>
        <w:tc>
          <w:tcPr>
            <w:tcW w:w="17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64BB0F"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691075" w14:textId="77777777" w:rsidR="00A345F4" w:rsidRDefault="005E2D4E">
            <w:pPr>
              <w:pStyle w:val="P68B1DB1-Normal13"/>
              <w:spacing w:after="0" w:line="240" w:lineRule="auto"/>
              <w:jc w:val="center"/>
              <w:rPr>
                <w:rFonts w:eastAsia="Times New Roman"/>
                <w:noProof/>
              </w:rPr>
            </w:pPr>
            <w:r>
              <w:rPr>
                <w:noProof/>
              </w:rPr>
              <w:t>Étape/cible</w:t>
            </w:r>
          </w:p>
        </w:tc>
        <w:tc>
          <w:tcPr>
            <w:tcW w:w="17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A92276" w14:textId="77777777" w:rsidR="00A345F4" w:rsidRDefault="005E2D4E">
            <w:pPr>
              <w:pStyle w:val="P68B1DB1-Normal13"/>
              <w:spacing w:after="0" w:line="240" w:lineRule="auto"/>
              <w:jc w:val="center"/>
              <w:rPr>
                <w:rFonts w:eastAsia="Times New Roman"/>
                <w:noProof/>
              </w:rPr>
            </w:pPr>
            <w:r>
              <w:rPr>
                <w:noProof/>
              </w:rPr>
              <w:t>Nom</w:t>
            </w:r>
          </w:p>
        </w:tc>
        <w:tc>
          <w:tcPr>
            <w:tcW w:w="17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9BC70F"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45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D305B25"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3258C54" w14:textId="77777777" w:rsidR="00A345F4" w:rsidRDefault="005E2D4E">
            <w:pPr>
              <w:pStyle w:val="P68B1DB1-Normal13"/>
              <w:spacing w:after="0" w:line="240" w:lineRule="auto"/>
              <w:jc w:val="center"/>
              <w:rPr>
                <w:rFonts w:eastAsia="Times New Roman"/>
                <w:noProof/>
              </w:rPr>
            </w:pPr>
            <w:r>
              <w:rPr>
                <w:noProof/>
              </w:rPr>
              <w:t xml:space="preserve">Calendrier indicatif d'achèvement </w:t>
            </w:r>
          </w:p>
        </w:tc>
        <w:tc>
          <w:tcPr>
            <w:tcW w:w="27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857652"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37176E69" w14:textId="77777777" w:rsidTr="00CB0A8A">
        <w:trPr>
          <w:trHeight w:val="1027"/>
          <w:tblHeader/>
          <w:jc w:val="center"/>
        </w:trPr>
        <w:tc>
          <w:tcPr>
            <w:tcW w:w="809" w:type="dxa"/>
            <w:vMerge/>
            <w:tcBorders>
              <w:top w:val="single" w:sz="4" w:space="0" w:color="auto"/>
              <w:left w:val="single" w:sz="4" w:space="0" w:color="auto"/>
              <w:bottom w:val="single" w:sz="4" w:space="0" w:color="auto"/>
              <w:right w:val="single" w:sz="4" w:space="0" w:color="auto"/>
            </w:tcBorders>
            <w:hideMark/>
          </w:tcPr>
          <w:p w14:paraId="32CC31F8"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738" w:type="dxa"/>
            <w:vMerge/>
            <w:tcBorders>
              <w:top w:val="single" w:sz="4" w:space="0" w:color="auto"/>
              <w:left w:val="single" w:sz="4" w:space="0" w:color="auto"/>
              <w:bottom w:val="single" w:sz="4" w:space="0" w:color="auto"/>
              <w:right w:val="single" w:sz="4" w:space="0" w:color="auto"/>
            </w:tcBorders>
            <w:hideMark/>
          </w:tcPr>
          <w:p w14:paraId="5EA5C3D2"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76" w:type="dxa"/>
            <w:vMerge/>
            <w:tcBorders>
              <w:top w:val="single" w:sz="4" w:space="0" w:color="auto"/>
              <w:left w:val="single" w:sz="4" w:space="0" w:color="auto"/>
              <w:bottom w:val="single" w:sz="4" w:space="0" w:color="auto"/>
              <w:right w:val="single" w:sz="4" w:space="0" w:color="auto"/>
            </w:tcBorders>
            <w:hideMark/>
          </w:tcPr>
          <w:p w14:paraId="18562921"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734" w:type="dxa"/>
            <w:vMerge/>
            <w:tcBorders>
              <w:top w:val="single" w:sz="4" w:space="0" w:color="auto"/>
              <w:left w:val="single" w:sz="4" w:space="0" w:color="auto"/>
              <w:bottom w:val="single" w:sz="4" w:space="0" w:color="auto"/>
              <w:right w:val="single" w:sz="4" w:space="0" w:color="auto"/>
            </w:tcBorders>
            <w:hideMark/>
          </w:tcPr>
          <w:p w14:paraId="3C74A8A9"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757" w:type="dxa"/>
            <w:vMerge/>
            <w:tcBorders>
              <w:top w:val="single" w:sz="4" w:space="0" w:color="auto"/>
              <w:left w:val="single" w:sz="4" w:space="0" w:color="auto"/>
              <w:bottom w:val="single" w:sz="4" w:space="0" w:color="auto"/>
              <w:right w:val="single" w:sz="4" w:space="0" w:color="auto"/>
            </w:tcBorders>
            <w:hideMark/>
          </w:tcPr>
          <w:p w14:paraId="627734C8"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0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30D13F" w14:textId="77777777" w:rsidR="00A345F4" w:rsidRDefault="005E2D4E">
            <w:pPr>
              <w:pStyle w:val="P68B1DB1-Normal13"/>
              <w:spacing w:after="0" w:line="240" w:lineRule="auto"/>
              <w:jc w:val="center"/>
              <w:rPr>
                <w:rFonts w:eastAsia="Times New Roman"/>
                <w:noProof/>
              </w:rPr>
            </w:pPr>
            <w:r>
              <w:rPr>
                <w:noProof/>
              </w:rPr>
              <w:t>Unité de mesure</w:t>
            </w:r>
          </w:p>
        </w:tc>
        <w:tc>
          <w:tcPr>
            <w:tcW w:w="13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5D829A3" w14:textId="77777777" w:rsidR="00A345F4" w:rsidRDefault="005E2D4E">
            <w:pPr>
              <w:pStyle w:val="P68B1DB1-Normal13"/>
              <w:spacing w:after="0" w:line="240" w:lineRule="auto"/>
              <w:jc w:val="center"/>
              <w:rPr>
                <w:rFonts w:eastAsia="Times New Roman"/>
                <w:noProof/>
              </w:rPr>
            </w:pPr>
            <w:r>
              <w:rPr>
                <w:noProof/>
              </w:rPr>
              <w:t xml:space="preserve">Données de référence </w:t>
            </w:r>
          </w:p>
        </w:tc>
        <w:tc>
          <w:tcPr>
            <w:tcW w:w="101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0C2448F" w14:textId="77777777" w:rsidR="00A345F4" w:rsidRDefault="005E2D4E">
            <w:pPr>
              <w:pStyle w:val="P68B1DB1-Normal13"/>
              <w:spacing w:after="0" w:line="240" w:lineRule="auto"/>
              <w:jc w:val="center"/>
              <w:rPr>
                <w:rFonts w:eastAsia="Times New Roman"/>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7CCDC9E" w14:textId="77777777" w:rsidR="00A345F4" w:rsidRDefault="005E2D4E">
            <w:pPr>
              <w:pStyle w:val="P68B1DB1-Normal13"/>
              <w:spacing w:after="0" w:line="240" w:lineRule="auto"/>
              <w:jc w:val="center"/>
              <w:rPr>
                <w:rFonts w:eastAsia="Times New Roman"/>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387BDB" w14:textId="77777777" w:rsidR="00A345F4" w:rsidRDefault="005E2D4E">
            <w:pPr>
              <w:pStyle w:val="P68B1DB1-Normal13"/>
              <w:spacing w:after="0" w:line="240" w:lineRule="auto"/>
              <w:jc w:val="center"/>
              <w:rPr>
                <w:rFonts w:eastAsia="Times New Roman"/>
                <w:noProof/>
              </w:rPr>
            </w:pPr>
            <w:r>
              <w:rPr>
                <w:noProof/>
              </w:rPr>
              <w:t>Année</w:t>
            </w:r>
          </w:p>
        </w:tc>
        <w:tc>
          <w:tcPr>
            <w:tcW w:w="2749" w:type="dxa"/>
            <w:vMerge/>
            <w:tcBorders>
              <w:top w:val="single" w:sz="4" w:space="0" w:color="auto"/>
              <w:bottom w:val="single" w:sz="4" w:space="0" w:color="auto"/>
              <w:right w:val="single" w:sz="4" w:space="0" w:color="auto"/>
            </w:tcBorders>
            <w:hideMark/>
          </w:tcPr>
          <w:p w14:paraId="16F4596D" w14:textId="77777777" w:rsidR="00A345F4" w:rsidRDefault="00A345F4">
            <w:pPr>
              <w:spacing w:after="0" w:line="240" w:lineRule="auto"/>
              <w:jc w:val="center"/>
              <w:rPr>
                <w:rFonts w:ascii="Times New Roman" w:eastAsia="Times New Roman" w:hAnsi="Times New Roman" w:cs="Times New Roman"/>
                <w:b/>
                <w:bCs/>
                <w:noProof/>
                <w:sz w:val="20"/>
                <w:szCs w:val="20"/>
              </w:rPr>
            </w:pPr>
          </w:p>
        </w:tc>
      </w:tr>
      <w:tr w:rsidR="00A345F4" w14:paraId="2056B826" w14:textId="77777777" w:rsidTr="00CB0A8A">
        <w:trPr>
          <w:trHeight w:val="313"/>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18F37462" w14:textId="77777777" w:rsidR="00A345F4" w:rsidRDefault="005E2D4E">
            <w:pPr>
              <w:pStyle w:val="P68B1DB1-Normal14"/>
              <w:spacing w:after="0" w:line="240" w:lineRule="auto"/>
              <w:jc w:val="center"/>
              <w:rPr>
                <w:rFonts w:eastAsia="Times New Roman"/>
                <w:noProof/>
              </w:rPr>
            </w:pPr>
            <w:r>
              <w:rPr>
                <w:noProof/>
              </w:rPr>
              <w:t>30</w:t>
            </w:r>
          </w:p>
        </w:tc>
        <w:tc>
          <w:tcPr>
            <w:tcW w:w="1738" w:type="dxa"/>
            <w:tcBorders>
              <w:top w:val="single" w:sz="4" w:space="0" w:color="auto"/>
              <w:left w:val="nil"/>
              <w:bottom w:val="single" w:sz="4" w:space="0" w:color="auto"/>
              <w:right w:val="single" w:sz="4" w:space="0" w:color="auto"/>
            </w:tcBorders>
            <w:shd w:val="clear" w:color="auto" w:fill="C6EFCE"/>
            <w:noWrap/>
          </w:tcPr>
          <w:p w14:paraId="4EC49CF5" w14:textId="77777777" w:rsidR="00A345F4" w:rsidRDefault="005E2D4E">
            <w:pPr>
              <w:pStyle w:val="P68B1DB1-Normal14"/>
              <w:spacing w:after="0" w:line="240" w:lineRule="auto"/>
              <w:jc w:val="both"/>
              <w:rPr>
                <w:rFonts w:eastAsia="Times New Roman"/>
                <w:noProof/>
              </w:rPr>
            </w:pPr>
            <w:r>
              <w:rPr>
                <w:noProof/>
              </w:rPr>
              <w:t>Réforme 2. Réforme du système de gestion des zones naturelles protégées pour la stratégie européenne en faveur de la biodiversité</w:t>
            </w:r>
          </w:p>
        </w:tc>
        <w:tc>
          <w:tcPr>
            <w:tcW w:w="1276" w:type="dxa"/>
            <w:tcBorders>
              <w:top w:val="single" w:sz="4" w:space="0" w:color="auto"/>
              <w:left w:val="nil"/>
              <w:bottom w:val="single" w:sz="4" w:space="0" w:color="auto"/>
              <w:right w:val="single" w:sz="4" w:space="0" w:color="auto"/>
            </w:tcBorders>
            <w:shd w:val="clear" w:color="auto" w:fill="C6EFCE"/>
            <w:noWrap/>
          </w:tcPr>
          <w:p w14:paraId="67C6362C" w14:textId="2E0C1ECC" w:rsidR="00A345F4" w:rsidRDefault="005E2D4E">
            <w:pPr>
              <w:pStyle w:val="P68B1DB1-Normal14"/>
              <w:spacing w:after="0" w:line="240" w:lineRule="auto"/>
              <w:jc w:val="center"/>
              <w:rPr>
                <w:rFonts w:eastAsia="Times New Roman"/>
                <w:noProof/>
              </w:rPr>
            </w:pPr>
            <w:r>
              <w:rPr>
                <w:noProof/>
              </w:rPr>
              <w:t>Étape</w:t>
            </w:r>
          </w:p>
        </w:tc>
        <w:tc>
          <w:tcPr>
            <w:tcW w:w="1734" w:type="dxa"/>
            <w:tcBorders>
              <w:top w:val="single" w:sz="4" w:space="0" w:color="auto"/>
              <w:left w:val="nil"/>
              <w:bottom w:val="single" w:sz="4" w:space="0" w:color="auto"/>
              <w:right w:val="single" w:sz="4" w:space="0" w:color="auto"/>
            </w:tcBorders>
            <w:shd w:val="clear" w:color="auto" w:fill="C6EFCE"/>
            <w:noWrap/>
          </w:tcPr>
          <w:p w14:paraId="3A1927A7" w14:textId="77777777" w:rsidR="00A345F4" w:rsidRDefault="005E2D4E">
            <w:pPr>
              <w:pStyle w:val="P68B1DB1-Normal14"/>
              <w:spacing w:after="0" w:line="240" w:lineRule="auto"/>
              <w:jc w:val="both"/>
              <w:rPr>
                <w:rFonts w:eastAsia="Times New Roman"/>
                <w:noProof/>
              </w:rPr>
            </w:pPr>
            <w:r>
              <w:rPr>
                <w:noProof/>
              </w:rPr>
              <w:t xml:space="preserve">Entrée en vigueur de l’acte législatif instituant le comité interinstitutionnel chargé d’analyser le cadre juridique applicable aux secteurs ayant une incidence sur la biodiversité </w:t>
            </w:r>
          </w:p>
        </w:tc>
        <w:tc>
          <w:tcPr>
            <w:tcW w:w="1757" w:type="dxa"/>
            <w:tcBorders>
              <w:top w:val="single" w:sz="4" w:space="0" w:color="auto"/>
              <w:left w:val="nil"/>
              <w:bottom w:val="single" w:sz="4" w:space="0" w:color="auto"/>
              <w:right w:val="single" w:sz="4" w:space="0" w:color="auto"/>
            </w:tcBorders>
            <w:shd w:val="clear" w:color="auto" w:fill="C6EFCE"/>
            <w:noWrap/>
          </w:tcPr>
          <w:p w14:paraId="7212FA32"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l’acte législatif</w:t>
            </w:r>
          </w:p>
        </w:tc>
        <w:tc>
          <w:tcPr>
            <w:tcW w:w="1087" w:type="dxa"/>
            <w:tcBorders>
              <w:top w:val="single" w:sz="4" w:space="0" w:color="auto"/>
              <w:left w:val="nil"/>
              <w:bottom w:val="single" w:sz="4" w:space="0" w:color="auto"/>
              <w:right w:val="single" w:sz="4" w:space="0" w:color="auto"/>
            </w:tcBorders>
            <w:shd w:val="clear" w:color="auto" w:fill="C6EFCE"/>
            <w:noWrap/>
          </w:tcPr>
          <w:p w14:paraId="5D1549C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56" w:type="dxa"/>
            <w:tcBorders>
              <w:top w:val="single" w:sz="4" w:space="0" w:color="auto"/>
              <w:left w:val="nil"/>
              <w:bottom w:val="single" w:sz="4" w:space="0" w:color="auto"/>
              <w:right w:val="single" w:sz="4" w:space="0" w:color="auto"/>
            </w:tcBorders>
            <w:shd w:val="clear" w:color="auto" w:fill="C6EFCE"/>
            <w:noWrap/>
          </w:tcPr>
          <w:p w14:paraId="14BC034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11" w:type="dxa"/>
            <w:tcBorders>
              <w:top w:val="single" w:sz="4" w:space="0" w:color="auto"/>
              <w:left w:val="nil"/>
              <w:bottom w:val="single" w:sz="4" w:space="0" w:color="auto"/>
              <w:right w:val="single" w:sz="4" w:space="0" w:color="auto"/>
            </w:tcBorders>
            <w:shd w:val="clear" w:color="auto" w:fill="C6EFCE"/>
            <w:noWrap/>
          </w:tcPr>
          <w:p w14:paraId="0BD6862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3FE6157C"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78D3052B" w14:textId="77777777" w:rsidR="00A345F4" w:rsidRDefault="005E2D4E">
            <w:pPr>
              <w:pStyle w:val="P68B1DB1-Normal14"/>
              <w:spacing w:after="0" w:line="240" w:lineRule="auto"/>
              <w:jc w:val="both"/>
              <w:rPr>
                <w:rFonts w:eastAsia="Times New Roman"/>
                <w:noProof/>
              </w:rPr>
            </w:pPr>
            <w:r>
              <w:rPr>
                <w:noProof/>
              </w:rPr>
              <w:t xml:space="preserve">2022 </w:t>
            </w:r>
          </w:p>
        </w:tc>
        <w:tc>
          <w:tcPr>
            <w:tcW w:w="2749" w:type="dxa"/>
            <w:tcBorders>
              <w:top w:val="single" w:sz="4" w:space="0" w:color="auto"/>
              <w:left w:val="nil"/>
              <w:bottom w:val="single" w:sz="4" w:space="0" w:color="auto"/>
              <w:right w:val="single" w:sz="4" w:space="0" w:color="auto"/>
            </w:tcBorders>
            <w:shd w:val="clear" w:color="auto" w:fill="C6EFCE"/>
            <w:noWrap/>
          </w:tcPr>
          <w:p w14:paraId="527A3BA1" w14:textId="77777777" w:rsidR="00A345F4" w:rsidRDefault="005E2D4E">
            <w:pPr>
              <w:pStyle w:val="P68B1DB1-Normal14"/>
              <w:spacing w:after="0" w:line="240" w:lineRule="auto"/>
              <w:jc w:val="both"/>
              <w:rPr>
                <w:noProof/>
              </w:rPr>
            </w:pPr>
            <w:r>
              <w:rPr>
                <w:noProof/>
              </w:rPr>
              <w:t xml:space="preserve">Entrée en vigueur de l’acte législatif instituant le comité interinstitutionnel chargé d’analyser le cadre juridique applicable aux secteurs ayant une incidence sur la biodiversité, à savoir l’éducation, l’agriculture, la sylviculture, la chasse, le tourisme, l’organisation spatiale, les transports et l’énergie. </w:t>
            </w:r>
          </w:p>
          <w:p w14:paraId="364E76D1" w14:textId="77777777" w:rsidR="00A345F4" w:rsidRDefault="005E2D4E">
            <w:pPr>
              <w:pStyle w:val="P68B1DB1-Normal14"/>
              <w:spacing w:after="0" w:line="240" w:lineRule="auto"/>
              <w:jc w:val="both"/>
              <w:rPr>
                <w:noProof/>
              </w:rPr>
            </w:pPr>
            <w:r>
              <w:rPr>
                <w:noProof/>
              </w:rPr>
              <w:t>Le comité est dirigé par le ministère de l’environnement, des eaux et des forêts et comprend les ministères compétents et les autorités subordonnées responsables des secteurs concernés: l'éducation, l'agriculture, la sylviculture, la chasse, le tourisme, l'aménagement du territoire, les transports et l'énergie.</w:t>
            </w:r>
          </w:p>
          <w:p w14:paraId="7B30F5E8" w14:textId="77777777" w:rsidR="00A345F4" w:rsidRDefault="005E2D4E">
            <w:pPr>
              <w:pStyle w:val="P68B1DB1-Normal14"/>
              <w:spacing w:after="0" w:line="240" w:lineRule="auto"/>
              <w:jc w:val="both"/>
              <w:rPr>
                <w:rFonts w:eastAsia="Times New Roman"/>
                <w:noProof/>
              </w:rPr>
            </w:pPr>
            <w:r>
              <w:rPr>
                <w:noProof/>
              </w:rPr>
              <w:t xml:space="preserve">Le comité élabore des propositions de révision du cadre juridique à la lumière d’informations actualisées sur la répartition et la dynamique de l’état de conservation des espèces et des habitats. </w:t>
            </w:r>
          </w:p>
        </w:tc>
      </w:tr>
      <w:tr w:rsidR="00A345F4" w14:paraId="632E1206" w14:textId="77777777" w:rsidTr="00CB0A8A">
        <w:trPr>
          <w:trHeight w:val="313"/>
          <w:jc w:val="center"/>
        </w:trPr>
        <w:tc>
          <w:tcPr>
            <w:tcW w:w="809" w:type="dxa"/>
            <w:tcBorders>
              <w:top w:val="nil"/>
              <w:left w:val="single" w:sz="4" w:space="0" w:color="auto"/>
              <w:bottom w:val="single" w:sz="4" w:space="0" w:color="auto"/>
              <w:right w:val="single" w:sz="4" w:space="0" w:color="auto"/>
            </w:tcBorders>
            <w:shd w:val="clear" w:color="auto" w:fill="C6EFCE"/>
            <w:noWrap/>
            <w:hideMark/>
          </w:tcPr>
          <w:p w14:paraId="39E34ED0" w14:textId="77777777" w:rsidR="00A345F4" w:rsidRDefault="005E2D4E">
            <w:pPr>
              <w:pStyle w:val="P68B1DB1-Normal14"/>
              <w:spacing w:after="0" w:line="240" w:lineRule="auto"/>
              <w:jc w:val="center"/>
              <w:rPr>
                <w:rFonts w:eastAsia="Times New Roman"/>
                <w:noProof/>
              </w:rPr>
            </w:pPr>
            <w:r>
              <w:rPr>
                <w:noProof/>
              </w:rPr>
              <w:t>31</w:t>
            </w:r>
          </w:p>
        </w:tc>
        <w:tc>
          <w:tcPr>
            <w:tcW w:w="1738" w:type="dxa"/>
            <w:tcBorders>
              <w:top w:val="nil"/>
              <w:left w:val="nil"/>
              <w:bottom w:val="single" w:sz="4" w:space="0" w:color="auto"/>
              <w:right w:val="single" w:sz="4" w:space="0" w:color="auto"/>
            </w:tcBorders>
            <w:shd w:val="clear" w:color="auto" w:fill="C6EFCE"/>
            <w:noWrap/>
            <w:hideMark/>
          </w:tcPr>
          <w:p w14:paraId="60536690" w14:textId="77777777" w:rsidR="00A345F4" w:rsidRDefault="005E2D4E">
            <w:pPr>
              <w:pStyle w:val="P68B1DB1-Normal14"/>
              <w:spacing w:after="0" w:line="240" w:lineRule="auto"/>
              <w:jc w:val="both"/>
              <w:rPr>
                <w:rFonts w:eastAsia="Times New Roman"/>
                <w:noProof/>
              </w:rPr>
            </w:pPr>
            <w:r>
              <w:rPr>
                <w:noProof/>
              </w:rPr>
              <w:t>Réforme 2. Réforme du système de gestion des zones naturelles protégées pour la stratégie européenne en faveur de la biodiversité</w:t>
            </w:r>
          </w:p>
        </w:tc>
        <w:tc>
          <w:tcPr>
            <w:tcW w:w="1276" w:type="dxa"/>
            <w:tcBorders>
              <w:top w:val="nil"/>
              <w:left w:val="nil"/>
              <w:bottom w:val="single" w:sz="4" w:space="0" w:color="auto"/>
              <w:right w:val="single" w:sz="4" w:space="0" w:color="auto"/>
            </w:tcBorders>
            <w:shd w:val="clear" w:color="auto" w:fill="C6EFCE"/>
            <w:noWrap/>
            <w:hideMark/>
          </w:tcPr>
          <w:p w14:paraId="7A929CD1" w14:textId="77777777" w:rsidR="00A345F4" w:rsidRDefault="005E2D4E">
            <w:pPr>
              <w:pStyle w:val="P68B1DB1-Normal14"/>
              <w:spacing w:after="0" w:line="240" w:lineRule="auto"/>
              <w:jc w:val="center"/>
              <w:rPr>
                <w:rFonts w:eastAsia="Times New Roman"/>
                <w:noProof/>
              </w:rPr>
            </w:pPr>
            <w:r>
              <w:rPr>
                <w:noProof/>
              </w:rPr>
              <w:t>Étape</w:t>
            </w:r>
          </w:p>
        </w:tc>
        <w:tc>
          <w:tcPr>
            <w:tcW w:w="1734" w:type="dxa"/>
            <w:tcBorders>
              <w:top w:val="nil"/>
              <w:left w:val="nil"/>
              <w:bottom w:val="single" w:sz="4" w:space="0" w:color="auto"/>
              <w:right w:val="single" w:sz="4" w:space="0" w:color="auto"/>
            </w:tcBorders>
            <w:shd w:val="clear" w:color="auto" w:fill="C6EFCE"/>
            <w:noWrap/>
            <w:hideMark/>
          </w:tcPr>
          <w:p w14:paraId="6596FD74" w14:textId="77777777" w:rsidR="00A345F4" w:rsidRDefault="005E2D4E">
            <w:pPr>
              <w:pStyle w:val="P68B1DB1-Normal14"/>
              <w:spacing w:after="0" w:line="240" w:lineRule="auto"/>
              <w:jc w:val="both"/>
              <w:rPr>
                <w:rFonts w:eastAsia="Times New Roman"/>
                <w:noProof/>
              </w:rPr>
            </w:pPr>
            <w:r>
              <w:rPr>
                <w:noProof/>
              </w:rPr>
              <w:t>Entrée en vigueur du ou des actes juridiques applicables aux secteurs ayant une incidence sur la biodiversité</w:t>
            </w:r>
          </w:p>
        </w:tc>
        <w:tc>
          <w:tcPr>
            <w:tcW w:w="1757" w:type="dxa"/>
            <w:tcBorders>
              <w:top w:val="nil"/>
              <w:left w:val="nil"/>
              <w:bottom w:val="single" w:sz="4" w:space="0" w:color="auto"/>
              <w:right w:val="single" w:sz="4" w:space="0" w:color="auto"/>
            </w:tcBorders>
            <w:shd w:val="clear" w:color="auto" w:fill="C6EFCE"/>
            <w:noWrap/>
            <w:hideMark/>
          </w:tcPr>
          <w:p w14:paraId="6C862AF9" w14:textId="77777777" w:rsidR="00A345F4" w:rsidRDefault="005E2D4E">
            <w:pPr>
              <w:pStyle w:val="P68B1DB1-Normal14"/>
              <w:spacing w:after="0" w:line="240" w:lineRule="auto"/>
              <w:jc w:val="both"/>
              <w:rPr>
                <w:rFonts w:eastAsia="Times New Roman"/>
                <w:noProof/>
              </w:rPr>
            </w:pPr>
            <w:r>
              <w:rPr>
                <w:noProof/>
              </w:rPr>
              <w:t>Disposition de la loi indiquant l’entrée en vigueur du ou des actes juridiques</w:t>
            </w:r>
          </w:p>
        </w:tc>
        <w:tc>
          <w:tcPr>
            <w:tcW w:w="1087" w:type="dxa"/>
            <w:tcBorders>
              <w:top w:val="nil"/>
              <w:left w:val="nil"/>
              <w:bottom w:val="single" w:sz="4" w:space="0" w:color="auto"/>
              <w:right w:val="single" w:sz="4" w:space="0" w:color="auto"/>
            </w:tcBorders>
            <w:shd w:val="clear" w:color="auto" w:fill="C6EFCE"/>
            <w:noWrap/>
            <w:hideMark/>
          </w:tcPr>
          <w:p w14:paraId="722B7882"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56" w:type="dxa"/>
            <w:tcBorders>
              <w:top w:val="nil"/>
              <w:left w:val="nil"/>
              <w:bottom w:val="single" w:sz="4" w:space="0" w:color="auto"/>
              <w:right w:val="single" w:sz="4" w:space="0" w:color="auto"/>
            </w:tcBorders>
            <w:shd w:val="clear" w:color="auto" w:fill="C6EFCE"/>
            <w:noWrap/>
            <w:hideMark/>
          </w:tcPr>
          <w:p w14:paraId="08BAFC5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11" w:type="dxa"/>
            <w:tcBorders>
              <w:top w:val="nil"/>
              <w:left w:val="nil"/>
              <w:bottom w:val="single" w:sz="4" w:space="0" w:color="auto"/>
              <w:right w:val="single" w:sz="4" w:space="0" w:color="auto"/>
            </w:tcBorders>
            <w:shd w:val="clear" w:color="auto" w:fill="C6EFCE"/>
            <w:noWrap/>
            <w:hideMark/>
          </w:tcPr>
          <w:p w14:paraId="086FDC8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466C7DCA" w14:textId="77777777" w:rsidR="00A345F4" w:rsidRDefault="005E2D4E">
            <w:pPr>
              <w:pStyle w:val="P68B1DB1-Normal14"/>
              <w:spacing w:after="0" w:line="240" w:lineRule="auto"/>
              <w:jc w:val="both"/>
              <w:rPr>
                <w:rFonts w:eastAsia="Times New Roman"/>
                <w:noProof/>
              </w:rPr>
            </w:pPr>
            <w:r>
              <w:rPr>
                <w:noProof/>
              </w:rPr>
              <w:t>T1</w:t>
            </w:r>
          </w:p>
        </w:tc>
        <w:tc>
          <w:tcPr>
            <w:tcW w:w="851" w:type="dxa"/>
            <w:tcBorders>
              <w:top w:val="nil"/>
              <w:left w:val="nil"/>
              <w:bottom w:val="single" w:sz="4" w:space="0" w:color="auto"/>
              <w:right w:val="single" w:sz="4" w:space="0" w:color="auto"/>
            </w:tcBorders>
            <w:shd w:val="clear" w:color="auto" w:fill="C6EFCE"/>
            <w:noWrap/>
            <w:hideMark/>
          </w:tcPr>
          <w:p w14:paraId="4B227830" w14:textId="77777777" w:rsidR="00A345F4" w:rsidRDefault="005E2D4E">
            <w:pPr>
              <w:pStyle w:val="P68B1DB1-Normal14"/>
              <w:spacing w:after="0" w:line="240" w:lineRule="auto"/>
              <w:jc w:val="both"/>
              <w:rPr>
                <w:rFonts w:eastAsia="Times New Roman"/>
                <w:noProof/>
              </w:rPr>
            </w:pPr>
            <w:r>
              <w:rPr>
                <w:noProof/>
              </w:rPr>
              <w:t>2026</w:t>
            </w:r>
          </w:p>
        </w:tc>
        <w:tc>
          <w:tcPr>
            <w:tcW w:w="2749" w:type="dxa"/>
            <w:tcBorders>
              <w:top w:val="nil"/>
              <w:left w:val="nil"/>
              <w:bottom w:val="single" w:sz="4" w:space="0" w:color="auto"/>
              <w:right w:val="single" w:sz="4" w:space="0" w:color="auto"/>
            </w:tcBorders>
            <w:shd w:val="clear" w:color="auto" w:fill="C6EFCE"/>
            <w:noWrap/>
            <w:hideMark/>
          </w:tcPr>
          <w:p w14:paraId="0469A00F" w14:textId="06D44201" w:rsidR="00A345F4" w:rsidRDefault="005E2D4E">
            <w:pPr>
              <w:pStyle w:val="P68B1DB1-Normal14"/>
              <w:spacing w:after="0" w:line="240" w:lineRule="auto"/>
              <w:jc w:val="both"/>
              <w:rPr>
                <w:noProof/>
              </w:rPr>
            </w:pPr>
            <w:r>
              <w:rPr>
                <w:noProof/>
              </w:rPr>
              <w:t xml:space="preserve">Entrée en vigueur du ou des actes juridiques </w:t>
            </w:r>
            <w:bookmarkStart w:id="2" w:name="_Hlk209076280"/>
            <w:r>
              <w:rPr>
                <w:noProof/>
              </w:rPr>
              <w:t>approuvant la stratégie nationale en faveur de la biodiversité, qui s’appliquent également aux secteurs de l’éducation, de l’agriculture, de la sylviculture, de la chasse, du tourisme, de l’organisation spatiale, des transports et de l’énergie.</w:t>
            </w:r>
            <w:bookmarkEnd w:id="2"/>
            <w:r>
              <w:rPr>
                <w:noProof/>
              </w:rPr>
              <w:t xml:space="preserve"> </w:t>
            </w:r>
          </w:p>
        </w:tc>
      </w:tr>
    </w:tbl>
    <w:p w14:paraId="79766151" w14:textId="77777777" w:rsidR="00A345F4" w:rsidRDefault="00A345F4">
      <w:pPr>
        <w:spacing w:before="120" w:after="120" w:line="240" w:lineRule="auto"/>
        <w:jc w:val="both"/>
        <w:rPr>
          <w:rFonts w:ascii="Times New Roman" w:hAnsi="Times New Roman" w:cs="Times New Roman"/>
          <w:noProof/>
        </w:rPr>
        <w:sectPr w:rsidR="00A345F4" w:rsidSect="005E1674">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5DD63FF7" w14:textId="77777777" w:rsidR="00A345F4" w:rsidRDefault="005E2D4E">
      <w:pPr>
        <w:pStyle w:val="P68B1DB1-Normal1"/>
        <w:keepNext/>
        <w:numPr>
          <w:ilvl w:val="0"/>
          <w:numId w:val="1"/>
        </w:numPr>
        <w:tabs>
          <w:tab w:val="left" w:pos="850"/>
        </w:tabs>
        <w:spacing w:before="360" w:after="120" w:line="240" w:lineRule="auto"/>
        <w:jc w:val="both"/>
        <w:outlineLvl w:val="0"/>
        <w:rPr>
          <w:bCs/>
          <w:noProof/>
        </w:rPr>
      </w:pPr>
      <w:r>
        <w:rPr>
          <w:noProof/>
        </w:rPr>
        <w:t>Élément 3: Gestion des déchets</w:t>
      </w:r>
    </w:p>
    <w:p w14:paraId="7F60DC24" w14:textId="26477297" w:rsidR="00A345F4" w:rsidRDefault="005E2D4E">
      <w:pPr>
        <w:pStyle w:val="P68B1DB1-Normal4"/>
        <w:spacing w:before="120" w:after="120" w:line="240" w:lineRule="auto"/>
        <w:jc w:val="both"/>
        <w:rPr>
          <w:noProof/>
        </w:rPr>
      </w:pPr>
      <w:r>
        <w:rPr>
          <w:noProof/>
        </w:rPr>
        <w:t>L’objectif de ce volet est d’accélérer l’expansion et la modernisation des systèmes de gestion des déchets en Roumanie, en mettant l’accent sur la collecte séparée, la prévention, la réduction, le réemploi et la valorisation afin de se conformer à la transition vers l’économie circulaire.</w:t>
      </w:r>
    </w:p>
    <w:p w14:paraId="41EA431F" w14:textId="77777777" w:rsidR="00A345F4" w:rsidRDefault="005E2D4E">
      <w:pPr>
        <w:spacing w:before="120" w:after="120" w:line="240" w:lineRule="auto"/>
        <w:jc w:val="both"/>
        <w:rPr>
          <w:rFonts w:ascii="Times New Roman" w:hAnsi="Times New Roman" w:cs="Times New Roman"/>
          <w:noProof/>
        </w:rPr>
      </w:pPr>
      <w:r>
        <w:rPr>
          <w:rFonts w:ascii="Times New Roman" w:hAnsi="Times New Roman" w:cs="Times New Roman"/>
          <w:noProof/>
        </w:rPr>
        <w:t xml:space="preserve">La composante comprend une réforme et trois investissements, </w:t>
      </w:r>
      <w:r>
        <w:rPr>
          <w:rFonts w:ascii="Times New Roman" w:eastAsia="Times New Roman" w:hAnsi="Times New Roman" w:cs="Times New Roman"/>
          <w:noProof/>
          <w:color w:val="000000" w:themeColor="text1"/>
        </w:rPr>
        <w:t>dont un sous-investissement de l’investissement 1 et un investissement sont financés par un soutien financier non remboursable.</w:t>
      </w:r>
      <w:r>
        <w:rPr>
          <w:rFonts w:ascii="Times New Roman" w:hAnsi="Times New Roman" w:cs="Times New Roman"/>
          <w:noProof/>
        </w:rPr>
        <w:t xml:space="preserve"> </w:t>
      </w:r>
    </w:p>
    <w:p w14:paraId="531DC16B" w14:textId="77777777" w:rsidR="00A345F4" w:rsidRDefault="005E2D4E">
      <w:pPr>
        <w:pStyle w:val="P68B1DB1-Normal4"/>
        <w:spacing w:before="120" w:after="120" w:line="240" w:lineRule="auto"/>
        <w:jc w:val="both"/>
        <w:rPr>
          <w:noProof/>
        </w:rPr>
      </w:pPr>
      <w:r>
        <w:rPr>
          <w:noProof/>
        </w:rPr>
        <w:t>Les mesures incluses dans le volet devraient répondre à certains des défis mis en évidence par la recommandation par pays visant à concentrer les investissements sur la transition écologique et numérique, en particulier sur les infrastructures environnementales, entre autres (recommandations par pays 2019 et 2020).</w:t>
      </w:r>
    </w:p>
    <w:p w14:paraId="379218D0" w14:textId="77777777" w:rsidR="00A345F4" w:rsidRDefault="005E2D4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ACEAF76" w14:textId="77777777" w:rsidR="00A345F4" w:rsidRDefault="005E2D4E">
      <w:pPr>
        <w:keepNext/>
        <w:spacing w:before="120" w:after="120" w:line="240" w:lineRule="auto"/>
        <w:jc w:val="both"/>
        <w:outlineLvl w:val="1"/>
        <w:rPr>
          <w:rFonts w:ascii="Times New Roman" w:hAnsi="Times New Roman" w:cs="Times New Roman"/>
          <w:b/>
          <w:bCs/>
          <w:noProof/>
        </w:rPr>
      </w:pPr>
      <w:r>
        <w:rPr>
          <w:rFonts w:ascii="Times New Roman" w:hAnsi="Times New Roman" w:cs="Times New Roman"/>
          <w:b/>
          <w:noProof/>
        </w:rPr>
        <w:t xml:space="preserve">C.1. </w:t>
      </w:r>
      <w:r>
        <w:rPr>
          <w:noProof/>
        </w:rPr>
        <w:t xml:space="preserve"> </w:t>
      </w:r>
      <w:r>
        <w:rPr>
          <w:rFonts w:ascii="Times New Roman" w:hAnsi="Times New Roman" w:cs="Times New Roman"/>
          <w:b/>
          <w:noProof/>
        </w:rPr>
        <w:t xml:space="preserve">Description des investissements au moyen d’un soutien financier non remboursable </w:t>
      </w:r>
    </w:p>
    <w:p w14:paraId="662E4224" w14:textId="77777777" w:rsidR="00A345F4" w:rsidRDefault="005E2D4E">
      <w:pPr>
        <w:pStyle w:val="P68B1DB1-Normal12"/>
        <w:suppressAutoHyphens/>
        <w:autoSpaceDN w:val="0"/>
        <w:spacing w:before="240" w:after="240" w:line="240" w:lineRule="auto"/>
        <w:jc w:val="both"/>
        <w:textAlignment w:val="baseline"/>
        <w:rPr>
          <w:noProof/>
        </w:rPr>
      </w:pPr>
      <w:r>
        <w:rPr>
          <w:noProof/>
        </w:rPr>
        <w:t>Investissement 1.a. Construction de centres de collecte volontaire des déchets</w:t>
      </w:r>
    </w:p>
    <w:p w14:paraId="17AC5E16" w14:textId="258CE4F9" w:rsidR="00A345F4" w:rsidRDefault="005E2D4E">
      <w:pPr>
        <w:pStyle w:val="P68B1DB1-Normal20"/>
        <w:suppressAutoHyphens/>
        <w:autoSpaceDN w:val="0"/>
        <w:spacing w:before="240" w:after="240" w:line="240" w:lineRule="auto"/>
        <w:jc w:val="both"/>
        <w:textAlignment w:val="baseline"/>
        <w:rPr>
          <w:noProof/>
          <w:kern w:val="3"/>
        </w:rPr>
      </w:pPr>
      <w:r>
        <w:rPr>
          <w:noProof/>
          <w:kern w:val="3"/>
        </w:rPr>
        <w:t xml:space="preserve">L’objectif de ce sous-investissement est de mettre à </w:t>
      </w:r>
      <w:r>
        <w:rPr>
          <w:noProof/>
        </w:rPr>
        <w:t>disposition</w:t>
      </w:r>
      <w:r>
        <w:rPr>
          <w:noProof/>
          <w:kern w:val="3"/>
        </w:rPr>
        <w:t xml:space="preserve"> des centres de collecte volontaire des déchets</w:t>
      </w:r>
      <w:r>
        <w:rPr>
          <w:noProof/>
        </w:rPr>
        <w:t xml:space="preserve"> bénéficiant aux unités administratives territoriales.</w:t>
      </w:r>
      <w:r>
        <w:rPr>
          <w:noProof/>
          <w:kern w:val="3"/>
        </w:rPr>
        <w:t xml:space="preserve"> L'investissement consiste en la construction de centres de collecte volontaire.</w:t>
      </w:r>
    </w:p>
    <w:p w14:paraId="4AA220E6" w14:textId="77777777" w:rsidR="00A345F4" w:rsidRDefault="005E2D4E">
      <w:pPr>
        <w:pStyle w:val="P68B1DB1-Normal21"/>
        <w:suppressAutoHyphens/>
        <w:autoSpaceDN w:val="0"/>
        <w:spacing w:before="240" w:after="240" w:line="240" w:lineRule="auto"/>
        <w:jc w:val="both"/>
        <w:textAlignment w:val="baseline"/>
        <w:rPr>
          <w:noProof/>
        </w:rPr>
      </w:pPr>
      <w:r>
        <w:rPr>
          <w:noProof/>
        </w:rPr>
        <w:t>Ce sous-investissement est complété par les autres sous-investissements de l’investissement 1 (1.b, 1.c et 1.d).</w:t>
      </w:r>
    </w:p>
    <w:p w14:paraId="48D4E627" w14:textId="77777777" w:rsidR="00A345F4" w:rsidRDefault="005E2D4E">
      <w:pPr>
        <w:pStyle w:val="P68B1DB1-Normal12"/>
        <w:suppressAutoHyphens/>
        <w:autoSpaceDN w:val="0"/>
        <w:spacing w:before="240" w:after="240" w:line="240" w:lineRule="auto"/>
        <w:jc w:val="both"/>
        <w:textAlignment w:val="baseline"/>
        <w:rPr>
          <w:noProof/>
        </w:rPr>
      </w:pPr>
      <w:r>
        <w:rPr>
          <w:noProof/>
        </w:rPr>
        <w:t>Investissement 3. Suivi public, contrôle et capacités institutionnelles pour la gestion des déchets</w:t>
      </w:r>
    </w:p>
    <w:p w14:paraId="2A8E54C4" w14:textId="503DCEC2" w:rsidR="00A345F4" w:rsidRDefault="005E2D4E">
      <w:pPr>
        <w:pStyle w:val="P68B1DB1-Normal21"/>
        <w:suppressAutoHyphens/>
        <w:autoSpaceDN w:val="0"/>
        <w:spacing w:before="240" w:after="240" w:line="240" w:lineRule="auto"/>
        <w:jc w:val="both"/>
        <w:textAlignment w:val="baseline"/>
        <w:rPr>
          <w:noProof/>
        </w:rPr>
      </w:pPr>
      <w:r>
        <w:rPr>
          <w:noProof/>
        </w:rPr>
        <w:t xml:space="preserve">L'objectif de cet investissement est d'accroître la surveillance publique, le contrôle et les capacités institutionnelles en matière de gestion des déchets et de l'environnement. </w:t>
      </w:r>
    </w:p>
    <w:p w14:paraId="31569A94" w14:textId="4BC44277" w:rsidR="00A345F4" w:rsidRDefault="005E2D4E">
      <w:pPr>
        <w:pStyle w:val="P68B1DB1-Normal20"/>
        <w:suppressAutoHyphens/>
        <w:autoSpaceDN w:val="0"/>
        <w:spacing w:before="240" w:after="240" w:line="240" w:lineRule="auto"/>
        <w:jc w:val="both"/>
        <w:textAlignment w:val="baseline"/>
        <w:rPr>
          <w:noProof/>
          <w:kern w:val="3"/>
        </w:rPr>
      </w:pPr>
      <w:r>
        <w:rPr>
          <w:noProof/>
          <w:kern w:val="3"/>
        </w:rPr>
        <w:t xml:space="preserve">L’investissement consiste à équiper d’équipements numériques les </w:t>
      </w:r>
      <w:r>
        <w:rPr>
          <w:noProof/>
        </w:rPr>
        <w:t>commissaires de la garde de l’environnement et 400 missions de contrôle dans les domaines du contrôle de la pollution ou du contrôle de la biodiversité menées par les commissaires de la garde nationale de l’environnement à l’aide d’équipements numériques.</w:t>
      </w:r>
      <w:r>
        <w:rPr>
          <w:noProof/>
          <w:kern w:val="3"/>
        </w:rPr>
        <w:t xml:space="preserve"> Au moins certaines des missions de contrôle sont liées à la gestion des déchets. </w:t>
      </w:r>
    </w:p>
    <w:p w14:paraId="6274DC28" w14:textId="77777777" w:rsidR="00A345F4" w:rsidRDefault="00A345F4">
      <w:pPr>
        <w:rPr>
          <w:rFonts w:ascii="Times New Roman" w:hAnsi="Times New Roman" w:cs="Times New Roman"/>
          <w:noProof/>
        </w:rPr>
        <w:sectPr w:rsidR="00A345F4" w:rsidSect="003E0A8C">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382ED3CE" w14:textId="77777777" w:rsidR="00A345F4" w:rsidRDefault="005E2D4E">
      <w:pPr>
        <w:pStyle w:val="P68B1DB1-Normal5"/>
        <w:keepNext/>
        <w:spacing w:before="120" w:after="120" w:line="240" w:lineRule="auto"/>
        <w:ind w:left="-284"/>
        <w:jc w:val="both"/>
        <w:outlineLvl w:val="1"/>
        <w:rPr>
          <w:noProof/>
        </w:rPr>
      </w:pPr>
      <w:r>
        <w:rPr>
          <w:noProof/>
        </w:rPr>
        <w:t>C.2. Étapes, objectifs, indicateurs et calendrier de suivi et de mise en œuvre du soutien financier non remboursable</w:t>
      </w:r>
    </w:p>
    <w:tbl>
      <w:tblPr>
        <w:tblW w:w="14879" w:type="dxa"/>
        <w:jc w:val="center"/>
        <w:tblLayout w:type="fixed"/>
        <w:tblLook w:val="04A0" w:firstRow="1" w:lastRow="0" w:firstColumn="1" w:lastColumn="0" w:noHBand="0" w:noVBand="1"/>
      </w:tblPr>
      <w:tblGrid>
        <w:gridCol w:w="834"/>
        <w:gridCol w:w="1571"/>
        <w:gridCol w:w="1276"/>
        <w:gridCol w:w="1355"/>
        <w:gridCol w:w="1625"/>
        <w:gridCol w:w="1087"/>
        <w:gridCol w:w="1357"/>
        <w:gridCol w:w="955"/>
        <w:gridCol w:w="1134"/>
        <w:gridCol w:w="850"/>
        <w:gridCol w:w="2835"/>
      </w:tblGrid>
      <w:tr w:rsidR="00A345F4" w14:paraId="569E36F9" w14:textId="77777777" w:rsidTr="00CB0A8A">
        <w:trPr>
          <w:trHeight w:val="587"/>
          <w:tblHeader/>
          <w:jc w:val="center"/>
        </w:trPr>
        <w:tc>
          <w:tcPr>
            <w:tcW w:w="8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80678A" w14:textId="77777777" w:rsidR="00A345F4" w:rsidRDefault="005E2D4E">
            <w:pPr>
              <w:pStyle w:val="P68B1DB1-Normal13"/>
              <w:spacing w:after="0" w:line="240" w:lineRule="auto"/>
              <w:jc w:val="center"/>
              <w:rPr>
                <w:rFonts w:eastAsia="Times New Roman"/>
                <w:bCs/>
                <w:noProof/>
              </w:rPr>
            </w:pPr>
            <w:r>
              <w:rPr>
                <w:noProof/>
              </w:rPr>
              <w:t>Seq. Num.</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1113F1" w14:textId="77777777" w:rsidR="00A345F4" w:rsidRDefault="005E2D4E">
            <w:pPr>
              <w:pStyle w:val="P68B1DB1-Normal13"/>
              <w:spacing w:after="0" w:line="240" w:lineRule="auto"/>
              <w:jc w:val="center"/>
              <w:rPr>
                <w:rFonts w:eastAsia="Times New Roman"/>
                <w:bCs/>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36D34C" w14:textId="77777777" w:rsidR="00A345F4" w:rsidRDefault="005E2D4E">
            <w:pPr>
              <w:pStyle w:val="P68B1DB1-Normal13"/>
              <w:spacing w:after="0" w:line="240" w:lineRule="auto"/>
              <w:jc w:val="center"/>
              <w:rPr>
                <w:rFonts w:eastAsia="Times New Roman"/>
                <w:bCs/>
                <w:noProof/>
              </w:rPr>
            </w:pPr>
            <w:r>
              <w:rPr>
                <w:noProof/>
              </w:rPr>
              <w:t>Étape/cible</w:t>
            </w:r>
          </w:p>
        </w:tc>
        <w:tc>
          <w:tcPr>
            <w:tcW w:w="13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550724" w14:textId="77777777" w:rsidR="00A345F4" w:rsidRDefault="005E2D4E">
            <w:pPr>
              <w:pStyle w:val="P68B1DB1-Normal13"/>
              <w:spacing w:after="0" w:line="240" w:lineRule="auto"/>
              <w:jc w:val="center"/>
              <w:rPr>
                <w:rFonts w:eastAsia="Times New Roman"/>
                <w:bCs/>
                <w:noProof/>
              </w:rPr>
            </w:pPr>
            <w:r>
              <w:rPr>
                <w:noProof/>
              </w:rPr>
              <w:t>Nom</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511548" w14:textId="3E297840" w:rsidR="00A345F4" w:rsidRDefault="005E2D4E">
            <w:pPr>
              <w:pStyle w:val="P68B1DB1-Normal14"/>
              <w:spacing w:after="0" w:line="240" w:lineRule="auto"/>
              <w:jc w:val="center"/>
              <w:rPr>
                <w:rFonts w:eastAsia="Times New Roman"/>
                <w:b/>
                <w:bCs/>
                <w:noProof/>
              </w:rPr>
            </w:pPr>
            <w:r>
              <w:rPr>
                <w:b/>
                <w:noProof/>
              </w:rPr>
              <w:t>Indicateurs qualitatifs</w:t>
            </w:r>
            <w:r>
              <w:rPr>
                <w:noProof/>
              </w:rPr>
              <w:t xml:space="preserve"> </w:t>
            </w:r>
            <w:r>
              <w:rPr>
                <w:noProof/>
              </w:rPr>
              <w:br/>
            </w:r>
            <w:r>
              <w:rPr>
                <w:b/>
                <w:noProof/>
              </w:rPr>
              <w:t>(pour les jalons)</w:t>
            </w:r>
          </w:p>
        </w:tc>
        <w:tc>
          <w:tcPr>
            <w:tcW w:w="339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4AA6B83" w14:textId="77777777" w:rsidR="00A345F4" w:rsidRDefault="005E2D4E">
            <w:pPr>
              <w:pStyle w:val="P68B1DB1-Normal13"/>
              <w:spacing w:after="0" w:line="240" w:lineRule="auto"/>
              <w:jc w:val="center"/>
              <w:rPr>
                <w:rFonts w:eastAsia="Times New Roman"/>
                <w:bCs/>
                <w:noProof/>
              </w:rPr>
            </w:pPr>
            <w:r>
              <w:rPr>
                <w:noProof/>
              </w:rPr>
              <w:t>Indicateurs quantitatifs (pour les objectifs)</w:t>
            </w:r>
          </w:p>
        </w:tc>
        <w:tc>
          <w:tcPr>
            <w:tcW w:w="1984" w:type="dxa"/>
            <w:gridSpan w:val="2"/>
            <w:tcBorders>
              <w:top w:val="single" w:sz="4" w:space="0" w:color="auto"/>
              <w:left w:val="nil"/>
              <w:bottom w:val="single" w:sz="4" w:space="0" w:color="auto"/>
              <w:right w:val="single" w:sz="4" w:space="0" w:color="auto"/>
            </w:tcBorders>
            <w:shd w:val="clear" w:color="auto" w:fill="BDD7EE"/>
            <w:vAlign w:val="center"/>
          </w:tcPr>
          <w:p w14:paraId="24D423D9" w14:textId="372A17A5" w:rsidR="00A345F4" w:rsidRDefault="005E2D4E">
            <w:pPr>
              <w:pStyle w:val="P68B1DB1-Normal13"/>
              <w:spacing w:after="0" w:line="240" w:lineRule="auto"/>
              <w:jc w:val="center"/>
              <w:rPr>
                <w:rFonts w:eastAsia="Times New Roman"/>
                <w:bCs/>
                <w:noProof/>
              </w:rPr>
            </w:pPr>
            <w:r>
              <w:rPr>
                <w:noProof/>
              </w:rPr>
              <w:t>Calendrier indicatif d'achèvement</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6FF1DA" w14:textId="77777777" w:rsidR="00A345F4" w:rsidRDefault="005E2D4E">
            <w:pPr>
              <w:pStyle w:val="P68B1DB1-Normal13"/>
              <w:spacing w:after="0" w:line="240" w:lineRule="auto"/>
              <w:jc w:val="center"/>
              <w:rPr>
                <w:rFonts w:eastAsia="Times New Roman"/>
                <w:bCs/>
                <w:noProof/>
              </w:rPr>
            </w:pPr>
            <w:r>
              <w:rPr>
                <w:noProof/>
              </w:rPr>
              <w:t>Description de chaque jalon et cible</w:t>
            </w:r>
          </w:p>
        </w:tc>
      </w:tr>
      <w:tr w:rsidR="00A345F4" w14:paraId="78DB9A85" w14:textId="77777777" w:rsidTr="00CB0A8A">
        <w:trPr>
          <w:trHeight w:val="457"/>
          <w:tblHeader/>
          <w:jc w:val="center"/>
        </w:trPr>
        <w:tc>
          <w:tcPr>
            <w:tcW w:w="834" w:type="dxa"/>
            <w:vMerge/>
            <w:tcBorders>
              <w:top w:val="single" w:sz="4" w:space="0" w:color="auto"/>
              <w:left w:val="single" w:sz="4" w:space="0" w:color="auto"/>
              <w:bottom w:val="single" w:sz="4" w:space="0" w:color="auto"/>
              <w:right w:val="single" w:sz="4" w:space="0" w:color="auto"/>
            </w:tcBorders>
            <w:hideMark/>
          </w:tcPr>
          <w:p w14:paraId="0EAFD530"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571" w:type="dxa"/>
            <w:vMerge/>
            <w:tcBorders>
              <w:top w:val="single" w:sz="4" w:space="0" w:color="auto"/>
              <w:left w:val="single" w:sz="4" w:space="0" w:color="auto"/>
              <w:bottom w:val="single" w:sz="4" w:space="0" w:color="auto"/>
              <w:right w:val="single" w:sz="4" w:space="0" w:color="auto"/>
            </w:tcBorders>
            <w:hideMark/>
          </w:tcPr>
          <w:p w14:paraId="0A92470A"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76" w:type="dxa"/>
            <w:vMerge/>
            <w:tcBorders>
              <w:top w:val="single" w:sz="4" w:space="0" w:color="auto"/>
              <w:left w:val="single" w:sz="4" w:space="0" w:color="auto"/>
              <w:bottom w:val="single" w:sz="4" w:space="0" w:color="auto"/>
              <w:right w:val="single" w:sz="4" w:space="0" w:color="auto"/>
            </w:tcBorders>
            <w:hideMark/>
          </w:tcPr>
          <w:p w14:paraId="28BC11BE"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355" w:type="dxa"/>
            <w:vMerge/>
            <w:tcBorders>
              <w:top w:val="single" w:sz="4" w:space="0" w:color="auto"/>
              <w:left w:val="single" w:sz="4" w:space="0" w:color="auto"/>
              <w:bottom w:val="single" w:sz="4" w:space="0" w:color="auto"/>
              <w:right w:val="single" w:sz="4" w:space="0" w:color="auto"/>
            </w:tcBorders>
            <w:hideMark/>
          </w:tcPr>
          <w:p w14:paraId="520167F6"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625" w:type="dxa"/>
            <w:vMerge/>
            <w:tcBorders>
              <w:top w:val="single" w:sz="4" w:space="0" w:color="auto"/>
              <w:left w:val="single" w:sz="4" w:space="0" w:color="auto"/>
              <w:bottom w:val="single" w:sz="4" w:space="0" w:color="auto"/>
              <w:right w:val="single" w:sz="4" w:space="0" w:color="auto"/>
            </w:tcBorders>
            <w:hideMark/>
          </w:tcPr>
          <w:p w14:paraId="1AFE1C37"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087" w:type="dxa"/>
            <w:tcBorders>
              <w:top w:val="single" w:sz="4" w:space="0" w:color="auto"/>
              <w:left w:val="single" w:sz="4" w:space="0" w:color="auto"/>
              <w:bottom w:val="nil"/>
              <w:right w:val="single" w:sz="4" w:space="0" w:color="auto"/>
            </w:tcBorders>
            <w:shd w:val="clear" w:color="auto" w:fill="BDD7EE"/>
            <w:vAlign w:val="center"/>
            <w:hideMark/>
          </w:tcPr>
          <w:p w14:paraId="0DB33E6B" w14:textId="36259278" w:rsidR="00A345F4" w:rsidRDefault="005E2D4E">
            <w:pPr>
              <w:pStyle w:val="P68B1DB1-Normal13"/>
              <w:spacing w:after="0" w:line="240" w:lineRule="auto"/>
              <w:jc w:val="center"/>
              <w:rPr>
                <w:rFonts w:eastAsia="Times New Roman"/>
                <w:bCs/>
                <w:noProof/>
              </w:rPr>
            </w:pPr>
            <w:r>
              <w:rPr>
                <w:noProof/>
              </w:rPr>
              <w:t>Unité de mesure</w:t>
            </w:r>
          </w:p>
        </w:tc>
        <w:tc>
          <w:tcPr>
            <w:tcW w:w="1357" w:type="dxa"/>
            <w:tcBorders>
              <w:top w:val="single" w:sz="4" w:space="0" w:color="auto"/>
              <w:left w:val="nil"/>
              <w:bottom w:val="nil"/>
              <w:right w:val="single" w:sz="4" w:space="0" w:color="auto"/>
            </w:tcBorders>
            <w:shd w:val="clear" w:color="auto" w:fill="BDD7EE"/>
            <w:vAlign w:val="center"/>
            <w:hideMark/>
          </w:tcPr>
          <w:p w14:paraId="306E4173" w14:textId="77777777" w:rsidR="00A345F4" w:rsidRDefault="005E2D4E">
            <w:pPr>
              <w:pStyle w:val="P68B1DB1-Normal13"/>
              <w:spacing w:after="0" w:line="240" w:lineRule="auto"/>
              <w:jc w:val="center"/>
              <w:rPr>
                <w:rFonts w:eastAsia="Times New Roman"/>
                <w:bCs/>
                <w:noProof/>
              </w:rPr>
            </w:pPr>
            <w:r>
              <w:rPr>
                <w:noProof/>
              </w:rPr>
              <w:t xml:space="preserve">Données de référence </w:t>
            </w:r>
          </w:p>
        </w:tc>
        <w:tc>
          <w:tcPr>
            <w:tcW w:w="955" w:type="dxa"/>
            <w:tcBorders>
              <w:top w:val="single" w:sz="4" w:space="0" w:color="auto"/>
              <w:left w:val="nil"/>
              <w:bottom w:val="nil"/>
              <w:right w:val="single" w:sz="4" w:space="0" w:color="auto"/>
            </w:tcBorders>
            <w:shd w:val="clear" w:color="auto" w:fill="BDD7EE"/>
            <w:vAlign w:val="center"/>
            <w:hideMark/>
          </w:tcPr>
          <w:p w14:paraId="10D1A38F" w14:textId="77777777" w:rsidR="00A345F4" w:rsidRDefault="005E2D4E">
            <w:pPr>
              <w:pStyle w:val="P68B1DB1-Normal13"/>
              <w:spacing w:after="0" w:line="240" w:lineRule="auto"/>
              <w:jc w:val="center"/>
              <w:rPr>
                <w:rFonts w:eastAsia="Times New Roman"/>
                <w:bCs/>
                <w:noProof/>
              </w:rPr>
            </w:pPr>
            <w:r>
              <w:rPr>
                <w:noProof/>
              </w:rPr>
              <w:t xml:space="preserve">Objectif </w:t>
            </w:r>
          </w:p>
        </w:tc>
        <w:tc>
          <w:tcPr>
            <w:tcW w:w="1134" w:type="dxa"/>
            <w:tcBorders>
              <w:top w:val="single" w:sz="4" w:space="0" w:color="auto"/>
              <w:left w:val="nil"/>
              <w:bottom w:val="nil"/>
              <w:right w:val="single" w:sz="4" w:space="0" w:color="auto"/>
            </w:tcBorders>
            <w:shd w:val="clear" w:color="auto" w:fill="BDD7EE"/>
            <w:vAlign w:val="center"/>
            <w:hideMark/>
          </w:tcPr>
          <w:p w14:paraId="557C6310" w14:textId="77777777" w:rsidR="00A345F4" w:rsidRDefault="005E2D4E">
            <w:pPr>
              <w:pStyle w:val="P68B1DB1-Normal13"/>
              <w:spacing w:after="0" w:line="240" w:lineRule="auto"/>
              <w:jc w:val="center"/>
              <w:rPr>
                <w:rFonts w:eastAsia="Times New Roman"/>
                <w:bCs/>
                <w:noProof/>
              </w:rPr>
            </w:pPr>
            <w:r>
              <w:rPr>
                <w:noProof/>
              </w:rPr>
              <w:t>Trimestre</w:t>
            </w:r>
          </w:p>
        </w:tc>
        <w:tc>
          <w:tcPr>
            <w:tcW w:w="850" w:type="dxa"/>
            <w:tcBorders>
              <w:top w:val="single" w:sz="4" w:space="0" w:color="auto"/>
              <w:left w:val="nil"/>
              <w:bottom w:val="nil"/>
              <w:right w:val="single" w:sz="4" w:space="0" w:color="auto"/>
            </w:tcBorders>
            <w:shd w:val="clear" w:color="auto" w:fill="BDD7EE"/>
            <w:vAlign w:val="center"/>
            <w:hideMark/>
          </w:tcPr>
          <w:p w14:paraId="1FF14CE8" w14:textId="77777777" w:rsidR="00A345F4" w:rsidRDefault="005E2D4E">
            <w:pPr>
              <w:pStyle w:val="P68B1DB1-Normal13"/>
              <w:spacing w:after="0" w:line="240" w:lineRule="auto"/>
              <w:jc w:val="center"/>
              <w:rPr>
                <w:rFonts w:eastAsia="Times New Roman"/>
                <w:bCs/>
                <w:noProof/>
              </w:rPr>
            </w:pPr>
            <w:r>
              <w:rPr>
                <w:noProof/>
              </w:rPr>
              <w:t>Année</w:t>
            </w:r>
          </w:p>
        </w:tc>
        <w:tc>
          <w:tcPr>
            <w:tcW w:w="2835" w:type="dxa"/>
            <w:vMerge/>
            <w:tcBorders>
              <w:top w:val="single" w:sz="4" w:space="0" w:color="auto"/>
              <w:bottom w:val="single" w:sz="4" w:space="0" w:color="auto"/>
              <w:right w:val="single" w:sz="4" w:space="0" w:color="auto"/>
            </w:tcBorders>
            <w:hideMark/>
          </w:tcPr>
          <w:p w14:paraId="07202FEF"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4FC8DECC" w14:textId="77777777" w:rsidTr="00CB0A8A">
        <w:tblPrEx>
          <w:tblCellMar>
            <w:left w:w="28" w:type="dxa"/>
            <w:right w:w="28" w:type="dxa"/>
          </w:tblCellMar>
        </w:tblPrEx>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1BC3D116" w14:textId="77777777" w:rsidR="00A345F4" w:rsidRDefault="005E2D4E">
            <w:pPr>
              <w:pStyle w:val="P68B1DB1-Normal14"/>
              <w:spacing w:after="0" w:line="240" w:lineRule="auto"/>
              <w:jc w:val="both"/>
              <w:rPr>
                <w:noProof/>
              </w:rPr>
            </w:pPr>
            <w:r>
              <w:rPr>
                <w:noProof/>
              </w:rPr>
              <w:t>49</w:t>
            </w:r>
          </w:p>
        </w:tc>
        <w:tc>
          <w:tcPr>
            <w:tcW w:w="1571" w:type="dxa"/>
            <w:tcBorders>
              <w:top w:val="single" w:sz="4" w:space="0" w:color="auto"/>
              <w:left w:val="nil"/>
              <w:bottom w:val="single" w:sz="4" w:space="0" w:color="auto"/>
              <w:right w:val="single" w:sz="4" w:space="0" w:color="auto"/>
            </w:tcBorders>
            <w:shd w:val="clear" w:color="auto" w:fill="C6EFCE"/>
            <w:noWrap/>
          </w:tcPr>
          <w:p w14:paraId="4238FAB4" w14:textId="77777777" w:rsidR="00A345F4" w:rsidRDefault="005E2D4E">
            <w:pPr>
              <w:pStyle w:val="P68B1DB1-Normal14"/>
              <w:spacing w:after="0" w:line="240" w:lineRule="auto"/>
              <w:jc w:val="both"/>
              <w:rPr>
                <w:rFonts w:eastAsia="Times New Roman"/>
                <w:noProof/>
              </w:rPr>
            </w:pPr>
            <w:r>
              <w:rPr>
                <w:noProof/>
              </w:rPr>
              <w:t>Investissement 1.a Construction de centres de collecte volontaire</w:t>
            </w:r>
          </w:p>
        </w:tc>
        <w:tc>
          <w:tcPr>
            <w:tcW w:w="1276" w:type="dxa"/>
            <w:tcBorders>
              <w:top w:val="single" w:sz="4" w:space="0" w:color="auto"/>
              <w:left w:val="nil"/>
              <w:bottom w:val="single" w:sz="4" w:space="0" w:color="auto"/>
              <w:right w:val="single" w:sz="4" w:space="0" w:color="auto"/>
            </w:tcBorders>
            <w:shd w:val="clear" w:color="auto" w:fill="C6EFCE"/>
            <w:noWrap/>
          </w:tcPr>
          <w:p w14:paraId="1EF6B0B2" w14:textId="77777777" w:rsidR="00A345F4" w:rsidRDefault="005E2D4E">
            <w:pPr>
              <w:pStyle w:val="P68B1DB1-Normal14"/>
              <w:spacing w:after="0" w:line="240" w:lineRule="auto"/>
              <w:jc w:val="center"/>
              <w:rPr>
                <w:rFonts w:eastAsia="Times New Roman"/>
                <w:noProof/>
              </w:rPr>
            </w:pPr>
            <w:r>
              <w:rPr>
                <w:noProof/>
              </w:rPr>
              <w:t>Objectif</w:t>
            </w:r>
          </w:p>
        </w:tc>
        <w:tc>
          <w:tcPr>
            <w:tcW w:w="1355" w:type="dxa"/>
            <w:tcBorders>
              <w:top w:val="single" w:sz="4" w:space="0" w:color="auto"/>
              <w:left w:val="nil"/>
              <w:bottom w:val="single" w:sz="4" w:space="0" w:color="auto"/>
              <w:right w:val="single" w:sz="4" w:space="0" w:color="auto"/>
            </w:tcBorders>
            <w:shd w:val="clear" w:color="auto" w:fill="C6EFCE"/>
            <w:noWrap/>
          </w:tcPr>
          <w:p w14:paraId="78E56651" w14:textId="1E097232" w:rsidR="00A345F4" w:rsidRDefault="005E2D4E">
            <w:pPr>
              <w:pStyle w:val="P68B1DB1-Normal14"/>
              <w:spacing w:after="0" w:line="240" w:lineRule="auto"/>
              <w:jc w:val="both"/>
              <w:rPr>
                <w:noProof/>
              </w:rPr>
            </w:pPr>
            <w:r>
              <w:rPr>
                <w:noProof/>
              </w:rPr>
              <w:t xml:space="preserve">Construction de centres de collecte volontaire </w:t>
            </w:r>
          </w:p>
          <w:p w14:paraId="1393207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625" w:type="dxa"/>
            <w:tcBorders>
              <w:top w:val="single" w:sz="4" w:space="0" w:color="auto"/>
              <w:left w:val="nil"/>
              <w:bottom w:val="single" w:sz="4" w:space="0" w:color="auto"/>
              <w:right w:val="single" w:sz="4" w:space="0" w:color="auto"/>
            </w:tcBorders>
            <w:shd w:val="clear" w:color="auto" w:fill="C6EFCE"/>
            <w:noWrap/>
          </w:tcPr>
          <w:p w14:paraId="0E517CE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7" w:type="dxa"/>
            <w:tcBorders>
              <w:top w:val="single" w:sz="4" w:space="0" w:color="auto"/>
              <w:left w:val="nil"/>
              <w:bottom w:val="single" w:sz="4" w:space="0" w:color="auto"/>
              <w:right w:val="single" w:sz="4" w:space="0" w:color="auto"/>
            </w:tcBorders>
            <w:shd w:val="clear" w:color="auto" w:fill="C6EFCE"/>
            <w:noWrap/>
          </w:tcPr>
          <w:p w14:paraId="67326810" w14:textId="77777777" w:rsidR="00A345F4" w:rsidRDefault="00A345F4">
            <w:pPr>
              <w:rPr>
                <w:rFonts w:ascii="Times New Roman" w:hAnsi="Times New Roman" w:cs="Times New Roman"/>
                <w:noProof/>
                <w:sz w:val="20"/>
                <w:szCs w:val="20"/>
              </w:rPr>
            </w:pPr>
          </w:p>
        </w:tc>
        <w:tc>
          <w:tcPr>
            <w:tcW w:w="1357" w:type="dxa"/>
            <w:tcBorders>
              <w:top w:val="single" w:sz="4" w:space="0" w:color="auto"/>
              <w:left w:val="single" w:sz="4" w:space="0" w:color="auto"/>
              <w:bottom w:val="single" w:sz="4" w:space="0" w:color="auto"/>
              <w:right w:val="single" w:sz="4" w:space="0" w:color="auto"/>
            </w:tcBorders>
            <w:shd w:val="clear" w:color="auto" w:fill="C6EFCE"/>
            <w:noWrap/>
          </w:tcPr>
          <w:p w14:paraId="13CF1118" w14:textId="77777777" w:rsidR="00A345F4" w:rsidRDefault="005E2D4E">
            <w:pPr>
              <w:pStyle w:val="P68B1DB1-Normal14"/>
              <w:spacing w:after="0" w:line="240" w:lineRule="auto"/>
              <w:jc w:val="both"/>
              <w:rPr>
                <w:rFonts w:eastAsia="Times New Roman"/>
                <w:noProof/>
              </w:rPr>
            </w:pPr>
            <w:r>
              <w:rPr>
                <w:noProof/>
              </w:rPr>
              <w:t>0</w:t>
            </w:r>
          </w:p>
        </w:tc>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9CF930C" w14:textId="77777777" w:rsidR="00A345F4" w:rsidRDefault="005E2D4E">
            <w:pPr>
              <w:pStyle w:val="P68B1DB1-Normal14"/>
              <w:spacing w:after="0" w:line="240" w:lineRule="auto"/>
              <w:jc w:val="both"/>
              <w:rPr>
                <w:rFonts w:eastAsia="Times New Roman"/>
                <w:noProof/>
              </w:rPr>
            </w:pPr>
            <w:r>
              <w:rPr>
                <w:noProof/>
              </w:rPr>
              <w:t>300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B48F837"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9675369" w14:textId="77777777" w:rsidR="00A345F4" w:rsidRDefault="005E2D4E">
            <w:pPr>
              <w:pStyle w:val="P68B1DB1-Normal14"/>
              <w:spacing w:after="0" w:line="240" w:lineRule="auto"/>
              <w:jc w:val="both"/>
              <w:rPr>
                <w:rFonts w:eastAsia="Times New Roman"/>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4BF7BFAE" w14:textId="77777777" w:rsidR="00A345F4" w:rsidRDefault="005E2D4E">
            <w:pPr>
              <w:pStyle w:val="P68B1DB1-Normal14"/>
              <w:spacing w:after="0" w:line="240" w:lineRule="auto"/>
              <w:jc w:val="both"/>
              <w:rPr>
                <w:noProof/>
              </w:rPr>
            </w:pPr>
            <w:r>
              <w:rPr>
                <w:noProof/>
              </w:rPr>
              <w:t xml:space="preserve">Des certificats de réception d'achèvement des travaux de construction de 300 centres de collecte volontaire doivent être fournis. </w:t>
            </w:r>
          </w:p>
          <w:p w14:paraId="7A815C8F" w14:textId="112FA7E5" w:rsidR="00A345F4" w:rsidRDefault="005E2D4E">
            <w:pPr>
              <w:pStyle w:val="P68B1DB1-Normal14"/>
              <w:spacing w:after="0" w:line="240" w:lineRule="auto"/>
              <w:jc w:val="both"/>
              <w:rPr>
                <w:noProof/>
              </w:rPr>
            </w:pPr>
            <w:r>
              <w:rPr>
                <w:noProof/>
              </w:rPr>
              <w:t xml:space="preserve">Les centres assurent la collecte séparée des ordures ménagères. </w:t>
            </w:r>
          </w:p>
        </w:tc>
      </w:tr>
      <w:tr w:rsidR="00A345F4" w14:paraId="1BB8600C" w14:textId="77777777" w:rsidTr="00CB0A8A">
        <w:tblPrEx>
          <w:tblCellMar>
            <w:left w:w="28" w:type="dxa"/>
            <w:right w:w="28" w:type="dxa"/>
          </w:tblCellMar>
        </w:tblPrEx>
        <w:trPr>
          <w:trHeight w:val="309"/>
          <w:jc w:val="center"/>
        </w:trPr>
        <w:tc>
          <w:tcPr>
            <w:tcW w:w="834" w:type="dxa"/>
            <w:tcBorders>
              <w:top w:val="nil"/>
              <w:left w:val="single" w:sz="4" w:space="0" w:color="auto"/>
              <w:bottom w:val="single" w:sz="4" w:space="0" w:color="auto"/>
              <w:right w:val="single" w:sz="4" w:space="0" w:color="auto"/>
            </w:tcBorders>
            <w:shd w:val="clear" w:color="auto" w:fill="C6EFCE"/>
            <w:noWrap/>
          </w:tcPr>
          <w:p w14:paraId="681813E5" w14:textId="77777777" w:rsidR="00A345F4" w:rsidRDefault="005E2D4E">
            <w:pPr>
              <w:pStyle w:val="P68B1DB1-Normal14"/>
              <w:spacing w:after="0" w:line="240" w:lineRule="auto"/>
              <w:jc w:val="both"/>
              <w:rPr>
                <w:noProof/>
              </w:rPr>
            </w:pPr>
            <w:r>
              <w:rPr>
                <w:noProof/>
              </w:rPr>
              <w:t>56</w:t>
            </w:r>
          </w:p>
        </w:tc>
        <w:tc>
          <w:tcPr>
            <w:tcW w:w="1571" w:type="dxa"/>
            <w:tcBorders>
              <w:top w:val="nil"/>
              <w:left w:val="nil"/>
              <w:bottom w:val="single" w:sz="4" w:space="0" w:color="auto"/>
              <w:right w:val="single" w:sz="4" w:space="0" w:color="auto"/>
            </w:tcBorders>
            <w:shd w:val="clear" w:color="auto" w:fill="C6EFCE"/>
            <w:noWrap/>
          </w:tcPr>
          <w:p w14:paraId="7EC02595" w14:textId="77777777" w:rsidR="00A345F4" w:rsidRDefault="005E2D4E">
            <w:pPr>
              <w:pStyle w:val="P68B1DB1-Normal14"/>
              <w:spacing w:after="0" w:line="240" w:lineRule="auto"/>
              <w:rPr>
                <w:noProof/>
                <w:u w:val="single"/>
              </w:rPr>
            </w:pPr>
            <w:r>
              <w:rPr>
                <w:noProof/>
              </w:rPr>
              <w:t xml:space="preserve">Investissement 3.a Suivi public, contrôle et capacités institutionnelles </w:t>
            </w:r>
          </w:p>
          <w:p w14:paraId="2C6ECCD3" w14:textId="77777777" w:rsidR="00A345F4" w:rsidRDefault="00A345F4">
            <w:pPr>
              <w:spacing w:after="0" w:line="240" w:lineRule="auto"/>
              <w:jc w:val="both"/>
              <w:rPr>
                <w:rFonts w:ascii="Times New Roman" w:hAnsi="Times New Roman" w:cs="Times New Roman"/>
                <w:noProof/>
                <w:sz w:val="20"/>
                <w:szCs w:val="20"/>
              </w:rPr>
            </w:pPr>
          </w:p>
        </w:tc>
        <w:tc>
          <w:tcPr>
            <w:tcW w:w="1276" w:type="dxa"/>
            <w:tcBorders>
              <w:top w:val="nil"/>
              <w:left w:val="nil"/>
              <w:bottom w:val="single" w:sz="4" w:space="0" w:color="auto"/>
              <w:right w:val="single" w:sz="4" w:space="0" w:color="auto"/>
            </w:tcBorders>
            <w:shd w:val="clear" w:color="auto" w:fill="C6EFCE"/>
            <w:noWrap/>
          </w:tcPr>
          <w:p w14:paraId="31B492B2" w14:textId="77777777" w:rsidR="00A345F4" w:rsidRDefault="005E2D4E">
            <w:pPr>
              <w:pStyle w:val="P68B1DB1-Normal14"/>
              <w:spacing w:after="0" w:line="240" w:lineRule="auto"/>
              <w:jc w:val="center"/>
              <w:rPr>
                <w:rFonts w:eastAsia="Times New Roman"/>
                <w:noProof/>
              </w:rPr>
            </w:pPr>
            <w:r>
              <w:rPr>
                <w:noProof/>
              </w:rPr>
              <w:t>Étape</w:t>
            </w:r>
          </w:p>
        </w:tc>
        <w:tc>
          <w:tcPr>
            <w:tcW w:w="1355" w:type="dxa"/>
            <w:tcBorders>
              <w:top w:val="nil"/>
              <w:left w:val="nil"/>
              <w:bottom w:val="single" w:sz="4" w:space="0" w:color="auto"/>
              <w:right w:val="single" w:sz="4" w:space="0" w:color="auto"/>
            </w:tcBorders>
            <w:shd w:val="clear" w:color="auto" w:fill="C6EFCE"/>
            <w:noWrap/>
          </w:tcPr>
          <w:p w14:paraId="776C7A8C" w14:textId="77777777" w:rsidR="00A345F4" w:rsidRDefault="005E2D4E">
            <w:pPr>
              <w:pStyle w:val="P68B1DB1-Normal14"/>
              <w:spacing w:after="0" w:line="240" w:lineRule="auto"/>
              <w:jc w:val="both"/>
              <w:rPr>
                <w:noProof/>
              </w:rPr>
            </w:pPr>
            <w:r>
              <w:rPr>
                <w:noProof/>
              </w:rPr>
              <w:t xml:space="preserve">Achat d'équipements numériques </w:t>
            </w:r>
          </w:p>
        </w:tc>
        <w:tc>
          <w:tcPr>
            <w:tcW w:w="1625" w:type="dxa"/>
            <w:tcBorders>
              <w:top w:val="nil"/>
              <w:left w:val="nil"/>
              <w:bottom w:val="single" w:sz="4" w:space="0" w:color="auto"/>
              <w:right w:val="single" w:sz="4" w:space="0" w:color="auto"/>
            </w:tcBorders>
            <w:shd w:val="clear" w:color="auto" w:fill="C6EFCE"/>
            <w:noWrap/>
          </w:tcPr>
          <w:p w14:paraId="17A63C6E" w14:textId="77777777" w:rsidR="00A345F4" w:rsidRDefault="005E2D4E">
            <w:pPr>
              <w:pStyle w:val="P68B1DB1-Normal19"/>
              <w:spacing w:after="0" w:line="240" w:lineRule="auto"/>
              <w:jc w:val="both"/>
              <w:rPr>
                <w:noProof/>
              </w:rPr>
            </w:pPr>
            <w:r>
              <w:rPr>
                <w:noProof/>
              </w:rPr>
              <w:t>Certificats de réception</w:t>
            </w:r>
          </w:p>
        </w:tc>
        <w:tc>
          <w:tcPr>
            <w:tcW w:w="1087" w:type="dxa"/>
            <w:tcBorders>
              <w:top w:val="single" w:sz="4" w:space="0" w:color="auto"/>
              <w:left w:val="nil"/>
              <w:bottom w:val="single" w:sz="4" w:space="0" w:color="auto"/>
              <w:right w:val="single" w:sz="4" w:space="0" w:color="auto"/>
            </w:tcBorders>
            <w:shd w:val="clear" w:color="auto" w:fill="C6EFCE"/>
            <w:noWrap/>
          </w:tcPr>
          <w:p w14:paraId="5F690D45" w14:textId="77777777" w:rsidR="00A345F4" w:rsidRDefault="00A345F4">
            <w:pPr>
              <w:rPr>
                <w:rFonts w:ascii="Times New Roman" w:hAnsi="Times New Roman" w:cs="Times New Roman"/>
                <w:noProof/>
                <w:sz w:val="20"/>
                <w:szCs w:val="20"/>
              </w:rPr>
            </w:pPr>
          </w:p>
        </w:tc>
        <w:tc>
          <w:tcPr>
            <w:tcW w:w="1357" w:type="dxa"/>
            <w:tcBorders>
              <w:top w:val="single" w:sz="4" w:space="0" w:color="auto"/>
              <w:left w:val="nil"/>
              <w:bottom w:val="single" w:sz="4" w:space="0" w:color="auto"/>
              <w:right w:val="single" w:sz="4" w:space="0" w:color="auto"/>
            </w:tcBorders>
            <w:shd w:val="clear" w:color="auto" w:fill="C6EFCE"/>
            <w:noWrap/>
          </w:tcPr>
          <w:p w14:paraId="5C2EEA94" w14:textId="77777777" w:rsidR="00A345F4" w:rsidRDefault="00A345F4">
            <w:pPr>
              <w:rPr>
                <w:rFonts w:ascii="Times New Roman" w:hAnsi="Times New Roman" w:cs="Times New Roman"/>
                <w:noProof/>
                <w:sz w:val="20"/>
                <w:szCs w:val="20"/>
              </w:rPr>
            </w:pPr>
          </w:p>
        </w:tc>
        <w:tc>
          <w:tcPr>
            <w:tcW w:w="955" w:type="dxa"/>
            <w:tcBorders>
              <w:top w:val="single" w:sz="4" w:space="0" w:color="auto"/>
              <w:left w:val="nil"/>
              <w:bottom w:val="single" w:sz="4" w:space="0" w:color="auto"/>
              <w:right w:val="single" w:sz="4" w:space="0" w:color="auto"/>
            </w:tcBorders>
            <w:shd w:val="clear" w:color="auto" w:fill="C6EFCE"/>
            <w:noWrap/>
          </w:tcPr>
          <w:p w14:paraId="0EEA19CB" w14:textId="77777777" w:rsidR="00A345F4" w:rsidRDefault="00A345F4">
            <w:pPr>
              <w:rPr>
                <w:rFonts w:ascii="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45EC350C" w14:textId="77777777" w:rsidR="00A345F4" w:rsidRDefault="005E2D4E">
            <w:pPr>
              <w:pStyle w:val="P68B1DB1-Normal14"/>
              <w:spacing w:after="0" w:line="240" w:lineRule="auto"/>
              <w:jc w:val="both"/>
              <w:rPr>
                <w:noProof/>
              </w:rPr>
            </w:pPr>
            <w:r>
              <w:rPr>
                <w:noProof/>
              </w:rPr>
              <w:t>T3</w:t>
            </w:r>
          </w:p>
        </w:tc>
        <w:tc>
          <w:tcPr>
            <w:tcW w:w="850" w:type="dxa"/>
            <w:tcBorders>
              <w:top w:val="single" w:sz="4" w:space="0" w:color="auto"/>
              <w:left w:val="nil"/>
              <w:bottom w:val="single" w:sz="4" w:space="0" w:color="auto"/>
              <w:right w:val="single" w:sz="4" w:space="0" w:color="auto"/>
            </w:tcBorders>
            <w:shd w:val="clear" w:color="auto" w:fill="C6EFCE"/>
            <w:noWrap/>
          </w:tcPr>
          <w:p w14:paraId="11BBDEF6" w14:textId="77777777" w:rsidR="00A345F4" w:rsidRDefault="005E2D4E">
            <w:pPr>
              <w:pStyle w:val="P68B1DB1-Normal14"/>
              <w:spacing w:after="0" w:line="240" w:lineRule="auto"/>
              <w:jc w:val="both"/>
              <w:rPr>
                <w:noProof/>
              </w:rPr>
            </w:pPr>
            <w:r>
              <w:rPr>
                <w:noProof/>
              </w:rPr>
              <w:t>2025</w:t>
            </w:r>
          </w:p>
        </w:tc>
        <w:tc>
          <w:tcPr>
            <w:tcW w:w="2835" w:type="dxa"/>
            <w:tcBorders>
              <w:top w:val="nil"/>
              <w:left w:val="nil"/>
              <w:bottom w:val="single" w:sz="4" w:space="0" w:color="auto"/>
              <w:right w:val="single" w:sz="4" w:space="0" w:color="auto"/>
            </w:tcBorders>
            <w:shd w:val="clear" w:color="auto" w:fill="C6EFCE"/>
            <w:noWrap/>
          </w:tcPr>
          <w:p w14:paraId="6F652F6C" w14:textId="3C5CBB39" w:rsidR="00A345F4" w:rsidRDefault="005E2D4E">
            <w:pPr>
              <w:pStyle w:val="P68B1DB1-Normal14"/>
              <w:spacing w:after="0" w:line="240" w:lineRule="auto"/>
              <w:jc w:val="both"/>
              <w:rPr>
                <w:rFonts w:eastAsia="Times New Roman"/>
                <w:noProof/>
              </w:rPr>
            </w:pPr>
            <w:r>
              <w:rPr>
                <w:noProof/>
              </w:rPr>
              <w:t>Un ou plusieurs certificats de réception doivent être fournis pour les équipements suivants:</w:t>
            </w:r>
          </w:p>
          <w:p w14:paraId="17D93AF2" w14:textId="77777777" w:rsidR="00A345F4" w:rsidRDefault="005E2D4E">
            <w:pPr>
              <w:pStyle w:val="P68B1DB1-Normal14"/>
              <w:numPr>
                <w:ilvl w:val="0"/>
                <w:numId w:val="93"/>
              </w:numPr>
              <w:spacing w:after="0" w:line="240" w:lineRule="auto"/>
              <w:ind w:left="165" w:hanging="165"/>
              <w:contextualSpacing/>
              <w:jc w:val="both"/>
              <w:rPr>
                <w:noProof/>
              </w:rPr>
            </w:pPr>
            <w:r>
              <w:rPr>
                <w:noProof/>
              </w:rPr>
              <w:t>1 système intégré TIC;</w:t>
            </w:r>
          </w:p>
          <w:p w14:paraId="03B7215F" w14:textId="77777777" w:rsidR="00A345F4" w:rsidRDefault="005E2D4E">
            <w:pPr>
              <w:pStyle w:val="P68B1DB1-Normal14"/>
              <w:numPr>
                <w:ilvl w:val="0"/>
                <w:numId w:val="93"/>
              </w:numPr>
              <w:spacing w:after="0" w:line="240" w:lineRule="auto"/>
              <w:ind w:left="165" w:hanging="165"/>
              <w:contextualSpacing/>
              <w:jc w:val="both"/>
              <w:rPr>
                <w:noProof/>
              </w:rPr>
            </w:pPr>
            <w:r>
              <w:rPr>
                <w:noProof/>
              </w:rPr>
              <w:t>8 systèmes de balayage de camions;</w:t>
            </w:r>
          </w:p>
          <w:p w14:paraId="2387E99E" w14:textId="77777777" w:rsidR="00A345F4" w:rsidRDefault="005E2D4E">
            <w:pPr>
              <w:pStyle w:val="P68B1DB1-Normal14"/>
              <w:numPr>
                <w:ilvl w:val="0"/>
                <w:numId w:val="93"/>
              </w:numPr>
              <w:spacing w:after="0" w:line="240" w:lineRule="auto"/>
              <w:ind w:left="165" w:hanging="165"/>
              <w:contextualSpacing/>
              <w:jc w:val="both"/>
              <w:rPr>
                <w:noProof/>
              </w:rPr>
            </w:pPr>
            <w:r>
              <w:rPr>
                <w:noProof/>
              </w:rPr>
              <w:t>271 caméras vidéo de tableau de bord;</w:t>
            </w:r>
          </w:p>
          <w:p w14:paraId="301A1D67" w14:textId="77777777" w:rsidR="00A345F4" w:rsidRDefault="005E2D4E">
            <w:pPr>
              <w:pStyle w:val="P68B1DB1-Normal14"/>
              <w:numPr>
                <w:ilvl w:val="0"/>
                <w:numId w:val="93"/>
              </w:numPr>
              <w:spacing w:after="0" w:line="240" w:lineRule="auto"/>
              <w:ind w:left="165" w:hanging="165"/>
              <w:contextualSpacing/>
              <w:jc w:val="both"/>
              <w:rPr>
                <w:noProof/>
              </w:rPr>
            </w:pPr>
            <w:r>
              <w:rPr>
                <w:noProof/>
              </w:rPr>
              <w:t>16 véhicules aériens sans pilote;</w:t>
            </w:r>
          </w:p>
          <w:p w14:paraId="74E6CB70" w14:textId="77777777" w:rsidR="00A345F4" w:rsidRDefault="005E2D4E">
            <w:pPr>
              <w:pStyle w:val="P68B1DB1-Normal14"/>
              <w:numPr>
                <w:ilvl w:val="0"/>
                <w:numId w:val="93"/>
              </w:numPr>
              <w:spacing w:after="0" w:line="240" w:lineRule="auto"/>
              <w:ind w:left="165" w:hanging="165"/>
              <w:contextualSpacing/>
              <w:jc w:val="both"/>
              <w:rPr>
                <w:noProof/>
              </w:rPr>
            </w:pPr>
            <w:r>
              <w:rPr>
                <w:noProof/>
              </w:rPr>
              <w:t xml:space="preserve">8 véhicules utilitaires équipés de radiocommunications pour le transport d'équipements de surveillance; </w:t>
            </w:r>
          </w:p>
          <w:p w14:paraId="55176B6B" w14:textId="77777777" w:rsidR="00A345F4" w:rsidRDefault="005E2D4E">
            <w:pPr>
              <w:pStyle w:val="P68B1DB1-Normal14"/>
              <w:numPr>
                <w:ilvl w:val="0"/>
                <w:numId w:val="93"/>
              </w:numPr>
              <w:spacing w:after="0" w:line="240" w:lineRule="auto"/>
              <w:ind w:left="165" w:hanging="165"/>
              <w:contextualSpacing/>
              <w:jc w:val="both"/>
              <w:rPr>
                <w:noProof/>
              </w:rPr>
            </w:pPr>
            <w:r>
              <w:rPr>
                <w:noProof/>
              </w:rPr>
              <w:t xml:space="preserve">709 appareils photo portés par le corps. </w:t>
            </w:r>
          </w:p>
          <w:p w14:paraId="7E80B8B7" w14:textId="77777777" w:rsidR="00A345F4" w:rsidRDefault="005E2D4E">
            <w:pPr>
              <w:pStyle w:val="P68B1DB1-Normal14"/>
              <w:spacing w:after="0" w:line="240" w:lineRule="auto"/>
              <w:ind w:left="165" w:hanging="165"/>
              <w:contextualSpacing/>
              <w:jc w:val="both"/>
              <w:rPr>
                <w:noProof/>
              </w:rPr>
            </w:pPr>
            <w:r>
              <w:rPr>
                <w:noProof/>
              </w:rPr>
              <w:t>L'équipement doit être distribué aux 43 commissaires de la Garde de l'environnement.</w:t>
            </w:r>
          </w:p>
          <w:p w14:paraId="2B3B444F" w14:textId="77777777" w:rsidR="00A345F4" w:rsidRDefault="005E2D4E">
            <w:pPr>
              <w:pStyle w:val="P68B1DB1-Normal14"/>
              <w:spacing w:after="0" w:line="240" w:lineRule="auto"/>
              <w:jc w:val="both"/>
              <w:rPr>
                <w:noProof/>
              </w:rPr>
            </w:pPr>
            <w:r>
              <w:rPr>
                <w:noProof/>
              </w:rPr>
              <w:t>Afin de garantir que la mesure est conforme aux orientations techniques «Ne pas causer de préjudice important» (2021/C58/01), les véhicules achetés au titre de cette mesure constituent la meilleure technologie disponible du point de vue environnemental.</w:t>
            </w:r>
          </w:p>
        </w:tc>
      </w:tr>
      <w:tr w:rsidR="00A345F4" w14:paraId="11554939" w14:textId="77777777" w:rsidTr="00CB0A8A">
        <w:tblPrEx>
          <w:tblCellMar>
            <w:left w:w="28" w:type="dxa"/>
            <w:right w:w="28" w:type="dxa"/>
          </w:tblCellMar>
        </w:tblPrEx>
        <w:trPr>
          <w:trHeight w:val="309"/>
          <w:jc w:val="center"/>
        </w:trPr>
        <w:tc>
          <w:tcPr>
            <w:tcW w:w="834" w:type="dxa"/>
            <w:tcBorders>
              <w:top w:val="nil"/>
              <w:left w:val="single" w:sz="4" w:space="0" w:color="auto"/>
              <w:bottom w:val="single" w:sz="4" w:space="0" w:color="auto"/>
              <w:right w:val="single" w:sz="4" w:space="0" w:color="auto"/>
            </w:tcBorders>
            <w:shd w:val="clear" w:color="auto" w:fill="C6EFCE"/>
            <w:noWrap/>
          </w:tcPr>
          <w:p w14:paraId="0B495B91" w14:textId="77777777" w:rsidR="00A345F4" w:rsidRDefault="005E2D4E">
            <w:pPr>
              <w:pStyle w:val="P68B1DB1-Normal14"/>
              <w:spacing w:after="0" w:line="240" w:lineRule="auto"/>
              <w:jc w:val="both"/>
              <w:rPr>
                <w:noProof/>
              </w:rPr>
            </w:pPr>
            <w:bookmarkStart w:id="3" w:name="_Hlk233971422"/>
            <w:r>
              <w:rPr>
                <w:noProof/>
              </w:rPr>
              <w:t>57</w:t>
            </w:r>
          </w:p>
        </w:tc>
        <w:tc>
          <w:tcPr>
            <w:tcW w:w="1571" w:type="dxa"/>
            <w:tcBorders>
              <w:top w:val="nil"/>
              <w:left w:val="nil"/>
              <w:bottom w:val="single" w:sz="4" w:space="0" w:color="auto"/>
              <w:right w:val="single" w:sz="4" w:space="0" w:color="auto"/>
            </w:tcBorders>
            <w:shd w:val="clear" w:color="auto" w:fill="C6EFCE"/>
            <w:noWrap/>
          </w:tcPr>
          <w:p w14:paraId="184A8DCA" w14:textId="77777777" w:rsidR="00A345F4" w:rsidRDefault="005E2D4E">
            <w:pPr>
              <w:pStyle w:val="P68B1DB1-Normal14"/>
              <w:spacing w:after="0" w:line="240" w:lineRule="auto"/>
              <w:jc w:val="both"/>
              <w:rPr>
                <w:noProof/>
                <w:highlight w:val="yellow"/>
              </w:rPr>
            </w:pPr>
            <w:r>
              <w:rPr>
                <w:noProof/>
              </w:rPr>
              <w:t>Investissement 3.b</w:t>
            </w:r>
          </w:p>
          <w:p w14:paraId="7F2E3620" w14:textId="77777777" w:rsidR="00A345F4" w:rsidRDefault="005E2D4E">
            <w:pPr>
              <w:pStyle w:val="P68B1DB1-Normal14"/>
              <w:spacing w:after="0" w:line="240" w:lineRule="auto"/>
              <w:jc w:val="both"/>
              <w:rPr>
                <w:noProof/>
              </w:rPr>
            </w:pPr>
            <w:r>
              <w:rPr>
                <w:noProof/>
              </w:rPr>
              <w:t xml:space="preserve">Suivi public, contrôle et capacités institutionnelles </w:t>
            </w:r>
          </w:p>
        </w:tc>
        <w:tc>
          <w:tcPr>
            <w:tcW w:w="1276" w:type="dxa"/>
            <w:tcBorders>
              <w:top w:val="nil"/>
              <w:left w:val="nil"/>
              <w:bottom w:val="single" w:sz="4" w:space="0" w:color="auto"/>
              <w:right w:val="single" w:sz="4" w:space="0" w:color="auto"/>
            </w:tcBorders>
            <w:shd w:val="clear" w:color="auto" w:fill="C6EFCE"/>
            <w:noWrap/>
          </w:tcPr>
          <w:p w14:paraId="2ADF6F39" w14:textId="77777777" w:rsidR="00A345F4" w:rsidRDefault="005E2D4E">
            <w:pPr>
              <w:pStyle w:val="P68B1DB1-Normal14"/>
              <w:spacing w:after="0" w:line="240" w:lineRule="auto"/>
              <w:jc w:val="center"/>
              <w:rPr>
                <w:rFonts w:eastAsia="Times New Roman"/>
                <w:noProof/>
              </w:rPr>
            </w:pPr>
            <w:r>
              <w:rPr>
                <w:noProof/>
              </w:rPr>
              <w:t>Objectif</w:t>
            </w:r>
          </w:p>
        </w:tc>
        <w:tc>
          <w:tcPr>
            <w:tcW w:w="1355" w:type="dxa"/>
            <w:tcBorders>
              <w:top w:val="nil"/>
              <w:left w:val="nil"/>
              <w:bottom w:val="single" w:sz="4" w:space="0" w:color="auto"/>
              <w:right w:val="single" w:sz="4" w:space="0" w:color="auto"/>
            </w:tcBorders>
            <w:shd w:val="clear" w:color="auto" w:fill="C6EFCE"/>
            <w:noWrap/>
          </w:tcPr>
          <w:p w14:paraId="58BAB273" w14:textId="7ED670F1" w:rsidR="00A345F4" w:rsidRDefault="005E2D4E">
            <w:pPr>
              <w:pStyle w:val="P68B1DB1-Normal14"/>
              <w:spacing w:after="0" w:line="240" w:lineRule="auto"/>
              <w:jc w:val="both"/>
              <w:rPr>
                <w:noProof/>
              </w:rPr>
            </w:pPr>
            <w:r>
              <w:rPr>
                <w:noProof/>
              </w:rPr>
              <w:t xml:space="preserve">Fourniture de 400 missions de contrôle à l'aide d'équipements numériques </w:t>
            </w:r>
          </w:p>
        </w:tc>
        <w:tc>
          <w:tcPr>
            <w:tcW w:w="1625" w:type="dxa"/>
            <w:tcBorders>
              <w:top w:val="nil"/>
              <w:left w:val="nil"/>
              <w:bottom w:val="single" w:sz="4" w:space="0" w:color="auto"/>
              <w:right w:val="single" w:sz="4" w:space="0" w:color="auto"/>
            </w:tcBorders>
            <w:shd w:val="clear" w:color="auto" w:fill="C6EFCE"/>
            <w:noWrap/>
          </w:tcPr>
          <w:p w14:paraId="0D5CD054"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7" w:type="dxa"/>
            <w:tcBorders>
              <w:top w:val="single" w:sz="4" w:space="0" w:color="auto"/>
              <w:left w:val="nil"/>
              <w:bottom w:val="single" w:sz="4" w:space="0" w:color="auto"/>
              <w:right w:val="single" w:sz="4" w:space="0" w:color="auto"/>
            </w:tcBorders>
            <w:shd w:val="clear" w:color="auto" w:fill="C6EFCE"/>
            <w:noWrap/>
          </w:tcPr>
          <w:p w14:paraId="3CB0E53B" w14:textId="77777777" w:rsidR="00A345F4" w:rsidRDefault="005E2D4E">
            <w:pPr>
              <w:pStyle w:val="P68B1DB1-Normal14"/>
              <w:rPr>
                <w:noProof/>
              </w:rPr>
            </w:pPr>
            <w:r>
              <w:rPr>
                <w:noProof/>
              </w:rPr>
              <w:t>Numéro</w:t>
            </w:r>
          </w:p>
        </w:tc>
        <w:tc>
          <w:tcPr>
            <w:tcW w:w="1357" w:type="dxa"/>
            <w:tcBorders>
              <w:top w:val="single" w:sz="4" w:space="0" w:color="auto"/>
              <w:left w:val="nil"/>
              <w:bottom w:val="single" w:sz="4" w:space="0" w:color="auto"/>
              <w:right w:val="single" w:sz="4" w:space="0" w:color="auto"/>
            </w:tcBorders>
            <w:shd w:val="clear" w:color="auto" w:fill="C6EFCE"/>
            <w:noWrap/>
          </w:tcPr>
          <w:p w14:paraId="6956E38B" w14:textId="77777777" w:rsidR="00A345F4" w:rsidRDefault="005E2D4E">
            <w:pPr>
              <w:pStyle w:val="P68B1DB1-Normal14"/>
              <w:rPr>
                <w:noProof/>
              </w:rPr>
            </w:pPr>
            <w:r>
              <w:rPr>
                <w:noProof/>
              </w:rPr>
              <w:t>0</w:t>
            </w:r>
          </w:p>
        </w:tc>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56446E7" w14:textId="77777777" w:rsidR="00A345F4" w:rsidRDefault="005E2D4E">
            <w:pPr>
              <w:pStyle w:val="P68B1DB1-Normal14"/>
              <w:rPr>
                <w:noProof/>
              </w:rPr>
            </w:pPr>
            <w:r>
              <w:rPr>
                <w:noProof/>
              </w:rPr>
              <w:t>400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300EBFA" w14:textId="77777777" w:rsidR="00A345F4" w:rsidRDefault="005E2D4E">
            <w:pPr>
              <w:pStyle w:val="P68B1DB1-Normal14"/>
              <w:spacing w:after="0" w:line="240" w:lineRule="auto"/>
              <w:jc w:val="both"/>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569AA6A" w14:textId="77777777" w:rsidR="00A345F4" w:rsidRDefault="005E2D4E">
            <w:pPr>
              <w:pStyle w:val="P68B1DB1-Normal14"/>
              <w:spacing w:after="0" w:line="240" w:lineRule="auto"/>
              <w:jc w:val="both"/>
              <w:rPr>
                <w:rFonts w:eastAsia="Times New Roman"/>
                <w:noProof/>
              </w:rPr>
            </w:pPr>
            <w:r>
              <w:rPr>
                <w:noProof/>
              </w:rPr>
              <w:t>2025</w:t>
            </w:r>
          </w:p>
        </w:tc>
        <w:tc>
          <w:tcPr>
            <w:tcW w:w="2835" w:type="dxa"/>
            <w:tcBorders>
              <w:top w:val="nil"/>
              <w:left w:val="single" w:sz="4" w:space="0" w:color="auto"/>
              <w:bottom w:val="single" w:sz="4" w:space="0" w:color="auto"/>
              <w:right w:val="single" w:sz="4" w:space="0" w:color="auto"/>
            </w:tcBorders>
            <w:shd w:val="clear" w:color="auto" w:fill="C6EFCE"/>
            <w:noWrap/>
          </w:tcPr>
          <w:p w14:paraId="01BB8120" w14:textId="3C718177" w:rsidR="00A345F4" w:rsidRDefault="005E2D4E">
            <w:pPr>
              <w:pStyle w:val="P68B1DB1-Normal14"/>
              <w:spacing w:after="0" w:line="240" w:lineRule="auto"/>
              <w:jc w:val="both"/>
              <w:rPr>
                <w:noProof/>
                <w:highlight w:val="yellow"/>
              </w:rPr>
            </w:pPr>
            <w:r>
              <w:rPr>
                <w:noProof/>
              </w:rPr>
              <w:t>Documents de contrôle de 400 missions de contrôle dans les domaines de la lutte contre la pollution ou de la lutte contre la biodiversité menées par les commissaires de la Garde nationale de l’environnement à l’aide d’équipements numériques. Au moins certaines des missions de contrôle sont liées à la gestion des déchets.</w:t>
            </w:r>
          </w:p>
        </w:tc>
      </w:tr>
      <w:bookmarkEnd w:id="3"/>
    </w:tbl>
    <w:p w14:paraId="0FE6C3B6" w14:textId="77777777" w:rsidR="00A345F4" w:rsidRDefault="00A345F4">
      <w:pPr>
        <w:spacing w:after="120"/>
        <w:rPr>
          <w:rFonts w:ascii="Times New Roman" w:hAnsi="Times New Roman" w:cs="Times New Roman"/>
          <w:b/>
          <w:bCs/>
          <w:noProof/>
        </w:rPr>
      </w:pPr>
    </w:p>
    <w:p w14:paraId="22EEE9D9" w14:textId="77777777" w:rsidR="00A345F4" w:rsidRDefault="00A345F4">
      <w:pPr>
        <w:spacing w:after="120"/>
        <w:rPr>
          <w:rFonts w:ascii="Times New Roman" w:hAnsi="Times New Roman" w:cs="Times New Roman"/>
          <w:b/>
          <w:bCs/>
          <w:noProof/>
        </w:rPr>
      </w:pPr>
    </w:p>
    <w:p w14:paraId="428DDD4F" w14:textId="77777777" w:rsidR="00A345F4" w:rsidRDefault="00A345F4">
      <w:pPr>
        <w:spacing w:after="120"/>
        <w:rPr>
          <w:rFonts w:ascii="Times New Roman" w:hAnsi="Times New Roman" w:cs="Times New Roman"/>
          <w:b/>
          <w:bCs/>
          <w:noProof/>
        </w:rPr>
      </w:pPr>
    </w:p>
    <w:p w14:paraId="576FF15F" w14:textId="77777777" w:rsidR="00A345F4" w:rsidRDefault="00A345F4">
      <w:pPr>
        <w:rPr>
          <w:rFonts w:ascii="Times New Roman" w:hAnsi="Times New Roman" w:cs="Times New Roman"/>
          <w:noProof/>
        </w:rPr>
      </w:pPr>
    </w:p>
    <w:p w14:paraId="7C8BA2E6" w14:textId="77777777" w:rsidR="00A345F4" w:rsidRDefault="00A345F4">
      <w:pPr>
        <w:rPr>
          <w:rFonts w:ascii="Times New Roman" w:hAnsi="Times New Roman" w:cs="Times New Roman"/>
          <w:noProof/>
        </w:rPr>
        <w:sectPr w:rsidR="00A345F4" w:rsidSect="003E0A8C">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08"/>
          <w:docGrid w:linePitch="360"/>
        </w:sectPr>
      </w:pPr>
    </w:p>
    <w:p w14:paraId="13F54625" w14:textId="5E0BAA99" w:rsidR="00A345F4" w:rsidRDefault="005E2D4E">
      <w:pPr>
        <w:pStyle w:val="P68B1DB1-Normal5"/>
        <w:keepNext/>
        <w:spacing w:before="120" w:after="120" w:line="240" w:lineRule="auto"/>
        <w:jc w:val="both"/>
        <w:outlineLvl w:val="1"/>
        <w:rPr>
          <w:bCs/>
          <w:noProof/>
        </w:rPr>
      </w:pPr>
      <w:r>
        <w:rPr>
          <w:noProof/>
        </w:rPr>
        <w:t xml:space="preserve">C.3. </w:t>
      </w:r>
      <w:r>
        <w:rPr>
          <w:noProof/>
        </w:rPr>
        <w:tab/>
        <w:t xml:space="preserve">Description des réformes et des investissements pour le prêt </w:t>
      </w:r>
    </w:p>
    <w:p w14:paraId="4390C532" w14:textId="77777777" w:rsidR="00A345F4" w:rsidRDefault="005E2D4E">
      <w:pPr>
        <w:pStyle w:val="P68B1DB1-Normal12"/>
        <w:suppressAutoHyphens/>
        <w:autoSpaceDN w:val="0"/>
        <w:spacing w:before="240" w:after="0" w:line="240" w:lineRule="auto"/>
        <w:textAlignment w:val="baseline"/>
        <w:rPr>
          <w:rFonts w:eastAsiaTheme="majorEastAsia"/>
          <w:noProof/>
        </w:rPr>
      </w:pPr>
      <w:r>
        <w:rPr>
          <w:noProof/>
        </w:rPr>
        <w:t>Réforme 1. Soutien à la gouvernance de la gestion des déchets pour accélérer la transition vers l’économie circulaire</w:t>
      </w:r>
    </w:p>
    <w:p w14:paraId="23E9DB25" w14:textId="77777777" w:rsidR="00A345F4" w:rsidRDefault="005E2D4E">
      <w:pPr>
        <w:pStyle w:val="P68B1DB1-Normal4"/>
        <w:spacing w:before="120" w:after="120" w:line="240" w:lineRule="auto"/>
        <w:jc w:val="both"/>
        <w:rPr>
          <w:rFonts w:eastAsia="Calibri"/>
          <w:noProof/>
        </w:rPr>
      </w:pPr>
      <w:r>
        <w:rPr>
          <w:noProof/>
        </w:rPr>
        <w:t xml:space="preserve">L’objectif de cette réforme est de créer un cadre de gestion des déchets pour la transition vers l’économie circulaire. </w:t>
      </w:r>
    </w:p>
    <w:p w14:paraId="5D88D4F5" w14:textId="77777777" w:rsidR="00A345F4" w:rsidRDefault="005E2D4E">
      <w:pPr>
        <w:pStyle w:val="P68B1DB1-Normal4"/>
        <w:spacing w:before="120" w:after="120" w:line="240" w:lineRule="auto"/>
        <w:jc w:val="both"/>
        <w:rPr>
          <w:rFonts w:eastAsia="Calibri"/>
          <w:noProof/>
        </w:rPr>
      </w:pPr>
      <w:r>
        <w:rPr>
          <w:noProof/>
        </w:rPr>
        <w:t xml:space="preserve">La réforme consiste en l’adoption d’une stratégie et d’un plan d’action respectifs, ainsi que d’actes juridiques. </w:t>
      </w:r>
    </w:p>
    <w:p w14:paraId="655EB5E2" w14:textId="77777777" w:rsidR="00A345F4" w:rsidRDefault="005E2D4E">
      <w:pPr>
        <w:pStyle w:val="P68B1DB1-Normal12"/>
        <w:spacing w:before="120" w:after="120" w:line="240" w:lineRule="auto"/>
        <w:jc w:val="both"/>
        <w:rPr>
          <w:noProof/>
        </w:rPr>
      </w:pPr>
      <w:r>
        <w:rPr>
          <w:noProof/>
        </w:rPr>
        <w:t xml:space="preserve">Investissement 1. Mise en place de systèmes intégrés de gestion des déchets municipaux </w:t>
      </w:r>
    </w:p>
    <w:p w14:paraId="7D749B1B" w14:textId="767F2655" w:rsidR="00A345F4" w:rsidRDefault="005E2D4E">
      <w:pPr>
        <w:spacing w:before="120" w:after="120" w:line="240" w:lineRule="auto"/>
        <w:jc w:val="both"/>
        <w:rPr>
          <w:rFonts w:ascii="Times New Roman" w:hAnsi="Times New Roman" w:cs="Times New Roman"/>
          <w:noProof/>
          <w:u w:val="single"/>
        </w:rPr>
      </w:pPr>
      <w:r>
        <w:rPr>
          <w:rFonts w:ascii="Times New Roman" w:hAnsi="Times New Roman" w:cs="Times New Roman"/>
          <w:noProof/>
        </w:rPr>
        <w:t>L’objectif de cet investissement est de mettre en place des systèmes intégrés de gestion des déchets pour la collecte séparée et des infrastructures pour la gestion des déchets publics afin d’atteindre  les objectifs de recyclage du train de mesures sur l’économie circulaire.</w:t>
      </w:r>
    </w:p>
    <w:p w14:paraId="7D6F4C3F" w14:textId="77777777" w:rsidR="00A345F4" w:rsidRDefault="005E2D4E">
      <w:pPr>
        <w:pStyle w:val="P68B1DB1-Normal4"/>
        <w:spacing w:before="120" w:after="120" w:line="240" w:lineRule="auto"/>
        <w:jc w:val="both"/>
        <w:rPr>
          <w:noProof/>
        </w:rPr>
      </w:pPr>
      <w:r>
        <w:rPr>
          <w:noProof/>
        </w:rPr>
        <w:t xml:space="preserve">L'investissement consiste en la réalisation d'éco-îles ,, la construction de centres intégrés de collecte des déchets dans les municipalités de Craiova, Buzău et Cluj-Napoca pour la collecte séparée des déchets et la construction d'installations de recyclage des déchets. </w:t>
      </w:r>
    </w:p>
    <w:p w14:paraId="31CD0D64"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Investissement 2. Construction d'infrastructures pour la gestion du fumier et d'autres déchets agricoles compostables</w:t>
      </w:r>
    </w:p>
    <w:p w14:paraId="22877C96" w14:textId="77777777" w:rsidR="00A345F4" w:rsidRDefault="005E2D4E">
      <w:pPr>
        <w:pStyle w:val="P68B1DB1-Normal4"/>
        <w:spacing w:before="120" w:after="120" w:line="240" w:lineRule="auto"/>
        <w:jc w:val="both"/>
        <w:rPr>
          <w:noProof/>
        </w:rPr>
      </w:pPr>
      <w:r>
        <w:rPr>
          <w:noProof/>
        </w:rPr>
        <w:t xml:space="preserve">L'objectif de l'investissement est de construire des systèmes de collecte et de récupération du fumier. </w:t>
      </w:r>
    </w:p>
    <w:p w14:paraId="42C3565E" w14:textId="77777777" w:rsidR="00A345F4" w:rsidRDefault="005E2D4E">
      <w:pPr>
        <w:pStyle w:val="P68B1DB1-Normal4"/>
        <w:spacing w:before="120" w:after="120" w:line="240" w:lineRule="auto"/>
        <w:jc w:val="both"/>
        <w:rPr>
          <w:noProof/>
        </w:rPr>
      </w:pPr>
      <w:r>
        <w:rPr>
          <w:noProof/>
        </w:rPr>
        <w:t xml:space="preserve">L'investissement consiste en la construction de systèmes intégrés de collecte des déchets agricoles compostables. </w:t>
      </w:r>
    </w:p>
    <w:p w14:paraId="5AD51FC0" w14:textId="77777777" w:rsidR="00A345F4" w:rsidRDefault="00A345F4">
      <w:pPr>
        <w:spacing w:before="120" w:after="120" w:line="240" w:lineRule="auto"/>
        <w:jc w:val="both"/>
        <w:rPr>
          <w:rFonts w:ascii="Times New Roman" w:hAnsi="Times New Roman" w:cs="Times New Roman"/>
          <w:noProof/>
        </w:rPr>
        <w:sectPr w:rsidR="00A345F4" w:rsidSect="003E0A8C">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3D2FED28" w14:textId="77777777" w:rsidR="00A345F4" w:rsidRDefault="005E2D4E">
      <w:pPr>
        <w:pStyle w:val="P68B1DB1-Normal4"/>
        <w:keepNext/>
        <w:spacing w:before="120" w:after="120" w:line="240" w:lineRule="auto"/>
        <w:ind w:left="-284"/>
        <w:jc w:val="both"/>
        <w:outlineLvl w:val="1"/>
        <w:rPr>
          <w:rFonts w:eastAsiaTheme="majorEastAsia"/>
          <w:b/>
          <w:bCs/>
          <w:noProof/>
        </w:rPr>
      </w:pPr>
      <w:r>
        <w:rPr>
          <w:b/>
          <w:noProof/>
        </w:rPr>
        <w:t xml:space="preserve">C.4. </w:t>
      </w:r>
      <w:r>
        <w:rPr>
          <w:noProof/>
        </w:rPr>
        <w:t xml:space="preserve"> </w:t>
      </w:r>
      <w:r>
        <w:rPr>
          <w:b/>
          <w:noProof/>
        </w:rPr>
        <w:t>Étapes, objectifs, indicateurs et calendrier du suivi et de la mise en œuvre du prêt</w:t>
      </w:r>
    </w:p>
    <w:tbl>
      <w:tblPr>
        <w:tblW w:w="15544" w:type="dxa"/>
        <w:jc w:val="center"/>
        <w:tblLayout w:type="fixed"/>
        <w:tblLook w:val="04A0" w:firstRow="1" w:lastRow="0" w:firstColumn="1" w:lastColumn="0" w:noHBand="0" w:noVBand="1"/>
      </w:tblPr>
      <w:tblGrid>
        <w:gridCol w:w="15"/>
        <w:gridCol w:w="819"/>
        <w:gridCol w:w="1573"/>
        <w:gridCol w:w="1320"/>
        <w:gridCol w:w="1309"/>
        <w:gridCol w:w="1625"/>
        <w:gridCol w:w="1087"/>
        <w:gridCol w:w="1357"/>
        <w:gridCol w:w="955"/>
        <w:gridCol w:w="1134"/>
        <w:gridCol w:w="850"/>
        <w:gridCol w:w="3500"/>
      </w:tblGrid>
      <w:tr w:rsidR="00A345F4" w14:paraId="3FDEDA6E" w14:textId="77777777" w:rsidTr="007D4A21">
        <w:trPr>
          <w:trHeight w:val="587"/>
          <w:tblHeader/>
          <w:jc w:val="center"/>
        </w:trPr>
        <w:tc>
          <w:tcPr>
            <w:tcW w:w="834"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A9DA4A" w14:textId="77777777" w:rsidR="00A345F4" w:rsidRDefault="005E2D4E">
            <w:pPr>
              <w:pStyle w:val="P68B1DB1-Normal13"/>
              <w:spacing w:after="0" w:line="240" w:lineRule="auto"/>
              <w:jc w:val="center"/>
              <w:rPr>
                <w:rFonts w:eastAsia="Times New Roman"/>
                <w:noProof/>
              </w:rPr>
            </w:pPr>
            <w:r>
              <w:rPr>
                <w:noProof/>
              </w:rPr>
              <w:t>Seq. Num.</w:t>
            </w:r>
          </w:p>
        </w:tc>
        <w:tc>
          <w:tcPr>
            <w:tcW w:w="15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284303"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9FCD4B" w14:textId="77777777" w:rsidR="00A345F4" w:rsidRDefault="005E2D4E">
            <w:pPr>
              <w:pStyle w:val="P68B1DB1-Normal13"/>
              <w:spacing w:after="0" w:line="240" w:lineRule="auto"/>
              <w:jc w:val="center"/>
              <w:rPr>
                <w:rFonts w:eastAsia="Times New Roman"/>
                <w:noProof/>
              </w:rPr>
            </w:pPr>
            <w:r>
              <w:rPr>
                <w:noProof/>
              </w:rPr>
              <w:t>Étape/cible</w:t>
            </w:r>
          </w:p>
        </w:tc>
        <w:tc>
          <w:tcPr>
            <w:tcW w:w="13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936BD2" w14:textId="77777777" w:rsidR="00A345F4" w:rsidRDefault="005E2D4E">
            <w:pPr>
              <w:pStyle w:val="P68B1DB1-Normal13"/>
              <w:spacing w:after="0" w:line="240" w:lineRule="auto"/>
              <w:jc w:val="center"/>
              <w:rPr>
                <w:rFonts w:eastAsia="Times New Roman"/>
                <w:noProof/>
              </w:rPr>
            </w:pPr>
            <w:r>
              <w:rPr>
                <w:noProof/>
              </w:rPr>
              <w:t>Nom</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5AB911" w14:textId="14EFBFC2" w:rsidR="00A345F4" w:rsidRDefault="005E2D4E">
            <w:pPr>
              <w:pStyle w:val="P68B1DB1-Normal14"/>
              <w:spacing w:after="0" w:line="240" w:lineRule="auto"/>
              <w:jc w:val="center"/>
              <w:rPr>
                <w:rFonts w:eastAsia="Times New Roman"/>
                <w:b/>
                <w:noProof/>
              </w:rPr>
            </w:pPr>
            <w:r>
              <w:rPr>
                <w:b/>
                <w:noProof/>
              </w:rPr>
              <w:t>Indicateurs qualitatifs</w:t>
            </w:r>
            <w:r>
              <w:rPr>
                <w:noProof/>
              </w:rPr>
              <w:t xml:space="preserve"> </w:t>
            </w:r>
            <w:r>
              <w:rPr>
                <w:noProof/>
              </w:rPr>
              <w:br/>
            </w:r>
            <w:r>
              <w:rPr>
                <w:b/>
                <w:noProof/>
              </w:rPr>
              <w:t>(pour les jalons)</w:t>
            </w:r>
          </w:p>
        </w:tc>
        <w:tc>
          <w:tcPr>
            <w:tcW w:w="339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87A99E5" w14:textId="77777777" w:rsidR="00A345F4" w:rsidRDefault="005E2D4E">
            <w:pPr>
              <w:pStyle w:val="P68B1DB1-Normal13"/>
              <w:spacing w:after="0" w:line="240" w:lineRule="auto"/>
              <w:jc w:val="center"/>
              <w:rPr>
                <w:rFonts w:eastAsia="Times New Roman"/>
                <w:noProof/>
              </w:rPr>
            </w:pPr>
            <w:r>
              <w:rPr>
                <w:noProof/>
              </w:rPr>
              <w:t>Indicateurs quantitatifs (pour les objectifs)</w:t>
            </w:r>
          </w:p>
        </w:tc>
        <w:tc>
          <w:tcPr>
            <w:tcW w:w="1984" w:type="dxa"/>
            <w:gridSpan w:val="2"/>
            <w:tcBorders>
              <w:top w:val="single" w:sz="4" w:space="0" w:color="auto"/>
              <w:left w:val="nil"/>
              <w:bottom w:val="single" w:sz="4" w:space="0" w:color="auto"/>
              <w:right w:val="single" w:sz="4" w:space="0" w:color="auto"/>
            </w:tcBorders>
            <w:shd w:val="clear" w:color="auto" w:fill="BDD7EE"/>
            <w:vAlign w:val="center"/>
          </w:tcPr>
          <w:p w14:paraId="486602A8" w14:textId="215761E6" w:rsidR="00A345F4" w:rsidRDefault="005E2D4E">
            <w:pPr>
              <w:pStyle w:val="P68B1DB1-Normal13"/>
              <w:spacing w:after="0" w:line="240" w:lineRule="auto"/>
              <w:jc w:val="center"/>
              <w:rPr>
                <w:rFonts w:eastAsia="Times New Roman"/>
                <w:noProof/>
              </w:rPr>
            </w:pPr>
            <w:r>
              <w:rPr>
                <w:noProof/>
              </w:rPr>
              <w:t>Calendrier indicatif d'achèvement</w:t>
            </w:r>
          </w:p>
        </w:tc>
        <w:tc>
          <w:tcPr>
            <w:tcW w:w="35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C80AFA4"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21D62A61" w14:textId="77777777" w:rsidTr="007D4A21">
        <w:trPr>
          <w:trHeight w:val="457"/>
          <w:tblHeader/>
          <w:jc w:val="center"/>
        </w:trPr>
        <w:tc>
          <w:tcPr>
            <w:tcW w:w="834" w:type="dxa"/>
            <w:gridSpan w:val="2"/>
            <w:vMerge/>
            <w:tcBorders>
              <w:top w:val="single" w:sz="4" w:space="0" w:color="auto"/>
              <w:left w:val="single" w:sz="4" w:space="0" w:color="auto"/>
              <w:bottom w:val="single" w:sz="4" w:space="0" w:color="auto"/>
              <w:right w:val="single" w:sz="4" w:space="0" w:color="auto"/>
            </w:tcBorders>
            <w:hideMark/>
          </w:tcPr>
          <w:p w14:paraId="636E7C1C"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573" w:type="dxa"/>
            <w:vMerge/>
            <w:tcBorders>
              <w:top w:val="single" w:sz="4" w:space="0" w:color="auto"/>
              <w:left w:val="single" w:sz="4" w:space="0" w:color="auto"/>
              <w:bottom w:val="single" w:sz="4" w:space="0" w:color="auto"/>
              <w:right w:val="single" w:sz="4" w:space="0" w:color="auto"/>
            </w:tcBorders>
            <w:hideMark/>
          </w:tcPr>
          <w:p w14:paraId="209C2952"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320" w:type="dxa"/>
            <w:vMerge/>
            <w:tcBorders>
              <w:top w:val="single" w:sz="4" w:space="0" w:color="auto"/>
              <w:left w:val="single" w:sz="4" w:space="0" w:color="auto"/>
              <w:bottom w:val="single" w:sz="4" w:space="0" w:color="auto"/>
              <w:right w:val="single" w:sz="4" w:space="0" w:color="auto"/>
            </w:tcBorders>
            <w:hideMark/>
          </w:tcPr>
          <w:p w14:paraId="21E9FEE4"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309" w:type="dxa"/>
            <w:vMerge/>
            <w:tcBorders>
              <w:top w:val="single" w:sz="4" w:space="0" w:color="auto"/>
              <w:left w:val="single" w:sz="4" w:space="0" w:color="auto"/>
              <w:bottom w:val="single" w:sz="4" w:space="0" w:color="auto"/>
              <w:right w:val="single" w:sz="4" w:space="0" w:color="auto"/>
            </w:tcBorders>
            <w:hideMark/>
          </w:tcPr>
          <w:p w14:paraId="28E42AF9"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625" w:type="dxa"/>
            <w:vMerge/>
            <w:tcBorders>
              <w:top w:val="single" w:sz="4" w:space="0" w:color="auto"/>
              <w:left w:val="single" w:sz="4" w:space="0" w:color="auto"/>
              <w:bottom w:val="single" w:sz="4" w:space="0" w:color="auto"/>
              <w:right w:val="single" w:sz="4" w:space="0" w:color="auto"/>
            </w:tcBorders>
            <w:hideMark/>
          </w:tcPr>
          <w:p w14:paraId="54516A7F"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087" w:type="dxa"/>
            <w:tcBorders>
              <w:top w:val="nil"/>
              <w:left w:val="single" w:sz="4" w:space="0" w:color="auto"/>
              <w:bottom w:val="nil"/>
              <w:right w:val="single" w:sz="4" w:space="0" w:color="auto"/>
            </w:tcBorders>
            <w:shd w:val="clear" w:color="auto" w:fill="BDD7EE"/>
            <w:vAlign w:val="center"/>
            <w:hideMark/>
          </w:tcPr>
          <w:p w14:paraId="1BDC3438" w14:textId="1E63043D" w:rsidR="00A345F4" w:rsidRDefault="005E2D4E">
            <w:pPr>
              <w:pStyle w:val="P68B1DB1-Normal13"/>
              <w:spacing w:after="0" w:line="240" w:lineRule="auto"/>
              <w:jc w:val="center"/>
              <w:rPr>
                <w:rFonts w:eastAsia="Times New Roman"/>
                <w:noProof/>
              </w:rPr>
            </w:pPr>
            <w:r>
              <w:rPr>
                <w:noProof/>
              </w:rPr>
              <w:t>Unité de mesure</w:t>
            </w:r>
          </w:p>
        </w:tc>
        <w:tc>
          <w:tcPr>
            <w:tcW w:w="1357" w:type="dxa"/>
            <w:tcBorders>
              <w:top w:val="nil"/>
              <w:left w:val="nil"/>
              <w:bottom w:val="nil"/>
              <w:right w:val="single" w:sz="4" w:space="0" w:color="auto"/>
            </w:tcBorders>
            <w:shd w:val="clear" w:color="auto" w:fill="BDD7EE"/>
            <w:vAlign w:val="center"/>
            <w:hideMark/>
          </w:tcPr>
          <w:p w14:paraId="69CC1BE3" w14:textId="77777777" w:rsidR="00A345F4" w:rsidRDefault="005E2D4E">
            <w:pPr>
              <w:pStyle w:val="P68B1DB1-Normal13"/>
              <w:spacing w:after="0" w:line="240" w:lineRule="auto"/>
              <w:jc w:val="center"/>
              <w:rPr>
                <w:rFonts w:eastAsia="Times New Roman"/>
                <w:noProof/>
              </w:rPr>
            </w:pPr>
            <w:r>
              <w:rPr>
                <w:noProof/>
              </w:rPr>
              <w:t xml:space="preserve">Données de référence </w:t>
            </w:r>
          </w:p>
        </w:tc>
        <w:tc>
          <w:tcPr>
            <w:tcW w:w="955" w:type="dxa"/>
            <w:tcBorders>
              <w:top w:val="nil"/>
              <w:left w:val="nil"/>
              <w:bottom w:val="nil"/>
              <w:right w:val="single" w:sz="4" w:space="0" w:color="auto"/>
            </w:tcBorders>
            <w:shd w:val="clear" w:color="auto" w:fill="BDD7EE"/>
            <w:vAlign w:val="center"/>
            <w:hideMark/>
          </w:tcPr>
          <w:p w14:paraId="5656C19C" w14:textId="77777777" w:rsidR="00A345F4" w:rsidRDefault="005E2D4E">
            <w:pPr>
              <w:pStyle w:val="P68B1DB1-Normal13"/>
              <w:spacing w:after="0" w:line="240" w:lineRule="auto"/>
              <w:jc w:val="center"/>
              <w:rPr>
                <w:rFonts w:eastAsia="Times New Roman"/>
                <w:noProof/>
              </w:rPr>
            </w:pPr>
            <w:r>
              <w:rPr>
                <w:noProof/>
              </w:rPr>
              <w:t xml:space="preserve">Objectif </w:t>
            </w:r>
          </w:p>
        </w:tc>
        <w:tc>
          <w:tcPr>
            <w:tcW w:w="1134" w:type="dxa"/>
            <w:tcBorders>
              <w:top w:val="nil"/>
              <w:left w:val="nil"/>
              <w:bottom w:val="nil"/>
              <w:right w:val="single" w:sz="4" w:space="0" w:color="auto"/>
            </w:tcBorders>
            <w:shd w:val="clear" w:color="auto" w:fill="BDD7EE"/>
            <w:vAlign w:val="center"/>
            <w:hideMark/>
          </w:tcPr>
          <w:p w14:paraId="594E57F6" w14:textId="77777777" w:rsidR="00A345F4" w:rsidRDefault="005E2D4E">
            <w:pPr>
              <w:pStyle w:val="P68B1DB1-Normal13"/>
              <w:spacing w:after="0" w:line="240" w:lineRule="auto"/>
              <w:jc w:val="center"/>
              <w:rPr>
                <w:rFonts w:eastAsia="Times New Roman"/>
                <w:noProof/>
              </w:rPr>
            </w:pPr>
            <w:r>
              <w:rPr>
                <w:noProof/>
              </w:rPr>
              <w:t>Trimestre</w:t>
            </w:r>
          </w:p>
        </w:tc>
        <w:tc>
          <w:tcPr>
            <w:tcW w:w="850" w:type="dxa"/>
            <w:tcBorders>
              <w:top w:val="nil"/>
              <w:left w:val="nil"/>
              <w:bottom w:val="nil"/>
              <w:right w:val="single" w:sz="4" w:space="0" w:color="auto"/>
            </w:tcBorders>
            <w:shd w:val="clear" w:color="auto" w:fill="BDD7EE"/>
            <w:vAlign w:val="center"/>
            <w:hideMark/>
          </w:tcPr>
          <w:p w14:paraId="2D914D7D" w14:textId="77777777" w:rsidR="00A345F4" w:rsidRDefault="005E2D4E">
            <w:pPr>
              <w:pStyle w:val="P68B1DB1-Normal13"/>
              <w:spacing w:after="0" w:line="240" w:lineRule="auto"/>
              <w:jc w:val="center"/>
              <w:rPr>
                <w:rFonts w:eastAsia="Times New Roman"/>
                <w:noProof/>
              </w:rPr>
            </w:pPr>
            <w:r>
              <w:rPr>
                <w:noProof/>
              </w:rPr>
              <w:t>Année</w:t>
            </w:r>
          </w:p>
        </w:tc>
        <w:tc>
          <w:tcPr>
            <w:tcW w:w="3500" w:type="dxa"/>
            <w:vMerge/>
            <w:tcBorders>
              <w:top w:val="single" w:sz="4" w:space="0" w:color="auto"/>
              <w:bottom w:val="single" w:sz="4" w:space="0" w:color="auto"/>
              <w:right w:val="single" w:sz="4" w:space="0" w:color="auto"/>
            </w:tcBorders>
            <w:hideMark/>
          </w:tcPr>
          <w:p w14:paraId="3A567513"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744CFAF2" w14:textId="77777777" w:rsidTr="007D4A21">
        <w:tblPrEx>
          <w:tblCellMar>
            <w:left w:w="28" w:type="dxa"/>
            <w:right w:w="28" w:type="dxa"/>
          </w:tblCellMar>
        </w:tblPrEx>
        <w:trPr>
          <w:trHeight w:val="309"/>
          <w:jc w:val="center"/>
        </w:trPr>
        <w:tc>
          <w:tcPr>
            <w:tcW w:w="834" w:type="dxa"/>
            <w:gridSpan w:val="2"/>
            <w:tcBorders>
              <w:top w:val="single" w:sz="4" w:space="0" w:color="auto"/>
              <w:left w:val="single" w:sz="4" w:space="0" w:color="auto"/>
              <w:bottom w:val="single" w:sz="4" w:space="0" w:color="auto"/>
              <w:right w:val="single" w:sz="4" w:space="0" w:color="auto"/>
            </w:tcBorders>
            <w:shd w:val="clear" w:color="auto" w:fill="C6EFCE"/>
            <w:noWrap/>
            <w:hideMark/>
          </w:tcPr>
          <w:p w14:paraId="302481DD" w14:textId="77777777" w:rsidR="00A345F4" w:rsidRDefault="005E2D4E">
            <w:pPr>
              <w:pStyle w:val="P68B1DB1-Normal14"/>
              <w:spacing w:after="0" w:line="240" w:lineRule="auto"/>
              <w:jc w:val="center"/>
              <w:rPr>
                <w:rFonts w:eastAsia="Times New Roman"/>
                <w:noProof/>
              </w:rPr>
            </w:pPr>
            <w:r>
              <w:rPr>
                <w:noProof/>
              </w:rPr>
              <w:t>43</w:t>
            </w:r>
          </w:p>
        </w:tc>
        <w:tc>
          <w:tcPr>
            <w:tcW w:w="1573" w:type="dxa"/>
            <w:tcBorders>
              <w:top w:val="single" w:sz="4" w:space="0" w:color="auto"/>
              <w:left w:val="nil"/>
              <w:bottom w:val="single" w:sz="4" w:space="0" w:color="auto"/>
              <w:right w:val="single" w:sz="4" w:space="0" w:color="auto"/>
            </w:tcBorders>
            <w:shd w:val="clear" w:color="auto" w:fill="C6EFCE"/>
            <w:noWrap/>
            <w:hideMark/>
          </w:tcPr>
          <w:p w14:paraId="0396BEBA" w14:textId="77777777" w:rsidR="00A345F4" w:rsidRDefault="005E2D4E">
            <w:pPr>
              <w:pStyle w:val="P68B1DB1-Normal14"/>
              <w:spacing w:after="0" w:line="240" w:lineRule="auto"/>
              <w:jc w:val="both"/>
              <w:rPr>
                <w:rFonts w:eastAsia="Times New Roman"/>
                <w:noProof/>
              </w:rPr>
            </w:pPr>
            <w:r>
              <w:rPr>
                <w:noProof/>
              </w:rPr>
              <w:t>Réforme 1 Soutien à la gouvernance de la gestion des déchets pour accélérer la transition vers l’économie circulaire</w:t>
            </w:r>
          </w:p>
        </w:tc>
        <w:tc>
          <w:tcPr>
            <w:tcW w:w="1320" w:type="dxa"/>
            <w:tcBorders>
              <w:top w:val="single" w:sz="4" w:space="0" w:color="auto"/>
              <w:left w:val="nil"/>
              <w:bottom w:val="single" w:sz="4" w:space="0" w:color="auto"/>
              <w:right w:val="single" w:sz="4" w:space="0" w:color="auto"/>
            </w:tcBorders>
            <w:shd w:val="clear" w:color="auto" w:fill="C6EFCE"/>
            <w:noWrap/>
            <w:hideMark/>
          </w:tcPr>
          <w:p w14:paraId="491F84F7" w14:textId="77777777" w:rsidR="00A345F4" w:rsidRDefault="005E2D4E">
            <w:pPr>
              <w:pStyle w:val="P68B1DB1-Normal14"/>
              <w:spacing w:after="0" w:line="240" w:lineRule="auto"/>
              <w:jc w:val="center"/>
              <w:rPr>
                <w:rFonts w:eastAsia="Times New Roman"/>
                <w:noProof/>
              </w:rPr>
            </w:pPr>
            <w:r>
              <w:rPr>
                <w:noProof/>
              </w:rPr>
              <w:t>Étape</w:t>
            </w:r>
          </w:p>
        </w:tc>
        <w:tc>
          <w:tcPr>
            <w:tcW w:w="1309" w:type="dxa"/>
            <w:tcBorders>
              <w:top w:val="single" w:sz="4" w:space="0" w:color="auto"/>
              <w:left w:val="nil"/>
              <w:bottom w:val="single" w:sz="4" w:space="0" w:color="auto"/>
              <w:right w:val="single" w:sz="4" w:space="0" w:color="auto"/>
            </w:tcBorders>
            <w:shd w:val="clear" w:color="auto" w:fill="C6EFCE"/>
            <w:noWrap/>
            <w:hideMark/>
          </w:tcPr>
          <w:p w14:paraId="593CD5B0" w14:textId="77777777" w:rsidR="00A345F4" w:rsidRDefault="005E2D4E">
            <w:pPr>
              <w:pStyle w:val="P68B1DB1-Normal14"/>
              <w:spacing w:after="0" w:line="240" w:lineRule="auto"/>
              <w:jc w:val="both"/>
              <w:rPr>
                <w:rFonts w:eastAsia="Times New Roman"/>
                <w:noProof/>
              </w:rPr>
            </w:pPr>
            <w:r>
              <w:rPr>
                <w:noProof/>
              </w:rPr>
              <w:t>L’adoption de la stratégie nationale en faveur de l’économie circulaire</w:t>
            </w:r>
          </w:p>
        </w:tc>
        <w:tc>
          <w:tcPr>
            <w:tcW w:w="1625" w:type="dxa"/>
            <w:tcBorders>
              <w:top w:val="single" w:sz="4" w:space="0" w:color="auto"/>
              <w:left w:val="nil"/>
              <w:bottom w:val="single" w:sz="4" w:space="0" w:color="auto"/>
              <w:right w:val="single" w:sz="4" w:space="0" w:color="auto"/>
            </w:tcBorders>
            <w:shd w:val="clear" w:color="auto" w:fill="C6EFCE"/>
            <w:noWrap/>
            <w:hideMark/>
          </w:tcPr>
          <w:p w14:paraId="0DDEB89A" w14:textId="77777777" w:rsidR="00A345F4" w:rsidRDefault="005E2D4E">
            <w:pPr>
              <w:pStyle w:val="P68B1DB1-Normal14"/>
              <w:spacing w:after="0" w:line="240" w:lineRule="auto"/>
              <w:jc w:val="both"/>
              <w:rPr>
                <w:rFonts w:eastAsia="Times New Roman"/>
                <w:noProof/>
              </w:rPr>
            </w:pPr>
            <w:r>
              <w:rPr>
                <w:noProof/>
              </w:rPr>
              <w:t>Adoption de la stratégie nationale en faveur de l’économie circulaire par décision du gouvernement</w:t>
            </w:r>
          </w:p>
        </w:tc>
        <w:tc>
          <w:tcPr>
            <w:tcW w:w="1087" w:type="dxa"/>
            <w:tcBorders>
              <w:top w:val="single" w:sz="4" w:space="0" w:color="auto"/>
              <w:left w:val="nil"/>
              <w:bottom w:val="single" w:sz="4" w:space="0" w:color="auto"/>
              <w:right w:val="single" w:sz="4" w:space="0" w:color="auto"/>
            </w:tcBorders>
            <w:shd w:val="clear" w:color="auto" w:fill="C6EFCE"/>
            <w:noWrap/>
          </w:tcPr>
          <w:p w14:paraId="345CA27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57" w:type="dxa"/>
            <w:tcBorders>
              <w:top w:val="single" w:sz="4" w:space="0" w:color="auto"/>
              <w:left w:val="nil"/>
              <w:bottom w:val="single" w:sz="4" w:space="0" w:color="auto"/>
              <w:right w:val="single" w:sz="4" w:space="0" w:color="auto"/>
            </w:tcBorders>
            <w:shd w:val="clear" w:color="auto" w:fill="C6EFCE"/>
            <w:noWrap/>
          </w:tcPr>
          <w:p w14:paraId="60D29E9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55" w:type="dxa"/>
            <w:tcBorders>
              <w:top w:val="single" w:sz="4" w:space="0" w:color="auto"/>
              <w:left w:val="nil"/>
              <w:bottom w:val="single" w:sz="4" w:space="0" w:color="auto"/>
              <w:right w:val="single" w:sz="4" w:space="0" w:color="auto"/>
            </w:tcBorders>
            <w:shd w:val="clear" w:color="auto" w:fill="C6EFCE"/>
            <w:noWrap/>
          </w:tcPr>
          <w:p w14:paraId="0B1B6A3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hideMark/>
          </w:tcPr>
          <w:p w14:paraId="35C59106" w14:textId="77777777" w:rsidR="00A345F4" w:rsidRDefault="005E2D4E">
            <w:pPr>
              <w:pStyle w:val="P68B1DB1-Normal14"/>
              <w:spacing w:after="0" w:line="240" w:lineRule="auto"/>
              <w:jc w:val="both"/>
              <w:rPr>
                <w:rFonts w:eastAsia="Times New Roman"/>
                <w:noProof/>
              </w:rPr>
            </w:pPr>
            <w:r>
              <w:rPr>
                <w:noProof/>
              </w:rPr>
              <w:t>T3</w:t>
            </w:r>
          </w:p>
        </w:tc>
        <w:tc>
          <w:tcPr>
            <w:tcW w:w="850" w:type="dxa"/>
            <w:tcBorders>
              <w:top w:val="single" w:sz="4" w:space="0" w:color="auto"/>
              <w:left w:val="nil"/>
              <w:bottom w:val="single" w:sz="4" w:space="0" w:color="auto"/>
              <w:right w:val="single" w:sz="4" w:space="0" w:color="auto"/>
            </w:tcBorders>
            <w:shd w:val="clear" w:color="auto" w:fill="C6EFCE"/>
            <w:noWrap/>
            <w:hideMark/>
          </w:tcPr>
          <w:p w14:paraId="775967FF" w14:textId="77777777" w:rsidR="00A345F4" w:rsidRDefault="005E2D4E">
            <w:pPr>
              <w:pStyle w:val="P68B1DB1-Normal14"/>
              <w:spacing w:after="0" w:line="240" w:lineRule="auto"/>
              <w:jc w:val="both"/>
              <w:rPr>
                <w:rFonts w:eastAsia="Times New Roman"/>
                <w:noProof/>
              </w:rPr>
            </w:pPr>
            <w:r>
              <w:rPr>
                <w:noProof/>
              </w:rPr>
              <w:t>2022</w:t>
            </w:r>
          </w:p>
        </w:tc>
        <w:tc>
          <w:tcPr>
            <w:tcW w:w="3500" w:type="dxa"/>
            <w:tcBorders>
              <w:top w:val="single" w:sz="4" w:space="0" w:color="auto"/>
              <w:left w:val="nil"/>
              <w:bottom w:val="single" w:sz="4" w:space="0" w:color="auto"/>
              <w:right w:val="single" w:sz="4" w:space="0" w:color="auto"/>
            </w:tcBorders>
            <w:shd w:val="clear" w:color="auto" w:fill="C6EFCE"/>
            <w:noWrap/>
          </w:tcPr>
          <w:p w14:paraId="3BF79327" w14:textId="77777777" w:rsidR="00A345F4" w:rsidRDefault="005E2D4E">
            <w:pPr>
              <w:pStyle w:val="P68B1DB1-Normal14"/>
              <w:spacing w:after="0" w:line="240" w:lineRule="auto"/>
              <w:jc w:val="both"/>
              <w:rPr>
                <w:noProof/>
              </w:rPr>
            </w:pPr>
            <w:r>
              <w:rPr>
                <w:noProof/>
              </w:rPr>
              <w:t>Adoption de la stratégie nationale en faveur de l’économie circulaire, qui se fonde sur les recommandations du projet d’instrument d’appui technique en cours.</w:t>
            </w:r>
          </w:p>
          <w:p w14:paraId="23D52034" w14:textId="77777777" w:rsidR="00A345F4" w:rsidRDefault="005E2D4E">
            <w:pPr>
              <w:pStyle w:val="P68B1DB1-Normal14"/>
              <w:spacing w:after="0" w:line="240" w:lineRule="auto"/>
              <w:jc w:val="both"/>
              <w:rPr>
                <w:noProof/>
              </w:rPr>
            </w:pPr>
            <w:r>
              <w:rPr>
                <w:noProof/>
              </w:rPr>
              <w:t>La stratégie fixe des règles pour l’ensemble du cycle de vie des produits et définit les éléments clés suivants:</w:t>
            </w:r>
          </w:p>
          <w:p w14:paraId="424126FC" w14:textId="77777777" w:rsidR="00A345F4" w:rsidRDefault="005E2D4E">
            <w:pPr>
              <w:pStyle w:val="P68B1DB1-Normal14"/>
              <w:numPr>
                <w:ilvl w:val="0"/>
                <w:numId w:val="6"/>
              </w:numPr>
              <w:spacing w:after="0" w:line="240" w:lineRule="auto"/>
              <w:ind w:left="165" w:hanging="141"/>
              <w:contextualSpacing/>
              <w:jc w:val="both"/>
              <w:rPr>
                <w:noProof/>
              </w:rPr>
            </w:pPr>
            <w:r>
              <w:rPr>
                <w:noProof/>
              </w:rPr>
              <w:t>les méthodes et outils réglementaires, financiers et de gestion de l’information pour soutenir les initiatives circulaires;</w:t>
            </w:r>
          </w:p>
          <w:p w14:paraId="58815EF2" w14:textId="77777777" w:rsidR="00A345F4" w:rsidRDefault="005E2D4E">
            <w:pPr>
              <w:pStyle w:val="P68B1DB1-Normal14"/>
              <w:numPr>
                <w:ilvl w:val="0"/>
                <w:numId w:val="6"/>
              </w:numPr>
              <w:spacing w:after="0" w:line="240" w:lineRule="auto"/>
              <w:ind w:left="165" w:hanging="141"/>
              <w:contextualSpacing/>
              <w:jc w:val="both"/>
              <w:rPr>
                <w:noProof/>
              </w:rPr>
            </w:pPr>
            <w:r>
              <w:rPr>
                <w:noProof/>
              </w:rPr>
              <w:t>l'identification des secteurs à couvrir;</w:t>
            </w:r>
          </w:p>
          <w:p w14:paraId="76245C1A" w14:textId="77777777" w:rsidR="00A345F4" w:rsidRDefault="005E2D4E">
            <w:pPr>
              <w:pStyle w:val="P68B1DB1-Normal14"/>
              <w:numPr>
                <w:ilvl w:val="0"/>
                <w:numId w:val="6"/>
              </w:numPr>
              <w:spacing w:after="0" w:line="240" w:lineRule="auto"/>
              <w:ind w:left="165" w:hanging="141"/>
              <w:contextualSpacing/>
              <w:jc w:val="both"/>
              <w:rPr>
                <w:noProof/>
              </w:rPr>
            </w:pPr>
            <w:r>
              <w:rPr>
                <w:noProof/>
              </w:rPr>
              <w:t>la révision des incitations environnementales et économiques en faveur des déchets afin de rendre le recyclage plus pratique que la mise en décharge et l'incinération;</w:t>
            </w:r>
          </w:p>
          <w:p w14:paraId="6BEE4AC0" w14:textId="77777777" w:rsidR="00A345F4" w:rsidRDefault="005E2D4E">
            <w:pPr>
              <w:pStyle w:val="P68B1DB1-Normal14"/>
              <w:numPr>
                <w:ilvl w:val="0"/>
                <w:numId w:val="6"/>
              </w:numPr>
              <w:spacing w:after="0" w:line="240" w:lineRule="auto"/>
              <w:ind w:left="165" w:hanging="141"/>
              <w:contextualSpacing/>
              <w:jc w:val="both"/>
              <w:rPr>
                <w:noProof/>
              </w:rPr>
            </w:pPr>
            <w:r>
              <w:rPr>
                <w:noProof/>
              </w:rPr>
              <w:t>des lignes directrices pour l'utilisation des méthodes/outils financiers et de gestion dans les secteurs respectifs;</w:t>
            </w:r>
          </w:p>
          <w:p w14:paraId="2FB6AAF3" w14:textId="77777777" w:rsidR="00A345F4" w:rsidRDefault="005E2D4E">
            <w:pPr>
              <w:pStyle w:val="P68B1DB1-Normal14"/>
              <w:numPr>
                <w:ilvl w:val="0"/>
                <w:numId w:val="6"/>
              </w:numPr>
              <w:spacing w:after="0" w:line="240" w:lineRule="auto"/>
              <w:ind w:left="165" w:hanging="141"/>
              <w:contextualSpacing/>
              <w:jc w:val="both"/>
              <w:rPr>
                <w:noProof/>
              </w:rPr>
            </w:pPr>
            <w:r>
              <w:rPr>
                <w:noProof/>
              </w:rPr>
              <w:t xml:space="preserve">cadre de gouvernance pour la collaboration entre les parties prenantes (autorités, universités, secteur privé, secteur à but non lucratif et citoyens). </w:t>
            </w:r>
          </w:p>
          <w:p w14:paraId="0DC90838" w14:textId="77777777" w:rsidR="00A345F4" w:rsidRDefault="005E2D4E">
            <w:pPr>
              <w:pStyle w:val="P68B1DB1-Normal14"/>
              <w:spacing w:after="0" w:line="240" w:lineRule="auto"/>
              <w:jc w:val="both"/>
              <w:rPr>
                <w:rFonts w:eastAsia="Times New Roman"/>
                <w:noProof/>
              </w:rPr>
            </w:pPr>
            <w:r>
              <w:rPr>
                <w:noProof/>
              </w:rPr>
              <w:t>La stratégie nationale en faveur de l’économie circulaire contribue efficacement à la réalisation des objectifs de l’Union en matière de recyclage des déchets, en particulier en ce qui concerne le recyclage des déchets municipaux et la réduction des taux élevés de mise en décharge.</w:t>
            </w:r>
          </w:p>
        </w:tc>
      </w:tr>
      <w:tr w:rsidR="00A345F4" w14:paraId="236C4C79" w14:textId="77777777" w:rsidTr="007D4A21">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4844155E" w14:textId="77777777" w:rsidR="00A345F4" w:rsidRDefault="005E2D4E">
            <w:pPr>
              <w:pStyle w:val="P68B1DB1-Normal14"/>
              <w:spacing w:after="0" w:line="240" w:lineRule="auto"/>
              <w:jc w:val="both"/>
              <w:rPr>
                <w:rFonts w:eastAsia="Times New Roman"/>
                <w:noProof/>
              </w:rPr>
            </w:pPr>
            <w:r>
              <w:rPr>
                <w:noProof/>
              </w:rPr>
              <w:t>45</w:t>
            </w:r>
          </w:p>
        </w:tc>
        <w:tc>
          <w:tcPr>
            <w:tcW w:w="1573" w:type="dxa"/>
            <w:tcBorders>
              <w:top w:val="nil"/>
              <w:left w:val="nil"/>
              <w:bottom w:val="single" w:sz="4" w:space="0" w:color="auto"/>
              <w:right w:val="single" w:sz="4" w:space="0" w:color="auto"/>
            </w:tcBorders>
            <w:shd w:val="clear" w:color="auto" w:fill="C6EFCE"/>
            <w:noWrap/>
            <w:hideMark/>
          </w:tcPr>
          <w:p w14:paraId="76F48FEF" w14:textId="122DF071" w:rsidR="00A345F4" w:rsidRDefault="005E2D4E">
            <w:pPr>
              <w:pStyle w:val="P68B1DB1-Normal14"/>
              <w:spacing w:after="0" w:line="240" w:lineRule="auto"/>
              <w:jc w:val="both"/>
              <w:rPr>
                <w:rFonts w:eastAsia="Times New Roman"/>
                <w:noProof/>
              </w:rPr>
            </w:pPr>
            <w:r>
              <w:rPr>
                <w:noProof/>
              </w:rPr>
              <w:t>Réforme 1 Soutien à la gouvernance de la gestion des déchets pour accélérer la transition vers l’économie circulaire</w:t>
            </w:r>
          </w:p>
        </w:tc>
        <w:tc>
          <w:tcPr>
            <w:tcW w:w="1320" w:type="dxa"/>
            <w:tcBorders>
              <w:top w:val="nil"/>
              <w:left w:val="nil"/>
              <w:bottom w:val="single" w:sz="4" w:space="0" w:color="auto"/>
              <w:right w:val="single" w:sz="4" w:space="0" w:color="auto"/>
            </w:tcBorders>
            <w:shd w:val="clear" w:color="auto" w:fill="C6EFCE"/>
            <w:noWrap/>
            <w:hideMark/>
          </w:tcPr>
          <w:p w14:paraId="1F42CD65" w14:textId="77777777" w:rsidR="00A345F4" w:rsidRDefault="005E2D4E">
            <w:pPr>
              <w:pStyle w:val="P68B1DB1-Normal14"/>
              <w:spacing w:after="0" w:line="240" w:lineRule="auto"/>
              <w:jc w:val="center"/>
              <w:rPr>
                <w:rFonts w:eastAsia="Times New Roman"/>
                <w:noProof/>
              </w:rPr>
            </w:pPr>
            <w:r>
              <w:rPr>
                <w:noProof/>
              </w:rPr>
              <w:t>Étape</w:t>
            </w:r>
          </w:p>
        </w:tc>
        <w:tc>
          <w:tcPr>
            <w:tcW w:w="1309" w:type="dxa"/>
            <w:tcBorders>
              <w:top w:val="nil"/>
              <w:left w:val="nil"/>
              <w:bottom w:val="single" w:sz="4" w:space="0" w:color="auto"/>
              <w:right w:val="single" w:sz="4" w:space="0" w:color="auto"/>
            </w:tcBorders>
            <w:shd w:val="clear" w:color="auto" w:fill="C6EFCE"/>
            <w:noWrap/>
            <w:hideMark/>
          </w:tcPr>
          <w:p w14:paraId="60CE620C" w14:textId="77777777" w:rsidR="00A345F4" w:rsidRDefault="005E2D4E">
            <w:pPr>
              <w:pStyle w:val="P68B1DB1-Normal14"/>
              <w:spacing w:after="0" w:line="240" w:lineRule="auto"/>
              <w:jc w:val="both"/>
              <w:rPr>
                <w:rFonts w:eastAsia="Times New Roman"/>
                <w:noProof/>
              </w:rPr>
            </w:pPr>
            <w:r>
              <w:rPr>
                <w:noProof/>
              </w:rPr>
              <w:t xml:space="preserve">Approbation du plan d’action pour la stratégie nationale en faveur de l’économie circulaire et exécution des actions spécifiques qui y figurent. </w:t>
            </w:r>
          </w:p>
        </w:tc>
        <w:tc>
          <w:tcPr>
            <w:tcW w:w="1625" w:type="dxa"/>
            <w:tcBorders>
              <w:top w:val="single" w:sz="4" w:space="0" w:color="auto"/>
              <w:left w:val="single" w:sz="4" w:space="0" w:color="auto"/>
              <w:bottom w:val="single" w:sz="4" w:space="0" w:color="auto"/>
              <w:right w:val="single" w:sz="4" w:space="0" w:color="auto"/>
            </w:tcBorders>
            <w:shd w:val="clear" w:color="auto" w:fill="C6EFCE"/>
            <w:noWrap/>
            <w:hideMark/>
          </w:tcPr>
          <w:p w14:paraId="1C4E1B77" w14:textId="67EAF1F1" w:rsidR="00A345F4" w:rsidRDefault="005E2D4E">
            <w:pPr>
              <w:pStyle w:val="P68B1DB1-Normal14"/>
              <w:spacing w:after="0" w:line="240" w:lineRule="auto"/>
              <w:jc w:val="both"/>
              <w:rPr>
                <w:rFonts w:eastAsia="Times New Roman"/>
                <w:noProof/>
              </w:rPr>
            </w:pPr>
            <w:r>
              <w:rPr>
                <w:noProof/>
              </w:rPr>
              <w:t xml:space="preserve">Approbation du plan d’action pour la stratégie nationale en faveur de l’économie circulaire par décision du gouvernement et exécution des actions spécifiques qui y figurent. </w:t>
            </w:r>
          </w:p>
        </w:tc>
        <w:tc>
          <w:tcPr>
            <w:tcW w:w="1087" w:type="dxa"/>
            <w:tcBorders>
              <w:top w:val="single" w:sz="4" w:space="0" w:color="auto"/>
              <w:left w:val="single" w:sz="4" w:space="0" w:color="auto"/>
              <w:bottom w:val="single" w:sz="4" w:space="0" w:color="auto"/>
              <w:right w:val="single" w:sz="4" w:space="0" w:color="auto"/>
            </w:tcBorders>
            <w:shd w:val="clear" w:color="auto" w:fill="C6EFCE"/>
            <w:noWrap/>
          </w:tcPr>
          <w:p w14:paraId="7B80779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57" w:type="dxa"/>
            <w:tcBorders>
              <w:top w:val="single" w:sz="4" w:space="0" w:color="auto"/>
              <w:left w:val="single" w:sz="4" w:space="0" w:color="auto"/>
              <w:bottom w:val="single" w:sz="4" w:space="0" w:color="auto"/>
              <w:right w:val="single" w:sz="4" w:space="0" w:color="auto"/>
            </w:tcBorders>
            <w:shd w:val="clear" w:color="auto" w:fill="C6EFCE"/>
            <w:noWrap/>
          </w:tcPr>
          <w:p w14:paraId="0A7A1556"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891406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4760D083"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682C1FA8" w14:textId="77777777" w:rsidR="00A345F4" w:rsidRDefault="005E2D4E">
            <w:pPr>
              <w:pStyle w:val="P68B1DB1-Normal14"/>
              <w:spacing w:after="0" w:line="240" w:lineRule="auto"/>
              <w:jc w:val="both"/>
              <w:rPr>
                <w:rFonts w:eastAsia="Times New Roman"/>
                <w:noProof/>
              </w:rPr>
            </w:pPr>
            <w:r>
              <w:rPr>
                <w:noProof/>
              </w:rPr>
              <w:t>2026</w:t>
            </w:r>
          </w:p>
        </w:tc>
        <w:tc>
          <w:tcPr>
            <w:tcW w:w="3500" w:type="dxa"/>
            <w:tcBorders>
              <w:top w:val="single" w:sz="4" w:space="0" w:color="auto"/>
              <w:left w:val="single" w:sz="4" w:space="0" w:color="auto"/>
              <w:bottom w:val="single" w:sz="4" w:space="0" w:color="auto"/>
              <w:right w:val="single" w:sz="4" w:space="0" w:color="auto"/>
            </w:tcBorders>
            <w:shd w:val="clear" w:color="auto" w:fill="C6EFCE"/>
            <w:noWrap/>
          </w:tcPr>
          <w:p w14:paraId="7FC769B6" w14:textId="3CE6F1EF" w:rsidR="00A345F4" w:rsidRDefault="005E2D4E">
            <w:pPr>
              <w:pStyle w:val="P68B1DB1-Normal14"/>
              <w:spacing w:after="0" w:line="240" w:lineRule="auto"/>
              <w:jc w:val="both"/>
              <w:rPr>
                <w:rFonts w:eastAsia="Times New Roman"/>
                <w:noProof/>
              </w:rPr>
            </w:pPr>
            <w:r>
              <w:rPr>
                <w:noProof/>
              </w:rPr>
              <w:t>Le plan d’action définit les étapes clés de la stratégie en faveur de l’économie circulaire, les autorités responsables et le calendrier des actions recensées. Le plan comprend un système de suivi et des outils correcteurs pour garantir la réalisation des actions clés prévues. Les actions suivantes figurant dans le plan d’action approuvé pour la stratégie nationale en faveur de l’économie circulaire attribué aux pouvoirs publics ont été mises en œuvre:</w:t>
            </w:r>
          </w:p>
          <w:p w14:paraId="202F6AB9" w14:textId="537BBB82" w:rsidR="00A345F4" w:rsidRDefault="005E2D4E">
            <w:pPr>
              <w:pStyle w:val="P68B1DB1-Normal14"/>
              <w:spacing w:after="0" w:line="240" w:lineRule="auto"/>
              <w:jc w:val="both"/>
              <w:rPr>
                <w:rFonts w:eastAsia="Times New Roman"/>
                <w:noProof/>
              </w:rPr>
            </w:pPr>
            <w:r>
              <w:rPr>
                <w:noProof/>
              </w:rPr>
              <w:t>Action 15: Étude visant à identifier les mesures qui peuvent inclure, sans s'y limiter, des exigences techniques, la responsabilité du producteur, des instruments économiques ou des accords volontaires visant à soutenir l'augmentation de la collecte séparée des huiles usagées. (Studiu</w:t>
            </w:r>
            <w:r>
              <w:rPr>
                <w:i/>
                <w:noProof/>
              </w:rPr>
              <w:t xml:space="preserve"> pentru identificarea măsurilor, cum ar fi cerințe tehnice, responsabilitatea producătorilor, instrumente economice sau acorduri voluntare pentru creșterea gradului de colectare separată a uleiurilor uzate.)</w:t>
            </w:r>
            <w:r>
              <w:rPr>
                <w:noProof/>
              </w:rPr>
              <w:t xml:space="preserve"> </w:t>
            </w:r>
          </w:p>
          <w:p w14:paraId="561DFB92" w14:textId="59BC9CC5" w:rsidR="00A345F4" w:rsidRDefault="005E2D4E">
            <w:pPr>
              <w:pStyle w:val="P68B1DB1-Normal14"/>
              <w:spacing w:after="0" w:line="240" w:lineRule="auto"/>
              <w:jc w:val="both"/>
              <w:rPr>
                <w:noProof/>
              </w:rPr>
            </w:pPr>
            <w:r>
              <w:rPr>
                <w:noProof/>
              </w:rPr>
              <w:t>Action 16. Retrait des voitures abandonnées du domaine public (Îndepărtarea</w:t>
            </w:r>
            <w:r>
              <w:rPr>
                <w:i/>
                <w:noProof/>
              </w:rPr>
              <w:t xml:space="preserve"> mașinilor abandonate de pe domeniul public</w:t>
            </w:r>
            <w:r>
              <w:rPr>
                <w:noProof/>
              </w:rPr>
              <w:t>).</w:t>
            </w:r>
          </w:p>
          <w:p w14:paraId="5748EB00" w14:textId="77777777" w:rsidR="00A345F4" w:rsidRDefault="005E2D4E">
            <w:pPr>
              <w:pStyle w:val="P68B1DB1-Normal14"/>
              <w:spacing w:after="0" w:line="240" w:lineRule="auto"/>
              <w:jc w:val="both"/>
              <w:rPr>
                <w:rFonts w:eastAsia="Times New Roman"/>
                <w:noProof/>
              </w:rPr>
            </w:pPr>
            <w:r>
              <w:rPr>
                <w:noProof/>
              </w:rPr>
              <w:t>Action 23. Mise à jour de la législation sur le gaspillage alimentaire et mise à jour des infrastructures de collecte/don de denrées alimentaires afin de prévenir le gaspillage alimentaire. (</w:t>
            </w:r>
            <w:r>
              <w:rPr>
                <w:i/>
                <w:noProof/>
              </w:rPr>
              <w:t>Actualizarea legislației privind diminuarea risipei alimentare și îmbunătățirea infrastructurii de colectare /donare de alimente pentru a preveni generarea deșeurilor alimentare</w:t>
            </w:r>
            <w:r>
              <w:rPr>
                <w:noProof/>
              </w:rPr>
              <w:t>.)</w:t>
            </w:r>
          </w:p>
        </w:tc>
      </w:tr>
      <w:tr w:rsidR="00A345F4" w14:paraId="77549EF9" w14:textId="77777777" w:rsidTr="007D4A21">
        <w:tblPrEx>
          <w:tblCellMar>
            <w:left w:w="28" w:type="dxa"/>
            <w:right w:w="28" w:type="dxa"/>
          </w:tblCellMar>
        </w:tblPrEx>
        <w:trPr>
          <w:gridBefore w:val="1"/>
          <w:wBefore w:w="15" w:type="dxa"/>
          <w:trHeight w:val="5680"/>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CBE7FE6" w14:textId="77777777" w:rsidR="00A345F4" w:rsidRDefault="005E2D4E">
            <w:pPr>
              <w:pStyle w:val="P68B1DB1-Normal14"/>
              <w:spacing w:after="0" w:line="240" w:lineRule="auto"/>
              <w:jc w:val="both"/>
              <w:rPr>
                <w:rFonts w:eastAsia="Times New Roman"/>
                <w:noProof/>
              </w:rPr>
            </w:pPr>
            <w:r>
              <w:rPr>
                <w:noProof/>
              </w:rPr>
              <w:t>46</w:t>
            </w:r>
          </w:p>
        </w:tc>
        <w:tc>
          <w:tcPr>
            <w:tcW w:w="1573" w:type="dxa"/>
            <w:tcBorders>
              <w:top w:val="nil"/>
              <w:left w:val="nil"/>
              <w:bottom w:val="single" w:sz="4" w:space="0" w:color="auto"/>
              <w:right w:val="single" w:sz="4" w:space="0" w:color="auto"/>
            </w:tcBorders>
            <w:shd w:val="clear" w:color="auto" w:fill="C6EFCE"/>
            <w:noWrap/>
            <w:hideMark/>
          </w:tcPr>
          <w:p w14:paraId="033D480A" w14:textId="77777777" w:rsidR="00A345F4" w:rsidRDefault="005E2D4E">
            <w:pPr>
              <w:pStyle w:val="P68B1DB1-Normal14"/>
              <w:spacing w:after="0" w:line="240" w:lineRule="auto"/>
              <w:jc w:val="both"/>
              <w:rPr>
                <w:rFonts w:eastAsia="Times New Roman"/>
                <w:noProof/>
              </w:rPr>
            </w:pPr>
            <w:r>
              <w:rPr>
                <w:noProof/>
              </w:rPr>
              <w:t>Réforme 1 Soutien à la gouvernance de la gestion des déchets pour accélérer la transition vers l’économie circulaire</w:t>
            </w:r>
          </w:p>
        </w:tc>
        <w:tc>
          <w:tcPr>
            <w:tcW w:w="1320" w:type="dxa"/>
            <w:tcBorders>
              <w:top w:val="nil"/>
              <w:left w:val="nil"/>
              <w:bottom w:val="single" w:sz="4" w:space="0" w:color="auto"/>
              <w:right w:val="single" w:sz="4" w:space="0" w:color="auto"/>
            </w:tcBorders>
            <w:shd w:val="clear" w:color="auto" w:fill="C6EFCE"/>
            <w:noWrap/>
            <w:hideMark/>
          </w:tcPr>
          <w:p w14:paraId="610164EC" w14:textId="77777777" w:rsidR="00A345F4" w:rsidRDefault="005E2D4E">
            <w:pPr>
              <w:pStyle w:val="P68B1DB1-Normal14"/>
              <w:spacing w:after="0" w:line="240" w:lineRule="auto"/>
              <w:jc w:val="center"/>
              <w:rPr>
                <w:rFonts w:eastAsia="Times New Roman"/>
                <w:noProof/>
              </w:rPr>
            </w:pPr>
            <w:r>
              <w:rPr>
                <w:noProof/>
              </w:rPr>
              <w:t>Étape</w:t>
            </w:r>
          </w:p>
        </w:tc>
        <w:tc>
          <w:tcPr>
            <w:tcW w:w="1309" w:type="dxa"/>
            <w:tcBorders>
              <w:top w:val="nil"/>
              <w:left w:val="nil"/>
              <w:bottom w:val="single" w:sz="4" w:space="0" w:color="auto"/>
              <w:right w:val="single" w:sz="4" w:space="0" w:color="auto"/>
            </w:tcBorders>
            <w:shd w:val="clear" w:color="auto" w:fill="C6EFCE"/>
            <w:noWrap/>
            <w:hideMark/>
          </w:tcPr>
          <w:p w14:paraId="0D89A1E8" w14:textId="77777777" w:rsidR="00A345F4" w:rsidRDefault="005E2D4E">
            <w:pPr>
              <w:pStyle w:val="P68B1DB1-Normal14"/>
              <w:spacing w:after="0" w:line="240" w:lineRule="auto"/>
              <w:jc w:val="both"/>
              <w:rPr>
                <w:rFonts w:eastAsia="Times New Roman"/>
                <w:noProof/>
              </w:rPr>
            </w:pPr>
            <w:r>
              <w:rPr>
                <w:noProof/>
              </w:rPr>
              <w:t>Entrée en vigueur des actes législatifs nécessaires à la mise en œuvre d’une gestion unitaire des déchets conformément au plan national de gestion des déchets</w:t>
            </w:r>
          </w:p>
        </w:tc>
        <w:tc>
          <w:tcPr>
            <w:tcW w:w="1625" w:type="dxa"/>
            <w:tcBorders>
              <w:top w:val="single" w:sz="4" w:space="0" w:color="auto"/>
              <w:left w:val="nil"/>
              <w:bottom w:val="single" w:sz="4" w:space="0" w:color="auto"/>
              <w:right w:val="single" w:sz="4" w:space="0" w:color="auto"/>
            </w:tcBorders>
            <w:shd w:val="clear" w:color="auto" w:fill="C6EFCE"/>
            <w:noWrap/>
            <w:hideMark/>
          </w:tcPr>
          <w:p w14:paraId="74150889" w14:textId="77777777" w:rsidR="00A345F4" w:rsidRDefault="005E2D4E">
            <w:pPr>
              <w:pStyle w:val="P68B1DB1-Normal14"/>
              <w:spacing w:after="0" w:line="240" w:lineRule="auto"/>
              <w:jc w:val="both"/>
              <w:rPr>
                <w:rFonts w:eastAsia="Times New Roman"/>
                <w:noProof/>
              </w:rPr>
            </w:pPr>
            <w:r>
              <w:rPr>
                <w:noProof/>
              </w:rPr>
              <w:t>Disposition de la loi indiquant l’entrée en vigueur des actes législatifs relatifs aux pratiques de gestion des déchets</w:t>
            </w:r>
          </w:p>
        </w:tc>
        <w:tc>
          <w:tcPr>
            <w:tcW w:w="1087" w:type="dxa"/>
            <w:tcBorders>
              <w:top w:val="single" w:sz="4" w:space="0" w:color="auto"/>
              <w:left w:val="nil"/>
              <w:bottom w:val="single" w:sz="4" w:space="0" w:color="auto"/>
              <w:right w:val="single" w:sz="4" w:space="0" w:color="auto"/>
            </w:tcBorders>
            <w:shd w:val="clear" w:color="auto" w:fill="C6EFCE"/>
            <w:noWrap/>
          </w:tcPr>
          <w:p w14:paraId="65F5660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57" w:type="dxa"/>
            <w:tcBorders>
              <w:top w:val="single" w:sz="4" w:space="0" w:color="auto"/>
              <w:left w:val="nil"/>
              <w:bottom w:val="single" w:sz="4" w:space="0" w:color="auto"/>
              <w:right w:val="single" w:sz="4" w:space="0" w:color="auto"/>
            </w:tcBorders>
            <w:shd w:val="clear" w:color="auto" w:fill="C6EFCE"/>
            <w:noWrap/>
          </w:tcPr>
          <w:p w14:paraId="1257267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55" w:type="dxa"/>
            <w:tcBorders>
              <w:top w:val="single" w:sz="4" w:space="0" w:color="auto"/>
              <w:left w:val="nil"/>
              <w:bottom w:val="single" w:sz="4" w:space="0" w:color="auto"/>
              <w:right w:val="single" w:sz="4" w:space="0" w:color="auto"/>
            </w:tcBorders>
            <w:shd w:val="clear" w:color="auto" w:fill="C6EFCE"/>
            <w:noWrap/>
          </w:tcPr>
          <w:p w14:paraId="346C08A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hideMark/>
          </w:tcPr>
          <w:p w14:paraId="2F951C47" w14:textId="77777777" w:rsidR="00A345F4" w:rsidRDefault="005E2D4E">
            <w:pPr>
              <w:pStyle w:val="P68B1DB1-Normal14"/>
              <w:spacing w:after="0" w:line="240" w:lineRule="auto"/>
              <w:jc w:val="both"/>
              <w:rPr>
                <w:rFonts w:eastAsia="Times New Roman"/>
                <w:noProof/>
              </w:rPr>
            </w:pPr>
            <w:r>
              <w:rPr>
                <w:noProof/>
              </w:rPr>
              <w:t>T3</w:t>
            </w:r>
          </w:p>
        </w:tc>
        <w:tc>
          <w:tcPr>
            <w:tcW w:w="850" w:type="dxa"/>
            <w:tcBorders>
              <w:top w:val="single" w:sz="4" w:space="0" w:color="auto"/>
              <w:left w:val="nil"/>
              <w:bottom w:val="single" w:sz="4" w:space="0" w:color="auto"/>
              <w:right w:val="single" w:sz="4" w:space="0" w:color="auto"/>
            </w:tcBorders>
            <w:shd w:val="clear" w:color="auto" w:fill="C6EFCE"/>
            <w:noWrap/>
            <w:hideMark/>
          </w:tcPr>
          <w:p w14:paraId="066AA451" w14:textId="77777777" w:rsidR="00A345F4" w:rsidRDefault="005E2D4E">
            <w:pPr>
              <w:pStyle w:val="P68B1DB1-Normal14"/>
              <w:spacing w:after="0" w:line="240" w:lineRule="auto"/>
              <w:jc w:val="both"/>
              <w:rPr>
                <w:rFonts w:eastAsia="Times New Roman"/>
                <w:noProof/>
              </w:rPr>
            </w:pPr>
            <w:r>
              <w:rPr>
                <w:noProof/>
              </w:rPr>
              <w:t>2022</w:t>
            </w:r>
          </w:p>
        </w:tc>
        <w:tc>
          <w:tcPr>
            <w:tcW w:w="3500" w:type="dxa"/>
            <w:tcBorders>
              <w:top w:val="single" w:sz="4" w:space="0" w:color="auto"/>
              <w:left w:val="nil"/>
              <w:bottom w:val="single" w:sz="4" w:space="0" w:color="auto"/>
              <w:right w:val="single" w:sz="4" w:space="0" w:color="auto"/>
            </w:tcBorders>
            <w:shd w:val="clear" w:color="auto" w:fill="C6EFCE"/>
            <w:noWrap/>
          </w:tcPr>
          <w:p w14:paraId="442E66B5" w14:textId="77777777" w:rsidR="00A345F4" w:rsidRDefault="005E2D4E">
            <w:pPr>
              <w:pStyle w:val="P68B1DB1-Normal14"/>
              <w:spacing w:after="0" w:line="240" w:lineRule="auto"/>
              <w:jc w:val="both"/>
              <w:rPr>
                <w:noProof/>
              </w:rPr>
            </w:pPr>
            <w:r>
              <w:rPr>
                <w:noProof/>
              </w:rPr>
              <w:t xml:space="preserve">Entrée en vigueur des actes législatifs nécessaires pour consolider la gestion conforme des déchets en Roumanie, en particulier au moyen des mesures de gouvernance relatives à la gestion des déchets municipaux prévues dans le plan national de gestion des déchets, afin d’atteindre les objectifs de gestion des déchets de la directive-cadre de l’UE sur les déchets. </w:t>
            </w:r>
          </w:p>
          <w:p w14:paraId="4326F8D5" w14:textId="77777777" w:rsidR="00A345F4" w:rsidRDefault="005E2D4E">
            <w:pPr>
              <w:pStyle w:val="P68B1DB1-Normal14"/>
              <w:spacing w:after="0" w:line="240" w:lineRule="auto"/>
              <w:jc w:val="both"/>
              <w:rPr>
                <w:noProof/>
              </w:rPr>
            </w:pPr>
            <w:r>
              <w:rPr>
                <w:noProof/>
              </w:rPr>
              <w:t>Les actes législatifs suivants entreront en vigueur:</w:t>
            </w:r>
          </w:p>
          <w:p w14:paraId="4924DD5E" w14:textId="77777777" w:rsidR="00A345F4" w:rsidRDefault="005E2D4E">
            <w:pPr>
              <w:pStyle w:val="P68B1DB1-Normal14"/>
              <w:spacing w:after="0" w:line="240" w:lineRule="auto"/>
              <w:jc w:val="both"/>
              <w:rPr>
                <w:rFonts w:eastAsia="Times New Roman"/>
                <w:noProof/>
              </w:rPr>
            </w:pPr>
            <w:r>
              <w:rPr>
                <w:noProof/>
              </w:rPr>
              <w:t xml:space="preserve">1. Ordonnance sur le régime des déchets, qui </w:t>
            </w:r>
          </w:p>
          <w:p w14:paraId="264D3EC2" w14:textId="77777777" w:rsidR="00A345F4" w:rsidRDefault="005E2D4E">
            <w:pPr>
              <w:pStyle w:val="P68B1DB1-Normal14"/>
              <w:spacing w:after="0" w:line="240" w:lineRule="auto"/>
              <w:jc w:val="both"/>
              <w:rPr>
                <w:noProof/>
              </w:rPr>
            </w:pPr>
            <w:r>
              <w:rPr>
                <w:noProof/>
              </w:rPr>
              <w:t xml:space="preserve">réglementera la responsabilité élargie des producteurs conformément à la directive-cadre relative aux déchets. L'ordonnance introduira également des sanctions sévères pour décourager la mise en décharge illégale, le déversement de déchets et le brûlage à l'air libre. </w:t>
            </w:r>
          </w:p>
          <w:p w14:paraId="7C6D699F" w14:textId="77777777" w:rsidR="00A345F4" w:rsidRDefault="005E2D4E">
            <w:pPr>
              <w:pStyle w:val="P68B1DB1-Normal14"/>
              <w:spacing w:after="0" w:line="240" w:lineRule="auto"/>
              <w:jc w:val="both"/>
              <w:rPr>
                <w:noProof/>
              </w:rPr>
            </w:pPr>
            <w:r>
              <w:rPr>
                <w:noProof/>
              </w:rPr>
              <w:t xml:space="preserve">2. Ordonnance portant modification de la loi 101/2006 (loi sur l'assainissement). </w:t>
            </w:r>
          </w:p>
          <w:p w14:paraId="0C79EE1A" w14:textId="77777777" w:rsidR="00A345F4" w:rsidRDefault="005E2D4E">
            <w:pPr>
              <w:pStyle w:val="P68B1DB1-Normal14"/>
              <w:spacing w:after="0" w:line="240" w:lineRule="auto"/>
              <w:jc w:val="both"/>
              <w:rPr>
                <w:noProof/>
              </w:rPr>
            </w:pPr>
            <w:r>
              <w:rPr>
                <w:noProof/>
              </w:rPr>
              <w:t>3. Modification de l’ordonnance 109/2007 de l’autorité nationale de régulation des services publics communautaires (ANRSC) relative à la méthodologie tarifaire en matière d’assainissement.</w:t>
            </w:r>
          </w:p>
          <w:p w14:paraId="3CB0204E" w14:textId="77777777" w:rsidR="00A345F4" w:rsidRDefault="005E2D4E">
            <w:pPr>
              <w:pStyle w:val="P68B1DB1-Normal14"/>
              <w:spacing w:after="0" w:line="240" w:lineRule="auto"/>
              <w:jc w:val="both"/>
              <w:rPr>
                <w:noProof/>
              </w:rPr>
            </w:pPr>
            <w:r>
              <w:rPr>
                <w:noProof/>
              </w:rPr>
              <w:t xml:space="preserve">L'Ordonnance (n° 2) et l'Ordonnance (n° 3) modifiée de l'ANRSC réglementent: </w:t>
            </w:r>
          </w:p>
          <w:p w14:paraId="4BD42767" w14:textId="77777777" w:rsidR="00A345F4" w:rsidRDefault="005E2D4E">
            <w:pPr>
              <w:pStyle w:val="P68B1DB1-Normal14"/>
              <w:numPr>
                <w:ilvl w:val="0"/>
                <w:numId w:val="94"/>
              </w:numPr>
              <w:spacing w:after="0" w:line="240" w:lineRule="auto"/>
              <w:ind w:left="165" w:hanging="141"/>
              <w:contextualSpacing/>
              <w:jc w:val="both"/>
              <w:rPr>
                <w:noProof/>
              </w:rPr>
            </w:pPr>
            <w:r>
              <w:rPr>
                <w:noProof/>
              </w:rPr>
              <w:t>la pleine opérationnalisation des instruments économiques (payer au fur et à mesure, taxe de mise en décharge et responsabilité élargie des producteurs);</w:t>
            </w:r>
          </w:p>
          <w:p w14:paraId="24F876CE" w14:textId="77777777" w:rsidR="00A345F4" w:rsidRDefault="005E2D4E">
            <w:pPr>
              <w:pStyle w:val="P68B1DB1-Normal14"/>
              <w:numPr>
                <w:ilvl w:val="0"/>
                <w:numId w:val="94"/>
              </w:numPr>
              <w:spacing w:after="0" w:line="240" w:lineRule="auto"/>
              <w:ind w:left="165" w:hanging="141"/>
              <w:contextualSpacing/>
              <w:jc w:val="both"/>
              <w:rPr>
                <w:noProof/>
              </w:rPr>
            </w:pPr>
            <w:r>
              <w:rPr>
                <w:noProof/>
              </w:rPr>
              <w:t>le rôle de l’autorité nationale de régulation des services publics communautaires en tant qu’autorité nationale de régulation de la politique tarifaire en matière de déchets municipaux;</w:t>
            </w:r>
          </w:p>
          <w:p w14:paraId="6AF29540" w14:textId="77777777" w:rsidR="00A345F4" w:rsidRDefault="005E2D4E">
            <w:pPr>
              <w:pStyle w:val="P68B1DB1-Normal14"/>
              <w:numPr>
                <w:ilvl w:val="0"/>
                <w:numId w:val="94"/>
              </w:numPr>
              <w:spacing w:after="0" w:line="240" w:lineRule="auto"/>
              <w:ind w:left="165" w:hanging="141"/>
              <w:contextualSpacing/>
              <w:jc w:val="both"/>
              <w:rPr>
                <w:rFonts w:eastAsia="Times New Roman"/>
                <w:noProof/>
              </w:rPr>
            </w:pPr>
            <w:r>
              <w:rPr>
                <w:noProof/>
              </w:rPr>
              <w:t>les responsabilités financières des associations de développement intercommunautaire en ce qui concerne les projets de systèmes intégrés de gestion des déchets.</w:t>
            </w:r>
          </w:p>
        </w:tc>
      </w:tr>
      <w:tr w:rsidR="00A345F4" w14:paraId="24204B71" w14:textId="77777777" w:rsidTr="007D4A21">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463B7DD" w14:textId="77777777" w:rsidR="00A345F4" w:rsidRDefault="005E2D4E">
            <w:pPr>
              <w:pStyle w:val="P68B1DB1-Normal14"/>
              <w:spacing w:after="0" w:line="240" w:lineRule="auto"/>
              <w:jc w:val="both"/>
              <w:rPr>
                <w:rFonts w:eastAsia="Times New Roman"/>
                <w:noProof/>
              </w:rPr>
            </w:pPr>
            <w:r>
              <w:rPr>
                <w:noProof/>
              </w:rPr>
              <w:t>51</w:t>
            </w:r>
          </w:p>
        </w:tc>
        <w:tc>
          <w:tcPr>
            <w:tcW w:w="1573" w:type="dxa"/>
            <w:tcBorders>
              <w:top w:val="nil"/>
              <w:left w:val="nil"/>
              <w:bottom w:val="single" w:sz="4" w:space="0" w:color="auto"/>
              <w:right w:val="single" w:sz="4" w:space="0" w:color="auto"/>
            </w:tcBorders>
            <w:shd w:val="clear" w:color="auto" w:fill="C6EFCE"/>
            <w:noWrap/>
            <w:hideMark/>
          </w:tcPr>
          <w:p w14:paraId="00914114" w14:textId="77777777" w:rsidR="00A345F4" w:rsidRDefault="005E2D4E">
            <w:pPr>
              <w:pStyle w:val="P68B1DB1-Normal14"/>
              <w:spacing w:after="0" w:line="240" w:lineRule="auto"/>
              <w:jc w:val="both"/>
              <w:rPr>
                <w:rFonts w:eastAsia="Times New Roman"/>
                <w:noProof/>
              </w:rPr>
            </w:pPr>
            <w:r>
              <w:rPr>
                <w:noProof/>
              </w:rPr>
              <w:t xml:space="preserve">Investissement 1.b Livraison d’éco-îles numérisées pour la collecte séparée des déchets </w:t>
            </w:r>
          </w:p>
        </w:tc>
        <w:tc>
          <w:tcPr>
            <w:tcW w:w="1320" w:type="dxa"/>
            <w:tcBorders>
              <w:top w:val="nil"/>
              <w:left w:val="nil"/>
              <w:bottom w:val="single" w:sz="4" w:space="0" w:color="auto"/>
              <w:right w:val="single" w:sz="4" w:space="0" w:color="auto"/>
            </w:tcBorders>
            <w:shd w:val="clear" w:color="auto" w:fill="C6EFCE"/>
            <w:noWrap/>
            <w:hideMark/>
          </w:tcPr>
          <w:p w14:paraId="5F7A3AAF" w14:textId="77777777" w:rsidR="00A345F4" w:rsidRDefault="005E2D4E">
            <w:pPr>
              <w:pStyle w:val="P68B1DB1-Normal14"/>
              <w:spacing w:after="0" w:line="240" w:lineRule="auto"/>
              <w:jc w:val="center"/>
              <w:rPr>
                <w:rFonts w:eastAsia="Times New Roman"/>
                <w:noProof/>
              </w:rPr>
            </w:pPr>
            <w:r>
              <w:rPr>
                <w:noProof/>
              </w:rPr>
              <w:t>Objectif</w:t>
            </w:r>
          </w:p>
        </w:tc>
        <w:tc>
          <w:tcPr>
            <w:tcW w:w="1309" w:type="dxa"/>
            <w:tcBorders>
              <w:top w:val="nil"/>
              <w:left w:val="nil"/>
              <w:bottom w:val="single" w:sz="4" w:space="0" w:color="auto"/>
              <w:right w:val="single" w:sz="4" w:space="0" w:color="auto"/>
            </w:tcBorders>
            <w:shd w:val="clear" w:color="auto" w:fill="C6EFCE"/>
            <w:noWrap/>
            <w:hideMark/>
          </w:tcPr>
          <w:p w14:paraId="6F2A4209" w14:textId="06748D2A" w:rsidR="00A345F4" w:rsidRDefault="005E2D4E">
            <w:pPr>
              <w:pStyle w:val="P68B1DB1-Normal14"/>
              <w:spacing w:after="0" w:line="240" w:lineRule="auto"/>
              <w:jc w:val="both"/>
              <w:rPr>
                <w:rFonts w:eastAsia="Times New Roman"/>
                <w:noProof/>
              </w:rPr>
            </w:pPr>
            <w:r>
              <w:rPr>
                <w:noProof/>
              </w:rPr>
              <w:t xml:space="preserve">Certificats d'acceptation pour la livraison d'éco-îles numérisées </w:t>
            </w:r>
          </w:p>
        </w:tc>
        <w:tc>
          <w:tcPr>
            <w:tcW w:w="1625" w:type="dxa"/>
            <w:tcBorders>
              <w:top w:val="nil"/>
              <w:left w:val="nil"/>
              <w:bottom w:val="single" w:sz="4" w:space="0" w:color="auto"/>
              <w:right w:val="single" w:sz="4" w:space="0" w:color="auto"/>
            </w:tcBorders>
            <w:shd w:val="clear" w:color="auto" w:fill="C6EFCE"/>
            <w:noWrap/>
          </w:tcPr>
          <w:p w14:paraId="43343F3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466AFD9F" w14:textId="77777777" w:rsidR="00A345F4" w:rsidRDefault="005E2D4E">
            <w:pPr>
              <w:pStyle w:val="P68B1DB1-Normal14"/>
              <w:spacing w:after="0" w:line="240" w:lineRule="auto"/>
              <w:jc w:val="both"/>
              <w:rPr>
                <w:rFonts w:eastAsia="Times New Roman"/>
                <w:noProof/>
              </w:rPr>
            </w:pPr>
            <w:r>
              <w:rPr>
                <w:noProof/>
              </w:rPr>
              <w:t>Numéro</w:t>
            </w:r>
          </w:p>
        </w:tc>
        <w:tc>
          <w:tcPr>
            <w:tcW w:w="1357" w:type="dxa"/>
            <w:tcBorders>
              <w:top w:val="single" w:sz="4" w:space="0" w:color="auto"/>
              <w:left w:val="single" w:sz="4" w:space="0" w:color="auto"/>
              <w:bottom w:val="single" w:sz="4" w:space="0" w:color="auto"/>
              <w:right w:val="single" w:sz="4" w:space="0" w:color="auto"/>
            </w:tcBorders>
            <w:shd w:val="clear" w:color="auto" w:fill="C6EFCE"/>
            <w:noWrap/>
            <w:hideMark/>
          </w:tcPr>
          <w:p w14:paraId="11909D46" w14:textId="77777777" w:rsidR="00A345F4" w:rsidRDefault="005E2D4E">
            <w:pPr>
              <w:pStyle w:val="P68B1DB1-Normal14"/>
              <w:spacing w:after="0" w:line="240" w:lineRule="auto"/>
              <w:jc w:val="both"/>
              <w:rPr>
                <w:rFonts w:eastAsia="Times New Roman"/>
                <w:noProof/>
              </w:rPr>
            </w:pPr>
            <w:r>
              <w:rPr>
                <w:noProof/>
              </w:rPr>
              <w:t>0</w:t>
            </w:r>
          </w:p>
        </w:tc>
        <w:tc>
          <w:tcPr>
            <w:tcW w:w="955" w:type="dxa"/>
            <w:tcBorders>
              <w:top w:val="single" w:sz="4" w:space="0" w:color="auto"/>
              <w:left w:val="single" w:sz="4" w:space="0" w:color="auto"/>
              <w:bottom w:val="single" w:sz="4" w:space="0" w:color="auto"/>
              <w:right w:val="single" w:sz="4" w:space="0" w:color="auto"/>
            </w:tcBorders>
            <w:shd w:val="clear" w:color="auto" w:fill="C6EFCE"/>
            <w:noWrap/>
            <w:hideMark/>
          </w:tcPr>
          <w:p w14:paraId="73EE381B" w14:textId="77777777" w:rsidR="00A345F4" w:rsidRDefault="005E2D4E">
            <w:pPr>
              <w:pStyle w:val="P68B1DB1-Normal14"/>
              <w:spacing w:after="0" w:line="240" w:lineRule="auto"/>
              <w:jc w:val="both"/>
              <w:rPr>
                <w:rFonts w:eastAsia="Times New Roman"/>
                <w:noProof/>
              </w:rPr>
            </w:pPr>
            <w:r>
              <w:rPr>
                <w:noProof/>
              </w:rPr>
              <w:t>5 000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4EB4E0F"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221E5ECE" w14:textId="77777777" w:rsidR="00A345F4" w:rsidRDefault="005E2D4E">
            <w:pPr>
              <w:pStyle w:val="P68B1DB1-Normal14"/>
              <w:spacing w:after="0" w:line="240" w:lineRule="auto"/>
              <w:jc w:val="both"/>
              <w:rPr>
                <w:rFonts w:eastAsia="Times New Roman"/>
                <w:noProof/>
              </w:rPr>
            </w:pPr>
            <w:r>
              <w:rPr>
                <w:noProof/>
              </w:rPr>
              <w:t>2026</w:t>
            </w:r>
          </w:p>
        </w:tc>
        <w:tc>
          <w:tcPr>
            <w:tcW w:w="3500" w:type="dxa"/>
            <w:tcBorders>
              <w:top w:val="nil"/>
              <w:left w:val="single" w:sz="4" w:space="0" w:color="auto"/>
              <w:bottom w:val="single" w:sz="4" w:space="0" w:color="auto"/>
              <w:right w:val="single" w:sz="4" w:space="0" w:color="auto"/>
            </w:tcBorders>
            <w:shd w:val="clear" w:color="auto" w:fill="C6EFCE"/>
            <w:noWrap/>
          </w:tcPr>
          <w:p w14:paraId="0227D803" w14:textId="77777777" w:rsidR="00A345F4" w:rsidRDefault="005E2D4E">
            <w:pPr>
              <w:pStyle w:val="P68B1DB1-Normal14"/>
              <w:spacing w:after="0" w:line="240" w:lineRule="auto"/>
              <w:contextualSpacing/>
              <w:jc w:val="both"/>
              <w:rPr>
                <w:noProof/>
              </w:rPr>
            </w:pPr>
            <w:r>
              <w:rPr>
                <w:noProof/>
              </w:rPr>
              <w:t>Certificats de réception pour la livraison de 5 000 éco-îles numérisées pour la collecte séparée des déchets.</w:t>
            </w:r>
          </w:p>
          <w:p w14:paraId="4D969007" w14:textId="77777777" w:rsidR="00A345F4" w:rsidRDefault="005E2D4E">
            <w:pPr>
              <w:pStyle w:val="P68B1DB1-Normal14"/>
              <w:spacing w:after="0" w:line="240" w:lineRule="auto"/>
              <w:contextualSpacing/>
              <w:jc w:val="both"/>
              <w:rPr>
                <w:rFonts w:eastAsia="Times New Roman"/>
                <w:noProof/>
              </w:rPr>
            </w:pPr>
            <w:r>
              <w:rPr>
                <w:noProof/>
              </w:rPr>
              <w:t xml:space="preserve"> </w:t>
            </w:r>
          </w:p>
        </w:tc>
      </w:tr>
      <w:tr w:rsidR="00A345F4" w14:paraId="1EEFC9F7" w14:textId="77777777" w:rsidTr="007D4A21">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5FAF1F1" w14:textId="77777777" w:rsidR="00A345F4" w:rsidRDefault="005E2D4E">
            <w:pPr>
              <w:pStyle w:val="P68B1DB1-Normal14"/>
              <w:spacing w:after="0" w:line="240" w:lineRule="auto"/>
              <w:jc w:val="both"/>
              <w:rPr>
                <w:rFonts w:eastAsia="Times New Roman"/>
                <w:noProof/>
              </w:rPr>
            </w:pPr>
            <w:r>
              <w:rPr>
                <w:noProof/>
              </w:rPr>
              <w:t>53</w:t>
            </w:r>
          </w:p>
        </w:tc>
        <w:tc>
          <w:tcPr>
            <w:tcW w:w="1573" w:type="dxa"/>
            <w:tcBorders>
              <w:top w:val="nil"/>
              <w:left w:val="nil"/>
              <w:bottom w:val="single" w:sz="4" w:space="0" w:color="auto"/>
              <w:right w:val="single" w:sz="4" w:space="0" w:color="auto"/>
            </w:tcBorders>
            <w:shd w:val="clear" w:color="auto" w:fill="C6EFCE"/>
            <w:noWrap/>
            <w:hideMark/>
          </w:tcPr>
          <w:p w14:paraId="07204D65" w14:textId="129B81C4" w:rsidR="00A345F4" w:rsidRDefault="005E2D4E">
            <w:pPr>
              <w:pStyle w:val="P68B1DB1-Normal14"/>
              <w:spacing w:after="0" w:line="240" w:lineRule="auto"/>
              <w:jc w:val="both"/>
              <w:rPr>
                <w:rFonts w:eastAsia="Times New Roman"/>
                <w:noProof/>
              </w:rPr>
            </w:pPr>
            <w:r>
              <w:rPr>
                <w:noProof/>
              </w:rPr>
              <w:t>Investissement 1.c Construction de centres intégrés de collecte séparée</w:t>
            </w:r>
          </w:p>
        </w:tc>
        <w:tc>
          <w:tcPr>
            <w:tcW w:w="1320" w:type="dxa"/>
            <w:tcBorders>
              <w:top w:val="nil"/>
              <w:left w:val="nil"/>
              <w:bottom w:val="single" w:sz="4" w:space="0" w:color="auto"/>
              <w:right w:val="single" w:sz="4" w:space="0" w:color="auto"/>
            </w:tcBorders>
            <w:shd w:val="clear" w:color="auto" w:fill="C6EFCE"/>
            <w:noWrap/>
            <w:hideMark/>
          </w:tcPr>
          <w:p w14:paraId="7D45E0EC" w14:textId="77777777" w:rsidR="00A345F4" w:rsidRDefault="005E2D4E">
            <w:pPr>
              <w:pStyle w:val="P68B1DB1-Normal14"/>
              <w:spacing w:after="0" w:line="240" w:lineRule="auto"/>
              <w:jc w:val="center"/>
              <w:rPr>
                <w:rFonts w:eastAsia="Times New Roman"/>
                <w:noProof/>
              </w:rPr>
            </w:pPr>
            <w:r>
              <w:rPr>
                <w:noProof/>
              </w:rPr>
              <w:t xml:space="preserve"> Objectif</w:t>
            </w:r>
          </w:p>
        </w:tc>
        <w:tc>
          <w:tcPr>
            <w:tcW w:w="1309" w:type="dxa"/>
            <w:tcBorders>
              <w:top w:val="nil"/>
              <w:left w:val="nil"/>
              <w:bottom w:val="single" w:sz="4" w:space="0" w:color="auto"/>
              <w:right w:val="single" w:sz="4" w:space="0" w:color="auto"/>
            </w:tcBorders>
            <w:shd w:val="clear" w:color="auto" w:fill="C6EFCE"/>
            <w:noWrap/>
            <w:hideMark/>
          </w:tcPr>
          <w:p w14:paraId="7CD2B7A4" w14:textId="77777777" w:rsidR="00A345F4" w:rsidRDefault="005E2D4E">
            <w:pPr>
              <w:pStyle w:val="P68B1DB1-Normal14"/>
              <w:spacing w:after="0" w:line="240" w:lineRule="auto"/>
              <w:jc w:val="both"/>
              <w:rPr>
                <w:rFonts w:eastAsia="Times New Roman"/>
                <w:noProof/>
              </w:rPr>
            </w:pPr>
            <w:r>
              <w:rPr>
                <w:noProof/>
              </w:rPr>
              <w:t>Construction de centres intégrés de collecte des déchets</w:t>
            </w:r>
          </w:p>
        </w:tc>
        <w:tc>
          <w:tcPr>
            <w:tcW w:w="1625" w:type="dxa"/>
            <w:tcBorders>
              <w:top w:val="nil"/>
              <w:left w:val="nil"/>
              <w:bottom w:val="single" w:sz="4" w:space="0" w:color="auto"/>
              <w:right w:val="single" w:sz="4" w:space="0" w:color="auto"/>
            </w:tcBorders>
            <w:shd w:val="clear" w:color="auto" w:fill="C6EFCE"/>
            <w:noWrap/>
          </w:tcPr>
          <w:p w14:paraId="3ADBFCCC"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247DFF71" w14:textId="77777777" w:rsidR="00A345F4" w:rsidRDefault="005E2D4E">
            <w:pPr>
              <w:pStyle w:val="P68B1DB1-Normal14"/>
              <w:spacing w:after="0" w:line="240" w:lineRule="auto"/>
              <w:jc w:val="both"/>
              <w:rPr>
                <w:rFonts w:eastAsia="Times New Roman"/>
                <w:noProof/>
              </w:rPr>
            </w:pPr>
            <w:r>
              <w:rPr>
                <w:noProof/>
              </w:rPr>
              <w:t>Numéro</w:t>
            </w:r>
          </w:p>
        </w:tc>
        <w:tc>
          <w:tcPr>
            <w:tcW w:w="1357" w:type="dxa"/>
            <w:tcBorders>
              <w:top w:val="single" w:sz="4" w:space="0" w:color="auto"/>
              <w:left w:val="single" w:sz="4" w:space="0" w:color="auto"/>
              <w:bottom w:val="single" w:sz="4" w:space="0" w:color="auto"/>
              <w:right w:val="single" w:sz="4" w:space="0" w:color="auto"/>
            </w:tcBorders>
            <w:shd w:val="clear" w:color="auto" w:fill="C6EFCE"/>
            <w:noWrap/>
            <w:hideMark/>
          </w:tcPr>
          <w:p w14:paraId="10BD6A05" w14:textId="77777777" w:rsidR="00A345F4" w:rsidRDefault="005E2D4E">
            <w:pPr>
              <w:pStyle w:val="P68B1DB1-Normal14"/>
              <w:spacing w:after="0" w:line="240" w:lineRule="auto"/>
              <w:jc w:val="both"/>
              <w:rPr>
                <w:rFonts w:eastAsia="Times New Roman"/>
                <w:noProof/>
              </w:rPr>
            </w:pPr>
            <w:r>
              <w:rPr>
                <w:noProof/>
              </w:rPr>
              <w:t>0</w:t>
            </w:r>
          </w:p>
        </w:tc>
        <w:tc>
          <w:tcPr>
            <w:tcW w:w="955" w:type="dxa"/>
            <w:tcBorders>
              <w:top w:val="single" w:sz="4" w:space="0" w:color="auto"/>
              <w:left w:val="single" w:sz="4" w:space="0" w:color="auto"/>
              <w:bottom w:val="single" w:sz="4" w:space="0" w:color="auto"/>
              <w:right w:val="single" w:sz="4" w:space="0" w:color="auto"/>
            </w:tcBorders>
            <w:shd w:val="clear" w:color="auto" w:fill="C6EFCE"/>
            <w:noWrap/>
            <w:hideMark/>
          </w:tcPr>
          <w:p w14:paraId="4D98FEBC" w14:textId="77777777" w:rsidR="00A345F4" w:rsidRDefault="005E2D4E">
            <w:pPr>
              <w:pStyle w:val="P68B1DB1-Normal14"/>
              <w:spacing w:after="0" w:line="240" w:lineRule="auto"/>
              <w:jc w:val="both"/>
              <w:rPr>
                <w:rFonts w:eastAsia="Times New Roman"/>
                <w:noProof/>
              </w:rPr>
            </w:pPr>
            <w:r>
              <w:rPr>
                <w:noProof/>
              </w:rPr>
              <w: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01713FA1"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0A2A1FB" w14:textId="77777777" w:rsidR="00A345F4" w:rsidRDefault="005E2D4E">
            <w:pPr>
              <w:pStyle w:val="P68B1DB1-Normal14"/>
              <w:spacing w:after="0" w:line="240" w:lineRule="auto"/>
              <w:jc w:val="both"/>
              <w:rPr>
                <w:rFonts w:eastAsia="Times New Roman"/>
                <w:noProof/>
              </w:rPr>
            </w:pPr>
            <w:r>
              <w:rPr>
                <w:noProof/>
              </w:rPr>
              <w:t>2026</w:t>
            </w:r>
          </w:p>
        </w:tc>
        <w:tc>
          <w:tcPr>
            <w:tcW w:w="3500" w:type="dxa"/>
            <w:tcBorders>
              <w:top w:val="nil"/>
              <w:left w:val="single" w:sz="4" w:space="0" w:color="auto"/>
              <w:bottom w:val="single" w:sz="4" w:space="0" w:color="auto"/>
              <w:right w:val="single" w:sz="4" w:space="0" w:color="auto"/>
            </w:tcBorders>
            <w:shd w:val="clear" w:color="auto" w:fill="C6EFCE"/>
            <w:noWrap/>
          </w:tcPr>
          <w:p w14:paraId="2A2D179E" w14:textId="631FE47B" w:rsidR="00A345F4" w:rsidRDefault="005E2D4E">
            <w:pPr>
              <w:pStyle w:val="P68B1DB1-Normal14"/>
              <w:spacing w:after="0" w:line="240" w:lineRule="auto"/>
              <w:jc w:val="both"/>
              <w:rPr>
                <w:rFonts w:eastAsia="Times New Roman"/>
                <w:noProof/>
              </w:rPr>
            </w:pPr>
            <w:r>
              <w:rPr>
                <w:noProof/>
              </w:rPr>
              <w:t xml:space="preserve">Certificats de réception d'achèvement des travaux pour la construction de trois centres intégrés de collecte des déchets dans les communes suivantes: Craiova, Buzău et Cluj-Napoca. </w:t>
            </w:r>
          </w:p>
        </w:tc>
      </w:tr>
      <w:tr w:rsidR="00A345F4" w14:paraId="6EBDCD45" w14:textId="77777777" w:rsidTr="007D4A21">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7023B9BB" w14:textId="77777777" w:rsidR="00A345F4" w:rsidRDefault="005E2D4E">
            <w:pPr>
              <w:pStyle w:val="P68B1DB1-Normal14"/>
              <w:spacing w:after="0" w:line="240" w:lineRule="auto"/>
              <w:jc w:val="both"/>
              <w:rPr>
                <w:rFonts w:eastAsia="Times New Roman"/>
                <w:noProof/>
              </w:rPr>
            </w:pPr>
            <w:r>
              <w:rPr>
                <w:noProof/>
              </w:rPr>
              <w:t>54</w:t>
            </w:r>
          </w:p>
        </w:tc>
        <w:tc>
          <w:tcPr>
            <w:tcW w:w="1573" w:type="dxa"/>
            <w:tcBorders>
              <w:top w:val="nil"/>
              <w:left w:val="nil"/>
              <w:bottom w:val="single" w:sz="4" w:space="0" w:color="auto"/>
              <w:right w:val="single" w:sz="4" w:space="0" w:color="auto"/>
            </w:tcBorders>
            <w:shd w:val="clear" w:color="auto" w:fill="C6EFCE"/>
            <w:noWrap/>
            <w:hideMark/>
          </w:tcPr>
          <w:p w14:paraId="25993332" w14:textId="77777777" w:rsidR="00A345F4" w:rsidRDefault="005E2D4E">
            <w:pPr>
              <w:pStyle w:val="P68B1DB1-Normal14"/>
              <w:spacing w:after="0" w:line="240" w:lineRule="auto"/>
              <w:jc w:val="both"/>
              <w:rPr>
                <w:rFonts w:eastAsia="Times New Roman"/>
                <w:noProof/>
              </w:rPr>
            </w:pPr>
            <w:r>
              <w:rPr>
                <w:noProof/>
              </w:rPr>
              <w:t xml:space="preserve">Investissement 1.d Construction ou livraison d'installations de recyclage des déchets </w:t>
            </w:r>
          </w:p>
        </w:tc>
        <w:tc>
          <w:tcPr>
            <w:tcW w:w="1320" w:type="dxa"/>
            <w:tcBorders>
              <w:top w:val="nil"/>
              <w:left w:val="nil"/>
              <w:bottom w:val="single" w:sz="4" w:space="0" w:color="auto"/>
              <w:right w:val="single" w:sz="4" w:space="0" w:color="auto"/>
            </w:tcBorders>
            <w:shd w:val="clear" w:color="auto" w:fill="C6EFCE"/>
            <w:noWrap/>
            <w:hideMark/>
          </w:tcPr>
          <w:p w14:paraId="014DCD2D" w14:textId="77777777" w:rsidR="00A345F4" w:rsidRDefault="005E2D4E">
            <w:pPr>
              <w:pStyle w:val="P68B1DB1-Normal14"/>
              <w:spacing w:after="0" w:line="240" w:lineRule="auto"/>
              <w:jc w:val="center"/>
              <w:rPr>
                <w:rFonts w:eastAsia="Times New Roman"/>
                <w:noProof/>
              </w:rPr>
            </w:pPr>
            <w:r>
              <w:rPr>
                <w:noProof/>
              </w:rPr>
              <w:t>Objectif</w:t>
            </w:r>
          </w:p>
        </w:tc>
        <w:tc>
          <w:tcPr>
            <w:tcW w:w="1309" w:type="dxa"/>
            <w:tcBorders>
              <w:top w:val="nil"/>
              <w:left w:val="nil"/>
              <w:bottom w:val="single" w:sz="4" w:space="0" w:color="auto"/>
              <w:right w:val="single" w:sz="4" w:space="0" w:color="auto"/>
            </w:tcBorders>
            <w:shd w:val="clear" w:color="auto" w:fill="C6EFCE"/>
            <w:noWrap/>
            <w:hideMark/>
          </w:tcPr>
          <w:p w14:paraId="20C4D9D1" w14:textId="77777777" w:rsidR="00A345F4" w:rsidRDefault="005E2D4E">
            <w:pPr>
              <w:pStyle w:val="P68B1DB1-Normal14"/>
              <w:spacing w:after="0" w:line="240" w:lineRule="auto"/>
              <w:jc w:val="both"/>
              <w:rPr>
                <w:rFonts w:eastAsia="Times New Roman"/>
                <w:noProof/>
              </w:rPr>
            </w:pPr>
            <w:r>
              <w:rPr>
                <w:noProof/>
              </w:rPr>
              <w:t>Installations de recyclage des déchets construites ou livrées</w:t>
            </w:r>
          </w:p>
        </w:tc>
        <w:tc>
          <w:tcPr>
            <w:tcW w:w="1625" w:type="dxa"/>
            <w:tcBorders>
              <w:top w:val="nil"/>
              <w:left w:val="nil"/>
              <w:bottom w:val="single" w:sz="4" w:space="0" w:color="auto"/>
              <w:right w:val="single" w:sz="4" w:space="0" w:color="auto"/>
            </w:tcBorders>
            <w:shd w:val="clear" w:color="auto" w:fill="C6EFCE"/>
            <w:noWrap/>
          </w:tcPr>
          <w:p w14:paraId="3AE4EFA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7" w:type="dxa"/>
            <w:tcBorders>
              <w:top w:val="single" w:sz="4" w:space="0" w:color="auto"/>
              <w:left w:val="nil"/>
              <w:bottom w:val="single" w:sz="4" w:space="0" w:color="auto"/>
              <w:right w:val="single" w:sz="4" w:space="0" w:color="auto"/>
            </w:tcBorders>
            <w:shd w:val="clear" w:color="auto" w:fill="C6EFCE"/>
            <w:noWrap/>
            <w:hideMark/>
          </w:tcPr>
          <w:p w14:paraId="7BCBD9DC" w14:textId="77777777" w:rsidR="00A345F4" w:rsidRDefault="005E2D4E">
            <w:pPr>
              <w:pStyle w:val="P68B1DB1-Normal14"/>
              <w:spacing w:after="0" w:line="240" w:lineRule="auto"/>
              <w:jc w:val="both"/>
              <w:rPr>
                <w:rFonts w:eastAsia="Times New Roman"/>
                <w:noProof/>
              </w:rPr>
            </w:pPr>
            <w:r>
              <w:rPr>
                <w:noProof/>
              </w:rPr>
              <w:t>Numéro</w:t>
            </w:r>
          </w:p>
        </w:tc>
        <w:tc>
          <w:tcPr>
            <w:tcW w:w="1357" w:type="dxa"/>
            <w:tcBorders>
              <w:top w:val="single" w:sz="4" w:space="0" w:color="auto"/>
              <w:left w:val="nil"/>
              <w:bottom w:val="single" w:sz="4" w:space="0" w:color="auto"/>
              <w:right w:val="single" w:sz="4" w:space="0" w:color="auto"/>
            </w:tcBorders>
            <w:shd w:val="clear" w:color="auto" w:fill="C6EFCE"/>
            <w:noWrap/>
            <w:hideMark/>
          </w:tcPr>
          <w:p w14:paraId="5671C7CE" w14:textId="77777777" w:rsidR="00A345F4" w:rsidRDefault="005E2D4E">
            <w:pPr>
              <w:pStyle w:val="P68B1DB1-Normal14"/>
              <w:spacing w:after="0" w:line="240" w:lineRule="auto"/>
              <w:jc w:val="both"/>
              <w:rPr>
                <w:rFonts w:eastAsia="Times New Roman"/>
                <w:noProof/>
              </w:rPr>
            </w:pPr>
            <w:r>
              <w:rPr>
                <w:noProof/>
              </w:rPr>
              <w:t>0</w:t>
            </w:r>
          </w:p>
        </w:tc>
        <w:tc>
          <w:tcPr>
            <w:tcW w:w="955" w:type="dxa"/>
            <w:tcBorders>
              <w:top w:val="single" w:sz="4" w:space="0" w:color="auto"/>
              <w:left w:val="nil"/>
              <w:bottom w:val="single" w:sz="4" w:space="0" w:color="auto"/>
              <w:right w:val="single" w:sz="4" w:space="0" w:color="auto"/>
            </w:tcBorders>
            <w:shd w:val="clear" w:color="auto" w:fill="C6EFCE"/>
            <w:noWrap/>
            <w:hideMark/>
          </w:tcPr>
          <w:p w14:paraId="660AFF7A" w14:textId="77777777" w:rsidR="00A345F4" w:rsidRDefault="005E2D4E">
            <w:pPr>
              <w:pStyle w:val="P68B1DB1-Normal14"/>
              <w:spacing w:after="0" w:line="240" w:lineRule="auto"/>
              <w:jc w:val="both"/>
              <w:rPr>
                <w:rFonts w:eastAsia="Times New Roman"/>
                <w:noProof/>
              </w:rPr>
            </w:pPr>
            <w:r>
              <w:rPr>
                <w:noProof/>
              </w:rPr>
              <w:t>9</w:t>
            </w:r>
          </w:p>
        </w:tc>
        <w:tc>
          <w:tcPr>
            <w:tcW w:w="1134" w:type="dxa"/>
            <w:tcBorders>
              <w:top w:val="single" w:sz="4" w:space="0" w:color="auto"/>
              <w:left w:val="nil"/>
              <w:bottom w:val="single" w:sz="4" w:space="0" w:color="auto"/>
              <w:right w:val="single" w:sz="4" w:space="0" w:color="auto"/>
            </w:tcBorders>
            <w:shd w:val="clear" w:color="auto" w:fill="C6EFCE"/>
            <w:noWrap/>
            <w:hideMark/>
          </w:tcPr>
          <w:p w14:paraId="4EF7DCC3"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hideMark/>
          </w:tcPr>
          <w:p w14:paraId="15DCFED5" w14:textId="77777777" w:rsidR="00A345F4" w:rsidRDefault="005E2D4E">
            <w:pPr>
              <w:pStyle w:val="P68B1DB1-Normal14"/>
              <w:spacing w:after="0" w:line="240" w:lineRule="auto"/>
              <w:jc w:val="both"/>
              <w:rPr>
                <w:rFonts w:eastAsia="Times New Roman"/>
                <w:noProof/>
              </w:rPr>
            </w:pPr>
            <w:r>
              <w:rPr>
                <w:noProof/>
              </w:rPr>
              <w:t>2026</w:t>
            </w:r>
          </w:p>
        </w:tc>
        <w:tc>
          <w:tcPr>
            <w:tcW w:w="3500" w:type="dxa"/>
            <w:tcBorders>
              <w:top w:val="nil"/>
              <w:left w:val="nil"/>
              <w:bottom w:val="single" w:sz="4" w:space="0" w:color="auto"/>
              <w:right w:val="single" w:sz="4" w:space="0" w:color="auto"/>
            </w:tcBorders>
            <w:shd w:val="clear" w:color="auto" w:fill="C6EFCE"/>
            <w:noWrap/>
            <w:hideMark/>
          </w:tcPr>
          <w:p w14:paraId="5A28EA9F" w14:textId="6435D50E" w:rsidR="00A345F4" w:rsidRDefault="005E2D4E">
            <w:pPr>
              <w:pStyle w:val="P68B1DB1-Normal14"/>
              <w:spacing w:after="0" w:line="240" w:lineRule="auto"/>
              <w:jc w:val="both"/>
              <w:rPr>
                <w:noProof/>
              </w:rPr>
            </w:pPr>
            <w:r>
              <w:rPr>
                <w:noProof/>
              </w:rPr>
              <w:t>Certificats de réception pour la livraison de 9 installations de recyclage des déchets. Afin de garantir que la mesure est conforme aux orientations techniques «Ne pas causer de préjudice important» (2021/C58/01), les véhicules achetés au titre de cette mesure constitueront la meilleure technologie disponible du point de vue environnemental.</w:t>
            </w:r>
          </w:p>
        </w:tc>
      </w:tr>
      <w:tr w:rsidR="00A345F4" w14:paraId="1606CCA8" w14:textId="77777777" w:rsidTr="007D4A21">
        <w:tblPrEx>
          <w:tblCellMar>
            <w:left w:w="28" w:type="dxa"/>
            <w:right w:w="28" w:type="dxa"/>
          </w:tblCellMar>
        </w:tblPrEx>
        <w:trPr>
          <w:gridBefore w:val="1"/>
          <w:wBefore w:w="15" w:type="dxa"/>
          <w:trHeight w:val="645"/>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278C569" w14:textId="77777777" w:rsidR="00A345F4" w:rsidRDefault="005E2D4E">
            <w:pPr>
              <w:pStyle w:val="P68B1DB1-Normal14"/>
              <w:spacing w:after="0" w:line="240" w:lineRule="auto"/>
              <w:jc w:val="both"/>
              <w:rPr>
                <w:rFonts w:eastAsia="Times New Roman"/>
                <w:noProof/>
              </w:rPr>
            </w:pPr>
            <w:r>
              <w:rPr>
                <w:noProof/>
              </w:rPr>
              <w:t>55</w:t>
            </w:r>
          </w:p>
        </w:tc>
        <w:tc>
          <w:tcPr>
            <w:tcW w:w="1573" w:type="dxa"/>
            <w:tcBorders>
              <w:top w:val="nil"/>
              <w:left w:val="nil"/>
              <w:bottom w:val="single" w:sz="4" w:space="0" w:color="auto"/>
              <w:right w:val="single" w:sz="4" w:space="0" w:color="auto"/>
            </w:tcBorders>
            <w:shd w:val="clear" w:color="auto" w:fill="C6EFCE"/>
            <w:noWrap/>
            <w:hideMark/>
          </w:tcPr>
          <w:p w14:paraId="6E39EBA3" w14:textId="77777777" w:rsidR="00A345F4" w:rsidRDefault="005E2D4E">
            <w:pPr>
              <w:pStyle w:val="P68B1DB1-Normal14"/>
              <w:spacing w:after="0" w:line="240" w:lineRule="auto"/>
              <w:jc w:val="both"/>
              <w:rPr>
                <w:rFonts w:eastAsia="Times New Roman"/>
                <w:noProof/>
              </w:rPr>
            </w:pPr>
            <w:r>
              <w:rPr>
                <w:noProof/>
              </w:rPr>
              <w:t>Investissement 2 Construction ou livraison d'infrastructures pour la gestion du fumier et d'autres déchets agricoles compostables</w:t>
            </w:r>
          </w:p>
        </w:tc>
        <w:tc>
          <w:tcPr>
            <w:tcW w:w="1320" w:type="dxa"/>
            <w:tcBorders>
              <w:top w:val="nil"/>
              <w:left w:val="nil"/>
              <w:bottom w:val="single" w:sz="4" w:space="0" w:color="auto"/>
              <w:right w:val="single" w:sz="4" w:space="0" w:color="auto"/>
            </w:tcBorders>
            <w:shd w:val="clear" w:color="auto" w:fill="C6EFCE"/>
            <w:noWrap/>
            <w:hideMark/>
          </w:tcPr>
          <w:p w14:paraId="3F11C9A6" w14:textId="77777777" w:rsidR="00A345F4" w:rsidRDefault="005E2D4E">
            <w:pPr>
              <w:pStyle w:val="P68B1DB1-Normal14"/>
              <w:spacing w:after="0" w:line="240" w:lineRule="auto"/>
              <w:jc w:val="center"/>
              <w:rPr>
                <w:rFonts w:eastAsia="Times New Roman"/>
                <w:noProof/>
              </w:rPr>
            </w:pPr>
            <w:r>
              <w:rPr>
                <w:noProof/>
              </w:rPr>
              <w:t>Objectif</w:t>
            </w:r>
          </w:p>
        </w:tc>
        <w:tc>
          <w:tcPr>
            <w:tcW w:w="1309" w:type="dxa"/>
            <w:tcBorders>
              <w:top w:val="nil"/>
              <w:left w:val="nil"/>
              <w:bottom w:val="single" w:sz="4" w:space="0" w:color="auto"/>
              <w:right w:val="single" w:sz="4" w:space="0" w:color="auto"/>
            </w:tcBorders>
            <w:shd w:val="clear" w:color="auto" w:fill="C6EFCE"/>
            <w:noWrap/>
            <w:hideMark/>
          </w:tcPr>
          <w:p w14:paraId="2871B268" w14:textId="77777777" w:rsidR="00A345F4" w:rsidRDefault="005E2D4E">
            <w:pPr>
              <w:pStyle w:val="P68B1DB1-Normal14"/>
              <w:spacing w:after="0" w:line="240" w:lineRule="auto"/>
              <w:jc w:val="both"/>
              <w:rPr>
                <w:rFonts w:eastAsia="Times New Roman"/>
                <w:noProof/>
              </w:rPr>
            </w:pPr>
            <w:r>
              <w:rPr>
                <w:noProof/>
              </w:rPr>
              <w:t>Construction de systèmes intégrés pour la collecte des déchets agricoles compostables</w:t>
            </w:r>
          </w:p>
        </w:tc>
        <w:tc>
          <w:tcPr>
            <w:tcW w:w="1625" w:type="dxa"/>
            <w:tcBorders>
              <w:top w:val="nil"/>
              <w:left w:val="nil"/>
              <w:bottom w:val="single" w:sz="4" w:space="0" w:color="auto"/>
              <w:right w:val="single" w:sz="4" w:space="0" w:color="auto"/>
            </w:tcBorders>
            <w:shd w:val="clear" w:color="auto" w:fill="C6EFCE"/>
            <w:noWrap/>
          </w:tcPr>
          <w:p w14:paraId="2CD6161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7" w:type="dxa"/>
            <w:tcBorders>
              <w:top w:val="single" w:sz="4" w:space="0" w:color="auto"/>
              <w:left w:val="nil"/>
              <w:bottom w:val="single" w:sz="4" w:space="0" w:color="auto"/>
              <w:right w:val="single" w:sz="4" w:space="0" w:color="auto"/>
            </w:tcBorders>
            <w:shd w:val="clear" w:color="auto" w:fill="C6EFCE"/>
            <w:noWrap/>
            <w:hideMark/>
          </w:tcPr>
          <w:p w14:paraId="2C1AA083" w14:textId="77777777" w:rsidR="00A345F4" w:rsidRDefault="005E2D4E">
            <w:pPr>
              <w:pStyle w:val="P68B1DB1-Normal14"/>
              <w:spacing w:after="0" w:line="240" w:lineRule="auto"/>
              <w:jc w:val="both"/>
              <w:rPr>
                <w:rFonts w:eastAsia="Times New Roman"/>
                <w:noProof/>
              </w:rPr>
            </w:pPr>
            <w:r>
              <w:rPr>
                <w:noProof/>
              </w:rPr>
              <w:t>Numéro</w:t>
            </w:r>
          </w:p>
        </w:tc>
        <w:tc>
          <w:tcPr>
            <w:tcW w:w="1357" w:type="dxa"/>
            <w:tcBorders>
              <w:top w:val="single" w:sz="4" w:space="0" w:color="auto"/>
              <w:left w:val="single" w:sz="4" w:space="0" w:color="auto"/>
              <w:bottom w:val="single" w:sz="4" w:space="0" w:color="auto"/>
              <w:right w:val="single" w:sz="4" w:space="0" w:color="auto"/>
            </w:tcBorders>
            <w:shd w:val="clear" w:color="auto" w:fill="C6EFCE"/>
            <w:noWrap/>
            <w:hideMark/>
          </w:tcPr>
          <w:p w14:paraId="148C9CDB" w14:textId="77777777" w:rsidR="00A345F4" w:rsidRDefault="005E2D4E">
            <w:pPr>
              <w:pStyle w:val="P68B1DB1-Normal14"/>
              <w:spacing w:after="0" w:line="240" w:lineRule="auto"/>
              <w:jc w:val="both"/>
              <w:rPr>
                <w:rFonts w:eastAsia="Times New Roman"/>
                <w:noProof/>
              </w:rPr>
            </w:pPr>
            <w:r>
              <w:rPr>
                <w:noProof/>
              </w:rPr>
              <w:t>0</w:t>
            </w:r>
          </w:p>
        </w:tc>
        <w:tc>
          <w:tcPr>
            <w:tcW w:w="955" w:type="dxa"/>
            <w:tcBorders>
              <w:top w:val="single" w:sz="4" w:space="0" w:color="auto"/>
              <w:left w:val="single" w:sz="4" w:space="0" w:color="auto"/>
              <w:bottom w:val="single" w:sz="4" w:space="0" w:color="auto"/>
              <w:right w:val="single" w:sz="4" w:space="0" w:color="auto"/>
            </w:tcBorders>
            <w:shd w:val="clear" w:color="auto" w:fill="C6EFCE"/>
            <w:noWrap/>
            <w:hideMark/>
          </w:tcPr>
          <w:p w14:paraId="716A3A2C" w14:textId="77777777" w:rsidR="00A345F4" w:rsidRDefault="005E2D4E">
            <w:pPr>
              <w:pStyle w:val="P68B1DB1-Normal14"/>
              <w:spacing w:after="0" w:line="240" w:lineRule="auto"/>
              <w:jc w:val="both"/>
              <w:rPr>
                <w:rFonts w:eastAsia="Times New Roman"/>
                <w:noProof/>
              </w:rPr>
            </w:pPr>
            <w:r>
              <w:rPr>
                <w:noProof/>
              </w:rPr>
              <w:t>49</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346A82B"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8AE289B" w14:textId="77777777" w:rsidR="00A345F4" w:rsidRDefault="005E2D4E">
            <w:pPr>
              <w:pStyle w:val="P68B1DB1-Normal14"/>
              <w:spacing w:after="0" w:line="240" w:lineRule="auto"/>
              <w:jc w:val="both"/>
              <w:rPr>
                <w:rFonts w:eastAsia="Times New Roman"/>
                <w:noProof/>
              </w:rPr>
            </w:pPr>
            <w:r>
              <w:rPr>
                <w:noProof/>
              </w:rPr>
              <w:t>2026</w:t>
            </w:r>
          </w:p>
        </w:tc>
        <w:tc>
          <w:tcPr>
            <w:tcW w:w="3500" w:type="dxa"/>
            <w:tcBorders>
              <w:top w:val="nil"/>
              <w:left w:val="single" w:sz="4" w:space="0" w:color="auto"/>
              <w:bottom w:val="single" w:sz="4" w:space="0" w:color="auto"/>
              <w:right w:val="single" w:sz="4" w:space="0" w:color="auto"/>
            </w:tcBorders>
            <w:shd w:val="clear" w:color="auto" w:fill="C6EFCE"/>
            <w:noWrap/>
          </w:tcPr>
          <w:p w14:paraId="6C587183" w14:textId="77777777" w:rsidR="00A345F4" w:rsidRDefault="005E2D4E">
            <w:pPr>
              <w:pStyle w:val="P68B1DB1-Normal14"/>
              <w:spacing w:after="0" w:line="240" w:lineRule="auto"/>
              <w:jc w:val="both"/>
              <w:rPr>
                <w:noProof/>
              </w:rPr>
            </w:pPr>
            <w:r>
              <w:rPr>
                <w:noProof/>
              </w:rPr>
              <w:t>49 systèmes intégrés de collecte des déchets agricoles compostables sont construits ou livrés, comme suit:</w:t>
            </w:r>
          </w:p>
          <w:p w14:paraId="18079911" w14:textId="77777777" w:rsidR="00A345F4" w:rsidRDefault="005E2D4E">
            <w:pPr>
              <w:pStyle w:val="P68B1DB1-Normal14"/>
              <w:numPr>
                <w:ilvl w:val="0"/>
                <w:numId w:val="93"/>
              </w:numPr>
              <w:spacing w:after="0" w:line="240" w:lineRule="auto"/>
              <w:ind w:left="165" w:hanging="165"/>
              <w:contextualSpacing/>
              <w:jc w:val="both"/>
              <w:rPr>
                <w:noProof/>
              </w:rPr>
            </w:pPr>
            <w:r>
              <w:rPr>
                <w:noProof/>
              </w:rPr>
              <w:t>44 Systèmes intégrés communaux;</w:t>
            </w:r>
          </w:p>
          <w:p w14:paraId="7687D8FF" w14:textId="77777777" w:rsidR="00A345F4" w:rsidRDefault="005E2D4E">
            <w:pPr>
              <w:pStyle w:val="P68B1DB1-Normal14"/>
              <w:numPr>
                <w:ilvl w:val="0"/>
                <w:numId w:val="93"/>
              </w:numPr>
              <w:spacing w:after="0" w:line="240" w:lineRule="auto"/>
              <w:ind w:left="165" w:hanging="165"/>
              <w:contextualSpacing/>
              <w:jc w:val="both"/>
              <w:rPr>
                <w:noProof/>
              </w:rPr>
            </w:pPr>
            <w:r>
              <w:rPr>
                <w:noProof/>
              </w:rPr>
              <w:t>un système de compostage;</w:t>
            </w:r>
          </w:p>
          <w:p w14:paraId="549C94D7" w14:textId="35360824" w:rsidR="00A345F4" w:rsidRDefault="005E2D4E">
            <w:pPr>
              <w:pStyle w:val="P68B1DB1-Normal14"/>
              <w:numPr>
                <w:ilvl w:val="0"/>
                <w:numId w:val="93"/>
              </w:numPr>
              <w:spacing w:after="0" w:line="240" w:lineRule="auto"/>
              <w:ind w:left="165" w:hanging="165"/>
              <w:contextualSpacing/>
              <w:jc w:val="both"/>
              <w:rPr>
                <w:noProof/>
              </w:rPr>
            </w:pPr>
            <w:r>
              <w:rPr>
                <w:noProof/>
              </w:rPr>
              <w:t>quatre systèmes de biogaz d’une puissance électrique d’au moins 300 kW et d’une puissance calorifique d’au moins 300 kW. Les systèmes de biogaz sont conformes aux critères de durabilité et de réduction des émissions de gaz à effet de serre énoncés aux articles 29 à 31 et aux règles relatives aux biocarburants produits à partir de denrées alimentaires et d’aliments pour animaux énoncées à l’article 26 de la directive (UE) 2018/2001 sur les énergies renouvelables (REDII).</w:t>
            </w:r>
          </w:p>
        </w:tc>
      </w:tr>
    </w:tbl>
    <w:p w14:paraId="1C98E771" w14:textId="77777777" w:rsidR="00A345F4" w:rsidRDefault="00A345F4">
      <w:pPr>
        <w:rPr>
          <w:rFonts w:ascii="Times New Roman" w:hAnsi="Times New Roman" w:cs="Times New Roman"/>
          <w:noProof/>
        </w:rPr>
        <w:sectPr w:rsidR="00A345F4" w:rsidSect="003E0A8C">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B8B2BF3" w14:textId="77777777" w:rsidR="00A345F4" w:rsidRDefault="005E2D4E">
      <w:pPr>
        <w:pStyle w:val="P68B1DB1-Normal1"/>
        <w:keepNext/>
        <w:numPr>
          <w:ilvl w:val="0"/>
          <w:numId w:val="1"/>
        </w:numPr>
        <w:tabs>
          <w:tab w:val="left" w:pos="850"/>
        </w:tabs>
        <w:spacing w:before="360" w:after="120" w:line="240" w:lineRule="auto"/>
        <w:jc w:val="both"/>
        <w:outlineLvl w:val="0"/>
        <w:rPr>
          <w:bCs/>
          <w:noProof/>
        </w:rPr>
      </w:pPr>
      <w:r>
        <w:rPr>
          <w:noProof/>
        </w:rPr>
        <w:t>Élément 4: Transports durables</w:t>
      </w:r>
    </w:p>
    <w:p w14:paraId="4521D63B" w14:textId="77777777" w:rsidR="00A345F4" w:rsidRDefault="005E2D4E">
      <w:pPr>
        <w:pStyle w:val="P68B1DB1-Normal4"/>
        <w:spacing w:before="100" w:beforeAutospacing="1" w:after="100" w:afterAutospacing="1" w:line="240" w:lineRule="auto"/>
        <w:jc w:val="both"/>
        <w:rPr>
          <w:rFonts w:eastAsia="Times New Roman"/>
          <w:noProof/>
        </w:rPr>
      </w:pPr>
      <w:r>
        <w:rPr>
          <w:noProof/>
        </w:rPr>
        <w:t>Ce volet du plan pour la reprise et la résilience répond à plusieurs défis liés aux transports durables afin de promouvoir une mobilité intelligente, sûre et inclusive en Roumanie. Il convient de l’examiner en lien avec le volet 10 «Fonds local», qui comprend des mesures complémentaires en faveur de la mobilité durable dans les zones urbaines.</w:t>
      </w:r>
    </w:p>
    <w:p w14:paraId="3E245DD1" w14:textId="77777777" w:rsidR="00A345F4" w:rsidRDefault="005E2D4E">
      <w:pPr>
        <w:pStyle w:val="P68B1DB1-Normal4"/>
        <w:spacing w:before="100" w:beforeAutospacing="1" w:after="100" w:afterAutospacing="1" w:line="240" w:lineRule="auto"/>
        <w:jc w:val="both"/>
        <w:rPr>
          <w:rFonts w:eastAsia="Times New Roman"/>
          <w:noProof/>
        </w:rPr>
      </w:pPr>
      <w:r>
        <w:rPr>
          <w:noProof/>
        </w:rPr>
        <w:t>L’objectif de ce volet est de renforcer la durabilité du secteur roumain des transports en soutenant sa transition écologique et numérique. Les réformes soutenant les investissements comprennent des modifications réglementaires visant à encourager le transport routier à émissions nulles, à améliorer la gouvernance des entreprises publiques dans les secteurs des transports, à améliorer la sécurité routière, à promouvoir des transports publics propres et à promouvoir le transfert modal vers les chemins de fer et les voies navigables intérieures.</w:t>
      </w:r>
    </w:p>
    <w:p w14:paraId="142FE03D" w14:textId="77777777" w:rsidR="00A345F4" w:rsidRDefault="005E2D4E">
      <w:pPr>
        <w:pStyle w:val="P68B1DB1-Normal4"/>
        <w:spacing w:before="100" w:beforeAutospacing="1" w:after="100" w:afterAutospacing="1" w:line="240" w:lineRule="auto"/>
        <w:jc w:val="both"/>
        <w:rPr>
          <w:rFonts w:eastAsia="Times New Roman"/>
          <w:noProof/>
        </w:rPr>
      </w:pPr>
      <w:r>
        <w:rPr>
          <w:noProof/>
        </w:rPr>
        <w:t>Les réformes et les investissements contribuent à donner suite aux recommandations par pays adressées à la Roumanie en 2019 et 2020 sur la nécessité: i) «anticiper les projets d’investissement public parvenus à maturité et promouvoir l’investissement privé pour favoriser la reprise économique» et «axer les investissements sur la transition écologique et numérique, en particulier sur les transports durables» (recommandation par pays no 3, 2020), tout en «tenant compte des disparités régionales» (recommandation par pays no 4, 2019); ii) «améliorer la préparation et la hiérarchisation des grands projets et accélérer leur mise en œuvre (recommandation par pays 4, 2019).</w:t>
      </w:r>
    </w:p>
    <w:p w14:paraId="0BBA3850" w14:textId="77777777" w:rsidR="00A345F4" w:rsidRDefault="005E2D4E">
      <w:pPr>
        <w:pStyle w:val="P68B1DB1-Normal4"/>
        <w:spacing w:before="100" w:beforeAutospacing="1" w:after="100" w:afterAutospacing="1" w:line="240" w:lineRule="auto"/>
        <w:jc w:val="both"/>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Les investissements dans les infrastructures routières sont axés sur le réseau central du RTE-T, contribuent à la cohésion économique et sociale et s’accompagnent de réformes importantes visant à décarboner le transport routier, à développer des infrastructures pour carburants alternatifs, à améliorer la sécurité routière et à promouvoir des transports publics propres et le transfert modal.</w:t>
      </w:r>
    </w:p>
    <w:p w14:paraId="020F18BA" w14:textId="77777777" w:rsidR="00A345F4" w:rsidRDefault="005E2D4E">
      <w:pPr>
        <w:pStyle w:val="P68B1DB1-Normal4"/>
        <w:keepNext/>
        <w:spacing w:before="120" w:after="120" w:line="240" w:lineRule="auto"/>
        <w:jc w:val="both"/>
        <w:outlineLvl w:val="1"/>
        <w:rPr>
          <w:rFonts w:eastAsiaTheme="majorEastAsia"/>
          <w:bCs/>
          <w:i/>
          <w:noProof/>
        </w:rPr>
      </w:pPr>
      <w:r>
        <w:rPr>
          <w:b/>
          <w:noProof/>
        </w:rPr>
        <w:t xml:space="preserve">D.1. </w:t>
      </w:r>
      <w:r>
        <w:rPr>
          <w:noProof/>
        </w:rPr>
        <w:t xml:space="preserve"> </w:t>
      </w:r>
      <w:r>
        <w:rPr>
          <w:b/>
          <w:noProof/>
        </w:rPr>
        <w:t>Description des réformes et des investissements pour le soutien financier non remboursable</w:t>
      </w:r>
    </w:p>
    <w:p w14:paraId="18344BDF"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Réforme 1. Transports durables, décarbonation et sécurité routière</w:t>
      </w:r>
    </w:p>
    <w:p w14:paraId="294F7B9D" w14:textId="77777777" w:rsidR="00A345F4" w:rsidRDefault="005E2D4E">
      <w:pPr>
        <w:pStyle w:val="P68B1DB1-Normal4"/>
        <w:spacing w:before="120" w:after="120" w:line="240" w:lineRule="auto"/>
        <w:jc w:val="both"/>
        <w:rPr>
          <w:noProof/>
        </w:rPr>
      </w:pPr>
      <w:r>
        <w:rPr>
          <w:noProof/>
        </w:rPr>
        <w:t xml:space="preserve">L’objectif de la mesure est de soutenir la transition vers une mobilité durable et intelligente en réformant le système de transport en Roumanie. </w:t>
      </w:r>
    </w:p>
    <w:p w14:paraId="6945F918" w14:textId="77777777" w:rsidR="00A345F4" w:rsidRDefault="005E2D4E">
      <w:pPr>
        <w:pStyle w:val="P68B1DB1-Normal4"/>
        <w:suppressAutoHyphens/>
        <w:autoSpaceDN w:val="0"/>
        <w:spacing w:after="0"/>
        <w:jc w:val="both"/>
        <w:textAlignment w:val="baseline"/>
        <w:rPr>
          <w:noProof/>
        </w:rPr>
      </w:pPr>
      <w:r>
        <w:rPr>
          <w:noProof/>
        </w:rPr>
        <w:t xml:space="preserve">La réforme consiste à: </w:t>
      </w:r>
    </w:p>
    <w:p w14:paraId="3C71FD5D" w14:textId="77777777" w:rsidR="00A345F4" w:rsidRDefault="005E2D4E">
      <w:pPr>
        <w:pStyle w:val="P68B1DB1-Normal4"/>
        <w:numPr>
          <w:ilvl w:val="0"/>
          <w:numId w:val="7"/>
        </w:numPr>
        <w:suppressAutoHyphens/>
        <w:autoSpaceDN w:val="0"/>
        <w:spacing w:after="0" w:line="259" w:lineRule="auto"/>
        <w:contextualSpacing/>
        <w:jc w:val="both"/>
        <w:textAlignment w:val="baseline"/>
        <w:rPr>
          <w:rFonts w:eastAsia="Calibri"/>
          <w:noProof/>
        </w:rPr>
      </w:pPr>
      <w:r>
        <w:rPr>
          <w:noProof/>
        </w:rPr>
        <w:t>Entrée en vigueur des actes juridiques pour la mise en œuvre d’un nouveau système de tarification fondé sur la distance pour les véhicules utilitaires lourds (camions) liés à la pollution atmosphérique, et augmentation des taxes sur la propriété pour la plupart des véhicules de tourisme polluants,</w:t>
      </w:r>
    </w:p>
    <w:p w14:paraId="7C11A4FC" w14:textId="77777777" w:rsidR="00A345F4" w:rsidRDefault="005E2D4E">
      <w:pPr>
        <w:pStyle w:val="P68B1DB1-Normal22"/>
        <w:numPr>
          <w:ilvl w:val="0"/>
          <w:numId w:val="7"/>
        </w:numPr>
        <w:spacing w:line="259" w:lineRule="auto"/>
        <w:contextualSpacing/>
        <w:rPr>
          <w:noProof/>
        </w:rPr>
      </w:pPr>
      <w:r>
        <w:rPr>
          <w:noProof/>
        </w:rPr>
        <w:t>Entrée en vigueur d’un ou de plusieurs actes juridiques visant à stimuler l’utilisation de véhicules propres et de programmes de renouvellement de la flotte,</w:t>
      </w:r>
    </w:p>
    <w:p w14:paraId="4BF34D55" w14:textId="77777777" w:rsidR="00A345F4" w:rsidRDefault="005E2D4E">
      <w:pPr>
        <w:pStyle w:val="P68B1DB1-Normal22"/>
        <w:numPr>
          <w:ilvl w:val="0"/>
          <w:numId w:val="7"/>
        </w:numPr>
        <w:suppressAutoHyphens/>
        <w:autoSpaceDN w:val="0"/>
        <w:spacing w:after="0" w:line="259" w:lineRule="auto"/>
        <w:contextualSpacing/>
        <w:jc w:val="both"/>
        <w:textAlignment w:val="baseline"/>
        <w:rPr>
          <w:noProof/>
        </w:rPr>
      </w:pPr>
      <w:r>
        <w:rPr>
          <w:noProof/>
        </w:rPr>
        <w:t>Adoption de la Stratégie nationale de sécurité routière,</w:t>
      </w:r>
    </w:p>
    <w:p w14:paraId="4FEAA466" w14:textId="77777777" w:rsidR="00A345F4" w:rsidRDefault="005E2D4E">
      <w:pPr>
        <w:pStyle w:val="P68B1DB1-Normal22"/>
        <w:numPr>
          <w:ilvl w:val="0"/>
          <w:numId w:val="7"/>
        </w:numPr>
        <w:suppressAutoHyphens/>
        <w:autoSpaceDN w:val="0"/>
        <w:spacing w:after="0" w:line="259" w:lineRule="auto"/>
        <w:contextualSpacing/>
        <w:jc w:val="both"/>
        <w:textAlignment w:val="baseline"/>
        <w:rPr>
          <w:noProof/>
        </w:rPr>
      </w:pPr>
      <w:r>
        <w:rPr>
          <w:noProof/>
        </w:rPr>
        <w:t>Entrée en vigueur du ou des actes juridiques relatifs à la sécurité routière en ce qui concerne le suivi, l’exécution et les sanctions applicables aux infractions en matière de sécurité routière,</w:t>
      </w:r>
    </w:p>
    <w:p w14:paraId="48F8423B" w14:textId="1D83DE76" w:rsidR="00A345F4" w:rsidRDefault="005E2D4E">
      <w:pPr>
        <w:pStyle w:val="P68B1DB1-Normal22"/>
        <w:numPr>
          <w:ilvl w:val="0"/>
          <w:numId w:val="7"/>
        </w:numPr>
        <w:suppressAutoHyphens/>
        <w:autoSpaceDN w:val="0"/>
        <w:spacing w:after="0" w:line="259" w:lineRule="auto"/>
        <w:contextualSpacing/>
        <w:jc w:val="both"/>
        <w:textAlignment w:val="baseline"/>
        <w:rPr>
          <w:noProof/>
        </w:rPr>
      </w:pPr>
      <w:r>
        <w:rPr>
          <w:noProof/>
        </w:rPr>
        <w:t>Adoption de la stratégie de développement de l’infrastructure ferroviaire 2021-2025 et application du plan d’action.</w:t>
      </w:r>
    </w:p>
    <w:p w14:paraId="7711BDB4" w14:textId="77777777" w:rsidR="00A345F4" w:rsidRDefault="005E2D4E">
      <w:pPr>
        <w:pStyle w:val="P68B1DB1-Normal18"/>
        <w:spacing w:before="240" w:after="0" w:line="240" w:lineRule="auto"/>
        <w:jc w:val="both"/>
        <w:rPr>
          <w:rFonts w:eastAsiaTheme="majorEastAsia"/>
          <w:noProof/>
        </w:rPr>
      </w:pPr>
      <w:r>
        <w:rPr>
          <w:noProof/>
        </w:rPr>
        <w:t>Investissement 1a. Modernisation et/ou modernisation de l'infrastructure ferroviaire</w:t>
      </w:r>
    </w:p>
    <w:p w14:paraId="7EA78E49" w14:textId="77777777" w:rsidR="00A345F4" w:rsidRDefault="005E2D4E">
      <w:pPr>
        <w:pStyle w:val="P68B1DB1-Normal4"/>
        <w:spacing w:before="120" w:after="120" w:line="240" w:lineRule="auto"/>
        <w:jc w:val="both"/>
        <w:rPr>
          <w:noProof/>
        </w:rPr>
      </w:pPr>
      <w:r>
        <w:rPr>
          <w:noProof/>
        </w:rPr>
        <w:t xml:space="preserve">L'objectif de cet investissement est de moderniser l'infrastructure ferroviaire. </w:t>
      </w:r>
    </w:p>
    <w:p w14:paraId="7D0A75EF" w14:textId="77777777" w:rsidR="00A345F4" w:rsidRDefault="005E2D4E">
      <w:pPr>
        <w:pStyle w:val="P68B1DB1-Normal4"/>
        <w:spacing w:before="120" w:after="120" w:line="240" w:lineRule="auto"/>
        <w:jc w:val="both"/>
        <w:rPr>
          <w:noProof/>
        </w:rPr>
      </w:pPr>
      <w:r>
        <w:rPr>
          <w:noProof/>
        </w:rPr>
        <w:t>L'investissement consiste à moderniser et/ou à moderniser l'infrastructure ferroviaire.</w:t>
      </w:r>
    </w:p>
    <w:p w14:paraId="155B55ED" w14:textId="77777777" w:rsidR="00A345F4" w:rsidRDefault="005E2D4E">
      <w:pPr>
        <w:pStyle w:val="P68B1DB1-Normal4"/>
        <w:spacing w:before="240" w:after="0" w:line="240" w:lineRule="auto"/>
        <w:jc w:val="both"/>
        <w:rPr>
          <w:noProof/>
        </w:rPr>
      </w:pPr>
      <w:r>
        <w:rPr>
          <w:noProof/>
        </w:rPr>
        <w:t>La mesure complète l’investissement 1 Modernisation et/ou modernisation de l’infrastructure ferroviaire.</w:t>
      </w:r>
    </w:p>
    <w:p w14:paraId="6BFC2190" w14:textId="77777777" w:rsidR="00A345F4" w:rsidRDefault="005E2D4E">
      <w:pPr>
        <w:pStyle w:val="P68B1DB1-Normal12"/>
        <w:suppressAutoHyphens/>
        <w:autoSpaceDN w:val="0"/>
        <w:spacing w:before="240" w:after="0" w:line="240" w:lineRule="auto"/>
        <w:jc w:val="both"/>
        <w:textAlignment w:val="baseline"/>
        <w:rPr>
          <w:noProof/>
        </w:rPr>
      </w:pPr>
      <w:r>
        <w:rPr>
          <w:noProof/>
        </w:rPr>
        <w:t>Investissement 3.a. Accroître la durabilité des infrastructures routières sur le réseau RTE-T, la tarification routière, la gestion du trafic et la sécurité routière</w:t>
      </w:r>
    </w:p>
    <w:p w14:paraId="42A0818E" w14:textId="77777777" w:rsidR="00A345F4" w:rsidRDefault="005E2D4E">
      <w:pPr>
        <w:pStyle w:val="P68B1DB1-Normal4"/>
        <w:spacing w:before="120" w:after="120" w:line="240" w:lineRule="auto"/>
        <w:jc w:val="both"/>
        <w:rPr>
          <w:rFonts w:eastAsia="Calibri"/>
          <w:noProof/>
        </w:rPr>
      </w:pPr>
      <w:r>
        <w:rPr>
          <w:noProof/>
        </w:rPr>
        <w:t>L'objectif de cet investissement est d'accroître la qualité et l'efficacité des infrastructures routières. L'investissement consiste à fournir de nouveaux tronçons d'autoroutes et de nouveaux systèmes STI.</w:t>
      </w:r>
    </w:p>
    <w:p w14:paraId="22970253" w14:textId="74E32830" w:rsidR="00A345F4" w:rsidRDefault="005E2D4E">
      <w:pPr>
        <w:suppressAutoHyphens/>
        <w:autoSpaceDN w:val="0"/>
        <w:spacing w:before="240" w:after="0" w:line="240" w:lineRule="auto"/>
        <w:jc w:val="both"/>
        <w:textAlignment w:val="baseline"/>
        <w:rPr>
          <w:rFonts w:ascii="Times New Roman" w:eastAsia="NSimSun" w:hAnsi="Times New Roman" w:cs="Times New Roman"/>
          <w:b/>
          <w:bCs/>
          <w:noProof/>
          <w:kern w:val="3"/>
          <w:u w:val="single"/>
        </w:rPr>
      </w:pPr>
      <w:r>
        <w:rPr>
          <w:rFonts w:ascii="Times New Roman" w:eastAsia="Calibri" w:hAnsi="Times New Roman" w:cs="Times New Roman"/>
          <w:noProof/>
        </w:rPr>
        <w:t>La mesure est complétée par l'investissement 3. Accroître la durabilité des infrastructures routières sur le réseau RTE-T, la tarification routière et la gestion du trafic.</w:t>
      </w:r>
      <w:r>
        <w:rPr>
          <w:rFonts w:ascii="Times New Roman" w:eastAsia="NSimSun" w:hAnsi="Times New Roman" w:cs="Times New Roman"/>
          <w:noProof/>
          <w:kern w:val="3"/>
        </w:rPr>
        <w:br w:type="page"/>
      </w:r>
    </w:p>
    <w:p w14:paraId="1640E68C" w14:textId="77777777" w:rsidR="00A345F4" w:rsidRDefault="00A345F4">
      <w:pPr>
        <w:spacing w:before="120" w:after="120" w:line="240" w:lineRule="auto"/>
        <w:jc w:val="both"/>
        <w:rPr>
          <w:rFonts w:ascii="Times New Roman" w:hAnsi="Times New Roman" w:cs="Times New Roman"/>
          <w:b/>
          <w:noProof/>
          <w:u w:val="single"/>
        </w:rPr>
        <w:sectPr w:rsidR="00A345F4" w:rsidSect="004C590F">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08"/>
          <w:docGrid w:linePitch="360"/>
        </w:sectPr>
      </w:pPr>
    </w:p>
    <w:p w14:paraId="52D94BC5"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D.2. </w:t>
      </w:r>
      <w:r>
        <w:rPr>
          <w:noProof/>
        </w:rPr>
        <w:t xml:space="preserve"> </w:t>
      </w:r>
      <w:r>
        <w:rPr>
          <w:b/>
          <w:noProof/>
        </w:rPr>
        <w:t>Étapes, cibles, indicateurs et calendrier pour le suivi et la mise en œuvre du soutien financier non remboursable</w:t>
      </w:r>
    </w:p>
    <w:tbl>
      <w:tblPr>
        <w:tblW w:w="15542" w:type="dxa"/>
        <w:jc w:val="center"/>
        <w:tblLayout w:type="fixed"/>
        <w:tblCellMar>
          <w:left w:w="28" w:type="dxa"/>
          <w:right w:w="28" w:type="dxa"/>
        </w:tblCellMar>
        <w:tblLook w:val="04A0" w:firstRow="1" w:lastRow="0" w:firstColumn="1" w:lastColumn="0" w:noHBand="0" w:noVBand="1"/>
      </w:tblPr>
      <w:tblGrid>
        <w:gridCol w:w="605"/>
        <w:gridCol w:w="1788"/>
        <w:gridCol w:w="1146"/>
        <w:gridCol w:w="1511"/>
        <w:gridCol w:w="1800"/>
        <w:gridCol w:w="1225"/>
        <w:gridCol w:w="992"/>
        <w:gridCol w:w="1134"/>
        <w:gridCol w:w="993"/>
        <w:gridCol w:w="838"/>
        <w:gridCol w:w="3510"/>
      </w:tblGrid>
      <w:tr w:rsidR="00A345F4" w14:paraId="7625572B" w14:textId="77777777" w:rsidTr="004E4AC2">
        <w:trPr>
          <w:trHeight w:val="300"/>
          <w:tblHeader/>
          <w:jc w:val="center"/>
        </w:trPr>
        <w:tc>
          <w:tcPr>
            <w:tcW w:w="6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3CA645" w14:textId="77777777" w:rsidR="00A345F4" w:rsidRDefault="005E2D4E">
            <w:pPr>
              <w:pStyle w:val="P68B1DB1-Normal13"/>
              <w:spacing w:after="0" w:line="240" w:lineRule="auto"/>
              <w:jc w:val="center"/>
              <w:rPr>
                <w:rFonts w:eastAsia="Times New Roman"/>
                <w:noProof/>
              </w:rPr>
            </w:pPr>
            <w:r>
              <w:rPr>
                <w:noProof/>
              </w:rPr>
              <w:t>Seq. num</w:t>
            </w:r>
          </w:p>
        </w:tc>
        <w:tc>
          <w:tcPr>
            <w:tcW w:w="17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C39FE0"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D92321" w14:textId="77777777" w:rsidR="00A345F4" w:rsidRDefault="005E2D4E">
            <w:pPr>
              <w:pStyle w:val="P68B1DB1-Normal13"/>
              <w:spacing w:after="0" w:line="240" w:lineRule="auto"/>
              <w:jc w:val="center"/>
              <w:rPr>
                <w:rFonts w:eastAsia="Times New Roman"/>
                <w:noProof/>
              </w:rPr>
            </w:pPr>
            <w:r>
              <w:rPr>
                <w:noProof/>
              </w:rPr>
              <w:t>Étape/cible</w:t>
            </w:r>
          </w:p>
        </w:tc>
        <w:tc>
          <w:tcPr>
            <w:tcW w:w="15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2558CB" w14:textId="77777777" w:rsidR="00A345F4" w:rsidRDefault="005E2D4E">
            <w:pPr>
              <w:pStyle w:val="P68B1DB1-Normal13"/>
              <w:spacing w:after="0" w:line="240" w:lineRule="auto"/>
              <w:jc w:val="center"/>
              <w:rPr>
                <w:rFonts w:eastAsia="Times New Roman"/>
                <w:noProof/>
              </w:rPr>
            </w:pPr>
            <w:r>
              <w:rPr>
                <w:noProof/>
              </w:rPr>
              <w:t>Nom</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BCBCAB" w14:textId="7BF90FE8" w:rsidR="00A345F4" w:rsidRDefault="005E2D4E">
            <w:pPr>
              <w:pStyle w:val="P68B1DB1-Normal14"/>
              <w:spacing w:after="0" w:line="240" w:lineRule="auto"/>
              <w:jc w:val="center"/>
              <w:rPr>
                <w:rFonts w:eastAsia="Times New Roman"/>
                <w:b/>
                <w:noProof/>
              </w:rPr>
            </w:pPr>
            <w:r>
              <w:rPr>
                <w:b/>
                <w:noProof/>
              </w:rPr>
              <w:t>Indicateurs qualitatifs</w:t>
            </w:r>
            <w:r>
              <w:rPr>
                <w:noProof/>
              </w:rPr>
              <w:t xml:space="preserve"> </w:t>
            </w:r>
            <w:r>
              <w:rPr>
                <w:noProof/>
              </w:rPr>
              <w:br/>
            </w:r>
            <w:r>
              <w:rPr>
                <w:b/>
                <w:noProof/>
              </w:rPr>
              <w:t>(pour les jalons)</w:t>
            </w:r>
          </w:p>
        </w:tc>
        <w:tc>
          <w:tcPr>
            <w:tcW w:w="335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A9F73C6" w14:textId="6A736F73"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831" w:type="dxa"/>
            <w:gridSpan w:val="2"/>
            <w:tcBorders>
              <w:top w:val="single" w:sz="4" w:space="0" w:color="auto"/>
              <w:left w:val="nil"/>
              <w:bottom w:val="single" w:sz="4" w:space="0" w:color="auto"/>
              <w:right w:val="single" w:sz="4" w:space="0" w:color="auto"/>
            </w:tcBorders>
            <w:shd w:val="clear" w:color="auto" w:fill="BDD7EE"/>
            <w:vAlign w:val="center"/>
            <w:hideMark/>
          </w:tcPr>
          <w:p w14:paraId="2F73F84D" w14:textId="0FA7AED1" w:rsidR="00A345F4" w:rsidRDefault="005E2D4E">
            <w:pPr>
              <w:pStyle w:val="P68B1DB1-Normal13"/>
              <w:spacing w:after="0" w:line="240" w:lineRule="auto"/>
              <w:jc w:val="center"/>
              <w:rPr>
                <w:rFonts w:eastAsia="Times New Roman"/>
                <w:noProof/>
              </w:rPr>
            </w:pPr>
            <w:r>
              <w:rPr>
                <w:noProof/>
              </w:rPr>
              <w:t xml:space="preserve">Calendrier indicatif d'achèvement </w:t>
            </w:r>
          </w:p>
        </w:tc>
        <w:tc>
          <w:tcPr>
            <w:tcW w:w="35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0962F0"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1CAB1800" w14:textId="77777777" w:rsidTr="004E4AC2">
        <w:trPr>
          <w:trHeight w:val="300"/>
          <w:tblHeader/>
          <w:jc w:val="center"/>
        </w:trPr>
        <w:tc>
          <w:tcPr>
            <w:tcW w:w="605" w:type="dxa"/>
            <w:vMerge/>
            <w:tcBorders>
              <w:top w:val="single" w:sz="4" w:space="0" w:color="auto"/>
              <w:left w:val="single" w:sz="4" w:space="0" w:color="auto"/>
              <w:bottom w:val="single" w:sz="4" w:space="0" w:color="auto"/>
              <w:right w:val="single" w:sz="4" w:space="0" w:color="auto"/>
            </w:tcBorders>
            <w:hideMark/>
          </w:tcPr>
          <w:p w14:paraId="118DFF7D"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788" w:type="dxa"/>
            <w:vMerge/>
            <w:tcBorders>
              <w:top w:val="single" w:sz="4" w:space="0" w:color="auto"/>
              <w:left w:val="single" w:sz="4" w:space="0" w:color="auto"/>
              <w:bottom w:val="single" w:sz="4" w:space="0" w:color="auto"/>
              <w:right w:val="single" w:sz="4" w:space="0" w:color="auto"/>
            </w:tcBorders>
            <w:hideMark/>
          </w:tcPr>
          <w:p w14:paraId="0F8F236C" w14:textId="77777777" w:rsidR="00A345F4" w:rsidRDefault="00A345F4">
            <w:pPr>
              <w:spacing w:after="0" w:line="240" w:lineRule="auto"/>
              <w:jc w:val="both"/>
              <w:rPr>
                <w:rFonts w:ascii="Times New Roman" w:eastAsia="Times New Roman" w:hAnsi="Times New Roman" w:cs="Times New Roman"/>
                <w:b/>
                <w:noProof/>
                <w:sz w:val="20"/>
                <w:szCs w:val="20"/>
              </w:rPr>
            </w:pPr>
          </w:p>
        </w:tc>
        <w:tc>
          <w:tcPr>
            <w:tcW w:w="1146" w:type="dxa"/>
            <w:vMerge/>
            <w:tcBorders>
              <w:top w:val="single" w:sz="4" w:space="0" w:color="auto"/>
              <w:left w:val="single" w:sz="4" w:space="0" w:color="auto"/>
              <w:bottom w:val="single" w:sz="4" w:space="0" w:color="auto"/>
              <w:right w:val="single" w:sz="4" w:space="0" w:color="auto"/>
            </w:tcBorders>
            <w:hideMark/>
          </w:tcPr>
          <w:p w14:paraId="014EA4E1"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511" w:type="dxa"/>
            <w:vMerge/>
            <w:tcBorders>
              <w:top w:val="single" w:sz="4" w:space="0" w:color="auto"/>
              <w:left w:val="single" w:sz="4" w:space="0" w:color="auto"/>
              <w:bottom w:val="single" w:sz="4" w:space="0" w:color="auto"/>
              <w:right w:val="single" w:sz="4" w:space="0" w:color="auto"/>
            </w:tcBorders>
            <w:hideMark/>
          </w:tcPr>
          <w:p w14:paraId="4117F985" w14:textId="77777777" w:rsidR="00A345F4" w:rsidRDefault="00A345F4">
            <w:pPr>
              <w:spacing w:after="0" w:line="240" w:lineRule="auto"/>
              <w:jc w:val="both"/>
              <w:rPr>
                <w:rFonts w:ascii="Times New Roman" w:eastAsia="Times New Roman" w:hAnsi="Times New Roman" w:cs="Times New Roman"/>
                <w:b/>
                <w:noProof/>
                <w:sz w:val="20"/>
                <w:szCs w:val="20"/>
              </w:rPr>
            </w:pPr>
          </w:p>
        </w:tc>
        <w:tc>
          <w:tcPr>
            <w:tcW w:w="1800" w:type="dxa"/>
            <w:vMerge/>
            <w:tcBorders>
              <w:top w:val="single" w:sz="4" w:space="0" w:color="auto"/>
              <w:left w:val="single" w:sz="4" w:space="0" w:color="auto"/>
              <w:bottom w:val="single" w:sz="4" w:space="0" w:color="auto"/>
              <w:right w:val="single" w:sz="4" w:space="0" w:color="auto"/>
            </w:tcBorders>
            <w:hideMark/>
          </w:tcPr>
          <w:p w14:paraId="4FCC3C7B" w14:textId="77777777" w:rsidR="00A345F4" w:rsidRDefault="00A345F4">
            <w:pPr>
              <w:spacing w:after="0" w:line="240" w:lineRule="auto"/>
              <w:jc w:val="both"/>
              <w:rPr>
                <w:rFonts w:ascii="Times New Roman" w:eastAsia="Times New Roman" w:hAnsi="Times New Roman" w:cs="Times New Roman"/>
                <w:b/>
                <w:noProof/>
                <w:sz w:val="20"/>
                <w:szCs w:val="20"/>
              </w:rPr>
            </w:pPr>
          </w:p>
        </w:tc>
        <w:tc>
          <w:tcPr>
            <w:tcW w:w="1225" w:type="dxa"/>
            <w:tcBorders>
              <w:top w:val="nil"/>
              <w:left w:val="single" w:sz="4" w:space="0" w:color="auto"/>
              <w:bottom w:val="single" w:sz="4" w:space="0" w:color="auto"/>
              <w:right w:val="single" w:sz="4" w:space="0" w:color="auto"/>
            </w:tcBorders>
            <w:shd w:val="clear" w:color="auto" w:fill="BDD7EE"/>
            <w:vAlign w:val="center"/>
            <w:hideMark/>
          </w:tcPr>
          <w:p w14:paraId="075024D5" w14:textId="6F02C01C" w:rsidR="00A345F4" w:rsidRDefault="005E2D4E">
            <w:pPr>
              <w:pStyle w:val="P68B1DB1-Normal13"/>
              <w:spacing w:after="0" w:line="240" w:lineRule="auto"/>
              <w:jc w:val="center"/>
              <w:rPr>
                <w:rFonts w:eastAsia="Times New Roman"/>
                <w:noProof/>
              </w:rPr>
            </w:pPr>
            <w:r>
              <w:rPr>
                <w:noProof/>
              </w:rPr>
              <w:t>Unité de mesure</w:t>
            </w:r>
          </w:p>
        </w:tc>
        <w:tc>
          <w:tcPr>
            <w:tcW w:w="992" w:type="dxa"/>
            <w:tcBorders>
              <w:top w:val="nil"/>
              <w:left w:val="nil"/>
              <w:bottom w:val="single" w:sz="4" w:space="0" w:color="auto"/>
              <w:right w:val="single" w:sz="4" w:space="0" w:color="auto"/>
            </w:tcBorders>
            <w:shd w:val="clear" w:color="auto" w:fill="BDD7EE"/>
            <w:vAlign w:val="center"/>
            <w:hideMark/>
          </w:tcPr>
          <w:p w14:paraId="28A1B10F" w14:textId="77777777" w:rsidR="00A345F4" w:rsidRDefault="005E2D4E">
            <w:pPr>
              <w:pStyle w:val="P68B1DB1-Normal13"/>
              <w:spacing w:after="0" w:line="240" w:lineRule="auto"/>
              <w:jc w:val="center"/>
              <w:rPr>
                <w:rFonts w:eastAsia="Times New Roman"/>
                <w:noProof/>
              </w:rPr>
            </w:pPr>
            <w:r>
              <w:rPr>
                <w:noProof/>
              </w:rPr>
              <w:t>Données de référence</w:t>
            </w:r>
          </w:p>
        </w:tc>
        <w:tc>
          <w:tcPr>
            <w:tcW w:w="1134" w:type="dxa"/>
            <w:tcBorders>
              <w:top w:val="nil"/>
              <w:left w:val="nil"/>
              <w:bottom w:val="single" w:sz="4" w:space="0" w:color="auto"/>
              <w:right w:val="single" w:sz="4" w:space="0" w:color="auto"/>
            </w:tcBorders>
            <w:shd w:val="clear" w:color="auto" w:fill="BDD7EE"/>
            <w:vAlign w:val="center"/>
            <w:hideMark/>
          </w:tcPr>
          <w:p w14:paraId="5E125055" w14:textId="2DD1105A" w:rsidR="00A345F4" w:rsidRDefault="005E2D4E">
            <w:pPr>
              <w:pStyle w:val="P68B1DB1-Normal13"/>
              <w:spacing w:after="0" w:line="240" w:lineRule="auto"/>
              <w:jc w:val="center"/>
              <w:rPr>
                <w:rFonts w:eastAsia="Times New Roman"/>
                <w:noProof/>
              </w:rPr>
            </w:pPr>
            <w:r>
              <w:rPr>
                <w:noProof/>
              </w:rPr>
              <w:t>Objectif</w:t>
            </w:r>
          </w:p>
        </w:tc>
        <w:tc>
          <w:tcPr>
            <w:tcW w:w="993" w:type="dxa"/>
            <w:tcBorders>
              <w:top w:val="nil"/>
              <w:left w:val="nil"/>
              <w:bottom w:val="single" w:sz="4" w:space="0" w:color="auto"/>
              <w:right w:val="single" w:sz="4" w:space="0" w:color="auto"/>
            </w:tcBorders>
            <w:shd w:val="clear" w:color="auto" w:fill="BDD7EE"/>
            <w:vAlign w:val="center"/>
            <w:hideMark/>
          </w:tcPr>
          <w:p w14:paraId="7FA0BC72" w14:textId="77777777" w:rsidR="00A345F4" w:rsidRDefault="005E2D4E">
            <w:pPr>
              <w:pStyle w:val="P68B1DB1-Normal13"/>
              <w:spacing w:after="0" w:line="240" w:lineRule="auto"/>
              <w:jc w:val="center"/>
              <w:rPr>
                <w:rFonts w:eastAsia="Times New Roman"/>
                <w:noProof/>
              </w:rPr>
            </w:pPr>
            <w:r>
              <w:rPr>
                <w:noProof/>
              </w:rPr>
              <w:t>Trimestre</w:t>
            </w:r>
          </w:p>
        </w:tc>
        <w:tc>
          <w:tcPr>
            <w:tcW w:w="838" w:type="dxa"/>
            <w:tcBorders>
              <w:top w:val="nil"/>
              <w:left w:val="nil"/>
              <w:bottom w:val="single" w:sz="4" w:space="0" w:color="auto"/>
              <w:right w:val="single" w:sz="4" w:space="0" w:color="auto"/>
            </w:tcBorders>
            <w:shd w:val="clear" w:color="auto" w:fill="BDD7EE"/>
            <w:vAlign w:val="center"/>
            <w:hideMark/>
          </w:tcPr>
          <w:p w14:paraId="546A4D03" w14:textId="77777777" w:rsidR="00A345F4" w:rsidRDefault="005E2D4E">
            <w:pPr>
              <w:pStyle w:val="P68B1DB1-Normal13"/>
              <w:spacing w:after="0" w:line="240" w:lineRule="auto"/>
              <w:jc w:val="center"/>
              <w:rPr>
                <w:rFonts w:eastAsia="Times New Roman"/>
                <w:noProof/>
              </w:rPr>
            </w:pPr>
            <w:r>
              <w:rPr>
                <w:noProof/>
              </w:rPr>
              <w:t>Année</w:t>
            </w:r>
          </w:p>
        </w:tc>
        <w:tc>
          <w:tcPr>
            <w:tcW w:w="3510" w:type="dxa"/>
            <w:vMerge/>
            <w:tcBorders>
              <w:top w:val="single" w:sz="4" w:space="0" w:color="auto"/>
              <w:bottom w:val="single" w:sz="4" w:space="0" w:color="auto"/>
              <w:right w:val="single" w:sz="4" w:space="0" w:color="auto"/>
            </w:tcBorders>
            <w:hideMark/>
          </w:tcPr>
          <w:p w14:paraId="0D193FA3" w14:textId="77777777" w:rsidR="00A345F4" w:rsidRDefault="00A345F4">
            <w:pPr>
              <w:spacing w:after="0" w:line="240" w:lineRule="auto"/>
              <w:jc w:val="both"/>
              <w:rPr>
                <w:rFonts w:ascii="Times New Roman" w:eastAsia="Times New Roman" w:hAnsi="Times New Roman" w:cs="Times New Roman"/>
                <w:b/>
                <w:noProof/>
                <w:sz w:val="20"/>
                <w:szCs w:val="20"/>
              </w:rPr>
            </w:pPr>
          </w:p>
        </w:tc>
      </w:tr>
      <w:tr w:rsidR="00A345F4" w14:paraId="0EDB2E44" w14:textId="77777777" w:rsidTr="004E4AC2">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6AC46BEC" w14:textId="77777777" w:rsidR="00A345F4" w:rsidRDefault="005E2D4E">
            <w:pPr>
              <w:pStyle w:val="P68B1DB1-Normal14"/>
              <w:spacing w:after="0" w:line="240" w:lineRule="auto"/>
              <w:jc w:val="center"/>
              <w:rPr>
                <w:rFonts w:eastAsia="Times New Roman"/>
                <w:noProof/>
              </w:rPr>
            </w:pPr>
            <w:r>
              <w:rPr>
                <w:noProof/>
              </w:rPr>
              <w:t>59</w:t>
            </w:r>
          </w:p>
        </w:tc>
        <w:tc>
          <w:tcPr>
            <w:tcW w:w="1788" w:type="dxa"/>
            <w:tcBorders>
              <w:top w:val="single" w:sz="4" w:space="0" w:color="auto"/>
              <w:left w:val="nil"/>
              <w:bottom w:val="single" w:sz="4" w:space="0" w:color="auto"/>
              <w:right w:val="single" w:sz="4" w:space="0" w:color="auto"/>
            </w:tcBorders>
            <w:shd w:val="clear" w:color="auto" w:fill="C6EFCE"/>
            <w:noWrap/>
          </w:tcPr>
          <w:p w14:paraId="0C6D3838" w14:textId="77777777" w:rsidR="00A345F4" w:rsidRDefault="005E2D4E">
            <w:pPr>
              <w:pStyle w:val="P68B1DB1-Normal14"/>
              <w:spacing w:after="0" w:line="240" w:lineRule="auto"/>
              <w:jc w:val="both"/>
              <w:rPr>
                <w:rFonts w:eastAsia="Times New Roman"/>
                <w:noProof/>
              </w:rPr>
            </w:pPr>
            <w:r>
              <w:rPr>
                <w:noProof/>
              </w:rPr>
              <w:t>Réforme 1. Transports durables, décarbonation et sécurité routière</w:t>
            </w:r>
          </w:p>
        </w:tc>
        <w:tc>
          <w:tcPr>
            <w:tcW w:w="1146" w:type="dxa"/>
            <w:tcBorders>
              <w:top w:val="single" w:sz="4" w:space="0" w:color="auto"/>
              <w:left w:val="nil"/>
              <w:bottom w:val="single" w:sz="4" w:space="0" w:color="auto"/>
              <w:right w:val="single" w:sz="4" w:space="0" w:color="auto"/>
            </w:tcBorders>
            <w:shd w:val="clear" w:color="auto" w:fill="C6EFCE"/>
            <w:noWrap/>
          </w:tcPr>
          <w:p w14:paraId="55127D02" w14:textId="11DFD0F6" w:rsidR="00A345F4" w:rsidRDefault="005E2D4E">
            <w:pPr>
              <w:pStyle w:val="P68B1DB1-Normal14"/>
              <w:spacing w:after="0" w:line="240" w:lineRule="auto"/>
              <w:jc w:val="center"/>
              <w:rPr>
                <w:rFonts w:eastAsia="Times New Roman"/>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41528633" w14:textId="77777777" w:rsidR="00A345F4" w:rsidRDefault="005E2D4E">
            <w:pPr>
              <w:pStyle w:val="P68B1DB1-Normal14"/>
              <w:spacing w:after="0" w:line="240" w:lineRule="auto"/>
              <w:jc w:val="both"/>
              <w:rPr>
                <w:rFonts w:eastAsia="Times New Roman"/>
                <w:noProof/>
              </w:rPr>
            </w:pPr>
            <w:r>
              <w:rPr>
                <w:noProof/>
              </w:rPr>
              <w:t xml:space="preserve">Entrée en vigueur du ou des actes juridiques pour la mise en œuvre d’un nouveau système de tarification fondé sur la distance pour les véhicules utilitaires lourds (camions) liés à la pollution atmosphérique, et augmentation des taxes de propriété pour la plupart des véhicules de passagers polluants (voitures/autobus/autocars) </w:t>
            </w:r>
          </w:p>
        </w:tc>
        <w:tc>
          <w:tcPr>
            <w:tcW w:w="1800" w:type="dxa"/>
            <w:tcBorders>
              <w:top w:val="single" w:sz="4" w:space="0" w:color="auto"/>
              <w:left w:val="nil"/>
              <w:bottom w:val="single" w:sz="4" w:space="0" w:color="auto"/>
              <w:right w:val="single" w:sz="4" w:space="0" w:color="auto"/>
            </w:tcBorders>
            <w:shd w:val="clear" w:color="auto" w:fill="C6EFCE"/>
            <w:noWrap/>
          </w:tcPr>
          <w:p w14:paraId="15F32F84" w14:textId="77777777" w:rsidR="00A345F4" w:rsidRDefault="005E2D4E">
            <w:pPr>
              <w:pStyle w:val="P68B1DB1-Normal14"/>
              <w:spacing w:after="0" w:line="240" w:lineRule="auto"/>
              <w:jc w:val="both"/>
              <w:rPr>
                <w:rFonts w:eastAsia="Times New Roman"/>
                <w:noProof/>
              </w:rPr>
            </w:pPr>
            <w:r>
              <w:rPr>
                <w:noProof/>
              </w:rPr>
              <w:t xml:space="preserve">Disposition de l’acte ou des actes juridiques indiquant l’entrée en vigueur de l’acte ou des actes juridiques </w:t>
            </w:r>
          </w:p>
        </w:tc>
        <w:tc>
          <w:tcPr>
            <w:tcW w:w="1225" w:type="dxa"/>
            <w:tcBorders>
              <w:top w:val="single" w:sz="4" w:space="0" w:color="auto"/>
              <w:left w:val="nil"/>
              <w:bottom w:val="single" w:sz="4" w:space="0" w:color="auto"/>
              <w:right w:val="single" w:sz="4" w:space="0" w:color="auto"/>
            </w:tcBorders>
            <w:shd w:val="clear" w:color="auto" w:fill="C6EFCE"/>
            <w:noWrap/>
          </w:tcPr>
          <w:p w14:paraId="2D729E64"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2133281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4295B1F4"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03D8AEF1" w14:textId="77777777" w:rsidR="00A345F4" w:rsidRDefault="005E2D4E">
            <w:pPr>
              <w:pStyle w:val="P68B1DB1-Normal14"/>
              <w:spacing w:after="0" w:line="240" w:lineRule="auto"/>
              <w:jc w:val="both"/>
              <w:rPr>
                <w:rFonts w:eastAsia="Times New Roman"/>
                <w:noProof/>
              </w:rPr>
            </w:pPr>
            <w:r>
              <w:rPr>
                <w:noProof/>
              </w:rPr>
              <w:t>T2</w:t>
            </w:r>
          </w:p>
        </w:tc>
        <w:tc>
          <w:tcPr>
            <w:tcW w:w="838" w:type="dxa"/>
            <w:tcBorders>
              <w:top w:val="single" w:sz="4" w:space="0" w:color="auto"/>
              <w:left w:val="nil"/>
              <w:bottom w:val="single" w:sz="4" w:space="0" w:color="auto"/>
              <w:right w:val="single" w:sz="4" w:space="0" w:color="auto"/>
            </w:tcBorders>
            <w:shd w:val="clear" w:color="auto" w:fill="C6EFCE"/>
            <w:noWrap/>
          </w:tcPr>
          <w:p w14:paraId="2ABC0A1A" w14:textId="77777777" w:rsidR="00A345F4" w:rsidRDefault="005E2D4E">
            <w:pPr>
              <w:pStyle w:val="P68B1DB1-Normal14"/>
              <w:spacing w:after="0" w:line="240" w:lineRule="auto"/>
              <w:jc w:val="both"/>
              <w:rPr>
                <w:rFonts w:eastAsia="Times New Roman"/>
                <w:noProof/>
              </w:rPr>
            </w:pPr>
            <w:r>
              <w:rPr>
                <w:noProof/>
              </w:rPr>
              <w:t>2023</w:t>
            </w:r>
          </w:p>
        </w:tc>
        <w:tc>
          <w:tcPr>
            <w:tcW w:w="3510" w:type="dxa"/>
            <w:tcBorders>
              <w:top w:val="single" w:sz="4" w:space="0" w:color="auto"/>
              <w:left w:val="nil"/>
              <w:bottom w:val="single" w:sz="4" w:space="0" w:color="auto"/>
              <w:right w:val="single" w:sz="4" w:space="0" w:color="auto"/>
            </w:tcBorders>
            <w:shd w:val="clear" w:color="auto" w:fill="C6EFCE"/>
            <w:noWrap/>
          </w:tcPr>
          <w:p w14:paraId="0ADC43EB" w14:textId="77777777" w:rsidR="00A345F4" w:rsidRDefault="005E2D4E">
            <w:pPr>
              <w:pStyle w:val="P68B1DB1-Normal14"/>
              <w:spacing w:after="0" w:line="240" w:lineRule="auto"/>
              <w:jc w:val="both"/>
              <w:rPr>
                <w:noProof/>
              </w:rPr>
            </w:pPr>
            <w:r>
              <w:rPr>
                <w:noProof/>
              </w:rPr>
              <w:t xml:space="preserve">Acte(s) juridique(s) pour la mise en œuvre d’un nouveau système de tarification fondé sur la distance pour les véhicules utilitaires lourds (camions), qui lie les redevances à la production de pollution atmosphérique et à des taxes de propriété plus élevées pour la plupart des véhicules de transport de passagers polluants (voitures/autobus/autocars) </w:t>
            </w:r>
          </w:p>
          <w:p w14:paraId="3F2631E3" w14:textId="77777777" w:rsidR="00A345F4" w:rsidRDefault="005E2D4E">
            <w:pPr>
              <w:pStyle w:val="P68B1DB1-Normal14"/>
              <w:spacing w:after="0" w:line="240" w:lineRule="auto"/>
              <w:jc w:val="both"/>
              <w:rPr>
                <w:noProof/>
              </w:rPr>
            </w:pPr>
            <w:r>
              <w:rPr>
                <w:noProof/>
              </w:rPr>
              <w:t>Le nouveau système de tarification des véhicules comprend:</w:t>
            </w:r>
          </w:p>
          <w:p w14:paraId="3754AF0D" w14:textId="77777777" w:rsidR="00A345F4" w:rsidRDefault="005E2D4E">
            <w:pPr>
              <w:pStyle w:val="P68B1DB1-Normal14"/>
              <w:numPr>
                <w:ilvl w:val="0"/>
                <w:numId w:val="6"/>
              </w:numPr>
              <w:spacing w:after="0" w:line="240" w:lineRule="auto"/>
              <w:ind w:left="165" w:hanging="141"/>
              <w:contextualSpacing/>
              <w:jc w:val="both"/>
              <w:rPr>
                <w:noProof/>
              </w:rPr>
            </w:pPr>
            <w:r>
              <w:rPr>
                <w:noProof/>
              </w:rPr>
              <w:t>le niveau spécifique des redevances fondées sur la distance et des critères clairs liés à la pollution atmosphérique pour la taxation des véhicules lourds,</w:t>
            </w:r>
          </w:p>
          <w:p w14:paraId="46CC5A8B" w14:textId="77777777" w:rsidR="00A345F4" w:rsidRDefault="005E2D4E">
            <w:pPr>
              <w:pStyle w:val="P68B1DB1-Normal14"/>
              <w:numPr>
                <w:ilvl w:val="0"/>
                <w:numId w:val="6"/>
              </w:numPr>
              <w:spacing w:after="0" w:line="240" w:lineRule="auto"/>
              <w:ind w:left="165" w:hanging="141"/>
              <w:contextualSpacing/>
              <w:jc w:val="both"/>
              <w:rPr>
                <w:rFonts w:eastAsia="Times New Roman"/>
                <w:noProof/>
              </w:rPr>
            </w:pPr>
            <w:r>
              <w:rPr>
                <w:noProof/>
              </w:rPr>
              <w:t>utiliser les recettes pour soutenir l’entretien des routes et les nouveaux investissements dans les transports durables,</w:t>
            </w:r>
          </w:p>
          <w:p w14:paraId="28BA51A7" w14:textId="77777777" w:rsidR="00A345F4" w:rsidRDefault="005E2D4E">
            <w:pPr>
              <w:pStyle w:val="P68B1DB1-Normal14"/>
              <w:numPr>
                <w:ilvl w:val="0"/>
                <w:numId w:val="6"/>
              </w:numPr>
              <w:spacing w:after="0" w:line="240" w:lineRule="auto"/>
              <w:ind w:left="165" w:hanging="141"/>
              <w:contextualSpacing/>
              <w:jc w:val="both"/>
              <w:rPr>
                <w:rFonts w:eastAsia="Times New Roman"/>
                <w:noProof/>
              </w:rPr>
            </w:pPr>
            <w:r>
              <w:rPr>
                <w:noProof/>
              </w:rPr>
              <w:t>calendrier pour que le système de tarification commence à percevoir des recettes au plus tard le 1er juillet 2026.</w:t>
            </w:r>
          </w:p>
        </w:tc>
      </w:tr>
      <w:tr w:rsidR="00A345F4" w14:paraId="07377D6D" w14:textId="77777777" w:rsidTr="004E4AC2">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098A9BD5" w14:textId="77777777" w:rsidR="00A345F4" w:rsidRDefault="005E2D4E">
            <w:pPr>
              <w:pStyle w:val="P68B1DB1-Normal14"/>
              <w:spacing w:after="0" w:line="240" w:lineRule="auto"/>
              <w:jc w:val="center"/>
              <w:rPr>
                <w:rFonts w:eastAsia="Times New Roman"/>
                <w:noProof/>
              </w:rPr>
            </w:pPr>
            <w:r>
              <w:rPr>
                <w:noProof/>
              </w:rPr>
              <w:t>60</w:t>
            </w:r>
          </w:p>
        </w:tc>
        <w:tc>
          <w:tcPr>
            <w:tcW w:w="1788" w:type="dxa"/>
            <w:tcBorders>
              <w:top w:val="single" w:sz="4" w:space="0" w:color="auto"/>
              <w:left w:val="nil"/>
              <w:bottom w:val="single" w:sz="4" w:space="0" w:color="auto"/>
              <w:right w:val="single" w:sz="4" w:space="0" w:color="auto"/>
            </w:tcBorders>
            <w:shd w:val="clear" w:color="auto" w:fill="C6EFCE"/>
            <w:noWrap/>
          </w:tcPr>
          <w:p w14:paraId="2588E58A" w14:textId="77777777" w:rsidR="00A345F4" w:rsidRDefault="005E2D4E">
            <w:pPr>
              <w:pStyle w:val="P68B1DB1-Normal14"/>
              <w:spacing w:after="0" w:line="240" w:lineRule="auto"/>
              <w:jc w:val="both"/>
              <w:rPr>
                <w:rFonts w:eastAsia="Times New Roman"/>
                <w:noProof/>
              </w:rPr>
            </w:pPr>
            <w:r>
              <w:rPr>
                <w:noProof/>
              </w:rPr>
              <w:t xml:space="preserve">Réforme 1. Transports durables, décarbonation et sécurité routière </w:t>
            </w:r>
          </w:p>
        </w:tc>
        <w:tc>
          <w:tcPr>
            <w:tcW w:w="1146" w:type="dxa"/>
            <w:tcBorders>
              <w:top w:val="single" w:sz="4" w:space="0" w:color="auto"/>
              <w:left w:val="nil"/>
              <w:bottom w:val="single" w:sz="4" w:space="0" w:color="auto"/>
              <w:right w:val="single" w:sz="4" w:space="0" w:color="auto"/>
            </w:tcBorders>
            <w:shd w:val="clear" w:color="auto" w:fill="C6EFCE"/>
            <w:noWrap/>
          </w:tcPr>
          <w:p w14:paraId="0FDAAA97" w14:textId="4FA1B011" w:rsidR="00A345F4" w:rsidRDefault="005E2D4E">
            <w:pPr>
              <w:pStyle w:val="P68B1DB1-Normal14"/>
              <w:spacing w:after="0" w:line="240" w:lineRule="auto"/>
              <w:jc w:val="center"/>
              <w:rPr>
                <w:rFonts w:eastAsia="Times New Roman"/>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52CF12F5" w14:textId="77777777" w:rsidR="00A345F4" w:rsidRDefault="005E2D4E">
            <w:pPr>
              <w:pStyle w:val="P68B1DB1-Normal14"/>
              <w:spacing w:after="0" w:line="240" w:lineRule="auto"/>
              <w:jc w:val="both"/>
              <w:rPr>
                <w:rFonts w:eastAsia="Times New Roman"/>
                <w:noProof/>
              </w:rPr>
            </w:pPr>
            <w:r>
              <w:rPr>
                <w:noProof/>
              </w:rPr>
              <w:t xml:space="preserve">Entrée en vigueur du ou des actes juridiques visant à stimuler l’utilisation de véhicules propres et des programmes de renouvellement de la flotte </w:t>
            </w:r>
          </w:p>
        </w:tc>
        <w:tc>
          <w:tcPr>
            <w:tcW w:w="1800" w:type="dxa"/>
            <w:tcBorders>
              <w:top w:val="single" w:sz="4" w:space="0" w:color="auto"/>
              <w:left w:val="nil"/>
              <w:bottom w:val="single" w:sz="4" w:space="0" w:color="auto"/>
              <w:right w:val="single" w:sz="4" w:space="0" w:color="auto"/>
            </w:tcBorders>
            <w:shd w:val="clear" w:color="auto" w:fill="C6EFCE"/>
            <w:noWrap/>
          </w:tcPr>
          <w:p w14:paraId="6D17325E" w14:textId="77777777" w:rsidR="00A345F4" w:rsidRDefault="005E2D4E">
            <w:pPr>
              <w:pStyle w:val="P68B1DB1-Normal14"/>
              <w:spacing w:after="0" w:line="240" w:lineRule="auto"/>
              <w:jc w:val="both"/>
              <w:rPr>
                <w:rFonts w:eastAsia="Times New Roman"/>
                <w:noProof/>
              </w:rPr>
            </w:pPr>
            <w:r>
              <w:rPr>
                <w:noProof/>
              </w:rPr>
              <w:t>Disposition du ou des actes juridiques indiquant l’entrée en vigueur du ou des actes juridiques visant à stimuler l’utilisation de véhicules propres et les programmes de renouvellement du parc</w:t>
            </w:r>
          </w:p>
        </w:tc>
        <w:tc>
          <w:tcPr>
            <w:tcW w:w="1225" w:type="dxa"/>
            <w:tcBorders>
              <w:top w:val="single" w:sz="4" w:space="0" w:color="auto"/>
              <w:left w:val="nil"/>
              <w:bottom w:val="single" w:sz="4" w:space="0" w:color="auto"/>
              <w:right w:val="single" w:sz="4" w:space="0" w:color="auto"/>
            </w:tcBorders>
            <w:shd w:val="clear" w:color="auto" w:fill="C6EFCE"/>
            <w:noWrap/>
          </w:tcPr>
          <w:p w14:paraId="2DF4398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0D4FFA24"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503BE17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24464AE9" w14:textId="77777777" w:rsidR="00A345F4" w:rsidRDefault="005E2D4E">
            <w:pPr>
              <w:pStyle w:val="P68B1DB1-Normal14"/>
              <w:spacing w:after="0" w:line="240" w:lineRule="auto"/>
              <w:jc w:val="both"/>
              <w:rPr>
                <w:rFonts w:eastAsia="Times New Roman"/>
                <w:noProof/>
              </w:rPr>
            </w:pPr>
            <w:r>
              <w:rPr>
                <w:noProof/>
              </w:rPr>
              <w:t>T2</w:t>
            </w:r>
          </w:p>
        </w:tc>
        <w:tc>
          <w:tcPr>
            <w:tcW w:w="838" w:type="dxa"/>
            <w:tcBorders>
              <w:top w:val="single" w:sz="4" w:space="0" w:color="auto"/>
              <w:left w:val="nil"/>
              <w:bottom w:val="single" w:sz="4" w:space="0" w:color="auto"/>
              <w:right w:val="single" w:sz="4" w:space="0" w:color="auto"/>
            </w:tcBorders>
            <w:shd w:val="clear" w:color="auto" w:fill="C6EFCE"/>
            <w:noWrap/>
          </w:tcPr>
          <w:p w14:paraId="37B47F99" w14:textId="77777777" w:rsidR="00A345F4" w:rsidRDefault="005E2D4E">
            <w:pPr>
              <w:pStyle w:val="P68B1DB1-Normal14"/>
              <w:spacing w:after="0" w:line="240" w:lineRule="auto"/>
              <w:jc w:val="both"/>
              <w:rPr>
                <w:rFonts w:eastAsia="Times New Roman"/>
                <w:noProof/>
              </w:rPr>
            </w:pPr>
            <w:r>
              <w:rPr>
                <w:noProof/>
              </w:rPr>
              <w:t>2024</w:t>
            </w:r>
          </w:p>
        </w:tc>
        <w:tc>
          <w:tcPr>
            <w:tcW w:w="3510" w:type="dxa"/>
            <w:tcBorders>
              <w:top w:val="single" w:sz="4" w:space="0" w:color="auto"/>
              <w:left w:val="nil"/>
              <w:bottom w:val="single" w:sz="4" w:space="0" w:color="auto"/>
              <w:right w:val="single" w:sz="4" w:space="0" w:color="auto"/>
            </w:tcBorders>
            <w:shd w:val="clear" w:color="auto" w:fill="C6EFCE"/>
            <w:noWrap/>
          </w:tcPr>
          <w:p w14:paraId="228FD7D7" w14:textId="77777777" w:rsidR="00A345F4" w:rsidRDefault="005E2D4E">
            <w:pPr>
              <w:pStyle w:val="P68B1DB1-Normal14"/>
              <w:spacing w:after="0" w:line="240" w:lineRule="auto"/>
              <w:jc w:val="both"/>
              <w:rPr>
                <w:noProof/>
              </w:rPr>
            </w:pPr>
            <w:r>
              <w:rPr>
                <w:noProof/>
              </w:rPr>
              <w:t>Le ou les actes juridiques comportent des incitations financières et fiscales visant à:</w:t>
            </w:r>
          </w:p>
          <w:p w14:paraId="035822FC" w14:textId="77777777" w:rsidR="00A345F4" w:rsidRDefault="005E2D4E">
            <w:pPr>
              <w:pStyle w:val="P68B1DB1-Normal14"/>
              <w:numPr>
                <w:ilvl w:val="0"/>
                <w:numId w:val="6"/>
              </w:numPr>
              <w:spacing w:after="0" w:line="240" w:lineRule="auto"/>
              <w:ind w:left="165" w:hanging="141"/>
              <w:contextualSpacing/>
              <w:jc w:val="both"/>
              <w:rPr>
                <w:noProof/>
              </w:rPr>
            </w:pPr>
            <w:r>
              <w:rPr>
                <w:noProof/>
              </w:rPr>
              <w:t>augmenter le nombre de véhicules à émissions nulles;</w:t>
            </w:r>
          </w:p>
          <w:p w14:paraId="6742C2C9" w14:textId="77777777" w:rsidR="00A345F4" w:rsidRDefault="005E2D4E">
            <w:pPr>
              <w:pStyle w:val="P68B1DB1-Normal14"/>
              <w:numPr>
                <w:ilvl w:val="0"/>
                <w:numId w:val="6"/>
              </w:numPr>
              <w:spacing w:after="0" w:line="240" w:lineRule="auto"/>
              <w:ind w:left="165" w:hanging="141"/>
              <w:contextualSpacing/>
              <w:jc w:val="both"/>
              <w:rPr>
                <w:noProof/>
              </w:rPr>
            </w:pPr>
            <w:r>
              <w:rPr>
                <w:noProof/>
              </w:rPr>
              <w:t>déchets de véhicules polluants (EURO 3 ou moins)</w:t>
            </w:r>
          </w:p>
        </w:tc>
      </w:tr>
      <w:tr w:rsidR="00A345F4" w14:paraId="39CCDC33" w14:textId="77777777" w:rsidTr="004E4AC2">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76D3815B" w14:textId="77777777" w:rsidR="00A345F4" w:rsidRDefault="005E2D4E">
            <w:pPr>
              <w:pStyle w:val="P68B1DB1-Normal14"/>
              <w:tabs>
                <w:tab w:val="center" w:pos="274"/>
              </w:tabs>
              <w:spacing w:after="0" w:line="240" w:lineRule="auto"/>
              <w:rPr>
                <w:rFonts w:eastAsia="Times New Roman"/>
                <w:noProof/>
              </w:rPr>
            </w:pPr>
            <w:r>
              <w:rPr>
                <w:noProof/>
              </w:rPr>
              <w:tab/>
              <w:t>61</w:t>
            </w:r>
          </w:p>
        </w:tc>
        <w:tc>
          <w:tcPr>
            <w:tcW w:w="1788" w:type="dxa"/>
            <w:tcBorders>
              <w:top w:val="single" w:sz="4" w:space="0" w:color="auto"/>
              <w:left w:val="nil"/>
              <w:bottom w:val="single" w:sz="4" w:space="0" w:color="auto"/>
              <w:right w:val="single" w:sz="4" w:space="0" w:color="auto"/>
            </w:tcBorders>
            <w:shd w:val="clear" w:color="auto" w:fill="C6EFCE"/>
            <w:noWrap/>
          </w:tcPr>
          <w:p w14:paraId="2B167A31" w14:textId="77777777" w:rsidR="00A345F4" w:rsidRDefault="005E2D4E">
            <w:pPr>
              <w:pStyle w:val="P68B1DB1-Normal14"/>
              <w:spacing w:after="0" w:line="240" w:lineRule="auto"/>
              <w:jc w:val="both"/>
              <w:rPr>
                <w:rFonts w:eastAsia="Times New Roman"/>
                <w:noProof/>
              </w:rPr>
            </w:pPr>
            <w:r>
              <w:rPr>
                <w:noProof/>
              </w:rPr>
              <w:t xml:space="preserve">Réforme 1. Transports durables, décarbonation et sécurité routière </w:t>
            </w:r>
          </w:p>
        </w:tc>
        <w:tc>
          <w:tcPr>
            <w:tcW w:w="1146" w:type="dxa"/>
            <w:tcBorders>
              <w:top w:val="single" w:sz="4" w:space="0" w:color="auto"/>
              <w:left w:val="nil"/>
              <w:bottom w:val="single" w:sz="4" w:space="0" w:color="auto"/>
              <w:right w:val="single" w:sz="4" w:space="0" w:color="auto"/>
            </w:tcBorders>
            <w:shd w:val="clear" w:color="auto" w:fill="C6EFCE"/>
            <w:noWrap/>
          </w:tcPr>
          <w:p w14:paraId="185A86A4" w14:textId="3E3AC384" w:rsidR="00A345F4" w:rsidRDefault="005E2D4E">
            <w:pPr>
              <w:pStyle w:val="P68B1DB1-Normal14"/>
              <w:spacing w:after="0" w:line="240" w:lineRule="auto"/>
              <w:jc w:val="center"/>
              <w:rPr>
                <w:rFonts w:eastAsia="Times New Roman"/>
                <w:noProof/>
              </w:rPr>
            </w:pPr>
            <w:r>
              <w:rPr>
                <w:noProof/>
              </w:rPr>
              <w:t>Objectif</w:t>
            </w:r>
          </w:p>
        </w:tc>
        <w:tc>
          <w:tcPr>
            <w:tcW w:w="1511" w:type="dxa"/>
            <w:tcBorders>
              <w:top w:val="single" w:sz="4" w:space="0" w:color="auto"/>
              <w:left w:val="nil"/>
              <w:bottom w:val="single" w:sz="4" w:space="0" w:color="auto"/>
              <w:right w:val="single" w:sz="4" w:space="0" w:color="auto"/>
            </w:tcBorders>
            <w:shd w:val="clear" w:color="auto" w:fill="C6EFCE"/>
            <w:noWrap/>
          </w:tcPr>
          <w:p w14:paraId="63EBF713" w14:textId="42EBA29A" w:rsidR="00A345F4" w:rsidRDefault="005E2D4E">
            <w:pPr>
              <w:pStyle w:val="P68B1DB1-Normal14"/>
              <w:spacing w:after="0" w:line="240" w:lineRule="auto"/>
              <w:jc w:val="both"/>
              <w:rPr>
                <w:noProof/>
              </w:rPr>
            </w:pPr>
            <w:r>
              <w:rPr>
                <w:noProof/>
              </w:rPr>
              <w:t>Véhicules propres neufs achetés par les pouvoirs adjudicateurs/entités adjudicatrices</w:t>
            </w:r>
          </w:p>
        </w:tc>
        <w:tc>
          <w:tcPr>
            <w:tcW w:w="1800" w:type="dxa"/>
            <w:tcBorders>
              <w:top w:val="single" w:sz="4" w:space="0" w:color="auto"/>
              <w:left w:val="nil"/>
              <w:bottom w:val="single" w:sz="4" w:space="0" w:color="auto"/>
              <w:right w:val="single" w:sz="4" w:space="0" w:color="auto"/>
            </w:tcBorders>
            <w:shd w:val="clear" w:color="auto" w:fill="C6EFCE"/>
            <w:noWrap/>
          </w:tcPr>
          <w:p w14:paraId="6E72884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3AE275EA" w14:textId="77777777" w:rsidR="00A345F4" w:rsidRDefault="005E2D4E">
            <w:pPr>
              <w:pStyle w:val="P68B1DB1-Normal14"/>
              <w:spacing w:after="0" w:line="240" w:lineRule="auto"/>
              <w:rPr>
                <w:rFonts w:eastAsia="Times New Roman"/>
                <w:noProof/>
              </w:rPr>
            </w:pPr>
            <w:r>
              <w:rPr>
                <w:noProof/>
              </w:rPr>
              <w:t>Pourcentage (%)</w:t>
            </w:r>
          </w:p>
          <w:p w14:paraId="1CD26A5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4F46B817" w14:textId="77777777" w:rsidR="00A345F4" w:rsidRDefault="005E2D4E">
            <w:pPr>
              <w:pStyle w:val="P68B1DB1-Normal14"/>
              <w:spacing w:after="0" w:line="240" w:lineRule="auto"/>
              <w:jc w:val="both"/>
              <w:rPr>
                <w:rFonts w:eastAsia="Times New Roman"/>
                <w:noProof/>
              </w:rPr>
            </w:pPr>
            <w:r>
              <w:rPr>
                <w:noProof/>
              </w:rPr>
              <w:t>0</w:t>
            </w:r>
          </w:p>
        </w:tc>
        <w:tc>
          <w:tcPr>
            <w:tcW w:w="1134" w:type="dxa"/>
            <w:tcBorders>
              <w:top w:val="single" w:sz="4" w:space="0" w:color="auto"/>
              <w:left w:val="nil"/>
              <w:bottom w:val="single" w:sz="4" w:space="0" w:color="auto"/>
              <w:right w:val="single" w:sz="4" w:space="0" w:color="auto"/>
            </w:tcBorders>
            <w:shd w:val="clear" w:color="auto" w:fill="C6EFCE"/>
            <w:noWrap/>
          </w:tcPr>
          <w:p w14:paraId="67112970" w14:textId="77777777" w:rsidR="00A345F4" w:rsidRDefault="005E2D4E">
            <w:pPr>
              <w:pStyle w:val="P68B1DB1-Normal14"/>
              <w:spacing w:after="0" w:line="240" w:lineRule="auto"/>
              <w:jc w:val="both"/>
              <w:rPr>
                <w:noProof/>
              </w:rPr>
            </w:pPr>
            <w:r>
              <w:rPr>
                <w:noProof/>
              </w:rPr>
              <w:t>21.7/</w:t>
            </w:r>
          </w:p>
          <w:p w14:paraId="186F9AC9" w14:textId="77777777" w:rsidR="00A345F4" w:rsidRDefault="005E2D4E">
            <w:pPr>
              <w:pStyle w:val="P68B1DB1-Normal14"/>
              <w:spacing w:after="0" w:line="240" w:lineRule="auto"/>
              <w:jc w:val="both"/>
              <w:rPr>
                <w:noProof/>
              </w:rPr>
            </w:pPr>
            <w:r>
              <w:rPr>
                <w:noProof/>
              </w:rPr>
              <w:t>9/</w:t>
            </w:r>
          </w:p>
          <w:p w14:paraId="0C91D67B" w14:textId="77777777" w:rsidR="00A345F4" w:rsidRDefault="005E2D4E">
            <w:pPr>
              <w:pStyle w:val="P68B1DB1-Normal14"/>
              <w:spacing w:after="0" w:line="240" w:lineRule="auto"/>
              <w:jc w:val="both"/>
              <w:rPr>
                <w:rFonts w:eastAsia="Times New Roman"/>
                <w:noProof/>
              </w:rPr>
            </w:pPr>
            <w:r>
              <w:rPr>
                <w:noProof/>
              </w:rPr>
              <w:t>27</w:t>
            </w:r>
          </w:p>
        </w:tc>
        <w:tc>
          <w:tcPr>
            <w:tcW w:w="993" w:type="dxa"/>
            <w:tcBorders>
              <w:top w:val="single" w:sz="4" w:space="0" w:color="auto"/>
              <w:left w:val="nil"/>
              <w:bottom w:val="single" w:sz="4" w:space="0" w:color="auto"/>
              <w:right w:val="single" w:sz="4" w:space="0" w:color="auto"/>
            </w:tcBorders>
            <w:shd w:val="clear" w:color="auto" w:fill="C6EFCE"/>
            <w:noWrap/>
          </w:tcPr>
          <w:p w14:paraId="51DDEEC5" w14:textId="77777777" w:rsidR="00A345F4" w:rsidRDefault="005E2D4E">
            <w:pPr>
              <w:pStyle w:val="P68B1DB1-Normal14"/>
              <w:spacing w:after="0" w:line="240" w:lineRule="auto"/>
              <w:jc w:val="both"/>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4A1DDD59" w14:textId="77777777" w:rsidR="00A345F4" w:rsidRDefault="005E2D4E">
            <w:pPr>
              <w:pStyle w:val="P68B1DB1-Normal14"/>
              <w:spacing w:after="0" w:line="240" w:lineRule="auto"/>
              <w:jc w:val="both"/>
              <w:rPr>
                <w:rFonts w:eastAsia="Times New Roman"/>
                <w:noProof/>
              </w:rPr>
            </w:pPr>
            <w:r>
              <w:rPr>
                <w:noProof/>
              </w:rPr>
              <w:t>2025</w:t>
            </w:r>
          </w:p>
        </w:tc>
        <w:tc>
          <w:tcPr>
            <w:tcW w:w="3510" w:type="dxa"/>
            <w:tcBorders>
              <w:top w:val="single" w:sz="4" w:space="0" w:color="auto"/>
              <w:left w:val="nil"/>
              <w:bottom w:val="single" w:sz="4" w:space="0" w:color="auto"/>
              <w:right w:val="single" w:sz="4" w:space="0" w:color="auto"/>
            </w:tcBorders>
            <w:shd w:val="clear" w:color="auto" w:fill="C6EFCE"/>
            <w:noWrap/>
          </w:tcPr>
          <w:p w14:paraId="76C17ABE" w14:textId="77777777" w:rsidR="00A345F4" w:rsidRDefault="005E2D4E">
            <w:pPr>
              <w:pStyle w:val="P68B1DB1-Normal14"/>
              <w:spacing w:after="0" w:line="240" w:lineRule="auto"/>
              <w:jc w:val="both"/>
              <w:rPr>
                <w:noProof/>
              </w:rPr>
            </w:pPr>
            <w:r>
              <w:rPr>
                <w:noProof/>
              </w:rPr>
              <w:t>La part des véhicules de transport routier propres achetés au plus tard le 31 décembre 2025 à la suite d’avis de marché publiés au JOUE à partir du 2 août 2021 est de: 21,7 % pour les véhicules utilitaires légers, 9 % pour les camions et 27 % pour les autobus</w:t>
            </w:r>
          </w:p>
          <w:p w14:paraId="778EBBF0" w14:textId="77777777" w:rsidR="00A345F4" w:rsidRDefault="00A345F4">
            <w:pPr>
              <w:spacing w:after="0" w:line="240" w:lineRule="auto"/>
              <w:jc w:val="both"/>
              <w:rPr>
                <w:rFonts w:ascii="Times New Roman" w:eastAsia="Times New Roman" w:hAnsi="Times New Roman" w:cs="Times New Roman"/>
                <w:noProof/>
                <w:sz w:val="20"/>
                <w:szCs w:val="20"/>
              </w:rPr>
            </w:pPr>
          </w:p>
        </w:tc>
      </w:tr>
      <w:tr w:rsidR="00A345F4" w14:paraId="6BFCE190" w14:textId="77777777" w:rsidTr="004E4AC2">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03286DAB" w14:textId="77777777" w:rsidR="00A345F4" w:rsidRDefault="005E2D4E">
            <w:pPr>
              <w:pStyle w:val="P68B1DB1-Normal14"/>
              <w:spacing w:after="0" w:line="240" w:lineRule="auto"/>
              <w:jc w:val="center"/>
              <w:rPr>
                <w:rFonts w:eastAsia="Times New Roman"/>
                <w:noProof/>
              </w:rPr>
            </w:pPr>
            <w:r>
              <w:rPr>
                <w:noProof/>
              </w:rPr>
              <w:t>62</w:t>
            </w:r>
          </w:p>
        </w:tc>
        <w:tc>
          <w:tcPr>
            <w:tcW w:w="1788" w:type="dxa"/>
            <w:tcBorders>
              <w:top w:val="single" w:sz="4" w:space="0" w:color="auto"/>
              <w:left w:val="nil"/>
              <w:bottom w:val="single" w:sz="4" w:space="0" w:color="auto"/>
              <w:right w:val="single" w:sz="4" w:space="0" w:color="auto"/>
            </w:tcBorders>
            <w:shd w:val="clear" w:color="auto" w:fill="C6EFCE"/>
            <w:noWrap/>
          </w:tcPr>
          <w:p w14:paraId="4103E421" w14:textId="77777777" w:rsidR="00A345F4" w:rsidRDefault="005E2D4E">
            <w:pPr>
              <w:pStyle w:val="P68B1DB1-Normal14"/>
              <w:spacing w:after="0" w:line="240" w:lineRule="auto"/>
              <w:jc w:val="both"/>
              <w:rPr>
                <w:rFonts w:eastAsia="Times New Roman"/>
                <w:noProof/>
              </w:rPr>
            </w:pPr>
            <w:r>
              <w:rPr>
                <w:noProof/>
              </w:rPr>
              <w:t>Réforme 1. Transports durables, décarbonation et sécurité routière</w:t>
            </w:r>
          </w:p>
        </w:tc>
        <w:tc>
          <w:tcPr>
            <w:tcW w:w="1146" w:type="dxa"/>
            <w:tcBorders>
              <w:top w:val="single" w:sz="4" w:space="0" w:color="auto"/>
              <w:left w:val="nil"/>
              <w:bottom w:val="single" w:sz="4" w:space="0" w:color="auto"/>
              <w:right w:val="single" w:sz="4" w:space="0" w:color="auto"/>
            </w:tcBorders>
            <w:shd w:val="clear" w:color="auto" w:fill="C6EFCE"/>
            <w:noWrap/>
          </w:tcPr>
          <w:p w14:paraId="4D53A9DF" w14:textId="08989A56" w:rsidR="00A345F4" w:rsidRDefault="005E2D4E">
            <w:pPr>
              <w:pStyle w:val="P68B1DB1-Normal14"/>
              <w:spacing w:after="0" w:line="240" w:lineRule="auto"/>
              <w:jc w:val="center"/>
              <w:rPr>
                <w:rFonts w:eastAsia="Times New Roman"/>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1DA89F5D" w14:textId="01FADB26" w:rsidR="00A345F4" w:rsidRDefault="005E2D4E">
            <w:pPr>
              <w:pStyle w:val="P68B1DB1-Normal14"/>
              <w:spacing w:after="0" w:line="240" w:lineRule="auto"/>
              <w:jc w:val="both"/>
              <w:rPr>
                <w:rFonts w:eastAsia="Times New Roman"/>
                <w:noProof/>
              </w:rPr>
            </w:pPr>
            <w:r>
              <w:rPr>
                <w:noProof/>
              </w:rPr>
              <w:t>Véhicules mis au rebut (EURO 3 ou moins) et stock de véhicules à émissions nulles</w:t>
            </w:r>
          </w:p>
        </w:tc>
        <w:tc>
          <w:tcPr>
            <w:tcW w:w="1800" w:type="dxa"/>
            <w:tcBorders>
              <w:top w:val="single" w:sz="4" w:space="0" w:color="auto"/>
              <w:left w:val="nil"/>
              <w:bottom w:val="single" w:sz="4" w:space="0" w:color="auto"/>
              <w:right w:val="single" w:sz="4" w:space="0" w:color="auto"/>
            </w:tcBorders>
            <w:shd w:val="clear" w:color="auto" w:fill="C6EFCE"/>
            <w:noWrap/>
          </w:tcPr>
          <w:p w14:paraId="68F673F8" w14:textId="77777777" w:rsidR="00A345F4" w:rsidRDefault="005E2D4E">
            <w:pPr>
              <w:pStyle w:val="P68B1DB1-Normal19"/>
              <w:spacing w:after="0" w:line="240" w:lineRule="auto"/>
              <w:jc w:val="both"/>
              <w:rPr>
                <w:noProof/>
              </w:rPr>
            </w:pPr>
            <w:r>
              <w:rPr>
                <w:noProof/>
              </w:rPr>
              <w:t>Véhicules mis au rebut et véhicules à émissions nulles en Roumanie</w:t>
            </w:r>
          </w:p>
        </w:tc>
        <w:tc>
          <w:tcPr>
            <w:tcW w:w="1225" w:type="dxa"/>
            <w:tcBorders>
              <w:top w:val="single" w:sz="4" w:space="0" w:color="auto"/>
              <w:left w:val="nil"/>
              <w:bottom w:val="single" w:sz="4" w:space="0" w:color="auto"/>
              <w:right w:val="single" w:sz="4" w:space="0" w:color="auto"/>
            </w:tcBorders>
            <w:shd w:val="clear" w:color="auto" w:fill="C6EFCE"/>
            <w:noWrap/>
          </w:tcPr>
          <w:p w14:paraId="51CBF25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181D007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2BA7E804"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637CB4EC" w14:textId="77777777" w:rsidR="00A345F4" w:rsidRDefault="005E2D4E">
            <w:pPr>
              <w:pStyle w:val="P68B1DB1-Normal14"/>
              <w:spacing w:after="0" w:line="240" w:lineRule="auto"/>
              <w:jc w:val="both"/>
              <w:rPr>
                <w:rFonts w:eastAsia="Times New Roman"/>
                <w:noProof/>
              </w:rPr>
            </w:pPr>
            <w:r>
              <w:rPr>
                <w:noProof/>
              </w:rPr>
              <w:t>T1</w:t>
            </w:r>
          </w:p>
        </w:tc>
        <w:tc>
          <w:tcPr>
            <w:tcW w:w="838" w:type="dxa"/>
            <w:tcBorders>
              <w:top w:val="single" w:sz="4" w:space="0" w:color="auto"/>
              <w:left w:val="nil"/>
              <w:bottom w:val="single" w:sz="4" w:space="0" w:color="auto"/>
              <w:right w:val="single" w:sz="4" w:space="0" w:color="auto"/>
            </w:tcBorders>
            <w:shd w:val="clear" w:color="auto" w:fill="C6EFCE"/>
            <w:noWrap/>
          </w:tcPr>
          <w:p w14:paraId="4235A8E9" w14:textId="77777777" w:rsidR="00A345F4" w:rsidRDefault="005E2D4E">
            <w:pPr>
              <w:pStyle w:val="P68B1DB1-Normal14"/>
              <w:spacing w:after="0" w:line="240" w:lineRule="auto"/>
              <w:jc w:val="both"/>
              <w:rPr>
                <w:rFonts w:eastAsia="Times New Roman"/>
                <w:noProof/>
              </w:rPr>
            </w:pPr>
            <w:r>
              <w:rPr>
                <w:noProof/>
              </w:rPr>
              <w:t>2026</w:t>
            </w:r>
          </w:p>
        </w:tc>
        <w:tc>
          <w:tcPr>
            <w:tcW w:w="3510" w:type="dxa"/>
            <w:tcBorders>
              <w:top w:val="single" w:sz="4" w:space="0" w:color="auto"/>
              <w:left w:val="nil"/>
              <w:bottom w:val="single" w:sz="4" w:space="0" w:color="auto"/>
              <w:right w:val="single" w:sz="4" w:space="0" w:color="auto"/>
            </w:tcBorders>
            <w:shd w:val="clear" w:color="auto" w:fill="C6EFCE"/>
            <w:noWrap/>
          </w:tcPr>
          <w:p w14:paraId="1F9DD10E" w14:textId="77777777" w:rsidR="00A345F4" w:rsidRDefault="005E2D4E">
            <w:pPr>
              <w:pStyle w:val="P68B1DB1-Normal14"/>
              <w:spacing w:after="0" w:line="240" w:lineRule="auto"/>
              <w:jc w:val="both"/>
              <w:rPr>
                <w:noProof/>
              </w:rPr>
            </w:pPr>
            <w:r>
              <w:rPr>
                <w:noProof/>
              </w:rPr>
              <w:t>Au moins 250 000 véhicules dont la norme d'émission EURO 3 est inférieure ou égale à 15 ans sont mis au rebut.</w:t>
            </w:r>
          </w:p>
          <w:p w14:paraId="0469DAD5" w14:textId="52BF8A52" w:rsidR="00A345F4" w:rsidRDefault="005E2D4E">
            <w:pPr>
              <w:pStyle w:val="P68B1DB1-Normal14"/>
              <w:spacing w:after="0" w:line="240" w:lineRule="auto"/>
              <w:jc w:val="both"/>
              <w:rPr>
                <w:rFonts w:eastAsia="Times New Roman"/>
                <w:noProof/>
              </w:rPr>
            </w:pPr>
            <w:r>
              <w:rPr>
                <w:noProof/>
              </w:rPr>
              <w:t>35 500 véhicules à émissions nulles en Roumanie sont indiqués dans l’ensemble de données du parc de véhicules de la direction des permis de conduire et de l’immatriculation des véhicules pour 2025.</w:t>
            </w:r>
          </w:p>
        </w:tc>
      </w:tr>
      <w:tr w:rsidR="00A345F4" w14:paraId="4D8361A7" w14:textId="77777777" w:rsidTr="004E4AC2">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5F663664" w14:textId="77777777" w:rsidR="00A345F4" w:rsidRDefault="005E2D4E">
            <w:pPr>
              <w:pStyle w:val="P68B1DB1-Normal14"/>
              <w:spacing w:after="0" w:line="240" w:lineRule="auto"/>
              <w:jc w:val="center"/>
              <w:rPr>
                <w:rFonts w:eastAsia="Times New Roman"/>
                <w:noProof/>
              </w:rPr>
            </w:pPr>
            <w:r>
              <w:rPr>
                <w:noProof/>
              </w:rPr>
              <w:t>65</w:t>
            </w:r>
          </w:p>
        </w:tc>
        <w:tc>
          <w:tcPr>
            <w:tcW w:w="1788" w:type="dxa"/>
            <w:tcBorders>
              <w:top w:val="single" w:sz="4" w:space="0" w:color="auto"/>
              <w:left w:val="nil"/>
              <w:bottom w:val="single" w:sz="4" w:space="0" w:color="auto"/>
              <w:right w:val="single" w:sz="4" w:space="0" w:color="auto"/>
            </w:tcBorders>
            <w:shd w:val="clear" w:color="auto" w:fill="C6EFCE"/>
            <w:noWrap/>
          </w:tcPr>
          <w:p w14:paraId="6F417583" w14:textId="77777777" w:rsidR="00A345F4" w:rsidRDefault="005E2D4E">
            <w:pPr>
              <w:pStyle w:val="P68B1DB1-Normal14"/>
              <w:spacing w:after="0" w:line="240" w:lineRule="auto"/>
              <w:jc w:val="both"/>
              <w:rPr>
                <w:rFonts w:eastAsia="Times New Roman"/>
                <w:noProof/>
              </w:rPr>
            </w:pPr>
            <w:r>
              <w:rPr>
                <w:noProof/>
              </w:rPr>
              <w:t>Réforme 1. Transports durables, décarbonation et sécurité routière</w:t>
            </w:r>
          </w:p>
        </w:tc>
        <w:tc>
          <w:tcPr>
            <w:tcW w:w="1146" w:type="dxa"/>
            <w:tcBorders>
              <w:top w:val="single" w:sz="4" w:space="0" w:color="auto"/>
              <w:left w:val="nil"/>
              <w:bottom w:val="single" w:sz="4" w:space="0" w:color="auto"/>
              <w:right w:val="single" w:sz="4" w:space="0" w:color="auto"/>
            </w:tcBorders>
            <w:shd w:val="clear" w:color="auto" w:fill="C6EFCE"/>
            <w:noWrap/>
          </w:tcPr>
          <w:p w14:paraId="3D4624F7" w14:textId="0FA247DD" w:rsidR="00A345F4" w:rsidRDefault="005E2D4E">
            <w:pPr>
              <w:pStyle w:val="P68B1DB1-Normal14"/>
              <w:spacing w:after="0" w:line="240" w:lineRule="auto"/>
              <w:jc w:val="center"/>
              <w:rPr>
                <w:rFonts w:eastAsia="Times New Roman"/>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4704F3AB" w14:textId="77777777" w:rsidR="00A345F4" w:rsidRDefault="005E2D4E">
            <w:pPr>
              <w:pStyle w:val="P68B1DB1-Normal14"/>
              <w:spacing w:after="0" w:line="240" w:lineRule="auto"/>
              <w:jc w:val="both"/>
              <w:rPr>
                <w:rFonts w:eastAsia="Times New Roman"/>
                <w:noProof/>
              </w:rPr>
            </w:pPr>
            <w:r>
              <w:rPr>
                <w:noProof/>
              </w:rPr>
              <w:t>Adoption de la Stratégie nationale de sécurité routière</w:t>
            </w:r>
          </w:p>
        </w:tc>
        <w:tc>
          <w:tcPr>
            <w:tcW w:w="1800" w:type="dxa"/>
            <w:tcBorders>
              <w:top w:val="single" w:sz="4" w:space="0" w:color="auto"/>
              <w:left w:val="nil"/>
              <w:bottom w:val="single" w:sz="4" w:space="0" w:color="auto"/>
              <w:right w:val="single" w:sz="4" w:space="0" w:color="auto"/>
            </w:tcBorders>
            <w:shd w:val="clear" w:color="auto" w:fill="C6EFCE"/>
            <w:noWrap/>
          </w:tcPr>
          <w:p w14:paraId="2404BC18" w14:textId="77777777" w:rsidR="00A345F4" w:rsidRDefault="005E2D4E">
            <w:pPr>
              <w:pStyle w:val="P68B1DB1-Normal14"/>
              <w:spacing w:after="0" w:line="240" w:lineRule="auto"/>
              <w:jc w:val="both"/>
              <w:rPr>
                <w:rFonts w:eastAsia="Times New Roman"/>
                <w:noProof/>
              </w:rPr>
            </w:pPr>
            <w:r>
              <w:rPr>
                <w:noProof/>
              </w:rPr>
              <w:t>Adoption de la stratégie par décision du gouvernement (législation secondaire) et début de sa mise en œuvre</w:t>
            </w:r>
          </w:p>
        </w:tc>
        <w:tc>
          <w:tcPr>
            <w:tcW w:w="1225" w:type="dxa"/>
            <w:tcBorders>
              <w:top w:val="single" w:sz="4" w:space="0" w:color="auto"/>
              <w:left w:val="nil"/>
              <w:bottom w:val="single" w:sz="4" w:space="0" w:color="auto"/>
              <w:right w:val="single" w:sz="4" w:space="0" w:color="auto"/>
            </w:tcBorders>
            <w:shd w:val="clear" w:color="auto" w:fill="C6EFCE"/>
            <w:noWrap/>
          </w:tcPr>
          <w:p w14:paraId="64B0977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65AEC92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7D66D33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6CC2228C" w14:textId="77777777" w:rsidR="00A345F4" w:rsidRDefault="005E2D4E">
            <w:pPr>
              <w:pStyle w:val="P68B1DB1-Normal14"/>
              <w:spacing w:after="0" w:line="240" w:lineRule="auto"/>
              <w:jc w:val="both"/>
              <w:rPr>
                <w:rFonts w:eastAsia="Times New Roman"/>
                <w:noProof/>
              </w:rPr>
            </w:pPr>
            <w:r>
              <w:rPr>
                <w:noProof/>
              </w:rPr>
              <w:t>T2</w:t>
            </w:r>
          </w:p>
        </w:tc>
        <w:tc>
          <w:tcPr>
            <w:tcW w:w="838" w:type="dxa"/>
            <w:tcBorders>
              <w:top w:val="single" w:sz="4" w:space="0" w:color="auto"/>
              <w:left w:val="nil"/>
              <w:bottom w:val="single" w:sz="4" w:space="0" w:color="auto"/>
              <w:right w:val="single" w:sz="4" w:space="0" w:color="auto"/>
            </w:tcBorders>
            <w:shd w:val="clear" w:color="auto" w:fill="C6EFCE"/>
            <w:noWrap/>
          </w:tcPr>
          <w:p w14:paraId="6EB443FA" w14:textId="77777777" w:rsidR="00A345F4" w:rsidRDefault="005E2D4E">
            <w:pPr>
              <w:pStyle w:val="P68B1DB1-Normal14"/>
              <w:spacing w:after="0" w:line="240" w:lineRule="auto"/>
              <w:jc w:val="both"/>
              <w:rPr>
                <w:rFonts w:eastAsia="Times New Roman"/>
                <w:noProof/>
              </w:rPr>
            </w:pPr>
            <w:r>
              <w:rPr>
                <w:noProof/>
              </w:rPr>
              <w:t>2022</w:t>
            </w:r>
          </w:p>
        </w:tc>
        <w:tc>
          <w:tcPr>
            <w:tcW w:w="3510" w:type="dxa"/>
            <w:tcBorders>
              <w:top w:val="single" w:sz="4" w:space="0" w:color="auto"/>
              <w:left w:val="nil"/>
              <w:bottom w:val="single" w:sz="4" w:space="0" w:color="auto"/>
              <w:right w:val="single" w:sz="4" w:space="0" w:color="auto"/>
            </w:tcBorders>
            <w:shd w:val="clear" w:color="auto" w:fill="C6EFCE"/>
            <w:noWrap/>
          </w:tcPr>
          <w:p w14:paraId="14A0B60C" w14:textId="77777777" w:rsidR="00A345F4" w:rsidRDefault="005E2D4E">
            <w:pPr>
              <w:pStyle w:val="P68B1DB1-Normal14"/>
              <w:spacing w:after="0" w:line="240" w:lineRule="auto"/>
              <w:jc w:val="both"/>
              <w:rPr>
                <w:rFonts w:eastAsia="Times New Roman"/>
                <w:noProof/>
              </w:rPr>
            </w:pPr>
            <w:r>
              <w:rPr>
                <w:noProof/>
              </w:rPr>
              <w:t>La stratégie nationale de sécurité routière 2021-2030 met en œuvre les règles et lignes directrices de l’UE énoncées dans le cadre d’action de l’UE en matière de sécurité routière 2021-2030 et dans la «Vision zéro», l’objectif étant de réduire à près de zéro le nombre de tués sur les routes d’ici à 2050. À titre d’objectif intermédiaire, la Roumanie s’acquitte de l’objectif de l’UE consistant à réduire de 50 % le nombre de victimes (décès et blessés graves) entre 2019 et 2030.</w:t>
            </w:r>
          </w:p>
          <w:p w14:paraId="7474B74F" w14:textId="77777777" w:rsidR="00A345F4" w:rsidRDefault="005E2D4E">
            <w:pPr>
              <w:pStyle w:val="P68B1DB1-Normal14"/>
              <w:spacing w:after="0" w:line="240" w:lineRule="auto"/>
              <w:jc w:val="both"/>
              <w:rPr>
                <w:rFonts w:eastAsia="Times New Roman"/>
                <w:noProof/>
              </w:rPr>
            </w:pPr>
            <w:r>
              <w:rPr>
                <w:noProof/>
              </w:rPr>
              <w:t>La stratégie est adressée de manière intégrée et pluridisciplinaire à tous les acteurs impliqués dans la sécurité routière et comprend:</w:t>
            </w:r>
          </w:p>
          <w:p w14:paraId="3CA94072"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l’application des règles régissant le respect des règles, des sanctions plus lourdes en cas d’infraction à la loi;</w:t>
            </w:r>
          </w:p>
          <w:p w14:paraId="441A1ADF"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 xml:space="preserve">réduction des limitations de vitesse dans des zones ou des routes spécifiques en fonction des données sur les accidents/de l’analyse des risques et des meilleures pratiques au niveau de l’UE, introduction d’un système de gestion de la vitesse et de dispositifs de sécurité obligatoires, révision des règles de circulation, y compris la priorité accordée aux utilisateurs vulnérables, </w:t>
            </w:r>
          </w:p>
          <w:p w14:paraId="3885C576"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réduction des points noirs/points chauds dans les environnements urbains et interurbains, y compris un plan d’action d’investissement spécifique visant à réduire le nombre de points noirs/points chauds de 129 d’ici le T2-2026 par rapport aux 267 points noirs/points chauds initiaux en 2021;</w:t>
            </w:r>
          </w:p>
          <w:p w14:paraId="7EF521A5"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suppression progressive du registre national des véhicules anciens/déficients, renforcement des inspections et contrôles de sécurité;</w:t>
            </w:r>
          </w:p>
          <w:p w14:paraId="1D18B8B8"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éducation et formation, campagnes d'information;</w:t>
            </w:r>
          </w:p>
          <w:p w14:paraId="58733565"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intégration du système législatif et réforme des systèmes de transport intelligents (STI).</w:t>
            </w:r>
          </w:p>
          <w:p w14:paraId="56D459A1" w14:textId="77777777" w:rsidR="00A345F4" w:rsidRDefault="005E2D4E">
            <w:pPr>
              <w:pStyle w:val="P68B1DB1-Normal14"/>
              <w:suppressAutoHyphens/>
              <w:autoSpaceDN w:val="0"/>
              <w:spacing w:after="0" w:line="240" w:lineRule="auto"/>
              <w:jc w:val="both"/>
              <w:textAlignment w:val="baseline"/>
              <w:rPr>
                <w:rFonts w:eastAsia="Times New Roman"/>
                <w:noProof/>
                <w:kern w:val="3"/>
              </w:rPr>
            </w:pPr>
            <w:r>
              <w:rPr>
                <w:noProof/>
              </w:rPr>
              <w:t xml:space="preserve">Un document stratégique pour les systèmes de transport intelligents (STI) doit être approuvé par le gouvernement roumain. La stratégie STI est élaborée en liaison avec les politiques de transport intermodal afin de répondre aux besoins d'une exploitation efficace des nœuds multimodaux. </w:t>
            </w:r>
          </w:p>
          <w:p w14:paraId="2B7F4B95" w14:textId="77777777" w:rsidR="00A345F4" w:rsidRDefault="005E2D4E">
            <w:pPr>
              <w:pStyle w:val="P68B1DB1-Normal14"/>
              <w:spacing w:after="0" w:line="240" w:lineRule="auto"/>
              <w:jc w:val="both"/>
              <w:rPr>
                <w:rFonts w:eastAsia="Times New Roman"/>
                <w:noProof/>
              </w:rPr>
            </w:pPr>
            <w:r>
              <w:rPr>
                <w:noProof/>
              </w:rPr>
              <w:t>L’entité chargée du suivi de la mise en œuvre de la stratégie de sécurité routière et des indicateurs clés de performance est clairement définie et mise en œuvre.</w:t>
            </w:r>
          </w:p>
        </w:tc>
      </w:tr>
      <w:tr w:rsidR="00A345F4" w14:paraId="26208BEA" w14:textId="77777777" w:rsidTr="004E4AC2">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44462B4B" w14:textId="77777777" w:rsidR="00A345F4" w:rsidRDefault="005E2D4E">
            <w:pPr>
              <w:pStyle w:val="P68B1DB1-Normal14"/>
              <w:spacing w:after="0" w:line="240" w:lineRule="auto"/>
              <w:jc w:val="center"/>
              <w:rPr>
                <w:rFonts w:eastAsia="Times New Roman"/>
                <w:noProof/>
              </w:rPr>
            </w:pPr>
            <w:r>
              <w:rPr>
                <w:noProof/>
              </w:rPr>
              <w:t>66</w:t>
            </w:r>
          </w:p>
        </w:tc>
        <w:tc>
          <w:tcPr>
            <w:tcW w:w="1788" w:type="dxa"/>
            <w:tcBorders>
              <w:top w:val="single" w:sz="4" w:space="0" w:color="auto"/>
              <w:left w:val="nil"/>
              <w:bottom w:val="single" w:sz="4" w:space="0" w:color="auto"/>
              <w:right w:val="single" w:sz="4" w:space="0" w:color="auto"/>
            </w:tcBorders>
            <w:shd w:val="clear" w:color="auto" w:fill="C6EFCE"/>
            <w:noWrap/>
          </w:tcPr>
          <w:p w14:paraId="52F7BE1A" w14:textId="77777777" w:rsidR="00A345F4" w:rsidRDefault="005E2D4E">
            <w:pPr>
              <w:pStyle w:val="P68B1DB1-Normal14"/>
              <w:spacing w:after="0" w:line="240" w:lineRule="auto"/>
              <w:jc w:val="both"/>
              <w:rPr>
                <w:rFonts w:eastAsia="Times New Roman"/>
                <w:noProof/>
              </w:rPr>
            </w:pPr>
            <w:r>
              <w:rPr>
                <w:noProof/>
              </w:rPr>
              <w:t>Réforme 1. Transports durables, décarbonation et sécurité routière</w:t>
            </w:r>
          </w:p>
        </w:tc>
        <w:tc>
          <w:tcPr>
            <w:tcW w:w="1146" w:type="dxa"/>
            <w:tcBorders>
              <w:top w:val="single" w:sz="4" w:space="0" w:color="auto"/>
              <w:left w:val="nil"/>
              <w:bottom w:val="single" w:sz="4" w:space="0" w:color="auto"/>
              <w:right w:val="single" w:sz="4" w:space="0" w:color="auto"/>
            </w:tcBorders>
            <w:shd w:val="clear" w:color="auto" w:fill="C6EFCE"/>
            <w:noWrap/>
          </w:tcPr>
          <w:p w14:paraId="0544CDD4" w14:textId="565BEE7E" w:rsidR="00A345F4" w:rsidRDefault="005E2D4E">
            <w:pPr>
              <w:pStyle w:val="P68B1DB1-Normal14"/>
              <w:spacing w:after="0" w:line="240" w:lineRule="auto"/>
              <w:jc w:val="center"/>
              <w:rPr>
                <w:rFonts w:eastAsia="Times New Roman"/>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3B990473" w14:textId="77777777" w:rsidR="00A345F4" w:rsidRDefault="005E2D4E">
            <w:pPr>
              <w:pStyle w:val="P68B1DB1-Normal14"/>
              <w:spacing w:after="0" w:line="240" w:lineRule="auto"/>
              <w:jc w:val="both"/>
              <w:rPr>
                <w:rFonts w:eastAsia="Times New Roman"/>
                <w:noProof/>
              </w:rPr>
            </w:pPr>
            <w:r>
              <w:rPr>
                <w:noProof/>
              </w:rPr>
              <w:t>Entrée en vigueur de la législation en matière de sécurité routière – législation – législation relative au contrôle, à l’exécution et aux sanctions applicables aux infractions en matière de sécurité routière</w:t>
            </w:r>
          </w:p>
        </w:tc>
        <w:tc>
          <w:tcPr>
            <w:tcW w:w="1800" w:type="dxa"/>
            <w:tcBorders>
              <w:top w:val="single" w:sz="4" w:space="0" w:color="auto"/>
              <w:left w:val="nil"/>
              <w:bottom w:val="single" w:sz="4" w:space="0" w:color="auto"/>
              <w:right w:val="single" w:sz="4" w:space="0" w:color="auto"/>
            </w:tcBorders>
            <w:shd w:val="clear" w:color="auto" w:fill="C6EFCE"/>
            <w:noWrap/>
          </w:tcPr>
          <w:p w14:paraId="784C7FB9" w14:textId="77777777" w:rsidR="00A345F4" w:rsidRDefault="005E2D4E">
            <w:pPr>
              <w:pStyle w:val="P68B1DB1-Normal14"/>
              <w:spacing w:after="0" w:line="240" w:lineRule="auto"/>
              <w:jc w:val="both"/>
              <w:rPr>
                <w:rFonts w:eastAsia="Times New Roman"/>
                <w:noProof/>
              </w:rPr>
            </w:pPr>
            <w:r>
              <w:rPr>
                <w:noProof/>
              </w:rPr>
              <w:t>Disposition de la législation indiquant l’entrée en vigueur de la législation en matière de sécurité routière</w:t>
            </w:r>
          </w:p>
        </w:tc>
        <w:tc>
          <w:tcPr>
            <w:tcW w:w="1225" w:type="dxa"/>
            <w:tcBorders>
              <w:top w:val="single" w:sz="4" w:space="0" w:color="auto"/>
              <w:left w:val="nil"/>
              <w:bottom w:val="single" w:sz="4" w:space="0" w:color="auto"/>
              <w:right w:val="single" w:sz="4" w:space="0" w:color="auto"/>
            </w:tcBorders>
            <w:shd w:val="clear" w:color="auto" w:fill="C6EFCE"/>
            <w:noWrap/>
          </w:tcPr>
          <w:p w14:paraId="29CCD52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3219A68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1D15C0A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668D01C3" w14:textId="77777777" w:rsidR="00A345F4" w:rsidRDefault="005E2D4E">
            <w:pPr>
              <w:pStyle w:val="P68B1DB1-Normal14"/>
              <w:spacing w:after="0" w:line="240" w:lineRule="auto"/>
              <w:jc w:val="both"/>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4A898508" w14:textId="77777777" w:rsidR="00A345F4" w:rsidRDefault="005E2D4E">
            <w:pPr>
              <w:pStyle w:val="P68B1DB1-Normal14"/>
              <w:spacing w:after="0" w:line="240" w:lineRule="auto"/>
              <w:jc w:val="both"/>
              <w:rPr>
                <w:rFonts w:eastAsia="Times New Roman"/>
                <w:noProof/>
              </w:rPr>
            </w:pPr>
            <w:r>
              <w:rPr>
                <w:noProof/>
              </w:rPr>
              <w:t>2022</w:t>
            </w:r>
          </w:p>
        </w:tc>
        <w:tc>
          <w:tcPr>
            <w:tcW w:w="3510" w:type="dxa"/>
            <w:tcBorders>
              <w:top w:val="single" w:sz="4" w:space="0" w:color="auto"/>
              <w:left w:val="nil"/>
              <w:bottom w:val="single" w:sz="4" w:space="0" w:color="auto"/>
              <w:right w:val="single" w:sz="4" w:space="0" w:color="auto"/>
            </w:tcBorders>
            <w:shd w:val="clear" w:color="auto" w:fill="C6EFCE"/>
            <w:noWrap/>
          </w:tcPr>
          <w:p w14:paraId="18C17307" w14:textId="77777777" w:rsidR="00A345F4" w:rsidRDefault="005E2D4E">
            <w:pPr>
              <w:pStyle w:val="P68B1DB1-Normal23"/>
              <w:spacing w:after="0" w:line="240" w:lineRule="auto"/>
              <w:jc w:val="both"/>
              <w:rPr>
                <w:noProof/>
              </w:rPr>
            </w:pPr>
            <w:r>
              <w:rPr>
                <w:noProof/>
              </w:rPr>
              <w:t xml:space="preserve">Les modifications législatives suivantes visant à promouvoir la sécurité routière sont introduites: </w:t>
            </w:r>
          </w:p>
          <w:p w14:paraId="50669554"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l’application des règles régissant le respect des règles, des sanctions plus lourdes en cas d’infraction à la loi;</w:t>
            </w:r>
          </w:p>
          <w:p w14:paraId="0A7BA3CA"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la surveillance des infractions routières au moyen d'équipements automatiques (caméras vidéo, capteurs);</w:t>
            </w:r>
          </w:p>
          <w:p w14:paraId="444741EB"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la réduction des limitations de vitesse dans des zones ou des routes spécifiques en fonction des données sur les accidents/de l’analyse des risques et des meilleures pratiques au niveau de l’UE, l’introduction d’un système de gestion de la vitesse et de dispositifs de sécurité obligatoires, la révision des règles de circulation, y compris la priorité accordée aux utilisateurs vulnérables;</w:t>
            </w:r>
          </w:p>
          <w:p w14:paraId="7CB89D6C" w14:textId="77777777" w:rsidR="00A345F4" w:rsidRDefault="005E2D4E">
            <w:pPr>
              <w:pStyle w:val="P68B1DB1-Normal14"/>
              <w:numPr>
                <w:ilvl w:val="0"/>
                <w:numId w:val="8"/>
              </w:numPr>
              <w:spacing w:after="0" w:line="240" w:lineRule="auto"/>
              <w:ind w:left="250" w:hanging="218"/>
              <w:contextualSpacing/>
              <w:jc w:val="both"/>
              <w:rPr>
                <w:noProof/>
              </w:rPr>
            </w:pPr>
            <w:r>
              <w:rPr>
                <w:noProof/>
              </w:rPr>
              <w:t>suppression progressive du registre national des véhicules anciens/déficients, renforcement des inspections et contrôles</w:t>
            </w:r>
            <w:r>
              <w:rPr>
                <w:noProof/>
                <w:shd w:val="clear" w:color="auto" w:fill="C6EFCE"/>
              </w:rPr>
              <w:t xml:space="preserve"> de sécurité.</w:t>
            </w:r>
          </w:p>
          <w:p w14:paraId="517C3C42" w14:textId="77777777" w:rsidR="00A345F4" w:rsidRDefault="005E2D4E">
            <w:pPr>
              <w:pStyle w:val="P68B1DB1-Normal14"/>
              <w:spacing w:after="0" w:line="240" w:lineRule="auto"/>
              <w:jc w:val="both"/>
              <w:rPr>
                <w:rFonts w:eastAsia="Times New Roman"/>
                <w:noProof/>
              </w:rPr>
            </w:pPr>
            <w:r>
              <w:rPr>
                <w:noProof/>
              </w:rPr>
              <w:t>L’objectif global en matière de sécurité routière vise à réduire de 50 % le nombre de victimes d’accidents de la route d’ici à 2030 par rapport à 2019, conformément au cadre d’action de l’UE en matière de sécurité routière 2021-2030.</w:t>
            </w:r>
          </w:p>
        </w:tc>
      </w:tr>
      <w:tr w:rsidR="00A345F4" w14:paraId="73E1AEAA" w14:textId="77777777" w:rsidTr="004E4AC2">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49A464FA" w14:textId="77777777" w:rsidR="00A345F4" w:rsidRDefault="005E2D4E">
            <w:pPr>
              <w:pStyle w:val="P68B1DB1-Normal14"/>
              <w:spacing w:after="0" w:line="240" w:lineRule="auto"/>
              <w:jc w:val="center"/>
              <w:rPr>
                <w:rFonts w:eastAsia="Times New Roman"/>
                <w:noProof/>
              </w:rPr>
            </w:pPr>
            <w:r>
              <w:rPr>
                <w:noProof/>
              </w:rPr>
              <w:t>69</w:t>
            </w:r>
          </w:p>
        </w:tc>
        <w:tc>
          <w:tcPr>
            <w:tcW w:w="1788" w:type="dxa"/>
            <w:tcBorders>
              <w:top w:val="single" w:sz="4" w:space="0" w:color="auto"/>
              <w:left w:val="nil"/>
              <w:bottom w:val="single" w:sz="4" w:space="0" w:color="auto"/>
              <w:right w:val="single" w:sz="4" w:space="0" w:color="auto"/>
            </w:tcBorders>
            <w:shd w:val="clear" w:color="auto" w:fill="C6EFCE"/>
            <w:noWrap/>
          </w:tcPr>
          <w:p w14:paraId="42C2A3E9" w14:textId="77777777" w:rsidR="00A345F4" w:rsidRDefault="005E2D4E">
            <w:pPr>
              <w:pStyle w:val="P68B1DB1-Normal14"/>
              <w:spacing w:after="0" w:line="240" w:lineRule="auto"/>
              <w:jc w:val="both"/>
              <w:rPr>
                <w:rFonts w:eastAsia="Times New Roman"/>
                <w:noProof/>
              </w:rPr>
            </w:pPr>
            <w:r>
              <w:rPr>
                <w:noProof/>
              </w:rPr>
              <w:t>Réforme 1. Transports durables, décarbonation et sécurité routière</w:t>
            </w:r>
          </w:p>
        </w:tc>
        <w:tc>
          <w:tcPr>
            <w:tcW w:w="1146" w:type="dxa"/>
            <w:tcBorders>
              <w:top w:val="single" w:sz="4" w:space="0" w:color="auto"/>
              <w:left w:val="nil"/>
              <w:bottom w:val="single" w:sz="4" w:space="0" w:color="auto"/>
              <w:right w:val="single" w:sz="4" w:space="0" w:color="auto"/>
            </w:tcBorders>
            <w:shd w:val="clear" w:color="auto" w:fill="C6EFCE"/>
            <w:noWrap/>
          </w:tcPr>
          <w:p w14:paraId="4016FA5C" w14:textId="47CD6D12" w:rsidR="00A345F4" w:rsidRDefault="005E2D4E">
            <w:pPr>
              <w:pStyle w:val="P68B1DB1-Normal14"/>
              <w:spacing w:after="0" w:line="240" w:lineRule="auto"/>
              <w:jc w:val="center"/>
              <w:rPr>
                <w:rFonts w:eastAsia="Times New Roman"/>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4C8F77A8" w14:textId="77777777" w:rsidR="00A345F4" w:rsidRDefault="005E2D4E">
            <w:pPr>
              <w:pStyle w:val="P68B1DB1-Normal14"/>
              <w:spacing w:after="0" w:line="240" w:lineRule="auto"/>
              <w:jc w:val="both"/>
              <w:rPr>
                <w:rFonts w:eastAsia="Times New Roman"/>
                <w:noProof/>
              </w:rPr>
            </w:pPr>
            <w:r>
              <w:rPr>
                <w:noProof/>
              </w:rPr>
              <w:t>Adoption de la stratégie de développement de l’infrastructure ferroviaire 2021-2025 et application du plan d’action</w:t>
            </w:r>
          </w:p>
        </w:tc>
        <w:tc>
          <w:tcPr>
            <w:tcW w:w="1800" w:type="dxa"/>
            <w:tcBorders>
              <w:top w:val="single" w:sz="4" w:space="0" w:color="auto"/>
              <w:left w:val="nil"/>
              <w:bottom w:val="single" w:sz="4" w:space="0" w:color="auto"/>
              <w:right w:val="single" w:sz="4" w:space="0" w:color="auto"/>
            </w:tcBorders>
            <w:shd w:val="clear" w:color="auto" w:fill="C6EFCE"/>
            <w:noWrap/>
          </w:tcPr>
          <w:p w14:paraId="36EE58E0" w14:textId="77777777" w:rsidR="00A345F4" w:rsidRDefault="005E2D4E">
            <w:pPr>
              <w:pStyle w:val="P68B1DB1-Normal14"/>
              <w:spacing w:after="0" w:line="240" w:lineRule="auto"/>
              <w:jc w:val="both"/>
              <w:rPr>
                <w:rFonts w:eastAsia="Times New Roman"/>
                <w:noProof/>
              </w:rPr>
            </w:pPr>
            <w:r>
              <w:rPr>
                <w:noProof/>
              </w:rPr>
              <w:t>Adoption de la stratégie de développement de l’infrastructure ferroviaire par la décision gouvernementale no 985/2020 (législation secondaire), adoption du plan d’action et début de la mise en œuvre</w:t>
            </w:r>
          </w:p>
        </w:tc>
        <w:tc>
          <w:tcPr>
            <w:tcW w:w="1225" w:type="dxa"/>
            <w:tcBorders>
              <w:top w:val="single" w:sz="4" w:space="0" w:color="auto"/>
              <w:left w:val="nil"/>
              <w:bottom w:val="single" w:sz="4" w:space="0" w:color="auto"/>
              <w:right w:val="single" w:sz="4" w:space="0" w:color="auto"/>
            </w:tcBorders>
            <w:shd w:val="clear" w:color="auto" w:fill="C6EFCE"/>
            <w:noWrap/>
          </w:tcPr>
          <w:p w14:paraId="70D451F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1C59E466"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3F9BEB3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5B9B1509" w14:textId="77777777" w:rsidR="00A345F4" w:rsidRDefault="005E2D4E">
            <w:pPr>
              <w:pStyle w:val="P68B1DB1-Normal14"/>
              <w:spacing w:after="0" w:line="240" w:lineRule="auto"/>
              <w:jc w:val="both"/>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6782F0BB" w14:textId="77777777" w:rsidR="00A345F4" w:rsidRDefault="005E2D4E">
            <w:pPr>
              <w:pStyle w:val="P68B1DB1-Normal14"/>
              <w:spacing w:after="0" w:line="240" w:lineRule="auto"/>
              <w:jc w:val="both"/>
              <w:rPr>
                <w:rFonts w:eastAsia="Times New Roman"/>
                <w:noProof/>
              </w:rPr>
            </w:pPr>
            <w:r>
              <w:rPr>
                <w:noProof/>
              </w:rPr>
              <w:t>2021</w:t>
            </w:r>
          </w:p>
        </w:tc>
        <w:tc>
          <w:tcPr>
            <w:tcW w:w="3510" w:type="dxa"/>
            <w:tcBorders>
              <w:top w:val="single" w:sz="4" w:space="0" w:color="auto"/>
              <w:left w:val="nil"/>
              <w:bottom w:val="single" w:sz="4" w:space="0" w:color="auto"/>
              <w:right w:val="single" w:sz="4" w:space="0" w:color="auto"/>
            </w:tcBorders>
            <w:shd w:val="clear" w:color="auto" w:fill="C6EFCE"/>
            <w:noWrap/>
          </w:tcPr>
          <w:p w14:paraId="255A1671" w14:textId="77777777" w:rsidR="00A345F4" w:rsidRDefault="005E2D4E">
            <w:pPr>
              <w:pStyle w:val="P68B1DB1-Normal14"/>
              <w:spacing w:after="0" w:line="240" w:lineRule="auto"/>
              <w:jc w:val="both"/>
              <w:rPr>
                <w:rFonts w:eastAsia="Times New Roman"/>
                <w:noProof/>
              </w:rPr>
            </w:pPr>
            <w:r>
              <w:rPr>
                <w:noProof/>
              </w:rPr>
              <w:t>La stratégie et le plan d’action approuvés identifient les autorités/acteurs responsables, les délais de mise en œuvre, les dotations financières et les indicateurs. Dans le même temps, le ministre des Transports et de l'Infrastructure, en collaboration avec la C.N.C.F. C.F.R. SA, définira un mécanisme avec des indicateurs et des critères clairs pour hiérarchiser les investissements dans les infrastructures ferroviaires, ainsi que les dispositions institutionnelles nécessaires à la mise en œuvre de ce mécanisme et à la préparation des projets d'investissement.</w:t>
            </w:r>
          </w:p>
          <w:p w14:paraId="0C1BC518" w14:textId="77777777" w:rsidR="00A345F4" w:rsidRDefault="005E2D4E">
            <w:pPr>
              <w:pStyle w:val="P68B1DB1-Normal14"/>
              <w:spacing w:after="0" w:line="240" w:lineRule="auto"/>
              <w:jc w:val="both"/>
              <w:rPr>
                <w:rFonts w:eastAsia="Times New Roman"/>
                <w:noProof/>
              </w:rPr>
            </w:pPr>
            <w:r>
              <w:rPr>
                <w:noProof/>
              </w:rPr>
              <w:t>Adoption du plan d’action pour le développement de l’infrastructure ferroviaire 2021-2025, qui comprend:</w:t>
            </w:r>
          </w:p>
          <w:p w14:paraId="2064ED9B"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un système comportant des indicateurs permettant de hiérarchiser les investissements;</w:t>
            </w:r>
          </w:p>
          <w:p w14:paraId="5AFC1C83"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une structure chargée de la préparation du projet;</w:t>
            </w:r>
          </w:p>
          <w:p w14:paraId="14DEB931"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des mesures visant à augmenter le trafic de fret ferroviaire d’au moins 25 % en 2026 par rapport à 2020;</w:t>
            </w:r>
          </w:p>
          <w:p w14:paraId="3F7339FC" w14:textId="77777777" w:rsidR="00A345F4" w:rsidRDefault="005E2D4E">
            <w:pPr>
              <w:pStyle w:val="P68B1DB1-Normal14"/>
              <w:numPr>
                <w:ilvl w:val="0"/>
                <w:numId w:val="8"/>
              </w:numPr>
              <w:spacing w:after="0" w:line="240" w:lineRule="auto"/>
              <w:ind w:left="250" w:hanging="218"/>
              <w:contextualSpacing/>
              <w:jc w:val="both"/>
              <w:rPr>
                <w:noProof/>
              </w:rPr>
            </w:pPr>
            <w:r>
              <w:rPr>
                <w:noProof/>
              </w:rPr>
              <w:t>des mesures spécifiques en vue d’atteindre l’objectif d’une augmentation du nombre de voyageurs ferroviaires de 25 % en moyenne par rapport au niveau de référence de 2021;</w:t>
            </w:r>
          </w:p>
          <w:p w14:paraId="42844054"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des mesures visant à accroître l'utilisation du matériel roulant nouvellement acquis;</w:t>
            </w:r>
          </w:p>
          <w:p w14:paraId="66A4B0CD" w14:textId="77777777" w:rsidR="00A345F4" w:rsidRDefault="005E2D4E">
            <w:pPr>
              <w:pStyle w:val="P68B1DB1-Normal14"/>
              <w:numPr>
                <w:ilvl w:val="0"/>
                <w:numId w:val="8"/>
              </w:numPr>
              <w:spacing w:after="0" w:line="240" w:lineRule="auto"/>
              <w:ind w:left="250" w:hanging="218"/>
              <w:contextualSpacing/>
              <w:jc w:val="both"/>
              <w:rPr>
                <w:rFonts w:eastAsia="Times New Roman"/>
                <w:noProof/>
              </w:rPr>
            </w:pPr>
            <w:r>
              <w:rPr>
                <w:noProof/>
              </w:rPr>
              <w:t>des mesures visant à transférer les passagers des autobus/minibus vers les chemins de fer sur les lignes de navette.</w:t>
            </w:r>
          </w:p>
          <w:p w14:paraId="571FA3F4" w14:textId="77777777" w:rsidR="00A345F4" w:rsidRDefault="005E2D4E">
            <w:pPr>
              <w:pStyle w:val="P68B1DB1-Normal14"/>
              <w:spacing w:after="0" w:line="240" w:lineRule="auto"/>
              <w:jc w:val="both"/>
              <w:rPr>
                <w:rFonts w:eastAsia="Times New Roman"/>
                <w:noProof/>
              </w:rPr>
            </w:pPr>
            <w:r>
              <w:rPr>
                <w:noProof/>
              </w:rPr>
              <w:t>Le ministère des transports et des infrastructures approuve également le plan d’investissement pour le développement des infrastructures de transport pour la période 2020-2030, qui donne la priorité aux investissements ferroviaires et à la mise en œuvre de l’ERTMS conformément au plan pour la reprise et la résilience, actualisant ainsi la stratégie de développement des infrastructures ferroviaires à la lumière de toutes les sources de financement disponibles.</w:t>
            </w:r>
          </w:p>
        </w:tc>
      </w:tr>
      <w:tr w:rsidR="00A345F4" w14:paraId="11D1E543" w14:textId="77777777" w:rsidTr="004E4AC2">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33F6A698" w14:textId="77777777" w:rsidR="00A345F4" w:rsidRDefault="005E2D4E">
            <w:pPr>
              <w:pStyle w:val="P68B1DB1-Normal14"/>
              <w:spacing w:after="0" w:line="240" w:lineRule="auto"/>
              <w:jc w:val="center"/>
              <w:rPr>
                <w:noProof/>
              </w:rPr>
            </w:pPr>
            <w:r>
              <w:rPr>
                <w:noProof/>
              </w:rPr>
              <w:t>75b</w:t>
            </w:r>
          </w:p>
        </w:tc>
        <w:tc>
          <w:tcPr>
            <w:tcW w:w="1788" w:type="dxa"/>
            <w:tcBorders>
              <w:top w:val="single" w:sz="4" w:space="0" w:color="auto"/>
              <w:left w:val="nil"/>
              <w:bottom w:val="single" w:sz="4" w:space="0" w:color="auto"/>
              <w:right w:val="single" w:sz="4" w:space="0" w:color="auto"/>
            </w:tcBorders>
            <w:shd w:val="clear" w:color="auto" w:fill="C6EFCE"/>
            <w:noWrap/>
          </w:tcPr>
          <w:p w14:paraId="1861F25B" w14:textId="77777777" w:rsidR="00A345F4" w:rsidRDefault="005E2D4E">
            <w:pPr>
              <w:pStyle w:val="P68B1DB1-Normal14"/>
              <w:jc w:val="both"/>
              <w:rPr>
                <w:noProof/>
              </w:rPr>
            </w:pPr>
            <w:r>
              <w:rPr>
                <w:noProof/>
              </w:rPr>
              <w:t>Investissement 1a. Modernisation et/ou modernisation de l'infrastructure ferroviaire</w:t>
            </w:r>
          </w:p>
          <w:p w14:paraId="009B5E6F" w14:textId="77777777" w:rsidR="00A345F4" w:rsidRDefault="00A345F4">
            <w:pPr>
              <w:spacing w:after="0" w:line="240" w:lineRule="auto"/>
              <w:jc w:val="both"/>
              <w:rPr>
                <w:rFonts w:ascii="Times New Roman" w:hAnsi="Times New Roman" w:cs="Times New Roman"/>
                <w:noProof/>
                <w:sz w:val="20"/>
                <w:szCs w:val="20"/>
              </w:rPr>
            </w:pPr>
          </w:p>
        </w:tc>
        <w:tc>
          <w:tcPr>
            <w:tcW w:w="1146" w:type="dxa"/>
            <w:tcBorders>
              <w:top w:val="single" w:sz="4" w:space="0" w:color="auto"/>
              <w:left w:val="nil"/>
              <w:bottom w:val="single" w:sz="4" w:space="0" w:color="auto"/>
              <w:right w:val="single" w:sz="4" w:space="0" w:color="auto"/>
            </w:tcBorders>
            <w:shd w:val="clear" w:color="auto" w:fill="C6EFCE"/>
            <w:noWrap/>
          </w:tcPr>
          <w:p w14:paraId="638285D7" w14:textId="09ED2D86" w:rsidR="00A345F4" w:rsidRDefault="005E2D4E">
            <w:pPr>
              <w:pStyle w:val="P68B1DB1-Normal14"/>
              <w:spacing w:after="0" w:line="240" w:lineRule="auto"/>
              <w:jc w:val="center"/>
              <w:rPr>
                <w:noProof/>
              </w:rPr>
            </w:pPr>
            <w:r>
              <w:rPr>
                <w:noProof/>
              </w:rPr>
              <w:t>Objectif</w:t>
            </w:r>
          </w:p>
        </w:tc>
        <w:tc>
          <w:tcPr>
            <w:tcW w:w="1511" w:type="dxa"/>
            <w:tcBorders>
              <w:top w:val="single" w:sz="4" w:space="0" w:color="auto"/>
              <w:left w:val="nil"/>
              <w:bottom w:val="single" w:sz="4" w:space="0" w:color="auto"/>
              <w:right w:val="single" w:sz="4" w:space="0" w:color="auto"/>
            </w:tcBorders>
            <w:shd w:val="clear" w:color="auto" w:fill="C6EFCE"/>
            <w:noWrap/>
          </w:tcPr>
          <w:p w14:paraId="215567D1" w14:textId="77777777" w:rsidR="00A345F4" w:rsidRDefault="005E2D4E">
            <w:pPr>
              <w:pStyle w:val="P68B1DB1-Normal14"/>
              <w:jc w:val="both"/>
              <w:rPr>
                <w:noProof/>
              </w:rPr>
            </w:pPr>
            <w:r>
              <w:rPr>
                <w:noProof/>
              </w:rPr>
              <w:t>Mise à disposition d'infrastructures ferroviaires modernisées et/ou modernisées</w:t>
            </w:r>
          </w:p>
          <w:p w14:paraId="647C92A4" w14:textId="77777777" w:rsidR="00A345F4" w:rsidRDefault="00A345F4">
            <w:pPr>
              <w:spacing w:after="0" w:line="240" w:lineRule="auto"/>
              <w:jc w:val="both"/>
              <w:rPr>
                <w:rFonts w:ascii="Times New Roman" w:hAnsi="Times New Roman" w:cs="Times New Roman"/>
                <w:noProof/>
                <w:sz w:val="20"/>
                <w:szCs w:val="20"/>
              </w:rPr>
            </w:pPr>
          </w:p>
        </w:tc>
        <w:tc>
          <w:tcPr>
            <w:tcW w:w="1800" w:type="dxa"/>
            <w:tcBorders>
              <w:top w:val="single" w:sz="4" w:space="0" w:color="auto"/>
              <w:left w:val="nil"/>
              <w:bottom w:val="single" w:sz="4" w:space="0" w:color="auto"/>
              <w:right w:val="single" w:sz="4" w:space="0" w:color="auto"/>
            </w:tcBorders>
            <w:shd w:val="clear" w:color="auto" w:fill="C6EFCE"/>
            <w:noWrap/>
          </w:tcPr>
          <w:p w14:paraId="1A1295FE" w14:textId="77777777" w:rsidR="00A345F4" w:rsidRDefault="005E2D4E">
            <w:pPr>
              <w:pStyle w:val="P68B1DB1-Normal14"/>
              <w:jc w:val="both"/>
              <w:rPr>
                <w:rFonts w:eastAsia="Times New Roman"/>
                <w:noProof/>
              </w:rPr>
            </w:pPr>
            <w:r>
              <w:rPr>
                <w:noProof/>
              </w:rPr>
              <w:t>Mise à disposition d'infrastructures ferroviaires modernisées et/ou modernisées</w:t>
            </w:r>
          </w:p>
          <w:p w14:paraId="5610E0C7" w14:textId="77777777" w:rsidR="00A345F4" w:rsidRDefault="00A345F4">
            <w:pPr>
              <w:spacing w:after="0"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608C1246"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78A5FB6A" w14:textId="77777777" w:rsidR="00A345F4" w:rsidRDefault="005E2D4E">
            <w:pPr>
              <w:pStyle w:val="P68B1DB1-Normal19"/>
              <w:spacing w:after="0" w:line="240" w:lineRule="auto"/>
              <w:jc w:val="both"/>
              <w:rPr>
                <w:noProof/>
              </w:rPr>
            </w:pPr>
            <w:r>
              <w:rPr>
                <w:noProof/>
              </w:rPr>
              <w:t>0</w:t>
            </w:r>
          </w:p>
        </w:tc>
        <w:tc>
          <w:tcPr>
            <w:tcW w:w="1134" w:type="dxa"/>
            <w:tcBorders>
              <w:top w:val="single" w:sz="4" w:space="0" w:color="auto"/>
              <w:left w:val="nil"/>
              <w:bottom w:val="single" w:sz="4" w:space="0" w:color="auto"/>
              <w:right w:val="single" w:sz="4" w:space="0" w:color="auto"/>
            </w:tcBorders>
            <w:shd w:val="clear" w:color="auto" w:fill="C6EFCE"/>
            <w:noWrap/>
          </w:tcPr>
          <w:p w14:paraId="12AB189B" w14:textId="38B776E4" w:rsidR="00A345F4" w:rsidRDefault="005E2D4E">
            <w:pPr>
              <w:pStyle w:val="P68B1DB1-Normal14"/>
              <w:spacing w:after="0" w:line="240" w:lineRule="auto"/>
              <w:jc w:val="both"/>
              <w:rPr>
                <w:rFonts w:eastAsia="Times New Roman"/>
                <w:noProof/>
              </w:rPr>
            </w:pPr>
            <w:r>
              <w:rPr>
                <w:noProof/>
              </w:rPr>
              <w:t>561 870 000</w:t>
            </w:r>
          </w:p>
        </w:tc>
        <w:tc>
          <w:tcPr>
            <w:tcW w:w="993" w:type="dxa"/>
            <w:tcBorders>
              <w:top w:val="single" w:sz="4" w:space="0" w:color="auto"/>
              <w:left w:val="nil"/>
              <w:bottom w:val="single" w:sz="4" w:space="0" w:color="auto"/>
              <w:right w:val="single" w:sz="4" w:space="0" w:color="auto"/>
            </w:tcBorders>
            <w:shd w:val="clear" w:color="auto" w:fill="C6EFCE"/>
            <w:noWrap/>
          </w:tcPr>
          <w:p w14:paraId="48DBB8F7" w14:textId="77777777" w:rsidR="00A345F4" w:rsidRDefault="005E2D4E">
            <w:pPr>
              <w:pStyle w:val="P68B1DB1-Normal14"/>
              <w:spacing w:after="0" w:line="240" w:lineRule="auto"/>
              <w:jc w:val="both"/>
              <w:rPr>
                <w:noProof/>
              </w:rPr>
            </w:pPr>
            <w:r>
              <w:rPr>
                <w:noProof/>
              </w:rPr>
              <w:t>T2</w:t>
            </w:r>
          </w:p>
        </w:tc>
        <w:tc>
          <w:tcPr>
            <w:tcW w:w="838" w:type="dxa"/>
            <w:tcBorders>
              <w:top w:val="single" w:sz="4" w:space="0" w:color="auto"/>
              <w:left w:val="nil"/>
              <w:bottom w:val="single" w:sz="4" w:space="0" w:color="auto"/>
              <w:right w:val="single" w:sz="4" w:space="0" w:color="auto"/>
            </w:tcBorders>
            <w:shd w:val="clear" w:color="auto" w:fill="C6EFCE"/>
            <w:noWrap/>
          </w:tcPr>
          <w:p w14:paraId="3053C096" w14:textId="77777777" w:rsidR="00A345F4" w:rsidRDefault="005E2D4E">
            <w:pPr>
              <w:pStyle w:val="P68B1DB1-Normal14"/>
              <w:spacing w:after="0" w:line="240" w:lineRule="auto"/>
              <w:jc w:val="both"/>
              <w:rPr>
                <w:noProof/>
              </w:rPr>
            </w:pPr>
            <w:r>
              <w:rPr>
                <w:noProof/>
              </w:rPr>
              <w:t>2026</w:t>
            </w:r>
          </w:p>
        </w:tc>
        <w:tc>
          <w:tcPr>
            <w:tcW w:w="3510" w:type="dxa"/>
            <w:tcBorders>
              <w:top w:val="single" w:sz="4" w:space="0" w:color="auto"/>
              <w:left w:val="nil"/>
              <w:bottom w:val="single" w:sz="4" w:space="0" w:color="auto"/>
              <w:right w:val="single" w:sz="4" w:space="0" w:color="auto"/>
            </w:tcBorders>
            <w:shd w:val="clear" w:color="auto" w:fill="C6EFCE"/>
            <w:noWrap/>
          </w:tcPr>
          <w:p w14:paraId="38F7B46F" w14:textId="2EEA455E" w:rsidR="00A345F4" w:rsidRDefault="005E2D4E">
            <w:pPr>
              <w:pStyle w:val="P68B1DB1-Normal14"/>
              <w:rPr>
                <w:noProof/>
              </w:rPr>
            </w:pPr>
            <w:r>
              <w:rPr>
                <w:noProof/>
              </w:rPr>
              <w:t xml:space="preserve"> Confirmation par des certificats de paiement qu’un montant total de 561,87 millions d’EUR a été certifié pour la modernisation et/ou la modernisation de l’infrastructure ferroviaire pour les lots 1 et 2 de la section Cluj-Napoca-Episcopia Bihor.</w:t>
            </w:r>
          </w:p>
        </w:tc>
      </w:tr>
      <w:tr w:rsidR="00A345F4" w14:paraId="05EB74F5" w14:textId="77777777" w:rsidTr="004E4AC2">
        <w:trPr>
          <w:trHeight w:val="1128"/>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3C54F423" w14:textId="77777777" w:rsidR="00A345F4" w:rsidRDefault="005E2D4E">
            <w:pPr>
              <w:pStyle w:val="P68B1DB1-Normal14"/>
              <w:spacing w:after="0" w:line="240" w:lineRule="auto"/>
              <w:jc w:val="center"/>
              <w:rPr>
                <w:noProof/>
              </w:rPr>
            </w:pPr>
            <w:r>
              <w:rPr>
                <w:noProof/>
              </w:rPr>
              <w:t>530</w:t>
            </w:r>
          </w:p>
        </w:tc>
        <w:tc>
          <w:tcPr>
            <w:tcW w:w="1788" w:type="dxa"/>
            <w:tcBorders>
              <w:top w:val="single" w:sz="4" w:space="0" w:color="auto"/>
              <w:left w:val="nil"/>
              <w:bottom w:val="single" w:sz="4" w:space="0" w:color="auto"/>
              <w:right w:val="single" w:sz="4" w:space="0" w:color="auto"/>
            </w:tcBorders>
            <w:shd w:val="clear" w:color="auto" w:fill="C6EFCE"/>
            <w:noWrap/>
          </w:tcPr>
          <w:p w14:paraId="2226B06B" w14:textId="6860337F" w:rsidR="00A345F4" w:rsidRDefault="005E2D4E">
            <w:pPr>
              <w:pStyle w:val="P68B1DB1-Normal14"/>
              <w:spacing w:after="0" w:line="240" w:lineRule="auto"/>
              <w:jc w:val="both"/>
              <w:rPr>
                <w:noProof/>
              </w:rPr>
            </w:pPr>
            <w:r>
              <w:rPr>
                <w:noProof/>
              </w:rPr>
              <w:t>Investissement 3 a). Accroître la durabilité des infrastructures routières sur le réseau RTE-T, la tarification routière, la gestion du trafic et la sécurité routière</w:t>
            </w:r>
          </w:p>
        </w:tc>
        <w:tc>
          <w:tcPr>
            <w:tcW w:w="1146" w:type="dxa"/>
            <w:tcBorders>
              <w:top w:val="single" w:sz="4" w:space="0" w:color="auto"/>
              <w:left w:val="nil"/>
              <w:bottom w:val="single" w:sz="4" w:space="0" w:color="auto"/>
              <w:right w:val="single" w:sz="4" w:space="0" w:color="auto"/>
            </w:tcBorders>
            <w:shd w:val="clear" w:color="auto" w:fill="C6EFCE"/>
            <w:noWrap/>
          </w:tcPr>
          <w:p w14:paraId="414ABA35" w14:textId="77777777" w:rsidR="00A345F4" w:rsidRDefault="005E2D4E">
            <w:pPr>
              <w:pStyle w:val="P68B1DB1-Normal14"/>
              <w:spacing w:after="0" w:line="240" w:lineRule="auto"/>
              <w:jc w:val="both"/>
              <w:rPr>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6AD66C14" w14:textId="77777777" w:rsidR="00A345F4" w:rsidRDefault="005E2D4E">
            <w:pPr>
              <w:pStyle w:val="P68B1DB1-Normal14"/>
              <w:spacing w:after="0" w:line="240" w:lineRule="auto"/>
              <w:jc w:val="both"/>
              <w:rPr>
                <w:noProof/>
              </w:rPr>
            </w:pPr>
            <w:r>
              <w:rPr>
                <w:noProof/>
              </w:rPr>
              <w:t xml:space="preserve">Construction de nouvelles routes </w:t>
            </w:r>
          </w:p>
        </w:tc>
        <w:tc>
          <w:tcPr>
            <w:tcW w:w="1800" w:type="dxa"/>
            <w:tcBorders>
              <w:top w:val="single" w:sz="4" w:space="0" w:color="auto"/>
              <w:left w:val="nil"/>
              <w:bottom w:val="single" w:sz="4" w:space="0" w:color="auto"/>
              <w:right w:val="single" w:sz="4" w:space="0" w:color="auto"/>
            </w:tcBorders>
            <w:shd w:val="clear" w:color="auto" w:fill="C6EFCE"/>
            <w:noWrap/>
          </w:tcPr>
          <w:p w14:paraId="3EFD1987" w14:textId="77777777" w:rsidR="00A345F4" w:rsidRDefault="005E2D4E">
            <w:pPr>
              <w:pStyle w:val="P68B1DB1-Normal14"/>
              <w:spacing w:after="0" w:line="240" w:lineRule="auto"/>
              <w:jc w:val="both"/>
              <w:rPr>
                <w:noProof/>
              </w:rPr>
            </w:pPr>
            <w:r>
              <w:rPr>
                <w:noProof/>
              </w:rPr>
              <w:t>Nouvelles routes construites</w:t>
            </w:r>
          </w:p>
        </w:tc>
        <w:tc>
          <w:tcPr>
            <w:tcW w:w="1225" w:type="dxa"/>
            <w:tcBorders>
              <w:top w:val="single" w:sz="4" w:space="0" w:color="auto"/>
              <w:left w:val="nil"/>
              <w:bottom w:val="single" w:sz="4" w:space="0" w:color="auto"/>
              <w:right w:val="single" w:sz="4" w:space="0" w:color="auto"/>
            </w:tcBorders>
            <w:shd w:val="clear" w:color="auto" w:fill="C6EFCE"/>
            <w:noWrap/>
          </w:tcPr>
          <w:p w14:paraId="0EC91701"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5384355D" w14:textId="77777777" w:rsidR="00A345F4" w:rsidRDefault="00A345F4">
            <w:pPr>
              <w:spacing w:after="0" w:line="240" w:lineRule="auto"/>
              <w:jc w:val="both"/>
              <w:rPr>
                <w:rFonts w:ascii="Times New Roman" w:hAnsi="Times New Roman" w:cs="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12000CE0" w14:textId="77777777" w:rsidR="00A345F4" w:rsidRDefault="00A345F4">
            <w:pPr>
              <w:spacing w:after="0" w:line="240" w:lineRule="auto"/>
              <w:jc w:val="both"/>
              <w:rPr>
                <w:rFonts w:ascii="Times New Roman" w:hAnsi="Times New Roman" w:cs="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26FAA9EB" w14:textId="77777777" w:rsidR="00A345F4" w:rsidRDefault="005E2D4E">
            <w:pPr>
              <w:pStyle w:val="P68B1DB1-Normal14"/>
              <w:spacing w:after="0" w:line="240" w:lineRule="auto"/>
              <w:jc w:val="center"/>
              <w:rPr>
                <w:noProof/>
              </w:rPr>
            </w:pPr>
            <w:r>
              <w:rPr>
                <w:noProof/>
              </w:rPr>
              <w:t>T2</w:t>
            </w:r>
          </w:p>
        </w:tc>
        <w:tc>
          <w:tcPr>
            <w:tcW w:w="838" w:type="dxa"/>
            <w:tcBorders>
              <w:top w:val="single" w:sz="4" w:space="0" w:color="auto"/>
              <w:left w:val="nil"/>
              <w:bottom w:val="single" w:sz="4" w:space="0" w:color="auto"/>
              <w:right w:val="single" w:sz="4" w:space="0" w:color="auto"/>
            </w:tcBorders>
            <w:shd w:val="clear" w:color="auto" w:fill="C6EFCE"/>
            <w:noWrap/>
          </w:tcPr>
          <w:p w14:paraId="79556D37" w14:textId="77777777" w:rsidR="00A345F4" w:rsidRDefault="005E2D4E">
            <w:pPr>
              <w:pStyle w:val="P68B1DB1-Normal14"/>
              <w:spacing w:after="0" w:line="240" w:lineRule="auto"/>
              <w:jc w:val="both"/>
              <w:rPr>
                <w:noProof/>
              </w:rPr>
            </w:pPr>
            <w:r>
              <w:rPr>
                <w:noProof/>
              </w:rPr>
              <w:t>2026</w:t>
            </w:r>
          </w:p>
        </w:tc>
        <w:tc>
          <w:tcPr>
            <w:tcW w:w="3510" w:type="dxa"/>
            <w:tcBorders>
              <w:top w:val="single" w:sz="4" w:space="0" w:color="auto"/>
              <w:left w:val="nil"/>
              <w:bottom w:val="single" w:sz="4" w:space="0" w:color="auto"/>
              <w:right w:val="single" w:sz="4" w:space="0" w:color="auto"/>
            </w:tcBorders>
            <w:shd w:val="clear" w:color="auto" w:fill="C6EFCE"/>
            <w:noWrap/>
          </w:tcPr>
          <w:p w14:paraId="15A1DA3F" w14:textId="1BFE307D" w:rsidR="00A345F4" w:rsidRDefault="005E2D4E">
            <w:pPr>
              <w:pStyle w:val="P68B1DB1-Normal14"/>
              <w:spacing w:after="0"/>
              <w:jc w:val="both"/>
              <w:rPr>
                <w:noProof/>
              </w:rPr>
            </w:pPr>
            <w:r>
              <w:rPr>
                <w:noProof/>
              </w:rPr>
              <w:t xml:space="preserve">Certificats de réception d’achèvement des travaux signés par le pouvoir adjudicateur prouvant que 95,9 km d’infrastructures routières – autoroutes – A7, Focsani – tronçon Bacau – ont été construits. </w:t>
            </w:r>
          </w:p>
          <w:p w14:paraId="5FB9EEF5" w14:textId="77777777" w:rsidR="00A345F4" w:rsidRDefault="00A345F4">
            <w:pPr>
              <w:spacing w:after="0"/>
              <w:jc w:val="both"/>
              <w:rPr>
                <w:rFonts w:ascii="Times New Roman" w:hAnsi="Times New Roman" w:cs="Times New Roman"/>
                <w:noProof/>
                <w:sz w:val="20"/>
                <w:szCs w:val="20"/>
              </w:rPr>
            </w:pPr>
          </w:p>
          <w:p w14:paraId="5D4BD6CF" w14:textId="39112AB0" w:rsidR="00A345F4" w:rsidRDefault="005E2D4E">
            <w:pPr>
              <w:pStyle w:val="P68B1DB1-Normal14"/>
              <w:spacing w:after="0"/>
              <w:jc w:val="both"/>
              <w:rPr>
                <w:noProof/>
              </w:rPr>
            </w:pPr>
            <w:r>
              <w:rPr>
                <w:noProof/>
              </w:rPr>
              <w:t>Système de trafic intelligent (ITS): nouveau tronçon d'autoroutes équipé des nouveaux éléments STI et ITS pour le réseau autoroutier roumain.</w:t>
            </w:r>
          </w:p>
          <w:p w14:paraId="417C988B" w14:textId="77777777" w:rsidR="00A345F4" w:rsidRDefault="00A345F4">
            <w:pPr>
              <w:spacing w:after="0"/>
              <w:jc w:val="both"/>
              <w:rPr>
                <w:rFonts w:ascii="Times New Roman" w:hAnsi="Times New Roman" w:cs="Times New Roman"/>
                <w:noProof/>
                <w:sz w:val="20"/>
                <w:szCs w:val="20"/>
              </w:rPr>
            </w:pPr>
          </w:p>
          <w:p w14:paraId="63F4E210" w14:textId="77777777" w:rsidR="00A345F4" w:rsidRDefault="005E2D4E">
            <w:pPr>
              <w:pStyle w:val="P68B1DB1-Normal14"/>
              <w:spacing w:after="0"/>
              <w:jc w:val="both"/>
              <w:rPr>
                <w:noProof/>
              </w:rPr>
            </w:pPr>
            <w:r>
              <w:rPr>
                <w:noProof/>
              </w:rPr>
              <w:t>Infrastructures pour les stations de recharge électrique.</w:t>
            </w:r>
          </w:p>
          <w:p w14:paraId="44916A49" w14:textId="77777777" w:rsidR="00A345F4" w:rsidRDefault="00A345F4">
            <w:pPr>
              <w:spacing w:after="0"/>
              <w:jc w:val="both"/>
              <w:rPr>
                <w:rFonts w:ascii="Times New Roman" w:hAnsi="Times New Roman" w:cs="Times New Roman"/>
                <w:noProof/>
                <w:sz w:val="20"/>
                <w:szCs w:val="20"/>
              </w:rPr>
            </w:pPr>
          </w:p>
          <w:p w14:paraId="19A750A2" w14:textId="17E26EBF" w:rsidR="00A345F4" w:rsidRDefault="005E2D4E">
            <w:pPr>
              <w:pStyle w:val="P68B1DB1-Normal14"/>
              <w:spacing w:after="0" w:line="240" w:lineRule="auto"/>
              <w:jc w:val="both"/>
              <w:rPr>
                <w:noProof/>
              </w:rPr>
            </w:pPr>
            <w:r>
              <w:rPr>
                <w:noProof/>
              </w:rPr>
              <w:t>Rideaux forestiers: 170,92 ha d'arbres.</w:t>
            </w:r>
          </w:p>
          <w:p w14:paraId="42CD0FB9" w14:textId="77777777" w:rsidR="00A345F4" w:rsidRDefault="00A345F4">
            <w:pPr>
              <w:spacing w:after="0" w:line="240" w:lineRule="auto"/>
              <w:jc w:val="both"/>
              <w:rPr>
                <w:rFonts w:ascii="Times New Roman" w:hAnsi="Times New Roman" w:cs="Times New Roman"/>
                <w:noProof/>
                <w:sz w:val="20"/>
                <w:szCs w:val="20"/>
              </w:rPr>
            </w:pPr>
          </w:p>
          <w:p w14:paraId="4FE100E0" w14:textId="77777777" w:rsidR="00A345F4" w:rsidRDefault="005E2D4E">
            <w:pPr>
              <w:pStyle w:val="P68B1DB1-Normal14"/>
              <w:spacing w:after="0" w:line="240" w:lineRule="auto"/>
              <w:jc w:val="both"/>
              <w:rPr>
                <w:noProof/>
              </w:rPr>
            </w:pPr>
            <w:r>
              <w:rPr>
                <w:noProof/>
              </w:rPr>
              <w:t>Le respect satisfaisant des jalons 59, 60 et 69, liés à l’approbation du cadre juridique et stratégique visant à réduire l’utilisation de véhicules polluants et à encourager l’utilisation de modes de transport plus propres, est nécessaire pour garantir la conformité de l’investissement 3 a) avec les exigences DNSH.</w:t>
            </w:r>
          </w:p>
        </w:tc>
      </w:tr>
    </w:tbl>
    <w:p w14:paraId="34F29DD7" w14:textId="77777777" w:rsidR="00A345F4" w:rsidRDefault="00A345F4">
      <w:pPr>
        <w:spacing w:after="0" w:line="240" w:lineRule="auto"/>
        <w:jc w:val="both"/>
        <w:rPr>
          <w:rFonts w:ascii="Times New Roman" w:eastAsia="Times New Roman" w:hAnsi="Times New Roman" w:cs="Times New Roman"/>
          <w:noProof/>
        </w:rPr>
        <w:sectPr w:rsidR="00A345F4" w:rsidSect="004C590F">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5A9E1BD8"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D.3. </w:t>
      </w:r>
      <w:r>
        <w:rPr>
          <w:noProof/>
        </w:rPr>
        <w:t xml:space="preserve"> </w:t>
      </w:r>
      <w:r>
        <w:rPr>
          <w:b/>
          <w:noProof/>
        </w:rPr>
        <w:t xml:space="preserve">Description des réformes et des investissements pour le prêt </w:t>
      </w:r>
    </w:p>
    <w:p w14:paraId="7E9F0608" w14:textId="77777777" w:rsidR="00A345F4" w:rsidRDefault="005E2D4E">
      <w:pPr>
        <w:pStyle w:val="P68B1DB1-Normal12"/>
        <w:suppressAutoHyphens/>
        <w:autoSpaceDN w:val="0"/>
        <w:spacing w:before="240" w:after="0" w:line="240" w:lineRule="auto"/>
        <w:jc w:val="both"/>
        <w:textAlignment w:val="baseline"/>
        <w:rPr>
          <w:noProof/>
        </w:rPr>
      </w:pPr>
      <w:r>
        <w:rPr>
          <w:noProof/>
        </w:rPr>
        <w:t>Réforme 2. Gestion de la qualité axée sur les résultats dans les transports - Amélioration des capacités institutionnelles et de la gouvernance d'entreprise</w:t>
      </w:r>
    </w:p>
    <w:p w14:paraId="35B75592" w14:textId="77777777" w:rsidR="00A345F4" w:rsidRDefault="005E2D4E">
      <w:pPr>
        <w:pStyle w:val="P68B1DB1-Normal4"/>
        <w:spacing w:before="120" w:after="120" w:line="240" w:lineRule="auto"/>
        <w:jc w:val="both"/>
        <w:rPr>
          <w:noProof/>
        </w:rPr>
      </w:pPr>
      <w:r>
        <w:rPr>
          <w:noProof/>
        </w:rPr>
        <w:t xml:space="preserve">L’objectif de cette réforme est d’améliorer la qualité des services de transport en réformant la gouvernance d’entreprise et en améliorant les performances des entreprises publiques opérant dans le secteur des transports. </w:t>
      </w:r>
    </w:p>
    <w:p w14:paraId="555A94D5" w14:textId="77777777" w:rsidR="00A345F4" w:rsidRDefault="005E2D4E">
      <w:pPr>
        <w:pStyle w:val="P68B1DB1-Normal4"/>
        <w:spacing w:before="120" w:after="120" w:line="240" w:lineRule="auto"/>
        <w:jc w:val="both"/>
        <w:rPr>
          <w:noProof/>
        </w:rPr>
      </w:pPr>
      <w:r>
        <w:rPr>
          <w:noProof/>
        </w:rPr>
        <w:t>La réforme consiste en des interventions visant à accroître la transparence et les performances des entreprises publiques opérant dans le secteur des transports.</w:t>
      </w:r>
    </w:p>
    <w:p w14:paraId="0F0CA492" w14:textId="77777777" w:rsidR="00A345F4" w:rsidRDefault="005E2D4E">
      <w:pPr>
        <w:pStyle w:val="P68B1DB1-Normal18"/>
        <w:suppressAutoHyphens/>
        <w:autoSpaceDN w:val="0"/>
        <w:spacing w:before="240" w:after="0" w:line="240" w:lineRule="auto"/>
        <w:jc w:val="both"/>
        <w:textAlignment w:val="baseline"/>
        <w:rPr>
          <w:rFonts w:eastAsiaTheme="majorEastAsia"/>
          <w:noProof/>
          <w:kern w:val="3"/>
        </w:rPr>
      </w:pPr>
      <w:r>
        <w:rPr>
          <w:noProof/>
          <w:kern w:val="3"/>
        </w:rPr>
        <w:t>Investissement 1. Modernisation</w:t>
      </w:r>
      <w:r>
        <w:rPr>
          <w:noProof/>
        </w:rPr>
        <w:t xml:space="preserve"> et/ou </w:t>
      </w:r>
      <w:r>
        <w:rPr>
          <w:noProof/>
          <w:kern w:val="3"/>
        </w:rPr>
        <w:t>modernisation de l'infrastructure ferroviaire</w:t>
      </w:r>
    </w:p>
    <w:p w14:paraId="73122BCF" w14:textId="77777777" w:rsidR="00A345F4" w:rsidRDefault="005E2D4E">
      <w:pPr>
        <w:pStyle w:val="P68B1DB1-Normal4"/>
        <w:spacing w:before="120" w:after="120" w:line="240" w:lineRule="auto"/>
        <w:jc w:val="both"/>
        <w:rPr>
          <w:noProof/>
        </w:rPr>
      </w:pPr>
      <w:r>
        <w:rPr>
          <w:noProof/>
        </w:rPr>
        <w:t xml:space="preserve">L’objectif de cet investissement est de «moderniser» l’infrastructure ferroviaire. </w:t>
      </w:r>
    </w:p>
    <w:p w14:paraId="1B279BF0" w14:textId="77777777" w:rsidR="00A345F4" w:rsidRDefault="005E2D4E">
      <w:pPr>
        <w:pStyle w:val="P68B1DB1-Normal4"/>
        <w:spacing w:before="120" w:after="120" w:line="240" w:lineRule="auto"/>
        <w:jc w:val="both"/>
        <w:rPr>
          <w:noProof/>
        </w:rPr>
      </w:pPr>
      <w:r>
        <w:rPr>
          <w:noProof/>
        </w:rPr>
        <w:t>L'investissement consiste à moderniser et/ou à moderniser l'infrastructure ferroviaire.</w:t>
      </w:r>
    </w:p>
    <w:p w14:paraId="599603DA" w14:textId="77777777" w:rsidR="00A345F4" w:rsidRDefault="005E2D4E">
      <w:pPr>
        <w:pStyle w:val="P68B1DB1-Normal4"/>
        <w:spacing w:before="120" w:after="120" w:line="240" w:lineRule="auto"/>
        <w:jc w:val="both"/>
        <w:rPr>
          <w:noProof/>
        </w:rPr>
      </w:pPr>
      <w:r>
        <w:rPr>
          <w:noProof/>
        </w:rPr>
        <w:t>La mesure complète l’investissement 1a. Modernisation et/ou modernisation de l'infrastructure ferroviaire.</w:t>
      </w:r>
    </w:p>
    <w:p w14:paraId="6B1EAED7"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Investissement 2. Matériel roulant ferroviaire</w:t>
      </w:r>
    </w:p>
    <w:p w14:paraId="1326567C" w14:textId="77777777" w:rsidR="00A345F4" w:rsidRDefault="005E2D4E">
      <w:pPr>
        <w:pStyle w:val="P68B1DB1-Normal4"/>
        <w:spacing w:before="120" w:after="120" w:line="240" w:lineRule="auto"/>
        <w:jc w:val="both"/>
        <w:rPr>
          <w:noProof/>
        </w:rPr>
      </w:pPr>
      <w:r>
        <w:rPr>
          <w:noProof/>
        </w:rPr>
        <w:t xml:space="preserve">L’objectif de cet investissement est d’améliorer la qualité des services publics de transport de voyageurs par chemin de fer. </w:t>
      </w:r>
    </w:p>
    <w:p w14:paraId="40D08792" w14:textId="77777777" w:rsidR="00A345F4" w:rsidRDefault="005E2D4E">
      <w:pPr>
        <w:pStyle w:val="P68B1DB1-Normal4"/>
        <w:spacing w:before="120" w:after="120" w:line="240" w:lineRule="auto"/>
        <w:jc w:val="both"/>
        <w:rPr>
          <w:noProof/>
        </w:rPr>
      </w:pPr>
      <w:r>
        <w:rPr>
          <w:noProof/>
        </w:rPr>
        <w:t>La mesure consiste à moderniser le matériel roulant.</w:t>
      </w:r>
    </w:p>
    <w:p w14:paraId="1AEDD28B" w14:textId="77777777" w:rsidR="00A345F4" w:rsidRDefault="005E2D4E">
      <w:pPr>
        <w:pStyle w:val="P68B1DB1-Normal12"/>
        <w:suppressAutoHyphens/>
        <w:autoSpaceDN w:val="0"/>
        <w:spacing w:before="240" w:after="0" w:line="240" w:lineRule="auto"/>
        <w:jc w:val="both"/>
        <w:textAlignment w:val="baseline"/>
        <w:rPr>
          <w:noProof/>
        </w:rPr>
      </w:pPr>
      <w:r>
        <w:rPr>
          <w:noProof/>
        </w:rPr>
        <w:t xml:space="preserve">Investissement 3. Accroître la durabilité des infrastructures routières sur le réseau RTE-T, tarification routière, gestion du trafic </w:t>
      </w:r>
    </w:p>
    <w:p w14:paraId="30B2E48E" w14:textId="77777777" w:rsidR="00A345F4" w:rsidRDefault="005E2D4E">
      <w:pPr>
        <w:pStyle w:val="P68B1DB1-Normal4"/>
        <w:spacing w:before="120" w:after="120" w:line="240" w:lineRule="auto"/>
        <w:jc w:val="both"/>
        <w:rPr>
          <w:noProof/>
        </w:rPr>
      </w:pPr>
      <w:r>
        <w:rPr>
          <w:noProof/>
        </w:rPr>
        <w:t xml:space="preserve">L'objectif de cet investissement est d'accroître la qualité et l'efficacité des infrastructures routières. </w:t>
      </w:r>
    </w:p>
    <w:p w14:paraId="59F6EF0E" w14:textId="77777777" w:rsidR="00A345F4" w:rsidRDefault="005E2D4E">
      <w:pPr>
        <w:pStyle w:val="P68B1DB1-Normal4"/>
        <w:spacing w:before="120" w:after="120" w:line="240" w:lineRule="auto"/>
        <w:jc w:val="both"/>
        <w:rPr>
          <w:noProof/>
        </w:rPr>
      </w:pPr>
      <w:r>
        <w:rPr>
          <w:noProof/>
        </w:rPr>
        <w:t>L'investissement consiste en la construction de nouveaux tronçons d'autoroutes.</w:t>
      </w:r>
    </w:p>
    <w:p w14:paraId="6BDE8FBF" w14:textId="2F337134" w:rsidR="00A345F4" w:rsidRDefault="005E2D4E">
      <w:pPr>
        <w:pStyle w:val="P68B1DB1-Normal22"/>
        <w:spacing w:before="120" w:after="120" w:line="240" w:lineRule="auto"/>
        <w:jc w:val="both"/>
        <w:rPr>
          <w:noProof/>
        </w:rPr>
      </w:pPr>
      <w:r>
        <w:rPr>
          <w:noProof/>
        </w:rPr>
        <w:t>Cette mesure complète l’investissement 3a – Accroître la durabilité des infrastructures routières sur le réseau RTE-T, la tarification routière, la gestion du trafic et la sécurité routière.</w:t>
      </w:r>
    </w:p>
    <w:p w14:paraId="543D8D7E" w14:textId="77777777" w:rsidR="00A345F4" w:rsidRDefault="005E2D4E">
      <w:pPr>
        <w:pStyle w:val="P68B1DB1-Normal24"/>
        <w:spacing w:before="120" w:after="120" w:line="240" w:lineRule="auto"/>
        <w:jc w:val="both"/>
        <w:rPr>
          <w:rFonts w:eastAsia="NSimSun"/>
          <w:noProof/>
        </w:rPr>
      </w:pPr>
      <w:r>
        <w:rPr>
          <w:noProof/>
        </w:rPr>
        <w:t>Investissement 5. Accroître la sécurité routière</w:t>
      </w:r>
    </w:p>
    <w:p w14:paraId="586A0565" w14:textId="77777777" w:rsidR="00A345F4" w:rsidRDefault="005E2D4E">
      <w:pPr>
        <w:pStyle w:val="P68B1DB1-Normal4"/>
        <w:spacing w:before="120" w:after="120" w:line="240" w:lineRule="auto"/>
        <w:jc w:val="both"/>
        <w:rPr>
          <w:noProof/>
        </w:rPr>
      </w:pPr>
      <w:r>
        <w:rPr>
          <w:noProof/>
          <w:u w:val="single"/>
        </w:rPr>
        <w:t>L'objectif</w:t>
      </w:r>
      <w:r>
        <w:rPr>
          <w:noProof/>
        </w:rPr>
        <w:t xml:space="preserve"> de cet investissement est d'accroître la sécurité routière.Les investissements consistent à supprimer une partie des points noirs/points chauds existants.</w:t>
      </w:r>
    </w:p>
    <w:p w14:paraId="765DDFBC" w14:textId="77777777" w:rsidR="00A345F4" w:rsidRDefault="00A345F4">
      <w:pPr>
        <w:suppressAutoHyphens/>
        <w:autoSpaceDN w:val="0"/>
        <w:spacing w:before="240" w:after="0" w:line="240" w:lineRule="auto"/>
        <w:jc w:val="both"/>
        <w:textAlignment w:val="baseline"/>
        <w:rPr>
          <w:rFonts w:ascii="Times New Roman" w:eastAsia="NSimSun" w:hAnsi="Times New Roman" w:cs="Times New Roman"/>
          <w:noProof/>
          <w:kern w:val="3"/>
          <w:u w:val="single"/>
        </w:rPr>
      </w:pPr>
    </w:p>
    <w:p w14:paraId="0A5D2CA8" w14:textId="3E28B8FC" w:rsidR="00A345F4" w:rsidRDefault="005E2D4E">
      <w:pPr>
        <w:pStyle w:val="P68B1DB1-Normal21"/>
        <w:suppressAutoHyphens/>
        <w:autoSpaceDN w:val="0"/>
        <w:spacing w:after="0"/>
        <w:jc w:val="both"/>
        <w:textAlignment w:val="baseline"/>
        <w:rPr>
          <w:noProof/>
        </w:rPr>
        <w:sectPr w:rsidR="00A345F4" w:rsidSect="004C590F">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r>
        <w:rPr>
          <w:noProof/>
        </w:rPr>
        <w:br w:type="page"/>
      </w:r>
    </w:p>
    <w:p w14:paraId="5CD31192" w14:textId="6C73FEE3" w:rsidR="00A345F4" w:rsidRDefault="005E2D4E">
      <w:pPr>
        <w:keepNext/>
        <w:spacing w:before="120" w:after="120" w:line="240" w:lineRule="auto"/>
        <w:jc w:val="both"/>
        <w:outlineLvl w:val="1"/>
        <w:rPr>
          <w:rFonts w:ascii="Times New Roman" w:eastAsiaTheme="majorEastAsia" w:hAnsi="Times New Roman" w:cs="Times New Roman"/>
          <w:noProof/>
        </w:rPr>
      </w:pPr>
      <w:r>
        <w:rPr>
          <w:rFonts w:ascii="Times New Roman" w:hAnsi="Times New Roman" w:cs="Times New Roman"/>
          <w:b/>
          <w:noProof/>
        </w:rPr>
        <w:t xml:space="preserve">D.4. </w:t>
      </w:r>
      <w:r>
        <w:rPr>
          <w:rFonts w:ascii="Times New Roman" w:hAnsi="Times New Roman" w:cs="Times New Roman"/>
          <w:noProof/>
        </w:rPr>
        <w:t xml:space="preserve"> </w:t>
      </w:r>
      <w:r>
        <w:rPr>
          <w:rFonts w:ascii="Times New Roman" w:hAnsi="Times New Roman" w:cs="Times New Roman"/>
          <w:b/>
          <w:noProof/>
        </w:rPr>
        <w:t xml:space="preserve">Étapes, objectifs, indicateurs et calendrier du suivi et de la mise en œuvre du prêt </w:t>
      </w:r>
      <w:r>
        <w:rPr>
          <w:rFonts w:ascii="Times New Roman" w:eastAsiaTheme="majorEastAsia" w:hAnsi="Times New Roman" w:cs="Times New Roman"/>
          <w:noProof/>
        </w:rPr>
        <w:t xml:space="preserve"> </w:t>
      </w:r>
    </w:p>
    <w:tbl>
      <w:tblPr>
        <w:tblStyle w:val="TableGridLight"/>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63"/>
        <w:gridCol w:w="1515"/>
        <w:gridCol w:w="1155"/>
        <w:gridCol w:w="1455"/>
        <w:gridCol w:w="1695"/>
        <w:gridCol w:w="1192"/>
        <w:gridCol w:w="1248"/>
        <w:gridCol w:w="1280"/>
        <w:gridCol w:w="921"/>
        <w:gridCol w:w="1065"/>
        <w:gridCol w:w="2832"/>
      </w:tblGrid>
      <w:tr w:rsidR="00A345F4" w14:paraId="5EACB681" w14:textId="77777777">
        <w:trPr>
          <w:trHeight w:val="300"/>
          <w:tblHeader/>
          <w:jc w:val="center"/>
        </w:trPr>
        <w:tc>
          <w:tcPr>
            <w:tcW w:w="663" w:type="dxa"/>
            <w:vMerge w:val="restart"/>
            <w:shd w:val="clear" w:color="auto" w:fill="BDD7EE"/>
            <w:vAlign w:val="center"/>
            <w:hideMark/>
          </w:tcPr>
          <w:p w14:paraId="571F8066" w14:textId="77777777" w:rsidR="00A345F4" w:rsidRDefault="005E2D4E">
            <w:pPr>
              <w:pStyle w:val="P68B1DB1-Normal25"/>
              <w:jc w:val="center"/>
              <w:rPr>
                <w:rFonts w:eastAsia="Times New Roman"/>
                <w:bCs/>
                <w:noProof/>
              </w:rPr>
            </w:pPr>
            <w:r>
              <w:rPr>
                <w:noProof/>
              </w:rPr>
              <w:t>Seq. Num.</w:t>
            </w:r>
          </w:p>
        </w:tc>
        <w:tc>
          <w:tcPr>
            <w:tcW w:w="1515" w:type="dxa"/>
            <w:vMerge w:val="restart"/>
            <w:shd w:val="clear" w:color="auto" w:fill="BDD7EE"/>
            <w:vAlign w:val="center"/>
            <w:hideMark/>
          </w:tcPr>
          <w:p w14:paraId="6E8DAB48" w14:textId="77777777" w:rsidR="00A345F4" w:rsidRDefault="005E2D4E">
            <w:pPr>
              <w:pStyle w:val="P68B1DB1-Normal25"/>
              <w:jc w:val="center"/>
              <w:rPr>
                <w:rFonts w:eastAsia="Times New Roman"/>
                <w:bCs/>
                <w:noProof/>
              </w:rPr>
            </w:pPr>
            <w:r>
              <w:rPr>
                <w:noProof/>
              </w:rPr>
              <w:t>Mesure connexe (réforme ou investissement)</w:t>
            </w:r>
          </w:p>
        </w:tc>
        <w:tc>
          <w:tcPr>
            <w:tcW w:w="1155" w:type="dxa"/>
            <w:vMerge w:val="restart"/>
            <w:shd w:val="clear" w:color="auto" w:fill="BDD7EE"/>
            <w:vAlign w:val="center"/>
            <w:hideMark/>
          </w:tcPr>
          <w:p w14:paraId="581F1DBD" w14:textId="77777777" w:rsidR="00A345F4" w:rsidRDefault="005E2D4E">
            <w:pPr>
              <w:pStyle w:val="P68B1DB1-Normal25"/>
              <w:jc w:val="center"/>
              <w:rPr>
                <w:bCs/>
                <w:noProof/>
              </w:rPr>
            </w:pPr>
            <w:r>
              <w:rPr>
                <w:noProof/>
              </w:rPr>
              <w:t>Étape/</w:t>
            </w:r>
          </w:p>
          <w:p w14:paraId="4BF0EE61" w14:textId="4D4B2D8B" w:rsidR="00A345F4" w:rsidRDefault="005E2D4E">
            <w:pPr>
              <w:pStyle w:val="P68B1DB1-Normal25"/>
              <w:jc w:val="center"/>
              <w:rPr>
                <w:rFonts w:eastAsia="Times New Roman"/>
                <w:bCs/>
                <w:noProof/>
              </w:rPr>
            </w:pPr>
            <w:r>
              <w:rPr>
                <w:noProof/>
              </w:rPr>
              <w:t>Objectif</w:t>
            </w:r>
          </w:p>
        </w:tc>
        <w:tc>
          <w:tcPr>
            <w:tcW w:w="1455" w:type="dxa"/>
            <w:vMerge w:val="restart"/>
            <w:shd w:val="clear" w:color="auto" w:fill="BDD7EE"/>
            <w:vAlign w:val="center"/>
            <w:hideMark/>
          </w:tcPr>
          <w:p w14:paraId="74F5D793" w14:textId="77777777" w:rsidR="00A345F4" w:rsidRDefault="005E2D4E">
            <w:pPr>
              <w:pStyle w:val="P68B1DB1-Normal25"/>
              <w:jc w:val="center"/>
              <w:rPr>
                <w:rFonts w:eastAsia="Times New Roman"/>
                <w:bCs/>
                <w:noProof/>
              </w:rPr>
            </w:pPr>
            <w:r>
              <w:rPr>
                <w:noProof/>
              </w:rPr>
              <w:t>Nom</w:t>
            </w:r>
          </w:p>
        </w:tc>
        <w:tc>
          <w:tcPr>
            <w:tcW w:w="1695" w:type="dxa"/>
            <w:vMerge w:val="restart"/>
            <w:shd w:val="clear" w:color="auto" w:fill="BDD7EE"/>
            <w:vAlign w:val="center"/>
            <w:hideMark/>
          </w:tcPr>
          <w:p w14:paraId="688B7BE9" w14:textId="34F7C508" w:rsidR="00A345F4" w:rsidRDefault="005E2D4E">
            <w:pPr>
              <w:pStyle w:val="P68B1DB1-Normal26"/>
              <w:jc w:val="center"/>
              <w:rPr>
                <w:rFonts w:eastAsia="Times New Roman"/>
                <w:b/>
                <w:bCs/>
                <w:noProof/>
              </w:rPr>
            </w:pPr>
            <w:r>
              <w:rPr>
                <w:b/>
                <w:noProof/>
              </w:rPr>
              <w:t>Indicateurs qualitatifs</w:t>
            </w:r>
            <w:r>
              <w:rPr>
                <w:noProof/>
              </w:rPr>
              <w:t xml:space="preserve"> </w:t>
            </w:r>
            <w:r>
              <w:rPr>
                <w:noProof/>
              </w:rPr>
              <w:br/>
            </w:r>
            <w:r>
              <w:rPr>
                <w:b/>
                <w:noProof/>
              </w:rPr>
              <w:t>(pour les jalons)</w:t>
            </w:r>
          </w:p>
        </w:tc>
        <w:tc>
          <w:tcPr>
            <w:tcW w:w="3720" w:type="dxa"/>
            <w:gridSpan w:val="3"/>
            <w:shd w:val="clear" w:color="auto" w:fill="BDD7EE"/>
            <w:vAlign w:val="center"/>
            <w:hideMark/>
          </w:tcPr>
          <w:p w14:paraId="6BDD946D" w14:textId="46A91270" w:rsidR="00A345F4" w:rsidRDefault="005E2D4E">
            <w:pPr>
              <w:pStyle w:val="P68B1DB1-Normal26"/>
              <w:jc w:val="center"/>
              <w:rPr>
                <w:rFonts w:eastAsia="Times New Roman"/>
                <w:b/>
                <w:bCs/>
                <w:noProof/>
              </w:rPr>
            </w:pPr>
            <w:r>
              <w:rPr>
                <w:b/>
                <w:noProof/>
              </w:rPr>
              <w:t>Indicateurs quantitatifs</w:t>
            </w:r>
            <w:r>
              <w:rPr>
                <w:noProof/>
              </w:rPr>
              <w:br/>
            </w:r>
            <w:r>
              <w:rPr>
                <w:b/>
                <w:noProof/>
              </w:rPr>
              <w:t>(pour les objectifs)</w:t>
            </w:r>
          </w:p>
        </w:tc>
        <w:tc>
          <w:tcPr>
            <w:tcW w:w="1986" w:type="dxa"/>
            <w:gridSpan w:val="2"/>
            <w:shd w:val="clear" w:color="auto" w:fill="BDD7EE"/>
            <w:vAlign w:val="center"/>
            <w:hideMark/>
          </w:tcPr>
          <w:p w14:paraId="7F3C26D8" w14:textId="5BF47C23" w:rsidR="00A345F4" w:rsidRDefault="005E2D4E">
            <w:pPr>
              <w:pStyle w:val="P68B1DB1-Normal25"/>
              <w:jc w:val="center"/>
              <w:rPr>
                <w:rFonts w:eastAsia="Times New Roman"/>
                <w:bCs/>
                <w:noProof/>
              </w:rPr>
            </w:pPr>
            <w:r>
              <w:rPr>
                <w:noProof/>
              </w:rPr>
              <w:t>Calendrier indicatif d'achèvement</w:t>
            </w:r>
          </w:p>
        </w:tc>
        <w:tc>
          <w:tcPr>
            <w:tcW w:w="2832" w:type="dxa"/>
            <w:vMerge w:val="restart"/>
            <w:shd w:val="clear" w:color="auto" w:fill="BDD7EE"/>
            <w:vAlign w:val="center"/>
            <w:hideMark/>
          </w:tcPr>
          <w:p w14:paraId="41AB2B66" w14:textId="77777777" w:rsidR="00A345F4" w:rsidRDefault="005E2D4E">
            <w:pPr>
              <w:pStyle w:val="P68B1DB1-Normal25"/>
              <w:jc w:val="center"/>
              <w:rPr>
                <w:rFonts w:eastAsia="Times New Roman"/>
                <w:bCs/>
                <w:noProof/>
              </w:rPr>
            </w:pPr>
            <w:r>
              <w:rPr>
                <w:noProof/>
              </w:rPr>
              <w:t>Description de chaque jalon et cible</w:t>
            </w:r>
          </w:p>
        </w:tc>
      </w:tr>
      <w:tr w:rsidR="00A345F4" w14:paraId="202BF96D" w14:textId="77777777">
        <w:trPr>
          <w:trHeight w:val="300"/>
          <w:tblHeader/>
          <w:jc w:val="center"/>
        </w:trPr>
        <w:tc>
          <w:tcPr>
            <w:tcW w:w="663" w:type="dxa"/>
            <w:vMerge/>
            <w:hideMark/>
          </w:tcPr>
          <w:p w14:paraId="22E25386" w14:textId="77777777" w:rsidR="00A345F4" w:rsidRDefault="00A345F4">
            <w:pPr>
              <w:jc w:val="center"/>
              <w:rPr>
                <w:rFonts w:ascii="Times New Roman" w:eastAsia="Times New Roman" w:hAnsi="Times New Roman" w:cs="Times New Roman"/>
                <w:b/>
                <w:noProof/>
                <w:sz w:val="20"/>
                <w:szCs w:val="20"/>
                <w14:ligatures w14:val="none"/>
              </w:rPr>
            </w:pPr>
          </w:p>
        </w:tc>
        <w:tc>
          <w:tcPr>
            <w:tcW w:w="1515" w:type="dxa"/>
            <w:vMerge/>
            <w:hideMark/>
          </w:tcPr>
          <w:p w14:paraId="5FAAFB4B" w14:textId="77777777" w:rsidR="00A345F4" w:rsidRDefault="00A345F4">
            <w:pPr>
              <w:jc w:val="both"/>
              <w:rPr>
                <w:rFonts w:ascii="Times New Roman" w:eastAsia="Times New Roman" w:hAnsi="Times New Roman" w:cs="Times New Roman"/>
                <w:b/>
                <w:noProof/>
                <w:sz w:val="20"/>
                <w:szCs w:val="20"/>
                <w14:ligatures w14:val="none"/>
              </w:rPr>
            </w:pPr>
          </w:p>
        </w:tc>
        <w:tc>
          <w:tcPr>
            <w:tcW w:w="1155" w:type="dxa"/>
            <w:vMerge/>
            <w:hideMark/>
          </w:tcPr>
          <w:p w14:paraId="3D774E41" w14:textId="77777777" w:rsidR="00A345F4" w:rsidRDefault="00A345F4">
            <w:pPr>
              <w:jc w:val="center"/>
              <w:rPr>
                <w:rFonts w:ascii="Times New Roman" w:eastAsia="Times New Roman" w:hAnsi="Times New Roman" w:cs="Times New Roman"/>
                <w:b/>
                <w:noProof/>
                <w:sz w:val="20"/>
                <w:szCs w:val="20"/>
                <w14:ligatures w14:val="none"/>
              </w:rPr>
            </w:pPr>
          </w:p>
        </w:tc>
        <w:tc>
          <w:tcPr>
            <w:tcW w:w="1455" w:type="dxa"/>
            <w:vMerge/>
            <w:hideMark/>
          </w:tcPr>
          <w:p w14:paraId="2501DD92" w14:textId="77777777" w:rsidR="00A345F4" w:rsidRDefault="00A345F4">
            <w:pPr>
              <w:jc w:val="both"/>
              <w:rPr>
                <w:rFonts w:ascii="Times New Roman" w:eastAsia="Times New Roman" w:hAnsi="Times New Roman" w:cs="Times New Roman"/>
                <w:b/>
                <w:noProof/>
                <w:sz w:val="20"/>
                <w:szCs w:val="20"/>
                <w14:ligatures w14:val="none"/>
              </w:rPr>
            </w:pPr>
          </w:p>
        </w:tc>
        <w:tc>
          <w:tcPr>
            <w:tcW w:w="1695" w:type="dxa"/>
            <w:vMerge/>
            <w:hideMark/>
          </w:tcPr>
          <w:p w14:paraId="539DE83B" w14:textId="77777777" w:rsidR="00A345F4" w:rsidRDefault="00A345F4">
            <w:pPr>
              <w:jc w:val="both"/>
              <w:rPr>
                <w:rFonts w:ascii="Times New Roman" w:eastAsia="Times New Roman" w:hAnsi="Times New Roman" w:cs="Times New Roman"/>
                <w:b/>
                <w:noProof/>
                <w:sz w:val="20"/>
                <w:szCs w:val="20"/>
                <w14:ligatures w14:val="none"/>
              </w:rPr>
            </w:pPr>
          </w:p>
        </w:tc>
        <w:tc>
          <w:tcPr>
            <w:tcW w:w="1192" w:type="dxa"/>
            <w:shd w:val="clear" w:color="auto" w:fill="BDD7EE"/>
            <w:hideMark/>
          </w:tcPr>
          <w:p w14:paraId="68BE7C2C" w14:textId="2D34257F" w:rsidR="00A345F4" w:rsidRDefault="005E2D4E">
            <w:pPr>
              <w:pStyle w:val="P68B1DB1-Normal25"/>
              <w:jc w:val="center"/>
              <w:rPr>
                <w:rFonts w:eastAsia="Times New Roman"/>
                <w:bCs/>
                <w:noProof/>
              </w:rPr>
            </w:pPr>
            <w:r>
              <w:rPr>
                <w:noProof/>
              </w:rPr>
              <w:t>Unité de mesure</w:t>
            </w:r>
          </w:p>
        </w:tc>
        <w:tc>
          <w:tcPr>
            <w:tcW w:w="1248" w:type="dxa"/>
            <w:shd w:val="clear" w:color="auto" w:fill="BDD7EE"/>
            <w:hideMark/>
          </w:tcPr>
          <w:p w14:paraId="6EAE914D" w14:textId="77777777" w:rsidR="00A345F4" w:rsidRDefault="005E2D4E">
            <w:pPr>
              <w:pStyle w:val="P68B1DB1-Normal25"/>
              <w:jc w:val="center"/>
              <w:rPr>
                <w:rFonts w:eastAsia="Times New Roman"/>
                <w:bCs/>
                <w:noProof/>
              </w:rPr>
            </w:pPr>
            <w:r>
              <w:rPr>
                <w:noProof/>
              </w:rPr>
              <w:t>Données de référence</w:t>
            </w:r>
          </w:p>
        </w:tc>
        <w:tc>
          <w:tcPr>
            <w:tcW w:w="1280" w:type="dxa"/>
            <w:shd w:val="clear" w:color="auto" w:fill="BDD7EE"/>
            <w:hideMark/>
          </w:tcPr>
          <w:p w14:paraId="3A0937B3" w14:textId="77777777" w:rsidR="00A345F4" w:rsidRDefault="005E2D4E">
            <w:pPr>
              <w:pStyle w:val="P68B1DB1-Normal25"/>
              <w:jc w:val="center"/>
              <w:rPr>
                <w:rFonts w:eastAsia="Times New Roman"/>
                <w:bCs/>
                <w:noProof/>
              </w:rPr>
            </w:pPr>
            <w:r>
              <w:rPr>
                <w:noProof/>
              </w:rPr>
              <w:t>Objectif</w:t>
            </w:r>
          </w:p>
        </w:tc>
        <w:tc>
          <w:tcPr>
            <w:tcW w:w="921" w:type="dxa"/>
            <w:shd w:val="clear" w:color="auto" w:fill="BDD7EE"/>
            <w:hideMark/>
          </w:tcPr>
          <w:p w14:paraId="0EAAAA44" w14:textId="77777777" w:rsidR="00A345F4" w:rsidRDefault="005E2D4E">
            <w:pPr>
              <w:pStyle w:val="P68B1DB1-Normal25"/>
              <w:rPr>
                <w:rFonts w:eastAsia="Times New Roman"/>
                <w:bCs/>
                <w:noProof/>
              </w:rPr>
            </w:pPr>
            <w:r>
              <w:rPr>
                <w:noProof/>
              </w:rPr>
              <w:t>Trimestre</w:t>
            </w:r>
          </w:p>
        </w:tc>
        <w:tc>
          <w:tcPr>
            <w:tcW w:w="1065" w:type="dxa"/>
            <w:shd w:val="clear" w:color="auto" w:fill="BDD7EE"/>
            <w:hideMark/>
          </w:tcPr>
          <w:p w14:paraId="4452BD2F" w14:textId="77777777" w:rsidR="00A345F4" w:rsidRDefault="005E2D4E">
            <w:pPr>
              <w:pStyle w:val="P68B1DB1-Normal25"/>
              <w:rPr>
                <w:rFonts w:eastAsia="Times New Roman"/>
                <w:bCs/>
                <w:noProof/>
              </w:rPr>
            </w:pPr>
            <w:r>
              <w:rPr>
                <w:noProof/>
              </w:rPr>
              <w:t>Année</w:t>
            </w:r>
          </w:p>
        </w:tc>
        <w:tc>
          <w:tcPr>
            <w:tcW w:w="2832" w:type="dxa"/>
            <w:vMerge/>
            <w:hideMark/>
          </w:tcPr>
          <w:p w14:paraId="35307CAE" w14:textId="77777777" w:rsidR="00A345F4" w:rsidRDefault="00A345F4">
            <w:pPr>
              <w:jc w:val="both"/>
              <w:rPr>
                <w:rFonts w:ascii="Times New Roman" w:eastAsia="Times New Roman" w:hAnsi="Times New Roman" w:cs="Times New Roman"/>
                <w:b/>
                <w:noProof/>
                <w:sz w:val="20"/>
                <w:szCs w:val="20"/>
                <w14:ligatures w14:val="none"/>
              </w:rPr>
            </w:pPr>
          </w:p>
        </w:tc>
      </w:tr>
      <w:tr w:rsidR="00A345F4" w14:paraId="29756B2E" w14:textId="77777777">
        <w:trPr>
          <w:trHeight w:val="563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520C98BF" w14:textId="77777777" w:rsidR="00A345F4" w:rsidRDefault="005E2D4E">
            <w:pPr>
              <w:pStyle w:val="P68B1DB1-Normal26"/>
              <w:rPr>
                <w:rFonts w:eastAsia="Times New Roman"/>
                <w:noProof/>
              </w:rPr>
            </w:pPr>
            <w:r>
              <w:rPr>
                <w:noProof/>
              </w:rPr>
              <w:t>78</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484CC289" w14:textId="61A0BB23" w:rsidR="00A345F4" w:rsidRDefault="005E2D4E">
            <w:pPr>
              <w:pStyle w:val="P68B1DB1-Normal26"/>
              <w:rPr>
                <w:rFonts w:eastAsia="Times New Roman"/>
                <w:noProof/>
              </w:rPr>
            </w:pPr>
            <w:r>
              <w:rPr>
                <w:noProof/>
              </w:rPr>
              <w:t>Réforme 2. Gestion de la qualité axée sur les résultats dans les transports - Amélioration des capacités institutionnelles et de la gouvernance d'entreprise</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3CFD1DE" w14:textId="77777777" w:rsidR="00A345F4" w:rsidRDefault="005E2D4E">
            <w:pPr>
              <w:pStyle w:val="P68B1DB1-Normal26"/>
              <w:rPr>
                <w:rFonts w:eastAsia="Times New Roman"/>
                <w:noProof/>
              </w:rPr>
            </w:pPr>
            <w:r>
              <w:rPr>
                <w:noProof/>
              </w:rPr>
              <w:t>Étape</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16B31229" w14:textId="77777777" w:rsidR="00A345F4" w:rsidRDefault="005E2D4E">
            <w:pPr>
              <w:pStyle w:val="P68B1DB1-Normal26"/>
              <w:rPr>
                <w:rFonts w:eastAsia="Times New Roman"/>
                <w:noProof/>
              </w:rPr>
            </w:pPr>
            <w:r>
              <w:rPr>
                <w:noProof/>
              </w:rPr>
              <w:t xml:space="preserve">Entrée en vigueur de la loi no 50/2021 pour l'approbation de l'ordonnance d'urgence no 55/2016 sur la réorganisation de la Société nationale des routes et des routes nationales en Roumanie - S.A. (C.N.A.I.R.) et la création de la Société nationale d'investissement routier - S.A. (C.N.I.R.) </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6ECC6092" w14:textId="77777777" w:rsidR="00A345F4" w:rsidRDefault="005E2D4E">
            <w:pPr>
              <w:pStyle w:val="P68B1DB1-Normal26"/>
              <w:rPr>
                <w:rFonts w:eastAsia="Times New Roman"/>
                <w:noProof/>
              </w:rPr>
            </w:pPr>
            <w:r>
              <w:rPr>
                <w:noProof/>
              </w:rPr>
              <w:t>Disposition de la loi indiquant l’entrée en vigueur de la loi no 50/2021</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31A1AB4A" w14:textId="77777777" w:rsidR="00A345F4" w:rsidRDefault="00A345F4">
            <w:pPr>
              <w:rPr>
                <w:rFonts w:ascii="Times New Roman" w:eastAsia="Times New Roman" w:hAnsi="Times New Roman" w:cs="Times New Roman"/>
                <w:noProof/>
                <w:sz w:val="20"/>
                <w:szCs w:val="20"/>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2234FF3D" w14:textId="77777777" w:rsidR="00A345F4" w:rsidRDefault="00A345F4">
            <w:pPr>
              <w:rPr>
                <w:rFonts w:ascii="Times New Roman" w:eastAsia="Times New Roman" w:hAnsi="Times New Roman" w:cs="Times New Roman"/>
                <w:noProof/>
                <w:sz w:val="20"/>
                <w:szCs w:val="20"/>
                <w14:ligatures w14:val="none"/>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66309A54" w14:textId="77777777" w:rsidR="00A345F4" w:rsidRDefault="00A345F4">
            <w:pPr>
              <w:rPr>
                <w:rFonts w:ascii="Times New Roman" w:eastAsia="Times New Roman" w:hAnsi="Times New Roman" w:cs="Times New Roman"/>
                <w:noProof/>
                <w:sz w:val="20"/>
                <w:szCs w:val="20"/>
                <w14:ligatures w14:val="none"/>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719D7A2E" w14:textId="77777777" w:rsidR="00A345F4" w:rsidRDefault="005E2D4E">
            <w:pPr>
              <w:pStyle w:val="P68B1DB1-Normal26"/>
              <w:rPr>
                <w:rFonts w:eastAsia="Times New Roman"/>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165259B" w14:textId="77777777" w:rsidR="00A345F4" w:rsidRDefault="005E2D4E">
            <w:pPr>
              <w:pStyle w:val="P68B1DB1-Normal26"/>
              <w:rPr>
                <w:rFonts w:eastAsia="Times New Roman"/>
                <w:noProof/>
              </w:rPr>
            </w:pPr>
            <w:r>
              <w:rPr>
                <w:noProof/>
              </w:rPr>
              <w:t>2021</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60607E8D" w14:textId="77777777" w:rsidR="00A345F4" w:rsidRDefault="005E2D4E">
            <w:pPr>
              <w:pStyle w:val="P68B1DB1-Normal26"/>
              <w:rPr>
                <w:rFonts w:eastAsia="Times New Roman"/>
                <w:noProof/>
              </w:rPr>
            </w:pPr>
            <w:r>
              <w:rPr>
                <w:noProof/>
              </w:rPr>
              <w:t>L'entrée en vigueur de la législation sur la réforme de la C.N.A.I.R. et la création d'une nouvelle société de gestion de projets d'investissement routier (C.N.I.R.). La loi a été approuvée par le Parlement et est entrée en vigueur en avril 2021. Outre la législation (primaire et secondaire), l’ensemble du dispositif réglementaire (instructions, décisions du conseil d’administration, contrats de gestion signés avec les équipes de direction) comprend:</w:t>
            </w:r>
          </w:p>
          <w:p w14:paraId="70E3DFDB" w14:textId="77777777" w:rsidR="00A345F4" w:rsidRDefault="005E2D4E">
            <w:pPr>
              <w:pStyle w:val="P68B1DB1-Normal26"/>
              <w:numPr>
                <w:ilvl w:val="0"/>
                <w:numId w:val="9"/>
              </w:numPr>
              <w:ind w:left="250" w:hanging="174"/>
              <w:contextualSpacing/>
              <w:rPr>
                <w:rFonts w:eastAsia="Times New Roman"/>
                <w:noProof/>
              </w:rPr>
            </w:pPr>
            <w:r>
              <w:rPr>
                <w:noProof/>
              </w:rPr>
              <w:t>des indicateurs de performance clairs, alignés sur les mandats et les ICP des conseils, des sanctions et des incitations en cas de non-respect, pour évaluer la performance financière (recettes, rentabilité, participation au budget de l’État) et la performance du service fourni (par exemple au moyen d’une enquête de satisfaction des utilisateurs) pour les deux entreprises;</w:t>
            </w:r>
          </w:p>
          <w:p w14:paraId="710FBF54" w14:textId="77777777" w:rsidR="00A345F4" w:rsidRDefault="005E2D4E">
            <w:pPr>
              <w:pStyle w:val="P68B1DB1-Normal26"/>
              <w:numPr>
                <w:ilvl w:val="0"/>
                <w:numId w:val="9"/>
              </w:numPr>
              <w:ind w:left="250" w:hanging="174"/>
              <w:contextualSpacing/>
              <w:rPr>
                <w:rFonts w:eastAsia="Times New Roman"/>
                <w:noProof/>
              </w:rPr>
            </w:pPr>
            <w:r>
              <w:rPr>
                <w:noProof/>
              </w:rPr>
              <w:t>Normes de gouvernance d'entreprise conformes au cadre O.E.C.D. (conseils professionnels sélectionnés dans le cadre d'une procédure ouverte, concurrentielle et transparente).</w:t>
            </w:r>
          </w:p>
          <w:p w14:paraId="042BF394" w14:textId="77777777" w:rsidR="00A345F4" w:rsidRDefault="005E2D4E">
            <w:pPr>
              <w:pStyle w:val="P68B1DB1-Normal26"/>
              <w:rPr>
                <w:rFonts w:eastAsia="Times New Roman"/>
                <w:noProof/>
              </w:rPr>
            </w:pPr>
            <w:r>
              <w:rPr>
                <w:noProof/>
              </w:rPr>
              <w:t>Le droit primaire et le droit dérivé doivent être modifiés afin de rendre les activités de l’entreprise plus efficaces et de réorienter les pouvoirs et les mécanismes institutionnels de la C.N.A.I.R.</w:t>
            </w:r>
          </w:p>
          <w:p w14:paraId="252C2432" w14:textId="77777777" w:rsidR="00A345F4" w:rsidRDefault="005E2D4E">
            <w:pPr>
              <w:pStyle w:val="P68B1DB1-Normal26"/>
              <w:rPr>
                <w:rFonts w:eastAsia="Times New Roman"/>
                <w:noProof/>
              </w:rPr>
            </w:pPr>
            <w:r>
              <w:rPr>
                <w:noProof/>
              </w:rPr>
              <w:t>Plus précisément, C.N.A.I.R. conservera les tâches actuelles en termes d'entretien routier ainsi que les investissements existants tant au niveau des projets majeurs que mineurs. Il y aura une période transitoire de 3 ans au cours de laquelle C.N.A.I.R. et C.N.I.R. mèneront des projets d'investissement en parallèle jusqu'à ce que C.N.I.R. soit pleinement opérationnel et que tous les grands projets d'investissement soient dans la gestion de la C.N.I.R.</w:t>
            </w:r>
          </w:p>
        </w:tc>
      </w:tr>
      <w:tr w:rsidR="00A345F4" w14:paraId="3FEFCEA6" w14:textId="77777777">
        <w:trPr>
          <w:trHeight w:val="551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189D9576" w14:textId="77777777" w:rsidR="00A345F4" w:rsidRDefault="005E2D4E">
            <w:pPr>
              <w:pStyle w:val="P68B1DB1-Normal26"/>
              <w:rPr>
                <w:rFonts w:eastAsia="Times New Roman"/>
                <w:noProof/>
              </w:rPr>
            </w:pPr>
            <w:r>
              <w:rPr>
                <w:noProof/>
              </w:rPr>
              <w:t>79</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707B89DC" w14:textId="3A8BFB31" w:rsidR="00A345F4" w:rsidRDefault="005E2D4E">
            <w:pPr>
              <w:pStyle w:val="P68B1DB1-Normal26"/>
              <w:rPr>
                <w:rFonts w:eastAsia="Times New Roman"/>
                <w:noProof/>
              </w:rPr>
            </w:pPr>
            <w:r>
              <w:rPr>
                <w:noProof/>
              </w:rPr>
              <w:t xml:space="preserve">Réforme 2. Gestion de la qualité axée sur les résultats dans les transports - Amélioration des capacités institutionnelles et de la gouvernance d'entreprise </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E64AD64" w14:textId="77777777" w:rsidR="00A345F4" w:rsidRDefault="005E2D4E">
            <w:pPr>
              <w:pStyle w:val="P68B1DB1-Normal26"/>
              <w:rPr>
                <w:rFonts w:eastAsia="Times New Roman"/>
                <w:noProof/>
              </w:rPr>
            </w:pPr>
            <w:r>
              <w:rPr>
                <w:noProof/>
              </w:rPr>
              <w:t>Étape</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075CA189" w14:textId="77777777" w:rsidR="00A345F4" w:rsidRDefault="005E2D4E">
            <w:pPr>
              <w:pStyle w:val="P68B1DB1-Normal26"/>
              <w:rPr>
                <w:rFonts w:eastAsia="Times New Roman"/>
                <w:noProof/>
              </w:rPr>
            </w:pPr>
            <w:r>
              <w:rPr>
                <w:noProof/>
              </w:rPr>
              <w:t>Sélection et nomination des membres du conseil d'administration de C.N.A.I.R., C.N.I.R., C.F.R., Metrorex, C.F.R. Călători.</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7ADADD6" w14:textId="77777777" w:rsidR="00A345F4" w:rsidRDefault="005E2D4E">
            <w:pPr>
              <w:pStyle w:val="P68B1DB1-Normal26"/>
              <w:rPr>
                <w:rFonts w:eastAsia="Times New Roman"/>
                <w:noProof/>
              </w:rPr>
            </w:pPr>
            <w:r>
              <w:rPr>
                <w:noProof/>
              </w:rPr>
              <w:t xml:space="preserve">Mandats validés par l'assemblée générale des parties prenantes </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2CF28C89" w14:textId="77777777" w:rsidR="00A345F4" w:rsidRDefault="00A345F4">
            <w:pPr>
              <w:rPr>
                <w:rFonts w:ascii="Times New Roman" w:eastAsia="Times New Roman" w:hAnsi="Times New Roman" w:cs="Times New Roman"/>
                <w:noProof/>
                <w:sz w:val="20"/>
                <w:szCs w:val="20"/>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70063A89" w14:textId="77777777" w:rsidR="00A345F4" w:rsidRDefault="00A345F4">
            <w:pPr>
              <w:rPr>
                <w:rFonts w:ascii="Times New Roman" w:eastAsia="Times New Roman" w:hAnsi="Times New Roman" w:cs="Times New Roman"/>
                <w:noProof/>
                <w:sz w:val="20"/>
                <w:szCs w:val="20"/>
                <w14:ligatures w14:val="none"/>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3A0080A6" w14:textId="77777777" w:rsidR="00A345F4" w:rsidRDefault="00A345F4">
            <w:pPr>
              <w:rPr>
                <w:rFonts w:ascii="Times New Roman" w:eastAsia="Times New Roman" w:hAnsi="Times New Roman" w:cs="Times New Roman"/>
                <w:noProof/>
                <w:sz w:val="20"/>
                <w:szCs w:val="20"/>
                <w14:ligatures w14:val="none"/>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405422EB" w14:textId="77777777" w:rsidR="00A345F4" w:rsidRDefault="005E2D4E">
            <w:pPr>
              <w:pStyle w:val="P68B1DB1-Normal26"/>
              <w:rPr>
                <w:rFonts w:eastAsia="Times New Roman"/>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6CC5734" w14:textId="77777777" w:rsidR="00A345F4" w:rsidRDefault="005E2D4E">
            <w:pPr>
              <w:pStyle w:val="P68B1DB1-Normal26"/>
              <w:rPr>
                <w:rFonts w:eastAsia="Times New Roman"/>
                <w:noProof/>
              </w:rPr>
            </w:pPr>
            <w:r>
              <w:rPr>
                <w:noProof/>
              </w:rPr>
              <w:t>2022</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83A4AD2" w14:textId="77777777" w:rsidR="00A345F4" w:rsidRDefault="005E2D4E">
            <w:pPr>
              <w:pStyle w:val="P68B1DB1-Normal26"/>
              <w:rPr>
                <w:rFonts w:eastAsia="Times New Roman"/>
                <w:noProof/>
              </w:rPr>
            </w:pPr>
            <w:r>
              <w:rPr>
                <w:noProof/>
              </w:rPr>
              <w:t>La sélection et la nomination des membres du conseil d'administration des entreprises publiques du secteur des transports (C.N.A.I.R., C.N.I.R., C.F.R., Metrorex, C.F.R. Călători) sont effectuées:</w:t>
            </w:r>
          </w:p>
          <w:p w14:paraId="0F55278B" w14:textId="77777777" w:rsidR="00A345F4" w:rsidRDefault="005E2D4E">
            <w:pPr>
              <w:pStyle w:val="P68B1DB1-Normal26"/>
              <w:numPr>
                <w:ilvl w:val="0"/>
                <w:numId w:val="9"/>
              </w:numPr>
              <w:ind w:left="250" w:hanging="174"/>
              <w:contextualSpacing/>
              <w:rPr>
                <w:rFonts w:eastAsia="Times New Roman"/>
                <w:noProof/>
              </w:rPr>
            </w:pPr>
            <w:r>
              <w:rPr>
                <w:noProof/>
              </w:rPr>
              <w:t xml:space="preserve">sur la base d'une procédure transparente et concurrentielle, </w:t>
            </w:r>
          </w:p>
          <w:p w14:paraId="50DABD63" w14:textId="77777777" w:rsidR="00A345F4" w:rsidRDefault="005E2D4E">
            <w:pPr>
              <w:pStyle w:val="P68B1DB1-Normal26"/>
              <w:numPr>
                <w:ilvl w:val="0"/>
                <w:numId w:val="9"/>
              </w:numPr>
              <w:ind w:left="250" w:hanging="174"/>
              <w:contextualSpacing/>
              <w:rPr>
                <w:rFonts w:eastAsia="Times New Roman"/>
                <w:noProof/>
              </w:rPr>
            </w:pPr>
            <w:r>
              <w:rPr>
                <w:noProof/>
              </w:rPr>
              <w:t>d'une durée de quatre ans pour garantir la mise en œuvre des plans d'efficacité à moyen et à long terme;</w:t>
            </w:r>
          </w:p>
          <w:p w14:paraId="72A05A26" w14:textId="77777777" w:rsidR="00A345F4" w:rsidRDefault="005E2D4E">
            <w:pPr>
              <w:pStyle w:val="P68B1DB1-Normal26"/>
              <w:numPr>
                <w:ilvl w:val="0"/>
                <w:numId w:val="9"/>
              </w:numPr>
              <w:ind w:left="250" w:hanging="174"/>
              <w:contextualSpacing/>
              <w:rPr>
                <w:rFonts w:eastAsia="Times New Roman"/>
                <w:noProof/>
              </w:rPr>
            </w:pPr>
            <w:r>
              <w:rPr>
                <w:noProof/>
              </w:rPr>
              <w:t xml:space="preserve">une rémunération des membres du conseil d’administration fondée sur des indicateurs de performance (ICP) liés à la viabilité financière à long terme (ICP pertinents pour le profil de chaque entreprise) et la performance du service fourni (par exemple, sur la base d’une enquête de satisfaction de la clientèle) par chaque entreprise; </w:t>
            </w:r>
          </w:p>
          <w:p w14:paraId="0CAF662F" w14:textId="77777777" w:rsidR="00A345F4" w:rsidRDefault="005E2D4E">
            <w:pPr>
              <w:pStyle w:val="P68B1DB1-Normal26"/>
              <w:numPr>
                <w:ilvl w:val="0"/>
                <w:numId w:val="9"/>
              </w:numPr>
              <w:ind w:left="250" w:hanging="174"/>
              <w:contextualSpacing/>
              <w:rPr>
                <w:rFonts w:eastAsia="Times New Roman"/>
                <w:noProof/>
              </w:rPr>
            </w:pPr>
            <w:r>
              <w:rPr>
                <w:noProof/>
              </w:rPr>
              <w:t>conformément aux principes de bonne gouvernance, conformément à la réforme sur les entreprises publiques modifiant la loi 111/2016.</w:t>
            </w:r>
          </w:p>
        </w:tc>
      </w:tr>
      <w:tr w:rsidR="00A345F4" w14:paraId="2F181DF3" w14:textId="77777777">
        <w:trPr>
          <w:trHeight w:val="431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6DD78B45" w14:textId="77777777" w:rsidR="00A345F4" w:rsidRDefault="005E2D4E">
            <w:pPr>
              <w:pStyle w:val="P68B1DB1-Normal26"/>
              <w:rPr>
                <w:rFonts w:eastAsia="Times New Roman"/>
                <w:noProof/>
              </w:rPr>
            </w:pPr>
            <w:r>
              <w:rPr>
                <w:noProof/>
              </w:rPr>
              <w:t>81</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0106D586" w14:textId="6647B712" w:rsidR="00A345F4" w:rsidRDefault="005E2D4E">
            <w:pPr>
              <w:pStyle w:val="P68B1DB1-Normal26"/>
              <w:rPr>
                <w:rFonts w:eastAsia="Times New Roman"/>
                <w:noProof/>
              </w:rPr>
            </w:pPr>
            <w:r>
              <w:rPr>
                <w:noProof/>
              </w:rPr>
              <w:t xml:space="preserve">Réforme 2. Gestion de la qualité axée sur les résultats dans les transports - Amélioration des capacités institutionnelles et de la gouvernance d'entreprise </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7E3A281A" w14:textId="77777777" w:rsidR="00A345F4" w:rsidRDefault="005E2D4E">
            <w:pPr>
              <w:pStyle w:val="P68B1DB1-Normal26"/>
              <w:rPr>
                <w:rFonts w:eastAsia="Times New Roman"/>
                <w:noProof/>
              </w:rPr>
            </w:pPr>
            <w:r>
              <w:rPr>
                <w:noProof/>
              </w:rPr>
              <w:t>Objectif</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18217705" w14:textId="77777777" w:rsidR="00A345F4" w:rsidRDefault="005E2D4E">
            <w:pPr>
              <w:pStyle w:val="P68B1DB1-Normal14"/>
              <w:rPr>
                <w:noProof/>
                <w14:ligatures w14:val="none"/>
              </w:rPr>
            </w:pPr>
            <w:r>
              <w:rPr>
                <w:noProof/>
                <w14:ligatures w14:val="none"/>
              </w:rPr>
              <w:t>Réduire le pourcentage de trains de voyageurs en retard</w:t>
            </w:r>
            <w:r>
              <w:rPr>
                <w:noProof/>
              </w:rPr>
              <w:t xml:space="preserve"> </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56DFA659" w14:textId="77777777" w:rsidR="00A345F4" w:rsidRDefault="00A345F4">
            <w:pPr>
              <w:rPr>
                <w:rFonts w:ascii="Times New Roman" w:eastAsia="Times New Roman" w:hAnsi="Times New Roman" w:cs="Times New Roman"/>
                <w:noProof/>
                <w:sz w:val="20"/>
                <w:szCs w:val="20"/>
                <w14:ligatures w14:val="none"/>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CFD92A0" w14:textId="77777777" w:rsidR="00A345F4" w:rsidRDefault="005E2D4E">
            <w:pPr>
              <w:pStyle w:val="P68B1DB1-Normal26"/>
              <w:rPr>
                <w:rFonts w:eastAsia="Times New Roman"/>
                <w:noProof/>
              </w:rPr>
            </w:pPr>
            <w:r>
              <w:rPr>
                <w:noProof/>
              </w:rPr>
              <w:t>Pourcentage (%)</w:t>
            </w:r>
          </w:p>
          <w:p w14:paraId="06EEEC5B" w14:textId="77777777" w:rsidR="00A345F4" w:rsidRDefault="00A345F4">
            <w:pPr>
              <w:rPr>
                <w:rFonts w:ascii="Times New Roman" w:eastAsia="Times New Roman" w:hAnsi="Times New Roman" w:cs="Times New Roman"/>
                <w:noProof/>
                <w:sz w:val="20"/>
                <w:szCs w:val="20"/>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16EE0593" w14:textId="77777777" w:rsidR="00A345F4" w:rsidRDefault="005E2D4E">
            <w:pPr>
              <w:pStyle w:val="P68B1DB1-Normal26"/>
              <w:rPr>
                <w:rFonts w:eastAsia="Times New Roman"/>
                <w:noProof/>
              </w:rPr>
            </w:pPr>
            <w:r>
              <w:rPr>
                <w:noProof/>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445899D1" w14:textId="77777777" w:rsidR="00A345F4" w:rsidRDefault="005E2D4E">
            <w:pPr>
              <w:pStyle w:val="P68B1DB1-Normal26"/>
              <w:rPr>
                <w:rFonts w:eastAsia="Times New Roman"/>
                <w:noProof/>
              </w:rPr>
            </w:pPr>
            <w:r>
              <w:rPr>
                <w:noProof/>
              </w:rPr>
              <w:t>20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611B05C" w14:textId="77777777" w:rsidR="00A345F4" w:rsidRDefault="005E2D4E">
            <w:pPr>
              <w:pStyle w:val="P68B1DB1-Normal26"/>
              <w:rPr>
                <w:rFonts w:eastAsia="Times New Roman"/>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FA76D33" w14:textId="77777777" w:rsidR="00A345F4" w:rsidRDefault="005E2D4E">
            <w:pPr>
              <w:pStyle w:val="P68B1DB1-Normal26"/>
              <w:rPr>
                <w:rFonts w:eastAsia="Times New Roman"/>
                <w:noProof/>
              </w:rPr>
            </w:pPr>
            <w:r>
              <w:rPr>
                <w:noProof/>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51504B6" w14:textId="1AFBF0B5" w:rsidR="00A345F4" w:rsidRDefault="005E2D4E">
            <w:pPr>
              <w:pStyle w:val="P68B1DB1-Normal14"/>
              <w:rPr>
                <w:noProof/>
                <w14:ligatures w14:val="none"/>
              </w:rPr>
            </w:pPr>
            <w:r>
              <w:rPr>
                <w:noProof/>
              </w:rPr>
              <w:t xml:space="preserve">Le pourcentage de </w:t>
            </w:r>
            <w:r>
              <w:rPr>
                <w:noProof/>
                <w14:ligatures w14:val="none"/>
              </w:rPr>
              <w:t xml:space="preserve">trains de voyageurs en retard </w:t>
            </w:r>
            <w:r>
              <w:rPr>
                <w:noProof/>
              </w:rPr>
              <w:t xml:space="preserve">de </w:t>
            </w:r>
            <w:r>
              <w:rPr>
                <w:noProof/>
                <w14:ligatures w14:val="none"/>
              </w:rPr>
              <w:t xml:space="preserve">plus de 30 minutes </w:t>
            </w:r>
            <w:r>
              <w:rPr>
                <w:noProof/>
              </w:rPr>
              <w:t xml:space="preserve">est réduit d’au moins 20 % </w:t>
            </w:r>
            <w:r>
              <w:rPr>
                <w:noProof/>
                <w14:ligatures w14:val="none"/>
              </w:rPr>
              <w:t xml:space="preserve">au cours du premier semestre de 2026 </w:t>
            </w:r>
            <w:r>
              <w:rPr>
                <w:noProof/>
              </w:rPr>
              <w:t xml:space="preserve">par rapport </w:t>
            </w:r>
            <w:r>
              <w:rPr>
                <w:noProof/>
                <w14:ligatures w14:val="none"/>
              </w:rPr>
              <w:t xml:space="preserve">au premier semestre de 2020, sur la base des données officielles </w:t>
            </w:r>
            <w:r>
              <w:rPr>
                <w:noProof/>
              </w:rPr>
              <w:t xml:space="preserve">enregistrées sur la plateforme ferroviaire numérique nationale gérée par Informatica Feroviara S.A. </w:t>
            </w:r>
          </w:p>
          <w:p w14:paraId="62628305" w14:textId="77777777" w:rsidR="00A345F4" w:rsidRDefault="005E2D4E">
            <w:pPr>
              <w:pStyle w:val="P68B1DB1-Normal14"/>
              <w:rPr>
                <w:noProof/>
                <w14:ligatures w14:val="none"/>
              </w:rPr>
            </w:pPr>
            <w:r>
              <w:rPr>
                <w:noProof/>
              </w:rPr>
              <w:t xml:space="preserve">Aux fins de la réalisation de cet objectif, seuls les services réguliers exploités au cours du premier semestre de 2020 et du premier semestre de 2026 sont inclus dans le calcul. </w:t>
            </w:r>
          </w:p>
          <w:p w14:paraId="78494CE6" w14:textId="77777777" w:rsidR="00A345F4" w:rsidRDefault="005E2D4E">
            <w:pPr>
              <w:pStyle w:val="P68B1DB1-Normal14"/>
              <w:rPr>
                <w:noProof/>
                <w14:ligatures w14:val="none"/>
              </w:rPr>
            </w:pPr>
            <w:r>
              <w:rPr>
                <w:noProof/>
              </w:rPr>
              <w:t>Les retards causés par des facteurs externes ou secondaires qui ne sont imputables ni au gestionnaire de l’infrastructure ni à l’entreprise ferroviaire, au sens de la loi no 202/2016, ne sont pas pris en compte pour le calcul.</w:t>
            </w:r>
          </w:p>
        </w:tc>
      </w:tr>
      <w:tr w:rsidR="00A345F4" w14:paraId="558285F5" w14:textId="77777777">
        <w:trPr>
          <w:trHeight w:val="347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4B41B9A2" w14:textId="77777777" w:rsidR="00A345F4" w:rsidRDefault="005E2D4E">
            <w:pPr>
              <w:pStyle w:val="P68B1DB1-Normal14"/>
              <w:rPr>
                <w:noProof/>
                <w14:ligatures w14:val="none"/>
              </w:rPr>
            </w:pPr>
            <w:r>
              <w:rPr>
                <w:noProof/>
                <w14:ligatures w14:val="none"/>
              </w:rPr>
              <w:t>75</w:t>
            </w:r>
            <w:r>
              <w:rPr>
                <w:noProof/>
              </w:rPr>
              <w:t xml:space="preserve"> a</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37B6B32" w14:textId="77777777" w:rsidR="00A345F4" w:rsidRDefault="005E2D4E">
            <w:pPr>
              <w:pStyle w:val="P68B1DB1-Normal14"/>
              <w:rPr>
                <w:noProof/>
                <w14:ligatures w14:val="none"/>
              </w:rPr>
            </w:pPr>
            <w:r>
              <w:rPr>
                <w:noProof/>
                <w14:ligatures w14:val="none"/>
              </w:rPr>
              <w:t>Investissement 1. Modernisation</w:t>
            </w:r>
            <w:r>
              <w:rPr>
                <w:noProof/>
              </w:rPr>
              <w:t xml:space="preserve"> et/ou </w:t>
            </w:r>
            <w:r>
              <w:rPr>
                <w:noProof/>
                <w14:ligatures w14:val="none"/>
              </w:rPr>
              <w:t>modernisation de l'infrastructure ferroviaire</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20CC33DC" w14:textId="77777777" w:rsidR="00A345F4" w:rsidRDefault="005E2D4E">
            <w:pPr>
              <w:pStyle w:val="P68B1DB1-Normal14"/>
              <w:rPr>
                <w:noProof/>
                <w14:ligatures w14:val="none"/>
              </w:rPr>
            </w:pPr>
            <w:r>
              <w:rPr>
                <w:noProof/>
              </w:rPr>
              <w:t xml:space="preserve"> Objectif</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54EE3877" w14:textId="77777777" w:rsidR="00A345F4" w:rsidRDefault="005E2D4E">
            <w:pPr>
              <w:pStyle w:val="P68B1DB1-Normal14"/>
              <w:rPr>
                <w:noProof/>
              </w:rPr>
            </w:pPr>
            <w:r>
              <w:rPr>
                <w:noProof/>
                <w14:ligatures w14:val="none"/>
              </w:rPr>
              <w:t xml:space="preserve">Mise à disposition d'infrastructures ferroviaires modernisées et/ou </w:t>
            </w:r>
            <w:r>
              <w:rPr>
                <w:noProof/>
              </w:rPr>
              <w:t>modernisées</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51F91A40" w14:textId="77777777" w:rsidR="00A345F4" w:rsidRDefault="005E2D4E">
            <w:pPr>
              <w:pStyle w:val="P68B1DB1-Normal26"/>
              <w:rPr>
                <w:rFonts w:eastAsia="Times New Roman"/>
                <w:noProof/>
              </w:rPr>
            </w:pPr>
            <w:r>
              <w:rPr>
                <w:noProof/>
              </w:rPr>
              <w:t>Mise à disposition d’infrastructures ferroviaires modernisées et/ou modernisées</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C70EE1A" w14:textId="77777777" w:rsidR="00A345F4" w:rsidRDefault="005E2D4E">
            <w:pPr>
              <w:pStyle w:val="P68B1DB1-Normal14"/>
              <w:rPr>
                <w:noProof/>
                <w14:ligatures w14:val="none"/>
              </w:rPr>
            </w:pPr>
            <w:r>
              <w:rPr>
                <w:noProof/>
              </w:rPr>
              <w:t>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736B4803" w14:textId="77777777" w:rsidR="00A345F4" w:rsidRDefault="005E2D4E">
            <w:pPr>
              <w:pStyle w:val="P68B1DB1-Normal14"/>
              <w:rPr>
                <w:noProof/>
                <w14:ligatures w14:val="none"/>
              </w:rPr>
            </w:pPr>
            <w:r>
              <w:rPr>
                <w:noProof/>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75B6A2DB" w14:textId="582A0F01" w:rsidR="00A345F4" w:rsidRDefault="005E2D4E">
            <w:pPr>
              <w:pStyle w:val="P68B1DB1-Normal14"/>
              <w:rPr>
                <w:noProof/>
                <w14:ligatures w14:val="none"/>
              </w:rPr>
            </w:pPr>
            <w:r>
              <w:rPr>
                <w:noProof/>
              </w:rPr>
              <w:t>718 012 153</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7A92B0DA" w14:textId="77777777" w:rsidR="00A345F4" w:rsidRDefault="005E2D4E">
            <w:pPr>
              <w:pStyle w:val="P68B1DB1-Normal26"/>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897A0CA" w14:textId="77777777" w:rsidR="00A345F4" w:rsidRDefault="005E2D4E">
            <w:pPr>
              <w:pStyle w:val="P68B1DB1-Normal26"/>
              <w:rPr>
                <w:noProof/>
              </w:rPr>
            </w:pPr>
            <w:r>
              <w:rPr>
                <w:noProof/>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C00607E" w14:textId="6DA2A5B2" w:rsidR="00A345F4" w:rsidRDefault="005E2D4E">
            <w:pPr>
              <w:pStyle w:val="P68B1DB1-Normal14"/>
              <w:contextualSpacing/>
              <w:rPr>
                <w:noProof/>
                <w14:ligatures w14:val="none"/>
              </w:rPr>
            </w:pPr>
            <w:r>
              <w:rPr>
                <w:noProof/>
              </w:rPr>
              <w:t xml:space="preserve">Confirmation par des certificats de paiement qu’un montant total de 718,01 millions d’EUR a été certifié pour la modernisation et/ou la mise à niveau de l’infrastructure ferroviaire pour le lot 2 de la section Arad-Timișoara-Caransebeș et les lots 3 et 4 de la section Cluj-Napoca-Episcopia Bihor. </w:t>
            </w:r>
          </w:p>
        </w:tc>
      </w:tr>
      <w:tr w:rsidR="00A345F4" w14:paraId="7F76C41D" w14:textId="77777777">
        <w:trPr>
          <w:trHeight w:val="2771"/>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0B59ED16" w14:textId="77777777" w:rsidR="00A345F4" w:rsidRDefault="005E2D4E">
            <w:pPr>
              <w:pStyle w:val="P68B1DB1-Normal14"/>
              <w:rPr>
                <w:noProof/>
              </w:rPr>
            </w:pPr>
            <w:r>
              <w:rPr>
                <w:noProof/>
              </w:rPr>
              <w:t>76</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13E919BF" w14:textId="77777777" w:rsidR="00A345F4" w:rsidRDefault="005E2D4E">
            <w:pPr>
              <w:pStyle w:val="P68B1DB1-Normal14"/>
              <w:rPr>
                <w:noProof/>
              </w:rPr>
            </w:pPr>
            <w:r>
              <w:rPr>
                <w:noProof/>
              </w:rPr>
              <w:t>Investissement 1. Modernisation et/ou modernisation de l'infrastructure ferroviaire</w:t>
            </w:r>
          </w:p>
          <w:p w14:paraId="708D6310" w14:textId="77777777" w:rsidR="00A345F4" w:rsidRDefault="00A345F4">
            <w:pPr>
              <w:rPr>
                <w:rFonts w:ascii="Times New Roman" w:hAnsi="Times New Roman" w:cs="Times New Roman"/>
                <w:noProof/>
                <w:sz w:val="20"/>
                <w:szCs w:val="20"/>
              </w:rPr>
            </w:pP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7B1E633B" w14:textId="77777777" w:rsidR="00A345F4" w:rsidRDefault="005E2D4E">
            <w:pPr>
              <w:pStyle w:val="P68B1DB1-Normal14"/>
              <w:rPr>
                <w:noProof/>
              </w:rPr>
            </w:pPr>
            <w:r>
              <w:rPr>
                <w:noProof/>
              </w:rPr>
              <w:t>Étape</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57D1C98A" w14:textId="77777777" w:rsidR="00A345F4" w:rsidRDefault="005E2D4E">
            <w:pPr>
              <w:pStyle w:val="P68B1DB1-Normal14"/>
              <w:rPr>
                <w:noProof/>
              </w:rPr>
            </w:pPr>
            <w:r>
              <w:rPr>
                <w:noProof/>
              </w:rPr>
              <w:t>Pistes pour les projets «quick wins»</w:t>
            </w:r>
          </w:p>
          <w:p w14:paraId="262D9DC2" w14:textId="77777777" w:rsidR="00A345F4" w:rsidRDefault="00A345F4">
            <w:pPr>
              <w:rPr>
                <w:rFonts w:ascii="Times New Roman" w:hAnsi="Times New Roman" w:cs="Times New Roman"/>
                <w:noProof/>
                <w:sz w:val="20"/>
                <w:szCs w:val="20"/>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3F09E129" w14:textId="77777777" w:rsidR="00A345F4" w:rsidRDefault="005E2D4E">
            <w:pPr>
              <w:pStyle w:val="P68B1DB1-Normal14"/>
              <w:rPr>
                <w:noProof/>
              </w:rPr>
            </w:pPr>
            <w:r>
              <w:rPr>
                <w:noProof/>
              </w:rPr>
              <w:t>Kilomètres de pistes pour les projets «quick wins»</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790FB8E2" w14:textId="77777777" w:rsidR="00A345F4" w:rsidRDefault="00A345F4">
            <w:pPr>
              <w:rPr>
                <w:rFonts w:ascii="Times New Roman" w:hAnsi="Times New Roman" w:cs="Times New Roman"/>
                <w:noProof/>
                <w:sz w:val="20"/>
                <w:szCs w:val="20"/>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6B34B1E1" w14:textId="77777777" w:rsidR="00A345F4" w:rsidRDefault="00A345F4">
            <w:pPr>
              <w:rPr>
                <w:rFonts w:ascii="Times New Roman" w:hAnsi="Times New Roman" w:cs="Times New Roman"/>
                <w:noProof/>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5F9907A3" w14:textId="77777777" w:rsidR="00A345F4" w:rsidRDefault="00A345F4">
            <w:pPr>
              <w:rPr>
                <w:rFonts w:ascii="Times New Roman" w:hAnsi="Times New Roman" w:cs="Times New Roman"/>
                <w:noProof/>
                <w:sz w:val="20"/>
                <w:szCs w:val="20"/>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0CC6DEA5" w14:textId="77777777" w:rsidR="00A345F4" w:rsidRDefault="005E2D4E">
            <w:pPr>
              <w:pStyle w:val="P68B1DB1-Normal14"/>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4581F08" w14:textId="77777777" w:rsidR="00A345F4" w:rsidRDefault="005E2D4E">
            <w:pPr>
              <w:pStyle w:val="P68B1DB1-Normal14"/>
              <w:rPr>
                <w:noProof/>
              </w:rPr>
            </w:pPr>
            <w:r>
              <w:rPr>
                <w:noProof/>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5DC8E7F0" w14:textId="64D607B2" w:rsidR="00A345F4" w:rsidRDefault="005E2D4E">
            <w:pPr>
              <w:pStyle w:val="P68B1DB1-Normal14"/>
              <w:rPr>
                <w:noProof/>
              </w:rPr>
            </w:pPr>
            <w:r>
              <w:rPr>
                <w:noProof/>
              </w:rPr>
              <w:t>Certificats de réception d’achèvement des travaux signés par le pouvoir adjudicateur prouvant que 1 527,85 kilomètres de voies pour les projets «quick wins» permettant une augmentation de 15 % de la vitesse (vitesse moyenne pour atteindre min. 100 km/h) ont été modernisés et/ou modernisés.</w:t>
            </w:r>
          </w:p>
        </w:tc>
      </w:tr>
      <w:tr w:rsidR="00A345F4" w14:paraId="4C8157A8" w14:textId="77777777">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0A4E9C40" w14:textId="77777777" w:rsidR="00A345F4" w:rsidRDefault="005E2D4E">
            <w:pPr>
              <w:pStyle w:val="P68B1DB1-Normal26"/>
              <w:rPr>
                <w:noProof/>
              </w:rPr>
            </w:pPr>
            <w:r>
              <w:rPr>
                <w:noProof/>
              </w:rPr>
              <w:t>77</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04CD05B7" w14:textId="77777777" w:rsidR="00A345F4" w:rsidRDefault="005E2D4E">
            <w:pPr>
              <w:pStyle w:val="P68B1DB1-Normal26"/>
              <w:rPr>
                <w:noProof/>
              </w:rPr>
            </w:pPr>
            <w:r>
              <w:rPr>
                <w:noProof/>
              </w:rPr>
              <w:t>Investissement 2. Matériel roulant ferroviaire</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860F560" w14:textId="77777777" w:rsidR="00A345F4" w:rsidRDefault="005E2D4E">
            <w:pPr>
              <w:pStyle w:val="P68B1DB1-Normal26"/>
              <w:rPr>
                <w:noProof/>
              </w:rPr>
            </w:pPr>
            <w:r>
              <w:rPr>
                <w:noProof/>
              </w:rPr>
              <w:t>Étape</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4AB2510C" w14:textId="77777777" w:rsidR="00A345F4" w:rsidRDefault="005E2D4E">
            <w:pPr>
              <w:pStyle w:val="P68B1DB1-Normal14"/>
              <w:rPr>
                <w:noProof/>
                <w14:ligatures w14:val="none"/>
              </w:rPr>
            </w:pPr>
            <w:r>
              <w:rPr>
                <w:noProof/>
                <w14:ligatures w14:val="none"/>
              </w:rPr>
              <w:t>Matériel roulant dégradé en U</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35DC05CA" w14:textId="77777777" w:rsidR="00A345F4" w:rsidRDefault="005E2D4E">
            <w:pPr>
              <w:pStyle w:val="P68B1DB1-Normal14"/>
              <w:rPr>
                <w:rFonts w:eastAsia="Times New Roman"/>
                <w:noProof/>
                <w14:ligatures w14:val="none"/>
              </w:rPr>
            </w:pPr>
            <w:r>
              <w:rPr>
                <w:noProof/>
              </w:rPr>
              <w:t>Acceptation du</w:t>
            </w:r>
            <w:r>
              <w:rPr>
                <w:noProof/>
                <w14:ligatures w14:val="none"/>
              </w:rPr>
              <w:t xml:space="preserve"> matériel roulant dégradé u </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4D6D459" w14:textId="77777777" w:rsidR="00A345F4" w:rsidRDefault="00A345F4">
            <w:pPr>
              <w:rPr>
                <w:rFonts w:ascii="Times New Roman" w:hAnsi="Times New Roman" w:cs="Times New Roman"/>
                <w:noProof/>
                <w:sz w:val="20"/>
                <w:szCs w:val="20"/>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509D3C7D" w14:textId="77777777" w:rsidR="00A345F4" w:rsidRDefault="00A345F4">
            <w:pPr>
              <w:rPr>
                <w:rFonts w:ascii="Times New Roman" w:hAnsi="Times New Roman" w:cs="Times New Roman"/>
                <w:noProof/>
                <w:sz w:val="20"/>
                <w:szCs w:val="20"/>
                <w14:ligatures w14:val="none"/>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3B265F4D" w14:textId="77777777" w:rsidR="00A345F4" w:rsidRDefault="00A345F4">
            <w:pPr>
              <w:rPr>
                <w:rFonts w:ascii="Times New Roman" w:hAnsi="Times New Roman" w:cs="Times New Roman"/>
                <w:noProof/>
                <w:sz w:val="20"/>
                <w:szCs w:val="20"/>
                <w14:ligatures w14:val="none"/>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4A22E949" w14:textId="77777777" w:rsidR="00A345F4" w:rsidRDefault="005E2D4E">
            <w:pPr>
              <w:pStyle w:val="P68B1DB1-Normal26"/>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85C66F8" w14:textId="77777777" w:rsidR="00A345F4" w:rsidRDefault="005E2D4E">
            <w:pPr>
              <w:pStyle w:val="P68B1DB1-Normal26"/>
              <w:rPr>
                <w:noProof/>
              </w:rPr>
            </w:pPr>
            <w:r>
              <w:rPr>
                <w:noProof/>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4BE6FC94" w14:textId="77777777" w:rsidR="00A345F4" w:rsidRDefault="005E2D4E">
            <w:pPr>
              <w:pStyle w:val="P68B1DB1-Normal26"/>
              <w:rPr>
                <w:rFonts w:eastAsia="Times New Roman"/>
                <w:noProof/>
              </w:rPr>
            </w:pPr>
            <w:r>
              <w:rPr>
                <w:noProof/>
              </w:rPr>
              <w:t>Certificats de réception signés par l'entité adjudicatrice prouvant l'acceptation:</w:t>
            </w:r>
          </w:p>
          <w:p w14:paraId="7774945A" w14:textId="77777777" w:rsidR="00A345F4" w:rsidRDefault="005E2D4E">
            <w:pPr>
              <w:pStyle w:val="P68B1DB1-Normal14"/>
              <w:numPr>
                <w:ilvl w:val="0"/>
                <w:numId w:val="10"/>
              </w:numPr>
              <w:ind w:left="250" w:hanging="218"/>
              <w:contextualSpacing/>
              <w:rPr>
                <w:noProof/>
                <w14:ligatures w14:val="none"/>
              </w:rPr>
            </w:pPr>
            <w:r>
              <w:rPr>
                <w:noProof/>
              </w:rPr>
              <w:t>36 locomotives électriques modernisées;</w:t>
            </w:r>
          </w:p>
          <w:p w14:paraId="4E6C31B0" w14:textId="77777777" w:rsidR="00A345F4" w:rsidRDefault="005E2D4E">
            <w:pPr>
              <w:pStyle w:val="P68B1DB1-Normal14"/>
              <w:numPr>
                <w:ilvl w:val="0"/>
                <w:numId w:val="10"/>
              </w:numPr>
              <w:ind w:left="250" w:hanging="218"/>
              <w:contextualSpacing/>
              <w:rPr>
                <w:noProof/>
                <w14:ligatures w14:val="none"/>
              </w:rPr>
            </w:pPr>
            <w:r>
              <w:rPr>
                <w:noProof/>
              </w:rPr>
              <w:t>14</w:t>
            </w:r>
            <w:r>
              <w:rPr>
                <w:noProof/>
                <w14:ligatures w14:val="none"/>
              </w:rPr>
              <w:t xml:space="preserve"> locomotives de manœuvre mises à niveau du diesel vers l'électricité et le plug-in;</w:t>
            </w:r>
          </w:p>
          <w:p w14:paraId="27BB037B" w14:textId="77777777" w:rsidR="00A345F4" w:rsidRDefault="005E2D4E">
            <w:pPr>
              <w:pStyle w:val="P68B1DB1-Normal14"/>
              <w:numPr>
                <w:ilvl w:val="0"/>
                <w:numId w:val="10"/>
              </w:numPr>
              <w:ind w:left="250" w:hanging="218"/>
              <w:contextualSpacing/>
              <w:rPr>
                <w:noProof/>
                <w14:ligatures w14:val="none"/>
              </w:rPr>
            </w:pPr>
            <w:r>
              <w:rPr>
                <w:noProof/>
              </w:rPr>
              <w:t>64</w:t>
            </w:r>
            <w:r>
              <w:rPr>
                <w:noProof/>
                <w14:ligatures w14:val="none"/>
              </w:rPr>
              <w:t xml:space="preserve"> wagons améliorés. </w:t>
            </w:r>
          </w:p>
        </w:tc>
      </w:tr>
      <w:tr w:rsidR="00A345F4" w14:paraId="12EF1B67" w14:textId="77777777">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5BE6628D" w14:textId="64C9C981" w:rsidR="00A345F4" w:rsidRDefault="005E2D4E">
            <w:pPr>
              <w:pStyle w:val="P68B1DB1-Normal14"/>
              <w:rPr>
                <w:noProof/>
              </w:rPr>
            </w:pPr>
            <w:r>
              <w:rPr>
                <w:noProof/>
              </w:rPr>
              <w:t>84 bis</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05FB4D5" w14:textId="77777777" w:rsidR="00A345F4" w:rsidRDefault="005E2D4E">
            <w:pPr>
              <w:pStyle w:val="P68B1DB1-Normal14"/>
              <w:rPr>
                <w:noProof/>
              </w:rPr>
            </w:pPr>
            <w:r>
              <w:rPr>
                <w:noProof/>
              </w:rPr>
              <w:t xml:space="preserve">Investissement 3 Accroître la durabilité des infrastructures routières sur le réseau RTE-T, tarification routière, gestion du trafic </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62A921A6" w14:textId="77777777" w:rsidR="00A345F4" w:rsidRDefault="005E2D4E">
            <w:pPr>
              <w:pStyle w:val="P68B1DB1-Normal14"/>
              <w:rPr>
                <w:noProof/>
              </w:rPr>
            </w:pPr>
            <w:r>
              <w:rPr>
                <w:noProof/>
              </w:rPr>
              <w:t>Objectif</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0D7CC815" w14:textId="77777777" w:rsidR="00A345F4" w:rsidRDefault="005E2D4E">
            <w:pPr>
              <w:pStyle w:val="P68B1DB1-Normal19"/>
              <w:rPr>
                <w:noProof/>
              </w:rPr>
            </w:pPr>
            <w:r>
              <w:rPr>
                <w:noProof/>
              </w:rPr>
              <w:t>Construction d’une nouvelle route sur l’autoroute A7, tronçon Bacau – Pascani, lot 1</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7147AE4" w14:textId="77777777" w:rsidR="00A345F4" w:rsidRDefault="00A345F4">
            <w:pPr>
              <w:rPr>
                <w:rFonts w:ascii="Times New Roman" w:hAnsi="Times New Roman" w:cs="Times New Roman"/>
                <w:noProof/>
                <w:sz w:val="20"/>
                <w:szCs w:val="20"/>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37BB2537" w14:textId="77777777" w:rsidR="00A345F4" w:rsidRDefault="005E2D4E">
            <w:pPr>
              <w:pStyle w:val="P68B1DB1-Normal14"/>
              <w:rPr>
                <w:noProof/>
              </w:rPr>
            </w:pPr>
            <w:r>
              <w:rPr>
                <w:noProof/>
              </w:rPr>
              <w:t>Montant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218F8526" w14:textId="77777777" w:rsidR="00A345F4" w:rsidRDefault="005E2D4E">
            <w:pPr>
              <w:pStyle w:val="P68B1DB1-Normal14"/>
              <w:rPr>
                <w:noProof/>
              </w:rPr>
            </w:pPr>
            <w:r>
              <w:rPr>
                <w:noProof/>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19F3D84D" w14:textId="203D0A54" w:rsidR="00A345F4" w:rsidRDefault="005E2D4E">
            <w:pPr>
              <w:pStyle w:val="P68B1DB1-Normal14"/>
              <w:rPr>
                <w:noProof/>
              </w:rPr>
            </w:pPr>
            <w:r>
              <w:rPr>
                <w:noProof/>
              </w:rPr>
              <w:t>294 900 000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3ABDBF1D" w14:textId="77777777" w:rsidR="00A345F4" w:rsidRDefault="005E2D4E">
            <w:pPr>
              <w:pStyle w:val="P68B1DB1-Normal14"/>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1C599DC5" w14:textId="77777777" w:rsidR="00A345F4" w:rsidRDefault="005E2D4E">
            <w:pPr>
              <w:pStyle w:val="P68B1DB1-Normal14"/>
              <w:rPr>
                <w:noProof/>
              </w:rPr>
            </w:pPr>
            <w:r>
              <w:rPr>
                <w:noProof/>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35064710" w14:textId="4B0501DC" w:rsidR="00A345F4" w:rsidRDefault="005E2D4E">
            <w:pPr>
              <w:pStyle w:val="P68B1DB1-Normal19"/>
              <w:rPr>
                <w:noProof/>
              </w:rPr>
            </w:pPr>
            <w:r>
              <w:rPr>
                <w:noProof/>
              </w:rPr>
              <w:t>Confirmation par certificat de paiement qu'un montant total de 294,90 millions d'euros a été certifié pour la construction de l'autoroute A7, section Bacau - Pascani, Lot 1.</w:t>
            </w:r>
          </w:p>
          <w:p w14:paraId="4CE10901" w14:textId="77777777" w:rsidR="00A345F4" w:rsidRDefault="00A345F4">
            <w:pPr>
              <w:rPr>
                <w:rFonts w:ascii="Times New Roman" w:eastAsia="Times New Roman" w:hAnsi="Times New Roman" w:cs="Times New Roman"/>
                <w:noProof/>
                <w:sz w:val="20"/>
                <w:szCs w:val="20"/>
              </w:rPr>
            </w:pPr>
          </w:p>
          <w:p w14:paraId="03367DD8" w14:textId="237E330E" w:rsidR="00A345F4" w:rsidRDefault="005E2D4E">
            <w:pPr>
              <w:pStyle w:val="P68B1DB1-Normal19"/>
              <w:rPr>
                <w:noProof/>
              </w:rPr>
            </w:pPr>
            <w:r>
              <w:rPr>
                <w:noProof/>
              </w:rPr>
              <w:t>Le contrat contiendra des dispositions permettant au bénéficiaire de planter 33,4 ha de rideaux forestiers, de construire des infrastructures pour les points de recharge électrique et d’installer un système de trafic intelligent (STI).</w:t>
            </w:r>
          </w:p>
          <w:p w14:paraId="018A8A74" w14:textId="77777777" w:rsidR="00A345F4" w:rsidRDefault="00A345F4">
            <w:pPr>
              <w:rPr>
                <w:rFonts w:ascii="Times New Roman" w:eastAsia="Times New Roman" w:hAnsi="Times New Roman" w:cs="Times New Roman"/>
                <w:noProof/>
                <w:sz w:val="20"/>
                <w:szCs w:val="20"/>
              </w:rPr>
            </w:pPr>
          </w:p>
          <w:p w14:paraId="70233D2F" w14:textId="77777777" w:rsidR="00A345F4" w:rsidRDefault="005E2D4E">
            <w:pPr>
              <w:pStyle w:val="P68B1DB1-Normal14"/>
              <w:rPr>
                <w:noProof/>
              </w:rPr>
            </w:pPr>
            <w:r>
              <w:rPr>
                <w:noProof/>
              </w:rPr>
              <w:t>Le respect satisfaisant des jalons 59, 60 et 69, liés à l’approbation du cadre juridique et stratégique visant à réduire l’utilisation de véhicules polluants et à encourager l’utilisation de modes de transport plus propres, est nécessaire pour garantir la conformité de l’investissement 3 avec l’exigence consistant à «ne pas causer de préjudice important».</w:t>
            </w:r>
          </w:p>
        </w:tc>
      </w:tr>
      <w:tr w:rsidR="00A345F4" w14:paraId="4F488246" w14:textId="77777777">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79FB0479" w14:textId="2C4458B8" w:rsidR="00A345F4" w:rsidRDefault="005E2D4E">
            <w:pPr>
              <w:pStyle w:val="P68B1DB1-Normal14"/>
              <w:rPr>
                <w:noProof/>
              </w:rPr>
            </w:pPr>
            <w:r>
              <w:rPr>
                <w:noProof/>
              </w:rPr>
              <w:t>84b</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2DE78FCB" w14:textId="77777777" w:rsidR="00A345F4" w:rsidRDefault="005E2D4E">
            <w:pPr>
              <w:pStyle w:val="P68B1DB1-Normal14"/>
              <w:rPr>
                <w:noProof/>
              </w:rPr>
            </w:pPr>
            <w:r>
              <w:rPr>
                <w:noProof/>
              </w:rPr>
              <w:t>Investissement 3 Accroître la durabilité des infrastructures routières sur le réseau RTE-T, tarification routière, gestion du trafic</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27841FB6" w14:textId="77777777" w:rsidR="00A345F4" w:rsidRDefault="005E2D4E">
            <w:pPr>
              <w:pStyle w:val="P68B1DB1-Normal14"/>
              <w:rPr>
                <w:noProof/>
              </w:rPr>
            </w:pPr>
            <w:r>
              <w:rPr>
                <w:noProof/>
              </w:rPr>
              <w:t>Objectif</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12C14F1A" w14:textId="77777777" w:rsidR="00A345F4" w:rsidRDefault="005E2D4E">
            <w:pPr>
              <w:pStyle w:val="P68B1DB1-Normal19"/>
              <w:rPr>
                <w:noProof/>
              </w:rPr>
            </w:pPr>
            <w:r>
              <w:rPr>
                <w:noProof/>
              </w:rPr>
              <w:t>Construction d’une nouvelle route sur l’autoroute A7, tronçon Bacau – Pascani, lot 2</w:t>
            </w:r>
          </w:p>
          <w:p w14:paraId="1D0464F3" w14:textId="77777777" w:rsidR="00A345F4" w:rsidRDefault="00A345F4">
            <w:pPr>
              <w:rPr>
                <w:rFonts w:ascii="Times New Roman" w:eastAsia="Times New Roman" w:hAnsi="Times New Roman" w:cs="Times New Roman"/>
                <w:noProof/>
                <w:sz w:val="20"/>
                <w:szCs w:val="20"/>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4CA18336" w14:textId="77777777" w:rsidR="00A345F4" w:rsidRDefault="00A345F4">
            <w:pPr>
              <w:rPr>
                <w:rFonts w:ascii="Times New Roman" w:eastAsia="Times New Roman" w:hAnsi="Times New Roman" w:cs="Times New Roman"/>
                <w:noProof/>
                <w:sz w:val="20"/>
                <w:szCs w:val="20"/>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6B338CA6" w14:textId="77777777" w:rsidR="00A345F4" w:rsidRDefault="005E2D4E">
            <w:pPr>
              <w:pStyle w:val="P68B1DB1-Normal14"/>
              <w:rPr>
                <w:noProof/>
              </w:rPr>
            </w:pPr>
            <w:r>
              <w:rPr>
                <w:noProof/>
              </w:rPr>
              <w:t>Montant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33A7BAEF" w14:textId="77777777" w:rsidR="00A345F4" w:rsidRDefault="005E2D4E">
            <w:pPr>
              <w:pStyle w:val="P68B1DB1-Normal14"/>
              <w:rPr>
                <w:noProof/>
              </w:rPr>
            </w:pPr>
            <w:r>
              <w:rPr>
                <w:noProof/>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44BB3BC4" w14:textId="1F5716F9" w:rsidR="00A345F4" w:rsidRDefault="005E2D4E">
            <w:pPr>
              <w:pStyle w:val="P68B1DB1-Normal14"/>
              <w:rPr>
                <w:noProof/>
              </w:rPr>
            </w:pPr>
            <w:r>
              <w:rPr>
                <w:noProof/>
              </w:rPr>
              <w:t>230 090 000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5DF098FB" w14:textId="77777777" w:rsidR="00A345F4" w:rsidRDefault="005E2D4E">
            <w:pPr>
              <w:pStyle w:val="P68B1DB1-Normal14"/>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229B9A9" w14:textId="77777777" w:rsidR="00A345F4" w:rsidRDefault="005E2D4E">
            <w:pPr>
              <w:pStyle w:val="P68B1DB1-Normal14"/>
              <w:rPr>
                <w:noProof/>
              </w:rPr>
            </w:pPr>
            <w:r>
              <w:rPr>
                <w:noProof/>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45C4787D" w14:textId="3C0584C4" w:rsidR="00A345F4" w:rsidRDefault="005E2D4E">
            <w:pPr>
              <w:pStyle w:val="P68B1DB1-Normal19"/>
              <w:rPr>
                <w:noProof/>
              </w:rPr>
            </w:pPr>
            <w:r>
              <w:rPr>
                <w:noProof/>
              </w:rPr>
              <w:t>Confirmation par certificat de paiement qu'un montant total de 230,09 millions d'euros a été certifié pour la construction de l'autoroute A7, section Bacau - Pascani, Lot 2.</w:t>
            </w:r>
          </w:p>
          <w:p w14:paraId="1D4F2310" w14:textId="77777777" w:rsidR="00A345F4" w:rsidRDefault="00A345F4">
            <w:pPr>
              <w:rPr>
                <w:rFonts w:ascii="Times New Roman" w:eastAsia="Times New Roman" w:hAnsi="Times New Roman" w:cs="Times New Roman"/>
                <w:noProof/>
                <w:sz w:val="20"/>
                <w:szCs w:val="20"/>
              </w:rPr>
            </w:pPr>
          </w:p>
          <w:p w14:paraId="09CD8B68" w14:textId="6A39CC79" w:rsidR="00A345F4" w:rsidRDefault="005E2D4E">
            <w:pPr>
              <w:pStyle w:val="P68B1DB1-Normal19"/>
              <w:rPr>
                <w:noProof/>
              </w:rPr>
            </w:pPr>
            <w:r>
              <w:rPr>
                <w:noProof/>
              </w:rPr>
              <w:t>Le contrat contiendra des dispositions permettant au bénéficiaire de planter 20,6 ha de rideaux forestiers, de construire des infrastructures pour les points de recharge électrique et d’installer un système de trafic intelligent (STI).</w:t>
            </w:r>
          </w:p>
          <w:p w14:paraId="6989727C" w14:textId="77777777" w:rsidR="00A345F4" w:rsidRDefault="00A345F4">
            <w:pPr>
              <w:rPr>
                <w:rFonts w:ascii="Times New Roman" w:eastAsia="Times New Roman" w:hAnsi="Times New Roman" w:cs="Times New Roman"/>
                <w:noProof/>
                <w:sz w:val="20"/>
                <w:szCs w:val="20"/>
              </w:rPr>
            </w:pPr>
          </w:p>
          <w:p w14:paraId="0000D384" w14:textId="77777777" w:rsidR="00A345F4" w:rsidRDefault="005E2D4E">
            <w:pPr>
              <w:pStyle w:val="P68B1DB1-Normal14"/>
              <w:rPr>
                <w:noProof/>
              </w:rPr>
            </w:pPr>
            <w:r>
              <w:rPr>
                <w:noProof/>
              </w:rPr>
              <w:t>Le respect satisfaisant des jalons 59, 60 et 69, liés à l’approbation du cadre juridique et stratégique visant à réduire l’utilisation de véhicules polluants et à encourager l’utilisation de modes de transport plus propres, est nécessaire pour garantir la conformité de l’investissement 3 avec l’exigence consistant à «ne pas causer de préjudice important».</w:t>
            </w:r>
          </w:p>
          <w:p w14:paraId="3ABF12FF" w14:textId="77777777" w:rsidR="00A345F4" w:rsidRDefault="00A345F4">
            <w:pPr>
              <w:rPr>
                <w:rFonts w:ascii="Times New Roman" w:eastAsia="Times New Roman" w:hAnsi="Times New Roman" w:cs="Times New Roman"/>
                <w:noProof/>
                <w:sz w:val="20"/>
                <w:szCs w:val="20"/>
              </w:rPr>
            </w:pPr>
          </w:p>
        </w:tc>
      </w:tr>
      <w:tr w:rsidR="00A345F4" w14:paraId="38324E1F" w14:textId="77777777">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2BBAA38E" w14:textId="550C522D" w:rsidR="00A345F4" w:rsidRDefault="005E2D4E">
            <w:pPr>
              <w:pStyle w:val="P68B1DB1-Normal14"/>
              <w:rPr>
                <w:noProof/>
              </w:rPr>
            </w:pPr>
            <w:r>
              <w:rPr>
                <w:noProof/>
              </w:rPr>
              <w:t>84c</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221362F" w14:textId="77777777" w:rsidR="00A345F4" w:rsidRDefault="005E2D4E">
            <w:pPr>
              <w:pStyle w:val="P68B1DB1-Normal14"/>
              <w:rPr>
                <w:noProof/>
              </w:rPr>
            </w:pPr>
            <w:r>
              <w:rPr>
                <w:noProof/>
              </w:rPr>
              <w:t>Investissement 3 Accroître la durabilité des infrastructures routières sur le réseau RTE-T, tarification routière, gestion du trafic a</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3F287A5F" w14:textId="77777777" w:rsidR="00A345F4" w:rsidRDefault="005E2D4E">
            <w:pPr>
              <w:pStyle w:val="P68B1DB1-Normal14"/>
              <w:rPr>
                <w:noProof/>
              </w:rPr>
            </w:pPr>
            <w:r>
              <w:rPr>
                <w:noProof/>
              </w:rPr>
              <w:t>Objectif</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0EEB6B6D" w14:textId="77777777" w:rsidR="00A345F4" w:rsidRDefault="005E2D4E">
            <w:pPr>
              <w:pStyle w:val="P68B1DB1-Normal19"/>
              <w:rPr>
                <w:noProof/>
              </w:rPr>
            </w:pPr>
            <w:r>
              <w:rPr>
                <w:noProof/>
              </w:rPr>
              <w:t>Construction d’une nouvelle route sur l’autoroute A7, tronçon Bacau – Pascani, lot 3</w:t>
            </w:r>
          </w:p>
          <w:p w14:paraId="7884F110" w14:textId="77777777" w:rsidR="00A345F4" w:rsidRDefault="00A345F4">
            <w:pPr>
              <w:rPr>
                <w:rFonts w:ascii="Times New Roman" w:eastAsia="Times New Roman" w:hAnsi="Times New Roman" w:cs="Times New Roman"/>
                <w:noProof/>
                <w:sz w:val="20"/>
                <w:szCs w:val="20"/>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1F20E30F" w14:textId="77777777" w:rsidR="00A345F4" w:rsidRDefault="00A345F4">
            <w:pPr>
              <w:rPr>
                <w:rFonts w:ascii="Times New Roman" w:eastAsia="Times New Roman" w:hAnsi="Times New Roman" w:cs="Times New Roman"/>
                <w:noProof/>
                <w:sz w:val="20"/>
                <w:szCs w:val="20"/>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4BB36DD2" w14:textId="77777777" w:rsidR="00A345F4" w:rsidRDefault="005E2D4E">
            <w:pPr>
              <w:pStyle w:val="P68B1DB1-Normal14"/>
              <w:rPr>
                <w:noProof/>
              </w:rPr>
            </w:pPr>
            <w:r>
              <w:rPr>
                <w:noProof/>
              </w:rPr>
              <w:t>Montant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3D88F40C" w14:textId="77777777" w:rsidR="00A345F4" w:rsidRDefault="005E2D4E">
            <w:pPr>
              <w:pStyle w:val="P68B1DB1-Normal14"/>
              <w:rPr>
                <w:noProof/>
              </w:rPr>
            </w:pPr>
            <w:r>
              <w:rPr>
                <w:noProof/>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4A073345" w14:textId="17590124" w:rsidR="00A345F4" w:rsidRDefault="005E2D4E">
            <w:pPr>
              <w:pStyle w:val="P68B1DB1-Normal14"/>
              <w:rPr>
                <w:noProof/>
              </w:rPr>
            </w:pPr>
            <w:r>
              <w:rPr>
                <w:noProof/>
              </w:rPr>
              <w:t>217 100 000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146BFC7" w14:textId="77777777" w:rsidR="00A345F4" w:rsidRDefault="005E2D4E">
            <w:pPr>
              <w:pStyle w:val="P68B1DB1-Normal14"/>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237E35F" w14:textId="77777777" w:rsidR="00A345F4" w:rsidRDefault="005E2D4E">
            <w:pPr>
              <w:pStyle w:val="P68B1DB1-Normal14"/>
              <w:rPr>
                <w:noProof/>
              </w:rPr>
            </w:pPr>
            <w:r>
              <w:rPr>
                <w:noProof/>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51AA88D" w14:textId="56275938" w:rsidR="00A345F4" w:rsidRDefault="005E2D4E">
            <w:pPr>
              <w:pStyle w:val="P68B1DB1-Normal19"/>
              <w:rPr>
                <w:i/>
                <w:iCs/>
                <w:noProof/>
              </w:rPr>
            </w:pPr>
            <w:r>
              <w:rPr>
                <w:noProof/>
              </w:rPr>
              <w:t>Confirmation par certificat de paiement , qu'un montant total de 217,10 millions d'euros a été certifié pour la construction de l'autoroute</w:t>
            </w:r>
            <w:r>
              <w:rPr>
                <w:i/>
                <w:noProof/>
              </w:rPr>
              <w:t xml:space="preserve"> </w:t>
            </w:r>
            <w:r>
              <w:rPr>
                <w:noProof/>
              </w:rPr>
              <w:t>A7, tronçon Bacau - Pascani, lot 3.</w:t>
            </w:r>
          </w:p>
          <w:p w14:paraId="3AC0F86C" w14:textId="77777777" w:rsidR="00A345F4" w:rsidRDefault="00A345F4">
            <w:pPr>
              <w:rPr>
                <w:rFonts w:ascii="Times New Roman" w:eastAsia="Times New Roman" w:hAnsi="Times New Roman" w:cs="Times New Roman"/>
                <w:noProof/>
                <w:sz w:val="20"/>
                <w:szCs w:val="20"/>
              </w:rPr>
            </w:pPr>
          </w:p>
          <w:p w14:paraId="6755D273" w14:textId="33B88B4E" w:rsidR="00A345F4" w:rsidRDefault="005E2D4E">
            <w:pPr>
              <w:pStyle w:val="P68B1DB1-Normal19"/>
              <w:rPr>
                <w:noProof/>
              </w:rPr>
            </w:pPr>
            <w:r>
              <w:rPr>
                <w:noProof/>
              </w:rPr>
              <w:t>Le contrat contiendra des dispositions permettant au bénéficiaire de planter 25,99 ha de rideaux forestiers, de construire des infrastructures pour les points de recharge électrique et d’installer un système de trafic intelligent (STI).</w:t>
            </w:r>
          </w:p>
          <w:p w14:paraId="6B489CD7" w14:textId="77777777" w:rsidR="00A345F4" w:rsidRDefault="00A345F4">
            <w:pPr>
              <w:rPr>
                <w:rFonts w:ascii="Times New Roman" w:eastAsia="Times New Roman" w:hAnsi="Times New Roman" w:cs="Times New Roman"/>
                <w:noProof/>
                <w:sz w:val="20"/>
                <w:szCs w:val="20"/>
              </w:rPr>
            </w:pPr>
          </w:p>
          <w:p w14:paraId="180720DA" w14:textId="77777777" w:rsidR="00A345F4" w:rsidRDefault="005E2D4E">
            <w:pPr>
              <w:pStyle w:val="P68B1DB1-Normal14"/>
              <w:rPr>
                <w:noProof/>
              </w:rPr>
            </w:pPr>
            <w:r>
              <w:rPr>
                <w:noProof/>
              </w:rPr>
              <w:t>Le respect satisfaisant des jalons 59, 60 et 69, liés à l’approbation du cadre juridique et stratégique visant à réduire l’utilisation de véhicules polluants et à encourager l’utilisation de modes de transport plus propres, est nécessaire pour garantir la conformité de l’investissement 3 avec l’exigence consistant à «ne pas causer de préjudice important».</w:t>
            </w:r>
          </w:p>
          <w:p w14:paraId="648407F6" w14:textId="77777777" w:rsidR="00A345F4" w:rsidRDefault="00A345F4">
            <w:pPr>
              <w:rPr>
                <w:rFonts w:ascii="Times New Roman" w:eastAsia="Times New Roman" w:hAnsi="Times New Roman" w:cs="Times New Roman"/>
                <w:noProof/>
                <w:sz w:val="20"/>
                <w:szCs w:val="20"/>
              </w:rPr>
            </w:pPr>
          </w:p>
        </w:tc>
      </w:tr>
      <w:tr w:rsidR="00A345F4" w14:paraId="3E635F36" w14:textId="77777777">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7CEBC85C" w14:textId="54B95F30" w:rsidR="00A345F4" w:rsidRDefault="005E2D4E">
            <w:pPr>
              <w:pStyle w:val="P68B1DB1-Normal14"/>
              <w:rPr>
                <w:noProof/>
              </w:rPr>
            </w:pPr>
            <w:r>
              <w:rPr>
                <w:noProof/>
              </w:rPr>
              <w:t>84d</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7C726E19" w14:textId="77777777" w:rsidR="00A345F4" w:rsidRDefault="005E2D4E">
            <w:pPr>
              <w:pStyle w:val="P68B1DB1-Normal14"/>
              <w:rPr>
                <w:noProof/>
              </w:rPr>
            </w:pPr>
            <w:r>
              <w:rPr>
                <w:noProof/>
              </w:rPr>
              <w:t>Investissement 3 Accroître la durabilité des infrastructures routières sur le réseau RTE-T, tarification routière, gestion du trafic</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CF6BEE0" w14:textId="77777777" w:rsidR="00A345F4" w:rsidRDefault="005E2D4E">
            <w:pPr>
              <w:pStyle w:val="P68B1DB1-Normal14"/>
              <w:rPr>
                <w:noProof/>
              </w:rPr>
            </w:pPr>
            <w:r>
              <w:rPr>
                <w:noProof/>
              </w:rPr>
              <w:t>Objectif</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310572B7" w14:textId="77777777" w:rsidR="00A345F4" w:rsidRDefault="005E2D4E">
            <w:pPr>
              <w:pStyle w:val="P68B1DB1-Normal19"/>
              <w:rPr>
                <w:noProof/>
              </w:rPr>
            </w:pPr>
            <w:r>
              <w:rPr>
                <w:noProof/>
              </w:rPr>
              <w:t>Construction d'une nouvelle route sur l'autoroute A1 Margina - Holdea</w:t>
            </w:r>
          </w:p>
          <w:p w14:paraId="390E9A11" w14:textId="77777777" w:rsidR="00A345F4" w:rsidRDefault="00A345F4">
            <w:pPr>
              <w:rPr>
                <w:rFonts w:ascii="Times New Roman" w:eastAsia="Times New Roman" w:hAnsi="Times New Roman" w:cs="Times New Roman"/>
                <w:noProof/>
                <w:sz w:val="20"/>
                <w:szCs w:val="20"/>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03951E0" w14:textId="77777777" w:rsidR="00A345F4" w:rsidRDefault="00A345F4">
            <w:pPr>
              <w:rPr>
                <w:rFonts w:ascii="Times New Roman" w:eastAsia="Times New Roman" w:hAnsi="Times New Roman" w:cs="Times New Roman"/>
                <w:noProof/>
                <w:sz w:val="20"/>
                <w:szCs w:val="20"/>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3206ADBB" w14:textId="77777777" w:rsidR="00A345F4" w:rsidRDefault="005E2D4E">
            <w:pPr>
              <w:pStyle w:val="P68B1DB1-Normal14"/>
              <w:rPr>
                <w:noProof/>
              </w:rPr>
            </w:pPr>
            <w:r>
              <w:rPr>
                <w:noProof/>
              </w:rPr>
              <w:t>Montant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4543B0FB" w14:textId="77777777" w:rsidR="00A345F4" w:rsidRDefault="005E2D4E">
            <w:pPr>
              <w:pStyle w:val="P68B1DB1-Normal14"/>
              <w:rPr>
                <w:noProof/>
              </w:rPr>
            </w:pPr>
            <w:r>
              <w:rPr>
                <w:noProof/>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50E97170" w14:textId="2E759310" w:rsidR="00A345F4" w:rsidRDefault="005E2D4E">
            <w:pPr>
              <w:pStyle w:val="P68B1DB1-Normal14"/>
              <w:rPr>
                <w:noProof/>
              </w:rPr>
            </w:pPr>
            <w:r>
              <w:rPr>
                <w:noProof/>
              </w:rPr>
              <w:t>283 920 000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26B1B0E1" w14:textId="77777777" w:rsidR="00A345F4" w:rsidRDefault="005E2D4E">
            <w:pPr>
              <w:pStyle w:val="P68B1DB1-Normal14"/>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9DB5D64" w14:textId="77777777" w:rsidR="00A345F4" w:rsidRDefault="005E2D4E">
            <w:pPr>
              <w:pStyle w:val="P68B1DB1-Normal14"/>
              <w:rPr>
                <w:noProof/>
              </w:rPr>
            </w:pPr>
            <w:r>
              <w:rPr>
                <w:noProof/>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3F9A7AE7" w14:textId="252F09D8" w:rsidR="00A345F4" w:rsidRDefault="005E2D4E">
            <w:pPr>
              <w:pStyle w:val="P68B1DB1-Normal19"/>
              <w:rPr>
                <w:noProof/>
              </w:rPr>
            </w:pPr>
            <w:r>
              <w:rPr>
                <w:noProof/>
              </w:rPr>
              <w:t>Confirmation, au moyen du certificat de paiement ,, qu'un montant total de 283,92 millions d'EUR a été certifié pour la construction de l'autoroute A1, Margina – Holdea.</w:t>
            </w:r>
          </w:p>
          <w:p w14:paraId="2469C4E3" w14:textId="77777777" w:rsidR="00A345F4" w:rsidRDefault="00A345F4">
            <w:pPr>
              <w:rPr>
                <w:rFonts w:ascii="Times New Roman" w:eastAsia="Times New Roman" w:hAnsi="Times New Roman" w:cs="Times New Roman"/>
                <w:noProof/>
                <w:sz w:val="20"/>
                <w:szCs w:val="20"/>
              </w:rPr>
            </w:pPr>
          </w:p>
          <w:p w14:paraId="4536A510" w14:textId="4C18B11D" w:rsidR="00A345F4" w:rsidRDefault="005E2D4E">
            <w:pPr>
              <w:pStyle w:val="P68B1DB1-Normal19"/>
              <w:rPr>
                <w:noProof/>
              </w:rPr>
            </w:pPr>
            <w:r>
              <w:rPr>
                <w:noProof/>
              </w:rPr>
              <w:t>Le contrat contient des dispositions permettant au bénéficiaire d’installer un système de trafic intelligent (STI).</w:t>
            </w:r>
          </w:p>
          <w:p w14:paraId="072F738B" w14:textId="77777777" w:rsidR="00A345F4" w:rsidRDefault="00A345F4">
            <w:pPr>
              <w:rPr>
                <w:rFonts w:ascii="Times New Roman" w:eastAsia="Times New Roman" w:hAnsi="Times New Roman" w:cs="Times New Roman"/>
                <w:noProof/>
                <w:sz w:val="20"/>
                <w:szCs w:val="20"/>
              </w:rPr>
            </w:pPr>
          </w:p>
          <w:p w14:paraId="08B3118F" w14:textId="77777777" w:rsidR="00A345F4" w:rsidRDefault="005E2D4E">
            <w:pPr>
              <w:pStyle w:val="P68B1DB1-Normal14"/>
              <w:rPr>
                <w:noProof/>
              </w:rPr>
            </w:pPr>
            <w:r>
              <w:rPr>
                <w:noProof/>
              </w:rPr>
              <w:t>Le respect satisfaisant des jalons 59, 60 et 69, liés à l’approbation du cadre juridique et stratégique visant à réduire l’utilisation de véhicules polluants et à encourager l’utilisation de modes de transport plus propres, est nécessaire pour garantir la conformité de l’investissement 3 avec l’exigence consistant à «ne pas causer de préjudice important».</w:t>
            </w:r>
          </w:p>
          <w:p w14:paraId="58B54D4D" w14:textId="77777777" w:rsidR="00A345F4" w:rsidRDefault="00A345F4">
            <w:pPr>
              <w:rPr>
                <w:rFonts w:ascii="Times New Roman" w:eastAsia="Times New Roman" w:hAnsi="Times New Roman" w:cs="Times New Roman"/>
                <w:noProof/>
                <w:sz w:val="20"/>
                <w:szCs w:val="20"/>
              </w:rPr>
            </w:pPr>
          </w:p>
        </w:tc>
      </w:tr>
      <w:tr w:rsidR="00A345F4" w14:paraId="57F6E568" w14:textId="77777777">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0548651A" w14:textId="6685A248" w:rsidR="00A345F4" w:rsidRDefault="005E2D4E">
            <w:pPr>
              <w:pStyle w:val="P68B1DB1-Normal14"/>
              <w:rPr>
                <w:noProof/>
                <w14:ligatures w14:val="none"/>
              </w:rPr>
            </w:pPr>
            <w:r>
              <w:rPr>
                <w:noProof/>
                <w14:ligatures w14:val="none"/>
              </w:rPr>
              <w:t>85</w:t>
            </w:r>
            <w:r>
              <w:rPr>
                <w:noProof/>
              </w:rPr>
              <w:t xml:space="preserve"> a</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455B38B0" w14:textId="22D57A1B" w:rsidR="00A345F4" w:rsidRDefault="005E2D4E">
            <w:pPr>
              <w:pStyle w:val="P68B1DB1-Normal14"/>
              <w:rPr>
                <w:noProof/>
                <w14:ligatures w14:val="none"/>
              </w:rPr>
            </w:pPr>
            <w:r>
              <w:rPr>
                <w:noProof/>
                <w14:ligatures w14:val="none"/>
              </w:rPr>
              <w:t>Je</w:t>
            </w:r>
            <w:r>
              <w:rPr>
                <w:noProof/>
              </w:rPr>
              <w:t xml:space="preserve"> nvestment 5. Accroître la sécurité routière</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579A9226" w14:textId="77777777" w:rsidR="00A345F4" w:rsidRDefault="005E2D4E">
            <w:pPr>
              <w:pStyle w:val="P68B1DB1-Normal26"/>
              <w:rPr>
                <w:noProof/>
              </w:rPr>
            </w:pPr>
            <w:r>
              <w:rPr>
                <w:noProof/>
              </w:rPr>
              <w:t>Objectif</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5FE5B051" w14:textId="77777777" w:rsidR="00A345F4" w:rsidRDefault="005E2D4E">
            <w:pPr>
              <w:pStyle w:val="P68B1DB1-Normal27"/>
              <w:rPr>
                <w:noProof/>
              </w:rPr>
            </w:pPr>
            <w:r>
              <w:rPr>
                <w:noProof/>
              </w:rPr>
              <w:t>Suppression des points noirs/points chauds de sécurité routière</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9A9FE94" w14:textId="77777777" w:rsidR="00A345F4" w:rsidRDefault="00A345F4">
            <w:pPr>
              <w:rPr>
                <w:rFonts w:ascii="Times New Roman" w:eastAsia="Times New Roman" w:hAnsi="Times New Roman" w:cs="Times New Roman"/>
                <w:noProof/>
                <w:sz w:val="20"/>
                <w:szCs w:val="20"/>
                <w14:ligatures w14:val="none"/>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9981D80" w14:textId="77777777" w:rsidR="00A345F4" w:rsidRDefault="005E2D4E">
            <w:pPr>
              <w:pStyle w:val="P68B1DB1-Normal26"/>
              <w:rPr>
                <w:noProof/>
              </w:rPr>
            </w:pPr>
            <w:r>
              <w:rPr>
                <w:noProof/>
              </w:rPr>
              <w:t>Numéro</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3BB09802" w14:textId="77777777" w:rsidR="00A345F4" w:rsidRDefault="005E2D4E">
            <w:pPr>
              <w:pStyle w:val="P68B1DB1-Normal26"/>
              <w:rPr>
                <w:noProof/>
              </w:rPr>
            </w:pPr>
            <w:r>
              <w:rPr>
                <w:noProof/>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00C45CC6" w14:textId="77777777" w:rsidR="00A345F4" w:rsidRDefault="005E2D4E">
            <w:pPr>
              <w:pStyle w:val="P68B1DB1-Normal14"/>
              <w:rPr>
                <w:noProof/>
                <w14:ligatures w14:val="none"/>
              </w:rPr>
            </w:pPr>
            <w:r>
              <w:rPr>
                <w:noProof/>
              </w:rPr>
              <w:t>45</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0827B575" w14:textId="77777777" w:rsidR="00A345F4" w:rsidRDefault="005E2D4E">
            <w:pPr>
              <w:pStyle w:val="P68B1DB1-Normal26"/>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668EC58" w14:textId="77777777" w:rsidR="00A345F4" w:rsidRDefault="005E2D4E">
            <w:pPr>
              <w:pStyle w:val="P68B1DB1-Normal26"/>
              <w:rPr>
                <w:noProof/>
              </w:rPr>
            </w:pPr>
            <w:r>
              <w:rPr>
                <w:noProof/>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323FE312" w14:textId="77777777" w:rsidR="00A345F4" w:rsidRDefault="005E2D4E">
            <w:pPr>
              <w:pStyle w:val="P68B1DB1-Normal19"/>
              <w:rPr>
                <w:noProof/>
                <w14:ligatures w14:val="none"/>
              </w:rPr>
            </w:pPr>
            <w:r>
              <w:rPr>
                <w:noProof/>
              </w:rPr>
              <w:t>45 points noirs/points chauds de sécurité routière doivent être enlevés.</w:t>
            </w:r>
          </w:p>
        </w:tc>
      </w:tr>
      <w:tr w:rsidR="00A345F4" w14:paraId="794CDFE5" w14:textId="77777777">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35CBA5A4" w14:textId="2FAF88F0" w:rsidR="00A345F4" w:rsidRDefault="005E2D4E">
            <w:pPr>
              <w:pStyle w:val="P68B1DB1-Normal14"/>
              <w:rPr>
                <w:noProof/>
              </w:rPr>
            </w:pPr>
            <w:r>
              <w:rPr>
                <w:noProof/>
              </w:rPr>
              <w:t>85b</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659C364" w14:textId="7CC86BB9" w:rsidR="00A345F4" w:rsidRDefault="005E2D4E">
            <w:pPr>
              <w:pStyle w:val="P68B1DB1-Normal14"/>
              <w:rPr>
                <w:noProof/>
              </w:rPr>
            </w:pPr>
            <w:r>
              <w:rPr>
                <w:noProof/>
              </w:rPr>
              <w:t>Investissement 5. Accroître la sécurité routière</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2CA9944B" w14:textId="77777777" w:rsidR="00A345F4" w:rsidRDefault="005E2D4E">
            <w:pPr>
              <w:pStyle w:val="P68B1DB1-Normal14"/>
              <w:rPr>
                <w:noProof/>
              </w:rPr>
            </w:pPr>
            <w:r>
              <w:rPr>
                <w:noProof/>
              </w:rPr>
              <w:t>Objectif</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32A9EEF0" w14:textId="28F7168F" w:rsidR="00A345F4" w:rsidRDefault="005E2D4E">
            <w:pPr>
              <w:pStyle w:val="P68B1DB1-Normal19"/>
              <w:rPr>
                <w:noProof/>
              </w:rPr>
            </w:pPr>
            <w:r>
              <w:rPr>
                <w:noProof/>
              </w:rPr>
              <w:t>Suppression des points noirs/points chauds de sécurité routière</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3C403220" w14:textId="77777777" w:rsidR="00A345F4" w:rsidRDefault="00A345F4">
            <w:pPr>
              <w:rPr>
                <w:rFonts w:ascii="Times New Roman" w:eastAsia="Times New Roman" w:hAnsi="Times New Roman" w:cs="Times New Roman"/>
                <w:noProof/>
                <w:sz w:val="20"/>
                <w:szCs w:val="20"/>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05CFB8CD" w14:textId="77777777" w:rsidR="00A345F4" w:rsidRDefault="005E2D4E">
            <w:pPr>
              <w:pStyle w:val="P68B1DB1-Normal14"/>
              <w:rPr>
                <w:noProof/>
              </w:rPr>
            </w:pPr>
            <w:r>
              <w:rPr>
                <w:noProof/>
              </w:rPr>
              <w:t>Numéro</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0CF15110" w14:textId="77777777" w:rsidR="00A345F4" w:rsidRDefault="005E2D4E">
            <w:pPr>
              <w:pStyle w:val="P68B1DB1-Normal14"/>
              <w:rPr>
                <w:noProof/>
              </w:rPr>
            </w:pPr>
            <w:r>
              <w:rPr>
                <w:noProof/>
              </w:rPr>
              <w:t>46</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20BF9C52" w14:textId="77777777" w:rsidR="00A345F4" w:rsidRDefault="005E2D4E">
            <w:pPr>
              <w:pStyle w:val="P68B1DB1-Normal14"/>
              <w:rPr>
                <w:noProof/>
              </w:rPr>
            </w:pPr>
            <w:r>
              <w:rPr>
                <w:noProof/>
              </w:rPr>
              <w:t>91</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71DCB088" w14:textId="77777777" w:rsidR="00A345F4" w:rsidRDefault="005E2D4E">
            <w:pPr>
              <w:pStyle w:val="P68B1DB1-Normal14"/>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A6D3AD5" w14:textId="77777777" w:rsidR="00A345F4" w:rsidRDefault="005E2D4E">
            <w:pPr>
              <w:pStyle w:val="P68B1DB1-Normal14"/>
              <w:rPr>
                <w:noProof/>
              </w:rPr>
            </w:pPr>
            <w:r>
              <w:rPr>
                <w:noProof/>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0B76C6BD" w14:textId="77777777" w:rsidR="00A345F4" w:rsidRDefault="005E2D4E">
            <w:pPr>
              <w:pStyle w:val="P68B1DB1-Normal19"/>
              <w:rPr>
                <w:noProof/>
              </w:rPr>
            </w:pPr>
            <w:r>
              <w:rPr>
                <w:noProof/>
              </w:rPr>
              <w:t>46 points noirs/points chauds de sécurité routière doivent être enlevés.</w:t>
            </w:r>
          </w:p>
          <w:p w14:paraId="66B2ED77" w14:textId="77777777" w:rsidR="00A345F4" w:rsidRDefault="00A345F4">
            <w:pPr>
              <w:rPr>
                <w:rFonts w:ascii="Times New Roman" w:eastAsia="Times New Roman" w:hAnsi="Times New Roman" w:cs="Times New Roman"/>
                <w:noProof/>
                <w:sz w:val="20"/>
                <w:szCs w:val="20"/>
              </w:rPr>
            </w:pPr>
          </w:p>
        </w:tc>
      </w:tr>
    </w:tbl>
    <w:p w14:paraId="57617C5A" w14:textId="77777777" w:rsidR="00A345F4" w:rsidRDefault="005E2D4E">
      <w:pPr>
        <w:pStyle w:val="P68B1DB1-Normal21"/>
        <w:suppressAutoHyphens/>
        <w:autoSpaceDN w:val="0"/>
        <w:spacing w:after="0"/>
        <w:jc w:val="both"/>
        <w:textAlignment w:val="baseline"/>
        <w:rPr>
          <w:noProof/>
        </w:rPr>
        <w:sectPr w:rsidR="00A345F4" w:rsidSect="002C0C50">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r>
        <w:rPr>
          <w:noProof/>
        </w:rPr>
        <w:br w:type="page"/>
      </w:r>
    </w:p>
    <w:p w14:paraId="2CA3F2FF" w14:textId="77777777" w:rsidR="00A345F4" w:rsidRDefault="005E2D4E">
      <w:pPr>
        <w:pStyle w:val="P68B1DB1-Normal1"/>
        <w:keepNext/>
        <w:numPr>
          <w:ilvl w:val="0"/>
          <w:numId w:val="1"/>
        </w:numPr>
        <w:tabs>
          <w:tab w:val="left" w:pos="850"/>
        </w:tabs>
        <w:spacing w:before="360" w:after="240" w:line="240" w:lineRule="auto"/>
        <w:jc w:val="both"/>
        <w:outlineLvl w:val="0"/>
        <w:rPr>
          <w:bCs/>
          <w:noProof/>
        </w:rPr>
      </w:pPr>
      <w:r>
        <w:rPr>
          <w:noProof/>
        </w:rPr>
        <w:t>Élément 5: Vague de rénovation</w:t>
      </w:r>
    </w:p>
    <w:p w14:paraId="28ADE1E7" w14:textId="77777777" w:rsidR="00A345F4" w:rsidRDefault="005E2D4E">
      <w:pPr>
        <w:pStyle w:val="P68B1DB1-Normal4"/>
        <w:spacing w:before="120" w:after="120" w:line="240" w:lineRule="auto"/>
        <w:jc w:val="both"/>
        <w:rPr>
          <w:noProof/>
        </w:rPr>
      </w:pPr>
      <w:r>
        <w:rPr>
          <w:noProof/>
        </w:rPr>
        <w:t>Dans sa stratégie nationale de rénovation à long terme, la Roumanie estime qu’il est nécessaire d’investir 12,8 milliards d’EUR dans la rénovation des bâtiments pour parvenir à une réduction de 0,83 Mtep de la consommation finale d’énergie en 2030 par rapport au scénario de référence.</w:t>
      </w:r>
    </w:p>
    <w:p w14:paraId="31C0166A" w14:textId="77777777" w:rsidR="00A345F4" w:rsidRDefault="005E2D4E">
      <w:pPr>
        <w:pStyle w:val="P68B1DB1-Normal4"/>
        <w:spacing w:before="120" w:after="120" w:line="240" w:lineRule="auto"/>
        <w:jc w:val="both"/>
        <w:rPr>
          <w:noProof/>
        </w:rPr>
      </w:pPr>
      <w:r>
        <w:rPr>
          <w:noProof/>
        </w:rPr>
        <w:t xml:space="preserve">L'objectif du volet est d'accroître la rapidité et la qualité des rénovations énergétiques tant dans le secteur public que dans le secteur privé, tout en relevant le défi de la protection du patrimoine. Les réformes et les investissements dans ce volet visent à réduire la consommation d’énergie primaire et la consommation d’énergie finale conformément aux objectifs pour 2030 énoncés dans la stratégie nationale de rénovation à long terme. </w:t>
      </w:r>
    </w:p>
    <w:p w14:paraId="31289C87" w14:textId="77777777" w:rsidR="00A345F4" w:rsidRDefault="005E2D4E">
      <w:pPr>
        <w:pStyle w:val="P68B1DB1-Normal4"/>
        <w:spacing w:before="120" w:after="120" w:line="240" w:lineRule="auto"/>
        <w:jc w:val="both"/>
        <w:rPr>
          <w:noProof/>
        </w:rPr>
      </w:pPr>
      <w:r>
        <w:rPr>
          <w:noProof/>
        </w:rPr>
        <w:t>Ces investissements et réformes répondent aux recommandations par pays de la Roumanie des deux dernières années visant à «axer la politique économique liée aux investissements sur […] une faible intensité de carbone et l’efficacité énergétique» (recommandation par pays no 4, 2019) et à «axer les investissements sur la transition écologique […], en particulier sur la production et l’utilisation propres et efficaces de l’énergie» (recommandation par pays no 3, 2020).</w:t>
      </w:r>
    </w:p>
    <w:p w14:paraId="7E09AD79" w14:textId="77777777" w:rsidR="00A345F4" w:rsidRDefault="005E2D4E">
      <w:pPr>
        <w:pStyle w:val="P68B1DB1-Normal4"/>
        <w:spacing w:before="120" w:after="240"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450F145" w14:textId="77777777" w:rsidR="00A345F4" w:rsidRDefault="005E2D4E">
      <w:pPr>
        <w:pStyle w:val="P68B1DB1-Normal4"/>
        <w:keepNext/>
        <w:spacing w:before="120" w:after="120" w:line="240" w:lineRule="auto"/>
        <w:jc w:val="both"/>
        <w:outlineLvl w:val="1"/>
        <w:rPr>
          <w:b/>
          <w:bCs/>
          <w:noProof/>
        </w:rPr>
      </w:pPr>
      <w:r>
        <w:rPr>
          <w:b/>
          <w:noProof/>
        </w:rPr>
        <w:t xml:space="preserve">E.1. </w:t>
      </w:r>
      <w:r>
        <w:rPr>
          <w:noProof/>
        </w:rPr>
        <w:t xml:space="preserve"> </w:t>
      </w:r>
      <w:r>
        <w:rPr>
          <w:b/>
          <w:noProof/>
          <w:color w:val="000000" w:themeColor="text1"/>
        </w:rPr>
        <w:t>Description des réformes et des investissements pour le soutien financier non remboursable</w:t>
      </w:r>
    </w:p>
    <w:p w14:paraId="4044B6B6" w14:textId="77777777" w:rsidR="00A345F4" w:rsidRDefault="005E2D4E">
      <w:pPr>
        <w:pStyle w:val="P68B1DB1-Normal12"/>
        <w:suppressAutoHyphens/>
        <w:autoSpaceDN w:val="0"/>
        <w:spacing w:before="240" w:after="240" w:line="240" w:lineRule="auto"/>
        <w:jc w:val="both"/>
        <w:textAlignment w:val="baseline"/>
        <w:rPr>
          <w:rFonts w:eastAsiaTheme="majorEastAsia"/>
          <w:noProof/>
        </w:rPr>
      </w:pPr>
      <w:r>
        <w:rPr>
          <w:noProof/>
        </w:rPr>
        <w:t>Investissement 1.a. Création d’un fonds pour la vague de rénovations afin de financer des travaux visant à accroître l’efficacité énergétique du parc immobilier existant</w:t>
      </w:r>
    </w:p>
    <w:p w14:paraId="27224B5F" w14:textId="77777777" w:rsidR="00A345F4" w:rsidRDefault="005E2D4E">
      <w:pPr>
        <w:pStyle w:val="P68B1DB1-Normal4"/>
        <w:spacing w:before="120" w:after="120" w:line="240" w:lineRule="auto"/>
        <w:jc w:val="both"/>
        <w:rPr>
          <w:noProof/>
        </w:rPr>
      </w:pPr>
      <w:r>
        <w:rPr>
          <w:noProof/>
        </w:rPr>
        <w:t>L’objectif de l’investissement est de soutenir la rénovation de bâtiments multifamiliaux et de bâtiments publics en Roumanie afin d’accroître l’efficacité énergétique.</w:t>
      </w:r>
    </w:p>
    <w:p w14:paraId="69B23A86" w14:textId="77777777" w:rsidR="00A345F4" w:rsidRDefault="005E2D4E">
      <w:pPr>
        <w:pStyle w:val="P68B1DB1-Normal4"/>
        <w:spacing w:before="120" w:after="120" w:line="240" w:lineRule="auto"/>
        <w:jc w:val="both"/>
        <w:rPr>
          <w:noProof/>
        </w:rPr>
      </w:pPr>
      <w:r>
        <w:rPr>
          <w:noProof/>
        </w:rPr>
        <w:t>L'investissement s'articule autour de deux axes:</w:t>
      </w:r>
    </w:p>
    <w:p w14:paraId="757C1DAA" w14:textId="77777777" w:rsidR="00A345F4" w:rsidRDefault="005E2D4E">
      <w:pPr>
        <w:pStyle w:val="P68B1DB1-Normal4"/>
        <w:numPr>
          <w:ilvl w:val="0"/>
          <w:numId w:val="15"/>
        </w:numPr>
        <w:spacing w:before="120" w:after="120" w:line="240" w:lineRule="auto"/>
        <w:ind w:left="1080"/>
        <w:jc w:val="both"/>
        <w:rPr>
          <w:noProof/>
        </w:rPr>
      </w:pPr>
      <w:r>
        <w:rPr>
          <w:noProof/>
        </w:rPr>
        <w:t xml:space="preserve">Axe 1 - un régime national d'aide à la rénovation énergétique et à la rénovation intégrée (consolidation sismique et efficacité énergétique) des bâtiments résidentiels multifamiliaux. </w:t>
      </w:r>
    </w:p>
    <w:p w14:paraId="358AEDAE" w14:textId="77777777" w:rsidR="00A345F4" w:rsidRDefault="005E2D4E">
      <w:pPr>
        <w:pStyle w:val="P68B1DB1-Normal4"/>
        <w:numPr>
          <w:ilvl w:val="0"/>
          <w:numId w:val="15"/>
        </w:numPr>
        <w:spacing w:before="120" w:after="120" w:line="240" w:lineRule="auto"/>
        <w:ind w:left="1080"/>
        <w:jc w:val="both"/>
        <w:rPr>
          <w:noProof/>
          <w:u w:val="single"/>
        </w:rPr>
      </w:pPr>
      <w:r>
        <w:rPr>
          <w:noProof/>
        </w:rPr>
        <w:t xml:space="preserve">Axe 2 - un régime national d'aide à la rénovation énergétique et à la rénovation intégrée (consolidation sismique et efficacité énergétique) des bâtiments publics. </w:t>
      </w:r>
    </w:p>
    <w:p w14:paraId="2DCD0DD8" w14:textId="77777777" w:rsidR="00A345F4" w:rsidRDefault="005E2D4E">
      <w:pPr>
        <w:pStyle w:val="P68B1DB1-Normal4"/>
        <w:spacing w:before="120" w:after="120" w:line="240" w:lineRule="auto"/>
        <w:jc w:val="both"/>
        <w:rPr>
          <w:noProof/>
        </w:rPr>
      </w:pPr>
      <w:r>
        <w:rPr>
          <w:noProof/>
        </w:rPr>
        <w:t>Cette mesure complète l'investissement 1. Mise en place d’un fonds pour la vague de rénovations afin de financer des travaux visant à accroître l’efficacité énergétique du parc immobilier existant.</w:t>
      </w:r>
    </w:p>
    <w:p w14:paraId="2E98E4F2" w14:textId="77777777" w:rsidR="00A345F4" w:rsidRDefault="005E2D4E">
      <w:pPr>
        <w:pStyle w:val="P68B1DB1-Normal12"/>
        <w:suppressAutoHyphens/>
        <w:autoSpaceDN w:val="0"/>
        <w:spacing w:before="240" w:after="240" w:line="240" w:lineRule="auto"/>
        <w:jc w:val="both"/>
        <w:textAlignment w:val="baseline"/>
        <w:rPr>
          <w:rFonts w:eastAsiaTheme="majorEastAsia"/>
          <w:noProof/>
        </w:rPr>
      </w:pPr>
      <w:r>
        <w:rPr>
          <w:noProof/>
        </w:rPr>
        <w:t>Investissement 4. Économie circulaire et efficacité énergétique accrue des bâtiments historiques</w:t>
      </w:r>
    </w:p>
    <w:p w14:paraId="3A93EAB6" w14:textId="4B93107A" w:rsidR="00A345F4" w:rsidRDefault="005E2D4E">
      <w:pPr>
        <w:pStyle w:val="P68B1DB1-Normal4"/>
        <w:spacing w:before="120" w:after="120" w:line="240" w:lineRule="auto"/>
        <w:jc w:val="both"/>
        <w:rPr>
          <w:noProof/>
        </w:rPr>
      </w:pPr>
      <w:r>
        <w:rPr>
          <w:noProof/>
        </w:rPr>
        <w:t xml:space="preserve">L'objectif de cet investissement est de soutenir la rénovation énergétique des bâtiments historiques. </w:t>
      </w:r>
    </w:p>
    <w:p w14:paraId="57A016F1" w14:textId="77777777" w:rsidR="00A345F4" w:rsidRDefault="005E2D4E">
      <w:pPr>
        <w:pStyle w:val="P68B1DB1-Normal4"/>
        <w:spacing w:before="120" w:after="120" w:line="240" w:lineRule="auto"/>
        <w:jc w:val="both"/>
        <w:rPr>
          <w:noProof/>
        </w:rPr>
      </w:pPr>
      <w:r>
        <w:rPr>
          <w:noProof/>
        </w:rPr>
        <w:t>L'investissement consiste en: i) équiper un laboratoire pour tester les matériaux et les solutions technologiques pour les rénovations d'efficacité énergétique des bâtiments historiques; ii) équiper trois centres: un centre de collecte et de réutilisation des matériaux de construction issus des travaux de démolition des bâtiments historiques, un centre d’entretien des bâtiments historiques et un centre de formation; iii) en dispensant des formations sur la rénovation des bâtiments historiques en matière d'efficacité énergétique.</w:t>
      </w:r>
    </w:p>
    <w:p w14:paraId="339CF8B0" w14:textId="77777777" w:rsidR="00A345F4" w:rsidRDefault="00A345F4">
      <w:pPr>
        <w:spacing w:before="120" w:after="120" w:line="240" w:lineRule="auto"/>
        <w:ind w:left="850"/>
        <w:jc w:val="both"/>
        <w:rPr>
          <w:rFonts w:ascii="Times New Roman" w:hAnsi="Times New Roman" w:cs="Times New Roman"/>
          <w:noProof/>
        </w:rPr>
      </w:pPr>
    </w:p>
    <w:p w14:paraId="26E15D5A" w14:textId="77777777" w:rsidR="00A345F4" w:rsidRDefault="00A345F4">
      <w:pPr>
        <w:spacing w:before="120" w:after="120" w:line="240" w:lineRule="auto"/>
        <w:ind w:left="850"/>
        <w:jc w:val="center"/>
        <w:rPr>
          <w:rFonts w:ascii="Times New Roman" w:hAnsi="Times New Roman" w:cs="Times New Roman"/>
          <w:noProof/>
        </w:rPr>
      </w:pPr>
    </w:p>
    <w:p w14:paraId="27AFE0D7" w14:textId="77777777" w:rsidR="00A345F4" w:rsidRDefault="00A345F4">
      <w:pPr>
        <w:rPr>
          <w:rFonts w:ascii="Times New Roman" w:hAnsi="Times New Roman" w:cs="Times New Roman"/>
          <w:noProof/>
        </w:rPr>
      </w:pPr>
    </w:p>
    <w:p w14:paraId="27FD4950" w14:textId="77777777" w:rsidR="00A345F4" w:rsidRDefault="00A345F4">
      <w:pPr>
        <w:rPr>
          <w:rFonts w:ascii="Times New Roman" w:hAnsi="Times New Roman" w:cs="Times New Roman"/>
          <w:noProof/>
        </w:rPr>
        <w:sectPr w:rsidR="00A345F4" w:rsidSect="000A4598">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p>
    <w:p w14:paraId="3AF23F94" w14:textId="77777777" w:rsidR="00A345F4" w:rsidRDefault="005E2D4E">
      <w:pPr>
        <w:pStyle w:val="P68B1DB1-Normal4"/>
        <w:keepNext/>
        <w:spacing w:before="120" w:after="120" w:line="240" w:lineRule="auto"/>
        <w:jc w:val="both"/>
        <w:outlineLvl w:val="1"/>
        <w:rPr>
          <w:b/>
          <w:noProof/>
        </w:rPr>
      </w:pPr>
      <w:r>
        <w:rPr>
          <w:b/>
          <w:noProof/>
        </w:rPr>
        <w:t xml:space="preserve">E.2. </w:t>
      </w:r>
      <w:r>
        <w:rPr>
          <w:noProof/>
        </w:rPr>
        <w:t xml:space="preserve"> </w:t>
      </w:r>
      <w:r>
        <w:rPr>
          <w:b/>
          <w:noProof/>
        </w:rPr>
        <w:t>Étapes, cibles, indicateurs et calendrier pour le suivi et la mise en œuvre du soutien financier non remboursable</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1851"/>
        <w:gridCol w:w="1266"/>
        <w:gridCol w:w="1710"/>
        <w:gridCol w:w="1418"/>
        <w:gridCol w:w="1134"/>
        <w:gridCol w:w="1134"/>
        <w:gridCol w:w="1516"/>
        <w:gridCol w:w="1177"/>
        <w:gridCol w:w="851"/>
        <w:gridCol w:w="2835"/>
      </w:tblGrid>
      <w:tr w:rsidR="00A345F4" w14:paraId="34BF10CA" w14:textId="77777777" w:rsidTr="00D420B8">
        <w:trPr>
          <w:trHeight w:val="303"/>
          <w:tblHeader/>
          <w:jc w:val="center"/>
        </w:trPr>
        <w:tc>
          <w:tcPr>
            <w:tcW w:w="838" w:type="dxa"/>
            <w:vMerge w:val="restart"/>
            <w:shd w:val="clear" w:color="auto" w:fill="BDD7EE"/>
            <w:vAlign w:val="center"/>
            <w:hideMark/>
          </w:tcPr>
          <w:p w14:paraId="7A7DEF79" w14:textId="77777777" w:rsidR="00A345F4" w:rsidRDefault="005E2D4E">
            <w:pPr>
              <w:pStyle w:val="P68B1DB1-Normal13"/>
              <w:spacing w:after="0" w:line="240" w:lineRule="auto"/>
              <w:jc w:val="center"/>
              <w:rPr>
                <w:rFonts w:eastAsia="Times New Roman"/>
                <w:noProof/>
              </w:rPr>
            </w:pPr>
            <w:r>
              <w:rPr>
                <w:noProof/>
              </w:rPr>
              <w:t>Seq Num.</w:t>
            </w:r>
          </w:p>
        </w:tc>
        <w:tc>
          <w:tcPr>
            <w:tcW w:w="1851" w:type="dxa"/>
            <w:vMerge w:val="restart"/>
            <w:shd w:val="clear" w:color="auto" w:fill="BDD7EE"/>
            <w:vAlign w:val="center"/>
            <w:hideMark/>
          </w:tcPr>
          <w:p w14:paraId="4C58E593"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266" w:type="dxa"/>
            <w:vMerge w:val="restart"/>
            <w:shd w:val="clear" w:color="auto" w:fill="BDD7EE"/>
            <w:vAlign w:val="center"/>
            <w:hideMark/>
          </w:tcPr>
          <w:p w14:paraId="096C128B" w14:textId="77777777" w:rsidR="00A345F4" w:rsidRDefault="005E2D4E">
            <w:pPr>
              <w:pStyle w:val="P68B1DB1-Normal13"/>
              <w:spacing w:after="0" w:line="240" w:lineRule="auto"/>
              <w:jc w:val="center"/>
              <w:rPr>
                <w:rFonts w:eastAsia="Times New Roman"/>
                <w:noProof/>
              </w:rPr>
            </w:pPr>
            <w:r>
              <w:rPr>
                <w:noProof/>
              </w:rPr>
              <w:t>Étape/cible</w:t>
            </w:r>
          </w:p>
        </w:tc>
        <w:tc>
          <w:tcPr>
            <w:tcW w:w="1710" w:type="dxa"/>
            <w:vMerge w:val="restart"/>
            <w:shd w:val="clear" w:color="auto" w:fill="BDD7EE"/>
            <w:vAlign w:val="center"/>
            <w:hideMark/>
          </w:tcPr>
          <w:p w14:paraId="121025AE" w14:textId="77777777" w:rsidR="00A345F4" w:rsidRDefault="005E2D4E">
            <w:pPr>
              <w:pStyle w:val="P68B1DB1-Normal13"/>
              <w:spacing w:after="0" w:line="240" w:lineRule="auto"/>
              <w:jc w:val="center"/>
              <w:rPr>
                <w:rFonts w:eastAsia="Times New Roman"/>
                <w:noProof/>
              </w:rPr>
            </w:pPr>
            <w:r>
              <w:rPr>
                <w:noProof/>
              </w:rPr>
              <w:t>Nom</w:t>
            </w:r>
          </w:p>
        </w:tc>
        <w:tc>
          <w:tcPr>
            <w:tcW w:w="1418" w:type="dxa"/>
            <w:vMerge w:val="restart"/>
            <w:shd w:val="clear" w:color="auto" w:fill="BDD7EE"/>
            <w:vAlign w:val="center"/>
            <w:hideMark/>
          </w:tcPr>
          <w:p w14:paraId="10824D1F"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784" w:type="dxa"/>
            <w:gridSpan w:val="3"/>
            <w:shd w:val="clear" w:color="auto" w:fill="BDD7EE"/>
            <w:vAlign w:val="center"/>
            <w:hideMark/>
          </w:tcPr>
          <w:p w14:paraId="71D5479F"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2028" w:type="dxa"/>
            <w:gridSpan w:val="2"/>
            <w:shd w:val="clear" w:color="auto" w:fill="BDD7EE"/>
            <w:vAlign w:val="center"/>
            <w:hideMark/>
          </w:tcPr>
          <w:p w14:paraId="1E2982CB" w14:textId="77777777" w:rsidR="00A345F4" w:rsidRDefault="005E2D4E">
            <w:pPr>
              <w:pStyle w:val="P68B1DB1-Normal13"/>
              <w:spacing w:after="0" w:line="240" w:lineRule="auto"/>
              <w:jc w:val="center"/>
              <w:rPr>
                <w:rFonts w:eastAsia="Times New Roman"/>
                <w:noProof/>
              </w:rPr>
            </w:pPr>
            <w:r>
              <w:rPr>
                <w:noProof/>
              </w:rPr>
              <w:t>Calendrier indicatif d'achèvement</w:t>
            </w:r>
          </w:p>
        </w:tc>
        <w:tc>
          <w:tcPr>
            <w:tcW w:w="2835" w:type="dxa"/>
            <w:vMerge w:val="restart"/>
            <w:shd w:val="clear" w:color="auto" w:fill="BDD7EE"/>
            <w:vAlign w:val="center"/>
            <w:hideMark/>
          </w:tcPr>
          <w:p w14:paraId="398B6C1B"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6DD23A43" w14:textId="77777777" w:rsidTr="00D420B8">
        <w:trPr>
          <w:trHeight w:val="457"/>
          <w:tblHeader/>
          <w:jc w:val="center"/>
        </w:trPr>
        <w:tc>
          <w:tcPr>
            <w:tcW w:w="838" w:type="dxa"/>
            <w:vMerge/>
            <w:hideMark/>
          </w:tcPr>
          <w:p w14:paraId="20F3EC14"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851" w:type="dxa"/>
            <w:vMerge/>
            <w:hideMark/>
          </w:tcPr>
          <w:p w14:paraId="48B474CF"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66" w:type="dxa"/>
            <w:vMerge/>
            <w:hideMark/>
          </w:tcPr>
          <w:p w14:paraId="4DF21638"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710" w:type="dxa"/>
            <w:vMerge/>
            <w:hideMark/>
          </w:tcPr>
          <w:p w14:paraId="5B4B4732"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418" w:type="dxa"/>
            <w:vMerge/>
            <w:hideMark/>
          </w:tcPr>
          <w:p w14:paraId="71F735BC"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134" w:type="dxa"/>
            <w:shd w:val="clear" w:color="auto" w:fill="BDD7EE"/>
            <w:vAlign w:val="center"/>
            <w:hideMark/>
          </w:tcPr>
          <w:p w14:paraId="33D54EB4" w14:textId="77777777" w:rsidR="00A345F4" w:rsidRDefault="005E2D4E">
            <w:pPr>
              <w:pStyle w:val="P68B1DB1-Normal13"/>
              <w:spacing w:after="0" w:line="240" w:lineRule="auto"/>
              <w:jc w:val="center"/>
              <w:rPr>
                <w:rFonts w:eastAsia="Times New Roman"/>
                <w:noProof/>
              </w:rPr>
            </w:pPr>
            <w:r>
              <w:rPr>
                <w:noProof/>
              </w:rPr>
              <w:t>Unité de mesure</w:t>
            </w:r>
          </w:p>
        </w:tc>
        <w:tc>
          <w:tcPr>
            <w:tcW w:w="1134" w:type="dxa"/>
            <w:shd w:val="clear" w:color="auto" w:fill="BDD7EE"/>
            <w:vAlign w:val="center"/>
            <w:hideMark/>
          </w:tcPr>
          <w:p w14:paraId="19392E54" w14:textId="77777777" w:rsidR="00A345F4" w:rsidRDefault="005E2D4E">
            <w:pPr>
              <w:pStyle w:val="P68B1DB1-Normal13"/>
              <w:spacing w:after="0" w:line="240" w:lineRule="auto"/>
              <w:jc w:val="center"/>
              <w:rPr>
                <w:rFonts w:eastAsia="Times New Roman"/>
                <w:noProof/>
              </w:rPr>
            </w:pPr>
            <w:r>
              <w:rPr>
                <w:noProof/>
              </w:rPr>
              <w:t>Données de référence</w:t>
            </w:r>
          </w:p>
        </w:tc>
        <w:tc>
          <w:tcPr>
            <w:tcW w:w="1516" w:type="dxa"/>
            <w:shd w:val="clear" w:color="auto" w:fill="BDD7EE"/>
            <w:vAlign w:val="center"/>
            <w:hideMark/>
          </w:tcPr>
          <w:p w14:paraId="41B30550" w14:textId="77777777" w:rsidR="00A345F4" w:rsidRDefault="005E2D4E">
            <w:pPr>
              <w:pStyle w:val="P68B1DB1-Normal13"/>
              <w:spacing w:after="0" w:line="240" w:lineRule="auto"/>
              <w:jc w:val="center"/>
              <w:rPr>
                <w:rFonts w:eastAsia="Times New Roman"/>
                <w:noProof/>
              </w:rPr>
            </w:pPr>
            <w:r>
              <w:rPr>
                <w:noProof/>
              </w:rPr>
              <w:t>Objectif</w:t>
            </w:r>
          </w:p>
        </w:tc>
        <w:tc>
          <w:tcPr>
            <w:tcW w:w="1177" w:type="dxa"/>
            <w:shd w:val="clear" w:color="auto" w:fill="BDD7EE"/>
            <w:vAlign w:val="center"/>
            <w:hideMark/>
          </w:tcPr>
          <w:p w14:paraId="0BDF9BC4" w14:textId="77777777" w:rsidR="00A345F4" w:rsidRDefault="005E2D4E">
            <w:pPr>
              <w:pStyle w:val="P68B1DB1-Normal13"/>
              <w:spacing w:after="0" w:line="240" w:lineRule="auto"/>
              <w:jc w:val="center"/>
              <w:rPr>
                <w:rFonts w:eastAsia="Times New Roman"/>
                <w:noProof/>
              </w:rPr>
            </w:pPr>
            <w:r>
              <w:rPr>
                <w:noProof/>
              </w:rPr>
              <w:t>Trimestre</w:t>
            </w:r>
          </w:p>
        </w:tc>
        <w:tc>
          <w:tcPr>
            <w:tcW w:w="851" w:type="dxa"/>
            <w:shd w:val="clear" w:color="auto" w:fill="BDD7EE"/>
            <w:vAlign w:val="center"/>
            <w:hideMark/>
          </w:tcPr>
          <w:p w14:paraId="1C676F8B" w14:textId="77777777" w:rsidR="00A345F4" w:rsidRDefault="005E2D4E">
            <w:pPr>
              <w:pStyle w:val="P68B1DB1-Normal13"/>
              <w:spacing w:after="0" w:line="240" w:lineRule="auto"/>
              <w:jc w:val="center"/>
              <w:rPr>
                <w:rFonts w:eastAsia="Times New Roman"/>
                <w:noProof/>
              </w:rPr>
            </w:pPr>
            <w:r>
              <w:rPr>
                <w:noProof/>
              </w:rPr>
              <w:t>Année</w:t>
            </w:r>
          </w:p>
        </w:tc>
        <w:tc>
          <w:tcPr>
            <w:tcW w:w="2835" w:type="dxa"/>
            <w:vMerge/>
            <w:hideMark/>
          </w:tcPr>
          <w:p w14:paraId="472EE9F5"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4E6BEE57" w14:textId="77777777" w:rsidTr="00D420B8">
        <w:trPr>
          <w:trHeight w:val="1583"/>
          <w:jc w:val="center"/>
        </w:trPr>
        <w:tc>
          <w:tcPr>
            <w:tcW w:w="838" w:type="dxa"/>
            <w:shd w:val="clear" w:color="auto" w:fill="C6EFCE"/>
            <w:noWrap/>
          </w:tcPr>
          <w:p w14:paraId="35120983" w14:textId="77777777" w:rsidR="00A345F4" w:rsidRDefault="005E2D4E">
            <w:pPr>
              <w:pStyle w:val="P68B1DB1-Normal14"/>
              <w:spacing w:after="0" w:line="240" w:lineRule="auto"/>
              <w:jc w:val="center"/>
              <w:rPr>
                <w:rFonts w:eastAsia="Times New Roman"/>
                <w:noProof/>
              </w:rPr>
            </w:pPr>
            <w:r>
              <w:rPr>
                <w:noProof/>
              </w:rPr>
              <w:t>103 bis</w:t>
            </w:r>
          </w:p>
        </w:tc>
        <w:tc>
          <w:tcPr>
            <w:tcW w:w="1851" w:type="dxa"/>
            <w:shd w:val="clear" w:color="auto" w:fill="C6EFCE"/>
            <w:noWrap/>
          </w:tcPr>
          <w:p w14:paraId="1003B318" w14:textId="77777777" w:rsidR="00A345F4" w:rsidRDefault="005E2D4E">
            <w:pPr>
              <w:pStyle w:val="P68B1DB1-Normal14"/>
              <w:spacing w:after="0" w:line="240" w:lineRule="auto"/>
              <w:jc w:val="both"/>
              <w:rPr>
                <w:rFonts w:eastAsia="Times New Roman"/>
                <w:noProof/>
              </w:rPr>
            </w:pPr>
            <w:r>
              <w:rPr>
                <w:noProof/>
              </w:rPr>
              <w:t>Investissement 1.a. Création d’un fonds pour la vague de rénovations afin de financer des travaux visant à accroître l’efficacité énergétique du parc immobilier existant</w:t>
            </w:r>
          </w:p>
        </w:tc>
        <w:tc>
          <w:tcPr>
            <w:tcW w:w="1266" w:type="dxa"/>
            <w:shd w:val="clear" w:color="auto" w:fill="C6EFCE"/>
            <w:noWrap/>
          </w:tcPr>
          <w:p w14:paraId="78FA64A6" w14:textId="77777777" w:rsidR="00A345F4" w:rsidRDefault="005E2D4E">
            <w:pPr>
              <w:pStyle w:val="P68B1DB1-Normal14"/>
              <w:spacing w:after="0" w:line="240" w:lineRule="auto"/>
              <w:jc w:val="center"/>
              <w:rPr>
                <w:rFonts w:eastAsia="Times New Roman"/>
                <w:noProof/>
              </w:rPr>
            </w:pPr>
            <w:r>
              <w:rPr>
                <w:noProof/>
              </w:rPr>
              <w:t>Objectif</w:t>
            </w:r>
          </w:p>
        </w:tc>
        <w:tc>
          <w:tcPr>
            <w:tcW w:w="1710" w:type="dxa"/>
            <w:shd w:val="clear" w:color="auto" w:fill="C6EFCE"/>
            <w:noWrap/>
          </w:tcPr>
          <w:p w14:paraId="38F438B4" w14:textId="77777777" w:rsidR="00A345F4" w:rsidRDefault="005E2D4E">
            <w:pPr>
              <w:pStyle w:val="P68B1DB1-Normal14"/>
              <w:spacing w:after="0" w:line="240" w:lineRule="auto"/>
              <w:jc w:val="both"/>
              <w:rPr>
                <w:rFonts w:eastAsia="Times New Roman"/>
                <w:noProof/>
              </w:rPr>
            </w:pPr>
            <w:r>
              <w:rPr>
                <w:noProof/>
              </w:rPr>
              <w:t xml:space="preserve">Rénovation énergétique des immeubles résidentiels multifamiliaux </w:t>
            </w:r>
          </w:p>
        </w:tc>
        <w:tc>
          <w:tcPr>
            <w:tcW w:w="1418" w:type="dxa"/>
            <w:shd w:val="clear" w:color="auto" w:fill="C6EFCE"/>
            <w:noWrap/>
          </w:tcPr>
          <w:p w14:paraId="0C3029BC"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shd w:val="clear" w:color="auto" w:fill="C6EFCE"/>
            <w:noWrap/>
          </w:tcPr>
          <w:p w14:paraId="2EBDCAB1" w14:textId="77777777" w:rsidR="00A345F4" w:rsidRDefault="005E2D4E">
            <w:pPr>
              <w:pStyle w:val="P68B1DB1-Normal14"/>
              <w:spacing w:after="0" w:line="240" w:lineRule="auto"/>
              <w:jc w:val="both"/>
              <w:rPr>
                <w:rFonts w:eastAsia="Times New Roman"/>
                <w:noProof/>
              </w:rPr>
            </w:pPr>
            <w:r>
              <w:rPr>
                <w:noProof/>
              </w:rPr>
              <w:t>Numéro (m</w:t>
            </w:r>
            <w:r>
              <w:rPr>
                <w:noProof/>
                <w:vertAlign w:val="superscript"/>
              </w:rPr>
              <w:t xml:space="preserve"> 2</w:t>
            </w:r>
            <w:r>
              <w:rPr>
                <w:noProof/>
              </w:rPr>
              <w:t>)</w:t>
            </w:r>
          </w:p>
        </w:tc>
        <w:tc>
          <w:tcPr>
            <w:tcW w:w="1134" w:type="dxa"/>
            <w:shd w:val="clear" w:color="auto" w:fill="C6EFCE"/>
            <w:noWrap/>
          </w:tcPr>
          <w:p w14:paraId="4215C763" w14:textId="77777777" w:rsidR="00A345F4" w:rsidRDefault="005E2D4E">
            <w:pPr>
              <w:pStyle w:val="P68B1DB1-Normal14"/>
              <w:spacing w:after="0" w:line="240" w:lineRule="auto"/>
              <w:jc w:val="both"/>
              <w:rPr>
                <w:rFonts w:eastAsia="Times New Roman"/>
                <w:noProof/>
              </w:rPr>
            </w:pPr>
            <w:r>
              <w:rPr>
                <w:noProof/>
              </w:rPr>
              <w:t xml:space="preserve"> 0</w:t>
            </w:r>
          </w:p>
        </w:tc>
        <w:tc>
          <w:tcPr>
            <w:tcW w:w="1516" w:type="dxa"/>
            <w:shd w:val="clear" w:color="auto" w:fill="C6EFCE"/>
            <w:noWrap/>
          </w:tcPr>
          <w:p w14:paraId="588EE7B2" w14:textId="77777777" w:rsidR="00A345F4" w:rsidRDefault="005E2D4E">
            <w:pPr>
              <w:pStyle w:val="P68B1DB1-Normal14"/>
              <w:spacing w:after="0" w:line="240" w:lineRule="auto"/>
              <w:jc w:val="both"/>
              <w:rPr>
                <w:noProof/>
              </w:rPr>
            </w:pPr>
            <w:r>
              <w:rPr>
                <w:noProof/>
              </w:rPr>
              <w:t>2 209 612</w:t>
            </w:r>
          </w:p>
        </w:tc>
        <w:tc>
          <w:tcPr>
            <w:tcW w:w="1177" w:type="dxa"/>
            <w:shd w:val="clear" w:color="auto" w:fill="C6EFCE"/>
            <w:noWrap/>
          </w:tcPr>
          <w:p w14:paraId="7D5B837C" w14:textId="77777777" w:rsidR="00A345F4" w:rsidRDefault="005E2D4E">
            <w:pPr>
              <w:pStyle w:val="P68B1DB1-Normal14"/>
              <w:spacing w:after="0" w:line="240" w:lineRule="auto"/>
              <w:jc w:val="both"/>
              <w:rPr>
                <w:rFonts w:eastAsia="Times New Roman"/>
                <w:noProof/>
              </w:rPr>
            </w:pPr>
            <w:r>
              <w:rPr>
                <w:noProof/>
              </w:rPr>
              <w:t>T2</w:t>
            </w:r>
          </w:p>
        </w:tc>
        <w:tc>
          <w:tcPr>
            <w:tcW w:w="851" w:type="dxa"/>
            <w:shd w:val="clear" w:color="auto" w:fill="C6EFCE"/>
            <w:noWrap/>
          </w:tcPr>
          <w:p w14:paraId="3AD0147F" w14:textId="77777777" w:rsidR="00A345F4" w:rsidRDefault="005E2D4E">
            <w:pPr>
              <w:pStyle w:val="P68B1DB1-Normal14"/>
              <w:spacing w:after="0" w:line="240" w:lineRule="auto"/>
              <w:jc w:val="both"/>
              <w:rPr>
                <w:rFonts w:eastAsia="Times New Roman"/>
                <w:noProof/>
              </w:rPr>
            </w:pPr>
            <w:r>
              <w:rPr>
                <w:noProof/>
              </w:rPr>
              <w:t>2026</w:t>
            </w:r>
          </w:p>
        </w:tc>
        <w:tc>
          <w:tcPr>
            <w:tcW w:w="2835" w:type="dxa"/>
            <w:shd w:val="clear" w:color="auto" w:fill="C6EFCE"/>
            <w:noWrap/>
          </w:tcPr>
          <w:p w14:paraId="5BAF2E11" w14:textId="77777777" w:rsidR="00A345F4" w:rsidRDefault="005E2D4E">
            <w:pPr>
              <w:pStyle w:val="P68B1DB1-Normal28"/>
              <w:spacing w:after="0" w:line="240" w:lineRule="auto"/>
              <w:jc w:val="both"/>
              <w:rPr>
                <w:noProof/>
              </w:rPr>
            </w:pPr>
            <w:r>
              <w:rPr>
                <w:noProof/>
              </w:rPr>
              <w:t>La rénovation énergétique des bâtiments résidentiels multifamiliaux couvre:</w:t>
            </w:r>
          </w:p>
          <w:p w14:paraId="6A872B86" w14:textId="36262444" w:rsidR="00A345F4" w:rsidRDefault="005E2D4E">
            <w:pPr>
              <w:pStyle w:val="P68B1DB1-ListParagraph29"/>
              <w:numPr>
                <w:ilvl w:val="0"/>
                <w:numId w:val="14"/>
              </w:numPr>
              <w:spacing w:after="0" w:line="240" w:lineRule="auto"/>
              <w:jc w:val="both"/>
              <w:rPr>
                <w:rFonts w:eastAsia="Times New Roman"/>
                <w:noProof/>
              </w:rPr>
            </w:pPr>
            <w:r>
              <w:rPr>
                <w:noProof/>
              </w:rPr>
              <w:t>60 000 m2 de projets intégrés avec un minimum de 30 % d'économies sur la demande d'énergie primaire,</w:t>
            </w:r>
          </w:p>
          <w:p w14:paraId="5E9D9C5A" w14:textId="652F0640" w:rsidR="00A345F4" w:rsidRDefault="005E2D4E">
            <w:pPr>
              <w:pStyle w:val="P68B1DB1-Normal14"/>
              <w:numPr>
                <w:ilvl w:val="0"/>
                <w:numId w:val="14"/>
              </w:numPr>
              <w:spacing w:after="0" w:line="240" w:lineRule="auto"/>
              <w:jc w:val="both"/>
              <w:rPr>
                <w:rFonts w:eastAsia="Times New Roman"/>
                <w:noProof/>
              </w:rPr>
            </w:pPr>
            <w:r>
              <w:rPr>
                <w:noProof/>
              </w:rPr>
              <w:t xml:space="preserve">1 999 612 m2 de rénovation modérée (c’est-à-dire une rénovation avec un minimum de 30 % d’économies de la demande d’énergie primaire), </w:t>
            </w:r>
          </w:p>
          <w:p w14:paraId="5F841F61" w14:textId="6EB81496" w:rsidR="00A345F4" w:rsidRDefault="005E2D4E">
            <w:pPr>
              <w:pStyle w:val="P68B1DB1-ListParagraph29"/>
              <w:numPr>
                <w:ilvl w:val="0"/>
                <w:numId w:val="14"/>
              </w:numPr>
              <w:spacing w:after="0" w:line="240" w:lineRule="auto"/>
              <w:jc w:val="both"/>
              <w:rPr>
                <w:noProof/>
              </w:rPr>
            </w:pPr>
            <w:r>
              <w:rPr>
                <w:noProof/>
              </w:rPr>
              <w:t>150 000 m2 de rénovation en profondeur (c’est-à-dire une rénovation avec un minimum de 60 % d’économies de la demande d’énergie primaire).</w:t>
            </w:r>
          </w:p>
          <w:p w14:paraId="6AB4C1A6" w14:textId="6F39EF1B" w:rsidR="00A345F4" w:rsidRDefault="005E2D4E">
            <w:pPr>
              <w:pStyle w:val="P68B1DB1-Normal14"/>
              <w:spacing w:after="0" w:line="240" w:lineRule="auto"/>
              <w:jc w:val="both"/>
              <w:rPr>
                <w:rFonts w:eastAsia="Times New Roman"/>
                <w:noProof/>
              </w:rPr>
            </w:pPr>
            <w:r>
              <w:rPr>
                <w:noProof/>
              </w:rPr>
              <w:t>Les rénovations énergétiques entraînent une réduction minimale de la consommation d’énergie d’au moins 50 % par rapport à la consommation annuelle d’énergie pour le chauffage avant la rénovation pour chaque bâtiment (à l’exception des bâtiments qui ont le statut de bien culturel).</w:t>
            </w:r>
          </w:p>
          <w:p w14:paraId="3375EF59" w14:textId="77777777" w:rsidR="00A345F4" w:rsidRDefault="005E2D4E">
            <w:pPr>
              <w:pStyle w:val="P68B1DB1-Normal14"/>
              <w:spacing w:after="0" w:line="240" w:lineRule="auto"/>
              <w:jc w:val="both"/>
              <w:rPr>
                <w:noProof/>
              </w:rPr>
            </w:pPr>
            <w:r>
              <w:rPr>
                <w:noProof/>
              </w:rPr>
              <w:t>Le certificat de réception d’achèvement des travaux, le rapport d’audit énergétique ex ante et le certificat de performance énergétique ex post sont fournis à titre de preuve de la réalisation de l’objectif.</w:t>
            </w:r>
          </w:p>
        </w:tc>
      </w:tr>
      <w:tr w:rsidR="00A345F4" w14:paraId="4AECEF18" w14:textId="77777777" w:rsidTr="00D420B8">
        <w:trPr>
          <w:trHeight w:val="309"/>
          <w:jc w:val="center"/>
        </w:trPr>
        <w:tc>
          <w:tcPr>
            <w:tcW w:w="838" w:type="dxa"/>
            <w:shd w:val="clear" w:color="auto" w:fill="C6EFCE"/>
            <w:noWrap/>
          </w:tcPr>
          <w:p w14:paraId="1DA3649C" w14:textId="77777777" w:rsidR="00A345F4" w:rsidRDefault="005E2D4E">
            <w:pPr>
              <w:pStyle w:val="P68B1DB1-Normal14"/>
              <w:spacing w:after="0" w:line="240" w:lineRule="auto"/>
              <w:jc w:val="center"/>
              <w:rPr>
                <w:rFonts w:eastAsia="Times New Roman"/>
                <w:noProof/>
              </w:rPr>
            </w:pPr>
            <w:r>
              <w:rPr>
                <w:noProof/>
              </w:rPr>
              <w:t>106 bis</w:t>
            </w:r>
          </w:p>
        </w:tc>
        <w:tc>
          <w:tcPr>
            <w:tcW w:w="1851" w:type="dxa"/>
            <w:shd w:val="clear" w:color="auto" w:fill="C6EFCE"/>
            <w:noWrap/>
          </w:tcPr>
          <w:p w14:paraId="205788D2" w14:textId="77777777" w:rsidR="00A345F4" w:rsidRDefault="005E2D4E">
            <w:pPr>
              <w:pStyle w:val="P68B1DB1-Normal14"/>
              <w:spacing w:after="0" w:line="240" w:lineRule="auto"/>
              <w:jc w:val="both"/>
              <w:rPr>
                <w:rFonts w:eastAsia="Times New Roman"/>
                <w:noProof/>
              </w:rPr>
            </w:pPr>
            <w:r>
              <w:rPr>
                <w:noProof/>
              </w:rPr>
              <w:t>Investissement 1.a.</w:t>
            </w:r>
          </w:p>
          <w:p w14:paraId="59289317" w14:textId="0742FF2C" w:rsidR="00A345F4" w:rsidRDefault="005E2D4E">
            <w:pPr>
              <w:pStyle w:val="P68B1DB1-Normal14"/>
              <w:spacing w:after="0" w:line="240" w:lineRule="auto"/>
              <w:jc w:val="both"/>
              <w:rPr>
                <w:rFonts w:eastAsia="Times New Roman"/>
                <w:noProof/>
              </w:rPr>
            </w:pPr>
            <w:r>
              <w:rPr>
                <w:noProof/>
              </w:rPr>
              <w:t xml:space="preserve">Mise en place d’un fonds pour la vague de rénovations afin de financer des travaux visant à accroître l’efficacité énergétique du parc immobilier existant </w:t>
            </w:r>
          </w:p>
        </w:tc>
        <w:tc>
          <w:tcPr>
            <w:tcW w:w="1266" w:type="dxa"/>
            <w:shd w:val="clear" w:color="auto" w:fill="C6EFCE"/>
            <w:noWrap/>
          </w:tcPr>
          <w:p w14:paraId="049FB90B" w14:textId="77777777" w:rsidR="00A345F4" w:rsidRDefault="005E2D4E">
            <w:pPr>
              <w:pStyle w:val="P68B1DB1-Normal14"/>
              <w:spacing w:after="0" w:line="240" w:lineRule="auto"/>
              <w:jc w:val="center"/>
              <w:rPr>
                <w:rFonts w:eastAsia="Times New Roman"/>
                <w:noProof/>
              </w:rPr>
            </w:pPr>
            <w:r>
              <w:rPr>
                <w:noProof/>
              </w:rPr>
              <w:t>Objectif</w:t>
            </w:r>
          </w:p>
        </w:tc>
        <w:tc>
          <w:tcPr>
            <w:tcW w:w="1710" w:type="dxa"/>
            <w:shd w:val="clear" w:color="auto" w:fill="C6EFCE"/>
            <w:noWrap/>
          </w:tcPr>
          <w:p w14:paraId="7E8A8CBF" w14:textId="77777777" w:rsidR="00A345F4" w:rsidRDefault="005E2D4E">
            <w:pPr>
              <w:pStyle w:val="P68B1DB1-Normal14"/>
              <w:spacing w:after="0" w:line="240" w:lineRule="auto"/>
              <w:jc w:val="both"/>
              <w:rPr>
                <w:rFonts w:eastAsia="Times New Roman"/>
                <w:noProof/>
              </w:rPr>
            </w:pPr>
            <w:r>
              <w:rPr>
                <w:noProof/>
              </w:rPr>
              <w:t xml:space="preserve">Rénovation énergétique des bâtiments publics </w:t>
            </w:r>
          </w:p>
        </w:tc>
        <w:tc>
          <w:tcPr>
            <w:tcW w:w="1418" w:type="dxa"/>
            <w:shd w:val="clear" w:color="auto" w:fill="C6EFCE"/>
            <w:noWrap/>
          </w:tcPr>
          <w:p w14:paraId="24466C9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shd w:val="clear" w:color="auto" w:fill="C6EFCE"/>
            <w:noWrap/>
          </w:tcPr>
          <w:p w14:paraId="3CC13B78" w14:textId="77777777" w:rsidR="00A345F4" w:rsidRDefault="005E2D4E">
            <w:pPr>
              <w:pStyle w:val="P68B1DB1-Normal14"/>
              <w:spacing w:after="0" w:line="240" w:lineRule="auto"/>
              <w:jc w:val="both"/>
              <w:rPr>
                <w:rFonts w:eastAsia="Times New Roman"/>
                <w:noProof/>
              </w:rPr>
            </w:pPr>
            <w:r>
              <w:rPr>
                <w:noProof/>
              </w:rPr>
              <w:t>Numéro (m</w:t>
            </w:r>
            <w:r>
              <w:rPr>
                <w:noProof/>
                <w:vertAlign w:val="superscript"/>
              </w:rPr>
              <w:t xml:space="preserve"> 2</w:t>
            </w:r>
            <w:r>
              <w:rPr>
                <w:noProof/>
              </w:rPr>
              <w:t>)</w:t>
            </w:r>
          </w:p>
        </w:tc>
        <w:tc>
          <w:tcPr>
            <w:tcW w:w="1134" w:type="dxa"/>
            <w:shd w:val="clear" w:color="auto" w:fill="C6EFCE"/>
            <w:noWrap/>
          </w:tcPr>
          <w:p w14:paraId="5C13372B" w14:textId="77777777" w:rsidR="00A345F4" w:rsidRDefault="005E2D4E">
            <w:pPr>
              <w:pStyle w:val="P68B1DB1-Normal14"/>
              <w:spacing w:after="0" w:line="240" w:lineRule="auto"/>
              <w:jc w:val="both"/>
              <w:rPr>
                <w:rFonts w:eastAsia="Times New Roman"/>
                <w:noProof/>
              </w:rPr>
            </w:pPr>
            <w:r>
              <w:rPr>
                <w:noProof/>
              </w:rPr>
              <w:t xml:space="preserve"> 0</w:t>
            </w:r>
          </w:p>
        </w:tc>
        <w:tc>
          <w:tcPr>
            <w:tcW w:w="1516" w:type="dxa"/>
            <w:shd w:val="clear" w:color="auto" w:fill="C6EFCE"/>
            <w:noWrap/>
          </w:tcPr>
          <w:p w14:paraId="68385EE2" w14:textId="77777777" w:rsidR="00A345F4" w:rsidRDefault="005E2D4E">
            <w:pPr>
              <w:pStyle w:val="P68B1DB1-Normal14"/>
              <w:spacing w:after="0" w:line="240" w:lineRule="auto"/>
              <w:jc w:val="both"/>
              <w:rPr>
                <w:rFonts w:eastAsia="Times New Roman"/>
                <w:noProof/>
              </w:rPr>
            </w:pPr>
            <w:r>
              <w:rPr>
                <w:noProof/>
              </w:rPr>
              <w:t xml:space="preserve">1 088 522 </w:t>
            </w:r>
          </w:p>
        </w:tc>
        <w:tc>
          <w:tcPr>
            <w:tcW w:w="1177" w:type="dxa"/>
            <w:shd w:val="clear" w:color="auto" w:fill="C6EFCE"/>
            <w:noWrap/>
          </w:tcPr>
          <w:p w14:paraId="559D0461" w14:textId="77777777" w:rsidR="00A345F4" w:rsidRDefault="005E2D4E">
            <w:pPr>
              <w:pStyle w:val="P68B1DB1-Normal14"/>
              <w:spacing w:after="0" w:line="240" w:lineRule="auto"/>
              <w:jc w:val="both"/>
              <w:rPr>
                <w:rFonts w:eastAsia="Times New Roman"/>
                <w:noProof/>
              </w:rPr>
            </w:pPr>
            <w:r>
              <w:rPr>
                <w:noProof/>
              </w:rPr>
              <w:t>T2</w:t>
            </w:r>
          </w:p>
        </w:tc>
        <w:tc>
          <w:tcPr>
            <w:tcW w:w="851" w:type="dxa"/>
            <w:shd w:val="clear" w:color="auto" w:fill="C6EFCE"/>
            <w:noWrap/>
          </w:tcPr>
          <w:p w14:paraId="03BDD5E2" w14:textId="77777777" w:rsidR="00A345F4" w:rsidRDefault="005E2D4E">
            <w:pPr>
              <w:pStyle w:val="P68B1DB1-Normal14"/>
              <w:spacing w:after="0" w:line="240" w:lineRule="auto"/>
              <w:jc w:val="both"/>
              <w:rPr>
                <w:rFonts w:eastAsia="Times New Roman"/>
                <w:noProof/>
              </w:rPr>
            </w:pPr>
            <w:r>
              <w:rPr>
                <w:noProof/>
              </w:rPr>
              <w:t>2026</w:t>
            </w:r>
          </w:p>
        </w:tc>
        <w:tc>
          <w:tcPr>
            <w:tcW w:w="2835" w:type="dxa"/>
            <w:shd w:val="clear" w:color="auto" w:fill="C6EFCE"/>
            <w:noWrap/>
          </w:tcPr>
          <w:p w14:paraId="24C2EE02" w14:textId="77777777" w:rsidR="00A345F4" w:rsidRDefault="005E2D4E">
            <w:pPr>
              <w:pStyle w:val="P68B1DB1-Normal14"/>
              <w:spacing w:after="0" w:line="240" w:lineRule="auto"/>
              <w:jc w:val="both"/>
              <w:rPr>
                <w:noProof/>
              </w:rPr>
            </w:pPr>
            <w:r>
              <w:rPr>
                <w:noProof/>
              </w:rPr>
              <w:t xml:space="preserve">La rénovation énergétique des bâtiments publics couvre: </w:t>
            </w:r>
          </w:p>
          <w:p w14:paraId="65319153" w14:textId="2D671EC5" w:rsidR="00A345F4" w:rsidRDefault="005E2D4E">
            <w:pPr>
              <w:pStyle w:val="P68B1DB1-ListParagraph29"/>
              <w:numPr>
                <w:ilvl w:val="0"/>
                <w:numId w:val="13"/>
              </w:numPr>
              <w:spacing w:after="0" w:line="240" w:lineRule="auto"/>
              <w:jc w:val="both"/>
              <w:rPr>
                <w:noProof/>
              </w:rPr>
            </w:pPr>
            <w:r>
              <w:rPr>
                <w:noProof/>
              </w:rPr>
              <w:t xml:space="preserve">113 000 m2 de projets intégrés avec un minimum de 30 % d'économies sur la demande d'énergie primaire, </w:t>
            </w:r>
          </w:p>
          <w:p w14:paraId="39A10BBF" w14:textId="536C8955" w:rsidR="00A345F4" w:rsidRDefault="005E2D4E">
            <w:pPr>
              <w:pStyle w:val="P68B1DB1-ListParagraph29"/>
              <w:numPr>
                <w:ilvl w:val="0"/>
                <w:numId w:val="13"/>
              </w:numPr>
              <w:spacing w:after="0" w:line="240" w:lineRule="auto"/>
              <w:jc w:val="both"/>
              <w:rPr>
                <w:noProof/>
              </w:rPr>
            </w:pPr>
            <w:r>
              <w:rPr>
                <w:noProof/>
              </w:rPr>
              <w:t xml:space="preserve">797 522 m2 de rénovation modérée (c'est-à-dire une rénovation avec un minimum de 30 % d'économies d'énergie primaire, </w:t>
            </w:r>
          </w:p>
          <w:p w14:paraId="724C7C1F" w14:textId="37D78098" w:rsidR="00A345F4" w:rsidRDefault="005E2D4E">
            <w:pPr>
              <w:pStyle w:val="P68B1DB1-ListParagraph29"/>
              <w:numPr>
                <w:ilvl w:val="0"/>
                <w:numId w:val="13"/>
              </w:numPr>
              <w:spacing w:after="0" w:line="240" w:lineRule="auto"/>
              <w:jc w:val="both"/>
              <w:rPr>
                <w:noProof/>
              </w:rPr>
            </w:pPr>
            <w:r>
              <w:rPr>
                <w:noProof/>
              </w:rPr>
              <w:t>178 000 m2 de rénovation en profondeur (c’est-à-dire une rénovation avec un minimum de 60 % d’économies de la demande d’énergie primaire).</w:t>
            </w:r>
          </w:p>
          <w:p w14:paraId="7B429404" w14:textId="77777777" w:rsidR="00A345F4" w:rsidRDefault="005E2D4E">
            <w:pPr>
              <w:pStyle w:val="P68B1DB1-Normal14"/>
              <w:spacing w:after="0" w:line="240" w:lineRule="auto"/>
              <w:jc w:val="both"/>
              <w:rPr>
                <w:noProof/>
              </w:rPr>
            </w:pPr>
            <w:r>
              <w:rPr>
                <w:noProof/>
              </w:rPr>
              <w:t>L’investissement se traduit par une réduction minimale de la consommation d’énergie d’au moins 50 % par rapport à la consommation annuelle d’énergie pour le chauffage avant la rénovation de chaque bâtiment (à l’exception des bâtiments qui ont le statut de bien culturel).</w:t>
            </w:r>
          </w:p>
          <w:p w14:paraId="443546E1" w14:textId="77777777" w:rsidR="00A345F4" w:rsidRDefault="005E2D4E">
            <w:pPr>
              <w:pStyle w:val="P68B1DB1-Normal14"/>
              <w:spacing w:after="0" w:line="240" w:lineRule="auto"/>
              <w:jc w:val="both"/>
              <w:rPr>
                <w:noProof/>
              </w:rPr>
            </w:pPr>
            <w:r>
              <w:rPr>
                <w:noProof/>
              </w:rPr>
              <w:t>Le certificat de réception d’achèvement des travaux, le rapport d’audit énergétique ex ante et le certificat de performance énergétique ex post sont fournis à titre de preuve de la réalisation de l’objectif.</w:t>
            </w:r>
          </w:p>
        </w:tc>
      </w:tr>
      <w:tr w:rsidR="00A345F4" w14:paraId="58A524CA" w14:textId="77777777" w:rsidTr="00D420B8">
        <w:trPr>
          <w:trHeight w:val="309"/>
          <w:jc w:val="center"/>
        </w:trPr>
        <w:tc>
          <w:tcPr>
            <w:tcW w:w="838" w:type="dxa"/>
            <w:shd w:val="clear" w:color="auto" w:fill="C6EFCE"/>
            <w:noWrap/>
          </w:tcPr>
          <w:p w14:paraId="7E9D3EE3" w14:textId="77777777" w:rsidR="00A345F4" w:rsidRDefault="005E2D4E">
            <w:pPr>
              <w:pStyle w:val="P68B1DB1-Normal14"/>
              <w:spacing w:after="0" w:line="240" w:lineRule="auto"/>
              <w:jc w:val="center"/>
              <w:rPr>
                <w:noProof/>
              </w:rPr>
            </w:pPr>
            <w:r>
              <w:rPr>
                <w:noProof/>
              </w:rPr>
              <w:t>110</w:t>
            </w:r>
          </w:p>
        </w:tc>
        <w:tc>
          <w:tcPr>
            <w:tcW w:w="1851" w:type="dxa"/>
            <w:shd w:val="clear" w:color="auto" w:fill="C6EFCE"/>
            <w:noWrap/>
          </w:tcPr>
          <w:p w14:paraId="71827C21" w14:textId="77777777" w:rsidR="00A345F4" w:rsidRDefault="005E2D4E">
            <w:pPr>
              <w:pStyle w:val="P68B1DB1-Normal14"/>
              <w:spacing w:after="0" w:line="240" w:lineRule="auto"/>
              <w:jc w:val="both"/>
              <w:rPr>
                <w:noProof/>
              </w:rPr>
            </w:pPr>
            <w:r>
              <w:rPr>
                <w:noProof/>
              </w:rPr>
              <w:t>Investissement 4. Économie circulaire et efficacité énergétique accrue des bâtiments historiques</w:t>
            </w:r>
          </w:p>
        </w:tc>
        <w:tc>
          <w:tcPr>
            <w:tcW w:w="1266" w:type="dxa"/>
            <w:shd w:val="clear" w:color="auto" w:fill="C6EFCE"/>
            <w:noWrap/>
          </w:tcPr>
          <w:p w14:paraId="35E0ECF5" w14:textId="4DB21AF8" w:rsidR="00A345F4" w:rsidRDefault="005E2D4E">
            <w:pPr>
              <w:pStyle w:val="P68B1DB1-Normal14"/>
              <w:spacing w:after="0" w:line="240" w:lineRule="auto"/>
              <w:jc w:val="center"/>
              <w:rPr>
                <w:noProof/>
              </w:rPr>
            </w:pPr>
            <w:r>
              <w:rPr>
                <w:noProof/>
              </w:rPr>
              <w:t>Étape</w:t>
            </w:r>
          </w:p>
        </w:tc>
        <w:tc>
          <w:tcPr>
            <w:tcW w:w="1710" w:type="dxa"/>
            <w:shd w:val="clear" w:color="auto" w:fill="C6EFCE"/>
            <w:noWrap/>
          </w:tcPr>
          <w:p w14:paraId="10EF4D4C" w14:textId="77777777" w:rsidR="00A345F4" w:rsidRDefault="005E2D4E">
            <w:pPr>
              <w:pStyle w:val="P68B1DB1-Normal14"/>
              <w:spacing w:after="0" w:line="240" w:lineRule="auto"/>
              <w:jc w:val="both"/>
              <w:rPr>
                <w:noProof/>
              </w:rPr>
            </w:pPr>
            <w:r>
              <w:rPr>
                <w:noProof/>
              </w:rPr>
              <w:t xml:space="preserve">Structures pour la rénovation économe en énergie des bâtiments historiques </w:t>
            </w:r>
          </w:p>
        </w:tc>
        <w:tc>
          <w:tcPr>
            <w:tcW w:w="1418" w:type="dxa"/>
            <w:shd w:val="clear" w:color="auto" w:fill="C6EFCE"/>
            <w:noWrap/>
          </w:tcPr>
          <w:p w14:paraId="47750B5D" w14:textId="77777777" w:rsidR="00A345F4" w:rsidRDefault="005E2D4E">
            <w:pPr>
              <w:pStyle w:val="P68B1DB1-Normal14"/>
              <w:spacing w:after="0" w:line="240" w:lineRule="auto"/>
              <w:jc w:val="both"/>
              <w:rPr>
                <w:rFonts w:eastAsia="Times New Roman"/>
                <w:noProof/>
              </w:rPr>
            </w:pPr>
            <w:r>
              <w:rPr>
                <w:noProof/>
              </w:rPr>
              <w:t xml:space="preserve">Un laboratoire et trois centres de rénovation économe en énergie des bâtiments historiques sont équipés </w:t>
            </w:r>
          </w:p>
        </w:tc>
        <w:tc>
          <w:tcPr>
            <w:tcW w:w="1134" w:type="dxa"/>
            <w:shd w:val="clear" w:color="auto" w:fill="C6EFCE"/>
            <w:noWrap/>
          </w:tcPr>
          <w:p w14:paraId="7041D5CF" w14:textId="77777777" w:rsidR="00A345F4" w:rsidRDefault="00A345F4">
            <w:pPr>
              <w:spacing w:after="0" w:line="240" w:lineRule="auto"/>
              <w:jc w:val="both"/>
              <w:rPr>
                <w:rFonts w:ascii="Times New Roman" w:hAnsi="Times New Roman" w:cs="Times New Roman"/>
                <w:noProof/>
                <w:sz w:val="20"/>
                <w:szCs w:val="20"/>
              </w:rPr>
            </w:pPr>
          </w:p>
        </w:tc>
        <w:tc>
          <w:tcPr>
            <w:tcW w:w="1134" w:type="dxa"/>
            <w:shd w:val="clear" w:color="auto" w:fill="C6EFCE"/>
            <w:noWrap/>
          </w:tcPr>
          <w:p w14:paraId="28B45D0A" w14:textId="77777777" w:rsidR="00A345F4" w:rsidRDefault="00A345F4">
            <w:pPr>
              <w:spacing w:after="0" w:line="240" w:lineRule="auto"/>
              <w:jc w:val="both"/>
              <w:rPr>
                <w:rFonts w:ascii="Times New Roman" w:hAnsi="Times New Roman" w:cs="Times New Roman"/>
                <w:noProof/>
                <w:sz w:val="20"/>
                <w:szCs w:val="20"/>
              </w:rPr>
            </w:pPr>
          </w:p>
        </w:tc>
        <w:tc>
          <w:tcPr>
            <w:tcW w:w="1516" w:type="dxa"/>
            <w:shd w:val="clear" w:color="auto" w:fill="C6EFCE"/>
            <w:noWrap/>
          </w:tcPr>
          <w:p w14:paraId="2A61FF68" w14:textId="77777777" w:rsidR="00A345F4" w:rsidRDefault="00A345F4">
            <w:pPr>
              <w:spacing w:after="0" w:line="240" w:lineRule="auto"/>
              <w:jc w:val="both"/>
              <w:rPr>
                <w:rFonts w:ascii="Times New Roman" w:hAnsi="Times New Roman" w:cs="Times New Roman"/>
                <w:noProof/>
                <w:sz w:val="20"/>
                <w:szCs w:val="20"/>
              </w:rPr>
            </w:pPr>
          </w:p>
        </w:tc>
        <w:tc>
          <w:tcPr>
            <w:tcW w:w="1177" w:type="dxa"/>
            <w:shd w:val="clear" w:color="auto" w:fill="C6EFCE"/>
            <w:noWrap/>
          </w:tcPr>
          <w:p w14:paraId="0C900A28" w14:textId="77777777" w:rsidR="00A345F4" w:rsidRDefault="005E2D4E">
            <w:pPr>
              <w:pStyle w:val="P68B1DB1-Normal14"/>
              <w:spacing w:after="0" w:line="240" w:lineRule="auto"/>
              <w:jc w:val="both"/>
              <w:rPr>
                <w:noProof/>
              </w:rPr>
            </w:pPr>
            <w:r>
              <w:rPr>
                <w:noProof/>
              </w:rPr>
              <w:t>T2</w:t>
            </w:r>
          </w:p>
        </w:tc>
        <w:tc>
          <w:tcPr>
            <w:tcW w:w="851" w:type="dxa"/>
            <w:shd w:val="clear" w:color="auto" w:fill="C6EFCE"/>
            <w:noWrap/>
          </w:tcPr>
          <w:p w14:paraId="0CE25E0D" w14:textId="77777777" w:rsidR="00A345F4" w:rsidRDefault="005E2D4E">
            <w:pPr>
              <w:pStyle w:val="P68B1DB1-Normal14"/>
              <w:spacing w:after="0" w:line="240" w:lineRule="auto"/>
              <w:jc w:val="both"/>
              <w:rPr>
                <w:noProof/>
              </w:rPr>
            </w:pPr>
            <w:r>
              <w:rPr>
                <w:noProof/>
              </w:rPr>
              <w:t>2026</w:t>
            </w:r>
          </w:p>
        </w:tc>
        <w:tc>
          <w:tcPr>
            <w:tcW w:w="2835" w:type="dxa"/>
            <w:shd w:val="clear" w:color="auto" w:fill="C6EFCE"/>
            <w:noWrap/>
          </w:tcPr>
          <w:p w14:paraId="633ED111" w14:textId="77777777" w:rsidR="00A345F4" w:rsidRDefault="005E2D4E">
            <w:pPr>
              <w:pStyle w:val="P68B1DB1-Normal14"/>
              <w:spacing w:after="0" w:line="240" w:lineRule="auto"/>
              <w:jc w:val="both"/>
              <w:rPr>
                <w:noProof/>
              </w:rPr>
            </w:pPr>
            <w:r>
              <w:rPr>
                <w:noProof/>
              </w:rPr>
              <w:t xml:space="preserve">Un laboratoire et trois centres de rénovation économe en énergie des bâtiments historiques sont équipés comme suit: </w:t>
            </w:r>
          </w:p>
          <w:p w14:paraId="7BE769CA" w14:textId="77777777" w:rsidR="00A345F4" w:rsidRDefault="005E2D4E">
            <w:pPr>
              <w:pStyle w:val="P68B1DB1-Normal14"/>
              <w:spacing w:after="0" w:line="240" w:lineRule="auto"/>
              <w:jc w:val="both"/>
              <w:rPr>
                <w:noProof/>
              </w:rPr>
            </w:pPr>
            <w:r>
              <w:rPr>
                <w:noProof/>
              </w:rPr>
              <w:t xml:space="preserve">un laboratoire pour tester scientifiquement les matériaux et les solutions technologiques pour les bâtiments historiques; </w:t>
            </w:r>
          </w:p>
          <w:p w14:paraId="77D26ACF" w14:textId="77777777" w:rsidR="00A345F4" w:rsidRDefault="005E2D4E">
            <w:pPr>
              <w:pStyle w:val="P68B1DB1-Normal14"/>
              <w:spacing w:after="0" w:line="240" w:lineRule="auto"/>
              <w:jc w:val="both"/>
              <w:rPr>
                <w:noProof/>
              </w:rPr>
            </w:pPr>
            <w:r>
              <w:rPr>
                <w:noProof/>
              </w:rPr>
              <w:t xml:space="preserve">un centre de démantèlement, de collecte, de tri, de réparation et de réutilisation des matériaux de construction des bâtiments historiques; </w:t>
            </w:r>
          </w:p>
          <w:p w14:paraId="5E586DED" w14:textId="77777777" w:rsidR="00A345F4" w:rsidRDefault="005E2D4E">
            <w:pPr>
              <w:pStyle w:val="P68B1DB1-Normal14"/>
              <w:spacing w:after="0" w:line="240" w:lineRule="auto"/>
              <w:jc w:val="both"/>
              <w:rPr>
                <w:noProof/>
              </w:rPr>
            </w:pPr>
            <w:r>
              <w:rPr>
                <w:noProof/>
              </w:rPr>
              <w:t xml:space="preserve">- un centre d'entretien des bâtiments historiques; et </w:t>
            </w:r>
          </w:p>
          <w:p w14:paraId="017DF824" w14:textId="77777777" w:rsidR="00A345F4" w:rsidRDefault="005E2D4E">
            <w:pPr>
              <w:pStyle w:val="P68B1DB1-Normal14"/>
              <w:spacing w:after="0" w:line="240" w:lineRule="auto"/>
              <w:jc w:val="both"/>
              <w:rPr>
                <w:noProof/>
              </w:rPr>
            </w:pPr>
            <w:r>
              <w:rPr>
                <w:noProof/>
              </w:rPr>
              <w:t xml:space="preserve">- un centre de soutien à la formation de compétences professionnelles en matière de rénovation énergétique des bâtiments historiques. </w:t>
            </w:r>
          </w:p>
        </w:tc>
      </w:tr>
      <w:tr w:rsidR="00A345F4" w14:paraId="30B01011" w14:textId="77777777" w:rsidTr="00D420B8">
        <w:trPr>
          <w:trHeight w:val="309"/>
          <w:jc w:val="center"/>
        </w:trPr>
        <w:tc>
          <w:tcPr>
            <w:tcW w:w="838" w:type="dxa"/>
            <w:shd w:val="clear" w:color="auto" w:fill="C6EFCE"/>
            <w:noWrap/>
          </w:tcPr>
          <w:p w14:paraId="52813D90" w14:textId="77777777" w:rsidR="00A345F4" w:rsidRDefault="005E2D4E">
            <w:pPr>
              <w:pStyle w:val="P68B1DB1-Normal14"/>
              <w:spacing w:after="0" w:line="240" w:lineRule="auto"/>
              <w:jc w:val="center"/>
              <w:rPr>
                <w:noProof/>
              </w:rPr>
            </w:pPr>
            <w:r>
              <w:rPr>
                <w:noProof/>
              </w:rPr>
              <w:t>112</w:t>
            </w:r>
          </w:p>
        </w:tc>
        <w:tc>
          <w:tcPr>
            <w:tcW w:w="1851" w:type="dxa"/>
            <w:shd w:val="clear" w:color="auto" w:fill="C6EFCE"/>
            <w:noWrap/>
          </w:tcPr>
          <w:p w14:paraId="43239CFF" w14:textId="77777777" w:rsidR="00A345F4" w:rsidRDefault="005E2D4E">
            <w:pPr>
              <w:pStyle w:val="P68B1DB1-Normal14"/>
              <w:spacing w:after="0" w:line="240" w:lineRule="auto"/>
              <w:jc w:val="both"/>
              <w:rPr>
                <w:noProof/>
              </w:rPr>
            </w:pPr>
            <w:r>
              <w:rPr>
                <w:noProof/>
              </w:rPr>
              <w:t>Investissement 4. Économie circulaire et efficacité énergétique accrue des bâtiments historiques</w:t>
            </w:r>
          </w:p>
        </w:tc>
        <w:tc>
          <w:tcPr>
            <w:tcW w:w="1266" w:type="dxa"/>
            <w:shd w:val="clear" w:color="auto" w:fill="C6EFCE"/>
            <w:noWrap/>
          </w:tcPr>
          <w:p w14:paraId="484ABAC1" w14:textId="77777777" w:rsidR="00A345F4" w:rsidRDefault="005E2D4E">
            <w:pPr>
              <w:pStyle w:val="P68B1DB1-Normal14"/>
              <w:spacing w:after="0" w:line="240" w:lineRule="auto"/>
              <w:jc w:val="center"/>
              <w:rPr>
                <w:noProof/>
              </w:rPr>
            </w:pPr>
            <w:r>
              <w:rPr>
                <w:noProof/>
              </w:rPr>
              <w:t>Objectif</w:t>
            </w:r>
          </w:p>
        </w:tc>
        <w:tc>
          <w:tcPr>
            <w:tcW w:w="1710" w:type="dxa"/>
            <w:shd w:val="clear" w:color="auto" w:fill="C6EFCE"/>
            <w:noWrap/>
          </w:tcPr>
          <w:p w14:paraId="75EB48F7" w14:textId="77777777" w:rsidR="00A345F4" w:rsidRDefault="005E2D4E">
            <w:pPr>
              <w:pStyle w:val="P68B1DB1-Normal14"/>
              <w:spacing w:after="0" w:line="240" w:lineRule="auto"/>
              <w:jc w:val="both"/>
              <w:rPr>
                <w:noProof/>
              </w:rPr>
            </w:pPr>
            <w:r>
              <w:rPr>
                <w:noProof/>
              </w:rPr>
              <w:t>Au moins 200 professionnels formés à la rénovation énergétique des bâtiments historiques</w:t>
            </w:r>
          </w:p>
        </w:tc>
        <w:tc>
          <w:tcPr>
            <w:tcW w:w="1418" w:type="dxa"/>
            <w:shd w:val="clear" w:color="auto" w:fill="C6EFCE"/>
            <w:noWrap/>
          </w:tcPr>
          <w:p w14:paraId="5E5B172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shd w:val="clear" w:color="auto" w:fill="C6EFCE"/>
            <w:noWrap/>
          </w:tcPr>
          <w:p w14:paraId="67950578" w14:textId="77777777" w:rsidR="00A345F4" w:rsidRDefault="005E2D4E">
            <w:pPr>
              <w:pStyle w:val="P68B1DB1-Normal14"/>
              <w:spacing w:after="0" w:line="240" w:lineRule="auto"/>
              <w:jc w:val="both"/>
              <w:rPr>
                <w:noProof/>
              </w:rPr>
            </w:pPr>
            <w:r>
              <w:rPr>
                <w:noProof/>
              </w:rPr>
              <w:t>Numéro</w:t>
            </w:r>
          </w:p>
        </w:tc>
        <w:tc>
          <w:tcPr>
            <w:tcW w:w="1134" w:type="dxa"/>
            <w:shd w:val="clear" w:color="auto" w:fill="C6EFCE"/>
            <w:noWrap/>
          </w:tcPr>
          <w:p w14:paraId="5AFFAA8D" w14:textId="77777777" w:rsidR="00A345F4" w:rsidRDefault="005E2D4E">
            <w:pPr>
              <w:pStyle w:val="P68B1DB1-Normal14"/>
              <w:spacing w:after="0" w:line="240" w:lineRule="auto"/>
              <w:jc w:val="both"/>
              <w:rPr>
                <w:noProof/>
              </w:rPr>
            </w:pPr>
            <w:r>
              <w:rPr>
                <w:noProof/>
              </w:rPr>
              <w:t>0</w:t>
            </w:r>
          </w:p>
        </w:tc>
        <w:tc>
          <w:tcPr>
            <w:tcW w:w="1516" w:type="dxa"/>
            <w:shd w:val="clear" w:color="auto" w:fill="C6EFCE"/>
            <w:noWrap/>
          </w:tcPr>
          <w:p w14:paraId="1D3EDAE3" w14:textId="77777777" w:rsidR="00A345F4" w:rsidRDefault="005E2D4E">
            <w:pPr>
              <w:pStyle w:val="P68B1DB1-Normal14"/>
              <w:spacing w:after="0" w:line="240" w:lineRule="auto"/>
              <w:jc w:val="both"/>
              <w:rPr>
                <w:noProof/>
              </w:rPr>
            </w:pPr>
            <w:r>
              <w:rPr>
                <w:noProof/>
              </w:rPr>
              <w:t>200</w:t>
            </w:r>
          </w:p>
        </w:tc>
        <w:tc>
          <w:tcPr>
            <w:tcW w:w="1177" w:type="dxa"/>
            <w:shd w:val="clear" w:color="auto" w:fill="C6EFCE"/>
            <w:noWrap/>
          </w:tcPr>
          <w:p w14:paraId="0F5FED04" w14:textId="77777777" w:rsidR="00A345F4" w:rsidRDefault="005E2D4E">
            <w:pPr>
              <w:pStyle w:val="P68B1DB1-Normal14"/>
              <w:spacing w:after="0" w:line="240" w:lineRule="auto"/>
              <w:jc w:val="both"/>
              <w:rPr>
                <w:noProof/>
              </w:rPr>
            </w:pPr>
            <w:r>
              <w:rPr>
                <w:noProof/>
              </w:rPr>
              <w:t>T2</w:t>
            </w:r>
          </w:p>
          <w:p w14:paraId="6E146EEB" w14:textId="77777777" w:rsidR="00A345F4" w:rsidRDefault="00A345F4">
            <w:pPr>
              <w:spacing w:after="0" w:line="240" w:lineRule="auto"/>
              <w:jc w:val="both"/>
              <w:rPr>
                <w:rFonts w:ascii="Times New Roman" w:hAnsi="Times New Roman" w:cs="Times New Roman"/>
                <w:noProof/>
                <w:sz w:val="20"/>
                <w:szCs w:val="20"/>
              </w:rPr>
            </w:pPr>
          </w:p>
        </w:tc>
        <w:tc>
          <w:tcPr>
            <w:tcW w:w="851" w:type="dxa"/>
            <w:shd w:val="clear" w:color="auto" w:fill="C6EFCE"/>
            <w:noWrap/>
          </w:tcPr>
          <w:p w14:paraId="20F01D9E" w14:textId="77777777" w:rsidR="00A345F4" w:rsidRDefault="005E2D4E">
            <w:pPr>
              <w:pStyle w:val="P68B1DB1-Normal14"/>
              <w:spacing w:after="0" w:line="240" w:lineRule="auto"/>
              <w:jc w:val="both"/>
              <w:rPr>
                <w:noProof/>
              </w:rPr>
            </w:pPr>
            <w:r>
              <w:rPr>
                <w:noProof/>
              </w:rPr>
              <w:t>2026</w:t>
            </w:r>
          </w:p>
        </w:tc>
        <w:tc>
          <w:tcPr>
            <w:tcW w:w="2835" w:type="dxa"/>
            <w:shd w:val="clear" w:color="auto" w:fill="C6EFCE"/>
            <w:noWrap/>
          </w:tcPr>
          <w:p w14:paraId="36ACEDC5" w14:textId="77777777" w:rsidR="00A345F4" w:rsidRDefault="005E2D4E">
            <w:pPr>
              <w:pStyle w:val="P68B1DB1-Normal14"/>
              <w:spacing w:after="0" w:line="240" w:lineRule="auto"/>
              <w:jc w:val="both"/>
              <w:rPr>
                <w:noProof/>
              </w:rPr>
            </w:pPr>
            <w:r>
              <w:rPr>
                <w:noProof/>
              </w:rPr>
              <w:t>Au moins 200 professionnels doivent avoir été formés à la rénovation des bâtiments historiques en matière d’efficacité énergétique. </w:t>
            </w:r>
          </w:p>
          <w:p w14:paraId="232A8153" w14:textId="77777777" w:rsidR="00A345F4" w:rsidRDefault="005E2D4E">
            <w:pPr>
              <w:pStyle w:val="P68B1DB1-Normal14"/>
              <w:spacing w:after="0" w:line="240" w:lineRule="auto"/>
              <w:jc w:val="both"/>
              <w:rPr>
                <w:noProof/>
              </w:rPr>
            </w:pPr>
            <w:r>
              <w:rPr>
                <w:noProof/>
              </w:rPr>
              <w:t>Le certificat de formation est délivré par l'Institut national du patrimoine.</w:t>
            </w:r>
          </w:p>
        </w:tc>
      </w:tr>
    </w:tbl>
    <w:p w14:paraId="6D651784" w14:textId="77777777" w:rsidR="00A345F4" w:rsidRDefault="00A345F4">
      <w:pPr>
        <w:keepNext/>
        <w:spacing w:before="120" w:after="120" w:line="240" w:lineRule="auto"/>
        <w:jc w:val="both"/>
        <w:outlineLvl w:val="1"/>
        <w:rPr>
          <w:rFonts w:ascii="Times New Roman" w:hAnsi="Times New Roman" w:cs="Times New Roman"/>
          <w:b/>
          <w:noProof/>
        </w:rPr>
        <w:sectPr w:rsidR="00A345F4" w:rsidSect="000A4598">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5A441DC2" w14:textId="77777777" w:rsidR="00A345F4" w:rsidRDefault="005E2D4E">
      <w:pPr>
        <w:pStyle w:val="P68B1DB1-Normal4"/>
        <w:keepNext/>
        <w:spacing w:before="120" w:after="120" w:line="240" w:lineRule="auto"/>
        <w:jc w:val="both"/>
        <w:outlineLvl w:val="1"/>
        <w:rPr>
          <w:rFonts w:eastAsiaTheme="majorEastAsia"/>
          <w:b/>
          <w:bCs/>
          <w:noProof/>
        </w:rPr>
      </w:pPr>
      <w:r>
        <w:rPr>
          <w:b/>
          <w:noProof/>
        </w:rPr>
        <w:t>E.3.</w:t>
      </w:r>
      <w:r>
        <w:rPr>
          <w:noProof/>
        </w:rPr>
        <w:t xml:space="preserve"> </w:t>
      </w:r>
      <w:r>
        <w:rPr>
          <w:b/>
          <w:noProof/>
        </w:rPr>
        <w:t>Description des réformes et des investissements pour le prêt</w:t>
      </w:r>
    </w:p>
    <w:p w14:paraId="02369098" w14:textId="77777777" w:rsidR="00A345F4" w:rsidRDefault="005E2D4E">
      <w:pPr>
        <w:pStyle w:val="P68B1DB1-Normal18"/>
        <w:suppressAutoHyphens/>
        <w:autoSpaceDN w:val="0"/>
        <w:spacing w:before="240" w:after="240" w:line="240" w:lineRule="auto"/>
        <w:jc w:val="both"/>
        <w:textAlignment w:val="baseline"/>
        <w:rPr>
          <w:rFonts w:eastAsiaTheme="majorEastAsia"/>
          <w:noProof/>
          <w:kern w:val="3"/>
        </w:rPr>
      </w:pPr>
      <w:r>
        <w:rPr>
          <w:noProof/>
          <w:kern w:val="3"/>
        </w:rPr>
        <w:t xml:space="preserve">Réforme 1. </w:t>
      </w:r>
      <w:r>
        <w:rPr>
          <w:noProof/>
        </w:rPr>
        <w:t>Mise à jour du cadre juridique et réglementaire pour soutenir les rénovations des bâtiments en matière d’efficacité énergétique</w:t>
      </w:r>
    </w:p>
    <w:p w14:paraId="0255C707" w14:textId="77777777" w:rsidR="00A345F4" w:rsidRDefault="005E2D4E">
      <w:pPr>
        <w:pStyle w:val="P68B1DB1-Normal4"/>
        <w:spacing w:before="120" w:after="120" w:line="240" w:lineRule="auto"/>
        <w:jc w:val="both"/>
        <w:rPr>
          <w:rFonts w:eastAsia="Calibri"/>
          <w:noProof/>
        </w:rPr>
      </w:pPr>
      <w:r>
        <w:rPr>
          <w:noProof/>
        </w:rPr>
        <w:t>L’objectif de la réforme est de modifier le cadre juridique et réglementaire relatif à la rénovation des bâtiments. La réforme consiste à:</w:t>
      </w:r>
    </w:p>
    <w:p w14:paraId="2FC106AD" w14:textId="77777777" w:rsidR="00A345F4" w:rsidRDefault="005E2D4E">
      <w:pPr>
        <w:pStyle w:val="P68B1DB1-Normal4"/>
        <w:numPr>
          <w:ilvl w:val="0"/>
          <w:numId w:val="16"/>
        </w:numPr>
        <w:spacing w:before="120" w:after="120" w:line="240" w:lineRule="auto"/>
        <w:ind w:left="425" w:hanging="357"/>
        <w:jc w:val="both"/>
        <w:rPr>
          <w:rFonts w:eastAsia="Calibri"/>
          <w:noProof/>
        </w:rPr>
      </w:pPr>
      <w:r>
        <w:rPr>
          <w:noProof/>
        </w:rPr>
        <w:t xml:space="preserve">R1.a. Réduire le temps nécessaire à la délivrance des permis de construire. </w:t>
      </w:r>
    </w:p>
    <w:p w14:paraId="1B29EEFD" w14:textId="77777777" w:rsidR="00A345F4" w:rsidRDefault="005E2D4E">
      <w:pPr>
        <w:pStyle w:val="P68B1DB1-Normal4"/>
        <w:numPr>
          <w:ilvl w:val="0"/>
          <w:numId w:val="16"/>
        </w:numPr>
        <w:spacing w:before="120" w:after="240" w:line="240" w:lineRule="auto"/>
        <w:ind w:left="425" w:hanging="357"/>
        <w:jc w:val="both"/>
        <w:rPr>
          <w:rFonts w:eastAsia="Calibri"/>
          <w:noProof/>
        </w:rPr>
      </w:pPr>
      <w:r>
        <w:rPr>
          <w:noProof/>
        </w:rPr>
        <w:t xml:space="preserve">R1.b. Modifier le cadre juridique et réglementaire afin de relever le niveau d’ambition des rénovations énergétiques des bâtiments résidentiels et adopter de nouvelles lignes directrices pour soutenir les rénovations visant à améliorer l’efficacité énergétique des bâtiments historiques. </w:t>
      </w:r>
    </w:p>
    <w:p w14:paraId="32C2316F" w14:textId="77777777" w:rsidR="00A345F4" w:rsidRDefault="005E2D4E">
      <w:pPr>
        <w:pStyle w:val="P68B1DB1-Normal12"/>
        <w:suppressAutoHyphens/>
        <w:autoSpaceDN w:val="0"/>
        <w:spacing w:before="240" w:after="240" w:line="240" w:lineRule="auto"/>
        <w:jc w:val="both"/>
        <w:textAlignment w:val="baseline"/>
        <w:rPr>
          <w:rFonts w:eastAsiaTheme="majorEastAsia"/>
          <w:noProof/>
        </w:rPr>
      </w:pPr>
      <w:r>
        <w:rPr>
          <w:noProof/>
        </w:rPr>
        <w:t xml:space="preserve">Réforme 2. Cadre stratégique, législatif et procédural pour soutenir la résilience sismique du parc immobilier </w:t>
      </w:r>
    </w:p>
    <w:p w14:paraId="5EEF3AC7" w14:textId="77777777" w:rsidR="00A345F4" w:rsidRDefault="005E2D4E">
      <w:pPr>
        <w:pStyle w:val="P68B1DB1-Normal4"/>
        <w:spacing w:before="120" w:after="120" w:line="240" w:lineRule="auto"/>
        <w:jc w:val="both"/>
        <w:rPr>
          <w:rFonts w:eastAsia="Calibri"/>
          <w:noProof/>
        </w:rPr>
      </w:pPr>
      <w:r>
        <w:rPr>
          <w:noProof/>
        </w:rPr>
        <w:t>La réforme couvre les sous-réformes suivantes:</w:t>
      </w:r>
    </w:p>
    <w:p w14:paraId="1AAEBAC3" w14:textId="77777777" w:rsidR="00A345F4" w:rsidRDefault="005E2D4E">
      <w:pPr>
        <w:pStyle w:val="P68B1DB1-Normal4"/>
        <w:numPr>
          <w:ilvl w:val="0"/>
          <w:numId w:val="17"/>
        </w:numPr>
        <w:spacing w:before="120" w:after="120" w:line="240" w:lineRule="auto"/>
        <w:ind w:left="425" w:hanging="357"/>
        <w:jc w:val="both"/>
        <w:rPr>
          <w:rFonts w:eastAsia="Calibri"/>
          <w:noProof/>
        </w:rPr>
      </w:pPr>
      <w:r>
        <w:rPr>
          <w:noProof/>
        </w:rPr>
        <w:t>R2.a. L’adoption d’une stratégie nationale de réduction des risques sismiques. La stratégie comprend un plan d’action assorti d’objectifs spécifiques visant à réduire le risque sismique à court, moyen et long terme (2030, 2040 et 2050) pour les différents types de bâtiments vulnérables, y compris la sensibilisation du public et le renforcement de la capacité institutionnelle de gestion sismique. La réforme garantit une approche intégrée et cohérente entre la planification des rénovations énergétiques et sismiques et réduit de plusieurs années à plusieurs mois le temps nécessaire pour achever efficacement la hiérarchisation des interventions dans le parc immobilier. Cet élément de réforme sera mis en œuvre par l’adoption de la stratégie par le gouvernement et sera achevé au plus tard le 31 décembre 2022.</w:t>
      </w:r>
    </w:p>
    <w:p w14:paraId="3C3F95D8" w14:textId="77777777" w:rsidR="00A345F4" w:rsidRDefault="005E2D4E">
      <w:pPr>
        <w:pStyle w:val="P68B1DB1-Normal4"/>
        <w:numPr>
          <w:ilvl w:val="0"/>
          <w:numId w:val="17"/>
        </w:numPr>
        <w:spacing w:before="120" w:after="240" w:line="240" w:lineRule="auto"/>
        <w:ind w:left="425" w:hanging="357"/>
        <w:jc w:val="both"/>
        <w:rPr>
          <w:rFonts w:eastAsia="Calibri"/>
          <w:noProof/>
        </w:rPr>
      </w:pPr>
      <w:r>
        <w:rPr>
          <w:noProof/>
        </w:rPr>
        <w:t>R2.b. Optimiser le cadre législatif pour la réduction des risques sismiques des bâtiments existants. L’objectif de la sous-réforme est d’améliorer le programme existant de modernisation du parc immobilier existant, qui, dans le passé, n’avait pas d’approche intégrée en matière de rénovation sismique et énergétique. La sous-réforme transforme le programme en un programme pluriannuel, elle introduit dans la liste des dépenses éligibles les travaux nécessaires pour accroître la performance énergétique, elle l’étend aux bâtiments publics et pas seulement aux bâtiments privés, et elle introduit également la classe de risque sismique RSII parmi les critères éligibles. Cet élément de réforme est mis en œuvre par l’entrée en vigueur de la nouvelle loi sur la réduction du risque sismique des bâtiments et sa mise en œuvre est achevée au plus tard le 31 décembre 2022.</w:t>
      </w:r>
    </w:p>
    <w:p w14:paraId="6E64527D" w14:textId="77777777" w:rsidR="00A345F4" w:rsidRDefault="005E2D4E">
      <w:pPr>
        <w:pStyle w:val="P68B1DB1-Normal12"/>
        <w:suppressAutoHyphens/>
        <w:autoSpaceDN w:val="0"/>
        <w:spacing w:before="240" w:after="240" w:line="240" w:lineRule="auto"/>
        <w:jc w:val="both"/>
        <w:textAlignment w:val="baseline"/>
        <w:rPr>
          <w:rFonts w:eastAsiaTheme="majorEastAsia"/>
          <w:noProof/>
        </w:rPr>
      </w:pPr>
      <w:r>
        <w:rPr>
          <w:noProof/>
        </w:rPr>
        <w:t>Investissement 1. Mise en place d’un fonds pour la vague de rénovations afin de financer des travaux visant à accroître l’efficacité énergétique du parc immobilier existant</w:t>
      </w:r>
    </w:p>
    <w:p w14:paraId="19BD6924" w14:textId="77777777" w:rsidR="00A345F4" w:rsidRDefault="005E2D4E">
      <w:pPr>
        <w:pStyle w:val="P68B1DB1-Normal4"/>
        <w:spacing w:before="120" w:after="120" w:line="240" w:lineRule="auto"/>
        <w:jc w:val="both"/>
        <w:rPr>
          <w:noProof/>
        </w:rPr>
      </w:pPr>
      <w:r>
        <w:rPr>
          <w:noProof/>
        </w:rPr>
        <w:t xml:space="preserve">L’objectif de l’investissement est de soutenir la rénovation de bâtiments multifamiliaux et de bâtiments publics en Roumanie afin d’accroître l’efficacité énergétique. </w:t>
      </w:r>
    </w:p>
    <w:p w14:paraId="12775AEE" w14:textId="77777777" w:rsidR="00A345F4" w:rsidRDefault="005E2D4E">
      <w:pPr>
        <w:pStyle w:val="P68B1DB1-Normal4"/>
        <w:spacing w:before="120" w:after="120" w:line="240" w:lineRule="auto"/>
        <w:jc w:val="both"/>
        <w:rPr>
          <w:noProof/>
        </w:rPr>
      </w:pPr>
      <w:r>
        <w:rPr>
          <w:noProof/>
        </w:rPr>
        <w:t>L'investissement consiste en:</w:t>
      </w:r>
    </w:p>
    <w:p w14:paraId="07E80F91" w14:textId="77777777" w:rsidR="00A345F4" w:rsidRDefault="005E2D4E">
      <w:pPr>
        <w:pStyle w:val="P68B1DB1-Normal4"/>
        <w:numPr>
          <w:ilvl w:val="0"/>
          <w:numId w:val="15"/>
        </w:numPr>
        <w:spacing w:before="120" w:after="120" w:line="240" w:lineRule="auto"/>
        <w:ind w:left="1080"/>
        <w:jc w:val="both"/>
        <w:rPr>
          <w:noProof/>
        </w:rPr>
      </w:pPr>
      <w:r>
        <w:rPr>
          <w:noProof/>
        </w:rPr>
        <w:t xml:space="preserve">Axe 1 - un régime national d'aide à la rénovation énergétique et à la rénovation intégrée (consolidation sismique et efficacité énergétique) des bâtiments résidentiels multifamiliaux. </w:t>
      </w:r>
    </w:p>
    <w:p w14:paraId="6CA9DC81" w14:textId="77777777" w:rsidR="00A345F4" w:rsidRDefault="005E2D4E">
      <w:pPr>
        <w:pStyle w:val="P68B1DB1-Normal4"/>
        <w:numPr>
          <w:ilvl w:val="0"/>
          <w:numId w:val="15"/>
        </w:numPr>
        <w:spacing w:before="120" w:after="240" w:line="240" w:lineRule="auto"/>
        <w:ind w:left="1077" w:hanging="357"/>
        <w:jc w:val="both"/>
        <w:rPr>
          <w:noProof/>
        </w:rPr>
      </w:pPr>
      <w:r>
        <w:rPr>
          <w:noProof/>
        </w:rPr>
        <w:t xml:space="preserve">Axe 2 - un régime national d'aide à la rénovation énergétique et à la rénovation intégrée (consolidation sismique et efficacité énergétique) des bâtiments publics. </w:t>
      </w:r>
    </w:p>
    <w:p w14:paraId="1C7B7A47" w14:textId="77777777" w:rsidR="00A345F4" w:rsidRDefault="005E2D4E">
      <w:pPr>
        <w:pStyle w:val="P68B1DB1-Normal4"/>
        <w:spacing w:before="120" w:after="120" w:line="240" w:lineRule="auto"/>
        <w:jc w:val="both"/>
        <w:rPr>
          <w:noProof/>
        </w:rPr>
      </w:pPr>
      <w:r>
        <w:rPr>
          <w:noProof/>
        </w:rPr>
        <w:t>Cette mesure complète l’investissement 1a. Mise en place d’un fonds pour la vague de rénovations afin de financer des travaux visant à accroître l’efficacité énergétique du parc immobilier existant.</w:t>
      </w:r>
    </w:p>
    <w:p w14:paraId="480EACCA" w14:textId="77777777" w:rsidR="00A345F4" w:rsidRDefault="005E2D4E">
      <w:pPr>
        <w:pStyle w:val="P68B1DB1-Normal12"/>
        <w:suppressAutoHyphens/>
        <w:autoSpaceDN w:val="0"/>
        <w:spacing w:before="240" w:after="240" w:line="240" w:lineRule="auto"/>
        <w:jc w:val="both"/>
        <w:textAlignment w:val="baseline"/>
        <w:rPr>
          <w:rFonts w:eastAsiaTheme="majorEastAsia"/>
          <w:noProof/>
        </w:rPr>
      </w:pPr>
      <w:r>
        <w:rPr>
          <w:noProof/>
        </w:rPr>
        <w:t xml:space="preserve">Investissement 2. Publication du Registre National Numérique des Bâtiments </w:t>
      </w:r>
    </w:p>
    <w:p w14:paraId="7607A7A8" w14:textId="16C9E264" w:rsidR="00A345F4" w:rsidRDefault="005E2D4E">
      <w:pPr>
        <w:pStyle w:val="P68B1DB1-Normal4"/>
        <w:spacing w:before="120" w:after="120" w:line="240" w:lineRule="auto"/>
        <w:jc w:val="both"/>
        <w:rPr>
          <w:noProof/>
        </w:rPr>
      </w:pPr>
      <w:r>
        <w:rPr>
          <w:noProof/>
        </w:rPr>
        <w:t xml:space="preserve">L’objectif de l’investissement est de suivre les progrès accomplis dans la rénovation du parc immobilier en matière d’efficacité énergétique. La mesure consiste en un registre national numérique des bâtiments, qui est un système informatique. </w:t>
      </w:r>
    </w:p>
    <w:p w14:paraId="1EB7D5EA" w14:textId="77777777" w:rsidR="00A345F4" w:rsidRDefault="00A345F4">
      <w:pPr>
        <w:spacing w:before="120" w:after="120" w:line="240" w:lineRule="auto"/>
        <w:jc w:val="both"/>
        <w:rPr>
          <w:rFonts w:ascii="Times New Roman" w:hAnsi="Times New Roman" w:cs="Times New Roman"/>
          <w:b/>
          <w:noProof/>
        </w:rPr>
        <w:sectPr w:rsidR="00A345F4" w:rsidSect="000A4598">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p>
    <w:p w14:paraId="0D962B7B"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E.4. </w:t>
      </w:r>
      <w:r>
        <w:rPr>
          <w:noProof/>
        </w:rPr>
        <w:t xml:space="preserve"> </w:t>
      </w:r>
      <w:r>
        <w:rPr>
          <w:b/>
          <w:noProof/>
        </w:rPr>
        <w:t>Étapes, objectifs, indicateurs et calendrier du suivi et de la mise en œuvre du prêt</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
        <w:gridCol w:w="1626"/>
        <w:gridCol w:w="1418"/>
        <w:gridCol w:w="1417"/>
        <w:gridCol w:w="1701"/>
        <w:gridCol w:w="1276"/>
        <w:gridCol w:w="1018"/>
        <w:gridCol w:w="1560"/>
        <w:gridCol w:w="1107"/>
        <w:gridCol w:w="993"/>
        <w:gridCol w:w="2835"/>
      </w:tblGrid>
      <w:tr w:rsidR="00A345F4" w14:paraId="00B42842" w14:textId="77777777" w:rsidTr="00BE5B32">
        <w:trPr>
          <w:trHeight w:val="303"/>
          <w:tblHeader/>
          <w:jc w:val="center"/>
        </w:trPr>
        <w:tc>
          <w:tcPr>
            <w:tcW w:w="779" w:type="dxa"/>
            <w:vMerge w:val="restart"/>
            <w:shd w:val="clear" w:color="auto" w:fill="BDD7EE"/>
            <w:vAlign w:val="center"/>
            <w:hideMark/>
          </w:tcPr>
          <w:p w14:paraId="550ECD5F" w14:textId="602F52F0" w:rsidR="00A345F4" w:rsidRDefault="005E2D4E">
            <w:pPr>
              <w:pStyle w:val="P68B1DB1-Normal13"/>
              <w:spacing w:after="0" w:line="240" w:lineRule="auto"/>
              <w:jc w:val="center"/>
              <w:rPr>
                <w:rFonts w:eastAsia="Times New Roman"/>
                <w:noProof/>
              </w:rPr>
            </w:pPr>
            <w:bookmarkStart w:id="4" w:name="_Hlk201770638"/>
            <w:r>
              <w:rPr>
                <w:noProof/>
              </w:rPr>
              <w:t>Seq Num.</w:t>
            </w:r>
          </w:p>
        </w:tc>
        <w:tc>
          <w:tcPr>
            <w:tcW w:w="1626" w:type="dxa"/>
            <w:vMerge w:val="restart"/>
            <w:shd w:val="clear" w:color="auto" w:fill="BDD7EE"/>
            <w:vAlign w:val="center"/>
            <w:hideMark/>
          </w:tcPr>
          <w:p w14:paraId="33E99E7D"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418" w:type="dxa"/>
            <w:vMerge w:val="restart"/>
            <w:shd w:val="clear" w:color="auto" w:fill="BDD7EE"/>
            <w:vAlign w:val="center"/>
            <w:hideMark/>
          </w:tcPr>
          <w:p w14:paraId="2471E73F" w14:textId="2927CA21" w:rsidR="00A345F4" w:rsidRDefault="005E2D4E">
            <w:pPr>
              <w:pStyle w:val="P68B1DB1-Normal13"/>
              <w:spacing w:after="0" w:line="240" w:lineRule="auto"/>
              <w:jc w:val="center"/>
              <w:rPr>
                <w:rFonts w:eastAsia="Times New Roman"/>
                <w:bCs/>
                <w:noProof/>
              </w:rPr>
            </w:pPr>
            <w:r>
              <w:rPr>
                <w:noProof/>
              </w:rPr>
              <w:t>Étape/objectif</w:t>
            </w:r>
          </w:p>
        </w:tc>
        <w:tc>
          <w:tcPr>
            <w:tcW w:w="1417" w:type="dxa"/>
            <w:vMerge w:val="restart"/>
            <w:shd w:val="clear" w:color="auto" w:fill="BDD7EE"/>
            <w:vAlign w:val="center"/>
            <w:hideMark/>
          </w:tcPr>
          <w:p w14:paraId="40C11A74" w14:textId="77777777" w:rsidR="00A345F4" w:rsidRDefault="005E2D4E">
            <w:pPr>
              <w:pStyle w:val="P68B1DB1-Normal13"/>
              <w:spacing w:after="0" w:line="240" w:lineRule="auto"/>
              <w:jc w:val="center"/>
              <w:rPr>
                <w:rFonts w:eastAsia="Times New Roman"/>
                <w:noProof/>
              </w:rPr>
            </w:pPr>
            <w:r>
              <w:rPr>
                <w:noProof/>
              </w:rPr>
              <w:t>Nom</w:t>
            </w:r>
          </w:p>
        </w:tc>
        <w:tc>
          <w:tcPr>
            <w:tcW w:w="1701" w:type="dxa"/>
            <w:vMerge w:val="restart"/>
            <w:shd w:val="clear" w:color="auto" w:fill="BDD7EE"/>
            <w:vAlign w:val="center"/>
            <w:hideMark/>
          </w:tcPr>
          <w:p w14:paraId="4B20A151"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854" w:type="dxa"/>
            <w:gridSpan w:val="3"/>
            <w:shd w:val="clear" w:color="auto" w:fill="BDD7EE"/>
            <w:vAlign w:val="center"/>
            <w:hideMark/>
          </w:tcPr>
          <w:p w14:paraId="3DD97DB6"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2100" w:type="dxa"/>
            <w:gridSpan w:val="2"/>
            <w:shd w:val="clear" w:color="auto" w:fill="BDD7EE"/>
            <w:vAlign w:val="center"/>
            <w:hideMark/>
          </w:tcPr>
          <w:p w14:paraId="5BB88E6D" w14:textId="77777777" w:rsidR="00A345F4" w:rsidRDefault="005E2D4E">
            <w:pPr>
              <w:pStyle w:val="P68B1DB1-Normal13"/>
              <w:spacing w:after="0" w:line="240" w:lineRule="auto"/>
              <w:jc w:val="center"/>
              <w:rPr>
                <w:rFonts w:eastAsia="Times New Roman"/>
                <w:noProof/>
              </w:rPr>
            </w:pPr>
            <w:r>
              <w:rPr>
                <w:noProof/>
              </w:rPr>
              <w:t>Calendrier indicatif d'achèvement</w:t>
            </w:r>
          </w:p>
        </w:tc>
        <w:tc>
          <w:tcPr>
            <w:tcW w:w="2835" w:type="dxa"/>
            <w:vMerge w:val="restart"/>
            <w:shd w:val="clear" w:color="auto" w:fill="BDD7EE"/>
            <w:vAlign w:val="center"/>
            <w:hideMark/>
          </w:tcPr>
          <w:p w14:paraId="523CC73C"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55DE54FC" w14:textId="77777777" w:rsidTr="00BE5B32">
        <w:trPr>
          <w:trHeight w:val="457"/>
          <w:tblHeader/>
          <w:jc w:val="center"/>
        </w:trPr>
        <w:tc>
          <w:tcPr>
            <w:tcW w:w="779" w:type="dxa"/>
            <w:vMerge/>
            <w:hideMark/>
          </w:tcPr>
          <w:p w14:paraId="1A792F31"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626" w:type="dxa"/>
            <w:vMerge/>
            <w:hideMark/>
          </w:tcPr>
          <w:p w14:paraId="36141BA8"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418" w:type="dxa"/>
            <w:vMerge/>
            <w:hideMark/>
          </w:tcPr>
          <w:p w14:paraId="3C75CB7E"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417" w:type="dxa"/>
            <w:vMerge/>
            <w:hideMark/>
          </w:tcPr>
          <w:p w14:paraId="0E0C7FA3"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701" w:type="dxa"/>
            <w:vMerge/>
            <w:hideMark/>
          </w:tcPr>
          <w:p w14:paraId="1089420C"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76" w:type="dxa"/>
            <w:shd w:val="clear" w:color="auto" w:fill="BDD7EE"/>
            <w:vAlign w:val="center"/>
            <w:hideMark/>
          </w:tcPr>
          <w:p w14:paraId="7CB771D0" w14:textId="77777777" w:rsidR="00A345F4" w:rsidRDefault="005E2D4E">
            <w:pPr>
              <w:pStyle w:val="P68B1DB1-Normal13"/>
              <w:spacing w:after="0" w:line="240" w:lineRule="auto"/>
              <w:jc w:val="center"/>
              <w:rPr>
                <w:rFonts w:eastAsia="Times New Roman"/>
                <w:noProof/>
              </w:rPr>
            </w:pPr>
            <w:r>
              <w:rPr>
                <w:noProof/>
              </w:rPr>
              <w:t>Unité de mesure</w:t>
            </w:r>
          </w:p>
        </w:tc>
        <w:tc>
          <w:tcPr>
            <w:tcW w:w="1018" w:type="dxa"/>
            <w:shd w:val="clear" w:color="auto" w:fill="BDD7EE"/>
            <w:vAlign w:val="center"/>
            <w:hideMark/>
          </w:tcPr>
          <w:p w14:paraId="24964641" w14:textId="77777777" w:rsidR="00A345F4" w:rsidRDefault="005E2D4E">
            <w:pPr>
              <w:pStyle w:val="P68B1DB1-Normal13"/>
              <w:spacing w:after="0" w:line="240" w:lineRule="auto"/>
              <w:jc w:val="center"/>
              <w:rPr>
                <w:rFonts w:eastAsia="Times New Roman"/>
                <w:noProof/>
              </w:rPr>
            </w:pPr>
            <w:r>
              <w:rPr>
                <w:noProof/>
              </w:rPr>
              <w:t>Données de référence</w:t>
            </w:r>
          </w:p>
        </w:tc>
        <w:tc>
          <w:tcPr>
            <w:tcW w:w="1560" w:type="dxa"/>
            <w:shd w:val="clear" w:color="auto" w:fill="BDD7EE"/>
            <w:vAlign w:val="center"/>
            <w:hideMark/>
          </w:tcPr>
          <w:p w14:paraId="3411F1AC" w14:textId="77777777" w:rsidR="00A345F4" w:rsidRDefault="005E2D4E">
            <w:pPr>
              <w:pStyle w:val="P68B1DB1-Normal13"/>
              <w:spacing w:after="0" w:line="240" w:lineRule="auto"/>
              <w:jc w:val="center"/>
              <w:rPr>
                <w:rFonts w:eastAsia="Times New Roman"/>
                <w:noProof/>
              </w:rPr>
            </w:pPr>
            <w:r>
              <w:rPr>
                <w:noProof/>
              </w:rPr>
              <w:t>Objectif</w:t>
            </w:r>
          </w:p>
        </w:tc>
        <w:tc>
          <w:tcPr>
            <w:tcW w:w="1107" w:type="dxa"/>
            <w:shd w:val="clear" w:color="auto" w:fill="BDD7EE"/>
            <w:vAlign w:val="center"/>
            <w:hideMark/>
          </w:tcPr>
          <w:p w14:paraId="2F7126F5" w14:textId="77777777" w:rsidR="00A345F4" w:rsidRDefault="005E2D4E">
            <w:pPr>
              <w:pStyle w:val="P68B1DB1-Normal13"/>
              <w:spacing w:after="0" w:line="240" w:lineRule="auto"/>
              <w:jc w:val="center"/>
              <w:rPr>
                <w:rFonts w:eastAsia="Times New Roman"/>
                <w:noProof/>
              </w:rPr>
            </w:pPr>
            <w:r>
              <w:rPr>
                <w:noProof/>
              </w:rPr>
              <w:t>Trimestre</w:t>
            </w:r>
          </w:p>
        </w:tc>
        <w:tc>
          <w:tcPr>
            <w:tcW w:w="993" w:type="dxa"/>
            <w:shd w:val="clear" w:color="auto" w:fill="BDD7EE"/>
            <w:vAlign w:val="center"/>
            <w:hideMark/>
          </w:tcPr>
          <w:p w14:paraId="22F045D2" w14:textId="77777777" w:rsidR="00A345F4" w:rsidRDefault="005E2D4E">
            <w:pPr>
              <w:pStyle w:val="P68B1DB1-Normal13"/>
              <w:spacing w:after="0" w:line="240" w:lineRule="auto"/>
              <w:jc w:val="center"/>
              <w:rPr>
                <w:rFonts w:eastAsia="Times New Roman"/>
                <w:noProof/>
              </w:rPr>
            </w:pPr>
            <w:r>
              <w:rPr>
                <w:noProof/>
              </w:rPr>
              <w:t>Année</w:t>
            </w:r>
          </w:p>
        </w:tc>
        <w:tc>
          <w:tcPr>
            <w:tcW w:w="2835" w:type="dxa"/>
            <w:vMerge/>
            <w:hideMark/>
          </w:tcPr>
          <w:p w14:paraId="76B34155"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4173CBC8" w14:textId="77777777" w:rsidTr="00BE5B32">
        <w:trPr>
          <w:trHeight w:val="3150"/>
          <w:jc w:val="center"/>
        </w:trPr>
        <w:tc>
          <w:tcPr>
            <w:tcW w:w="779" w:type="dxa"/>
            <w:shd w:val="clear" w:color="auto" w:fill="C6EFCE"/>
            <w:noWrap/>
            <w:hideMark/>
          </w:tcPr>
          <w:p w14:paraId="4D6F322B" w14:textId="77777777" w:rsidR="00A345F4" w:rsidRDefault="005E2D4E">
            <w:pPr>
              <w:pStyle w:val="P68B1DB1-Normal14"/>
              <w:spacing w:after="0" w:line="240" w:lineRule="auto"/>
              <w:jc w:val="center"/>
              <w:rPr>
                <w:rFonts w:eastAsia="Times New Roman"/>
                <w:noProof/>
              </w:rPr>
            </w:pPr>
            <w:r>
              <w:rPr>
                <w:noProof/>
              </w:rPr>
              <w:t>90</w:t>
            </w:r>
          </w:p>
        </w:tc>
        <w:tc>
          <w:tcPr>
            <w:tcW w:w="1626" w:type="dxa"/>
            <w:shd w:val="clear" w:color="auto" w:fill="C6EFCE"/>
            <w:noWrap/>
            <w:hideMark/>
          </w:tcPr>
          <w:p w14:paraId="3DE487AB" w14:textId="2087BEE1" w:rsidR="00A345F4" w:rsidRDefault="005E2D4E">
            <w:pPr>
              <w:pStyle w:val="P68B1DB1-Normal14"/>
              <w:spacing w:after="0" w:line="240" w:lineRule="auto"/>
              <w:jc w:val="both"/>
              <w:rPr>
                <w:rFonts w:eastAsia="Times New Roman"/>
                <w:noProof/>
              </w:rPr>
            </w:pPr>
            <w:r>
              <w:rPr>
                <w:noProof/>
              </w:rPr>
              <w:t xml:space="preserve">Réforme 1. Cadre juridique et réglementaire simplifié et actualisé pour soutenir les rénovations des bâtiments en matière d’efficacité énergétique </w:t>
            </w:r>
          </w:p>
        </w:tc>
        <w:tc>
          <w:tcPr>
            <w:tcW w:w="1418" w:type="dxa"/>
            <w:shd w:val="clear" w:color="auto" w:fill="C6EFCE"/>
            <w:noWrap/>
            <w:hideMark/>
          </w:tcPr>
          <w:p w14:paraId="0335821E" w14:textId="529BA0C3" w:rsidR="00A345F4" w:rsidRDefault="005E2D4E">
            <w:pPr>
              <w:pStyle w:val="P68B1DB1-Normal14"/>
              <w:spacing w:after="0" w:line="240" w:lineRule="auto"/>
              <w:jc w:val="center"/>
              <w:rPr>
                <w:rFonts w:eastAsia="Times New Roman"/>
                <w:noProof/>
              </w:rPr>
            </w:pPr>
            <w:r>
              <w:rPr>
                <w:noProof/>
              </w:rPr>
              <w:t>Étape</w:t>
            </w:r>
          </w:p>
        </w:tc>
        <w:tc>
          <w:tcPr>
            <w:tcW w:w="1417" w:type="dxa"/>
            <w:shd w:val="clear" w:color="auto" w:fill="C6EFCE"/>
            <w:noWrap/>
            <w:hideMark/>
          </w:tcPr>
          <w:p w14:paraId="36CD67F4" w14:textId="77777777" w:rsidR="00A345F4" w:rsidRDefault="005E2D4E">
            <w:pPr>
              <w:pStyle w:val="P68B1DB1-Normal14"/>
              <w:spacing w:after="0" w:line="240" w:lineRule="auto"/>
              <w:jc w:val="both"/>
              <w:rPr>
                <w:rFonts w:eastAsia="Times New Roman"/>
                <w:noProof/>
              </w:rPr>
            </w:pPr>
            <w:r>
              <w:rPr>
                <w:noProof/>
              </w:rPr>
              <w:t xml:space="preserve">Entrée en vigueur des modifications du cadre législatif existant concernant le programme national pluriannuel pour l’amélioration de la performance énergétique des bâtiments résidentiels (ordonnance gouvernementale d’urgence no 18/2009) </w:t>
            </w:r>
            <w:r>
              <w:rPr>
                <w:noProof/>
              </w:rPr>
              <w:br/>
            </w:r>
          </w:p>
        </w:tc>
        <w:tc>
          <w:tcPr>
            <w:tcW w:w="1701" w:type="dxa"/>
            <w:shd w:val="clear" w:color="auto" w:fill="C6EFCE"/>
            <w:noWrap/>
            <w:hideMark/>
          </w:tcPr>
          <w:p w14:paraId="0119D82F" w14:textId="77777777" w:rsidR="00A345F4" w:rsidRDefault="005E2D4E">
            <w:pPr>
              <w:pStyle w:val="P68B1DB1-Normal14"/>
              <w:spacing w:after="0" w:line="240" w:lineRule="auto"/>
              <w:jc w:val="both"/>
              <w:rPr>
                <w:rFonts w:eastAsia="Times New Roman"/>
                <w:noProof/>
              </w:rPr>
            </w:pPr>
            <w:r>
              <w:rPr>
                <w:noProof/>
              </w:rPr>
              <w:t>Disposition de la loi indiquant l’entrée en vigueur des modifications apportées à l’ordonnance gouvernementale d’urgence no 18/2009</w:t>
            </w:r>
          </w:p>
          <w:p w14:paraId="578733B4" w14:textId="77777777" w:rsidR="00A345F4" w:rsidRDefault="00A345F4">
            <w:pPr>
              <w:spacing w:after="0" w:line="240" w:lineRule="auto"/>
              <w:jc w:val="both"/>
              <w:rPr>
                <w:rFonts w:ascii="Times New Roman" w:eastAsia="Times New Roman" w:hAnsi="Times New Roman" w:cs="Times New Roman"/>
                <w:strike/>
                <w:noProof/>
                <w:sz w:val="20"/>
                <w:szCs w:val="20"/>
              </w:rPr>
            </w:pPr>
          </w:p>
        </w:tc>
        <w:tc>
          <w:tcPr>
            <w:tcW w:w="1276" w:type="dxa"/>
            <w:shd w:val="clear" w:color="auto" w:fill="C6EFCE"/>
            <w:noWrap/>
            <w:hideMark/>
          </w:tcPr>
          <w:p w14:paraId="78D755C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18" w:type="dxa"/>
            <w:shd w:val="clear" w:color="auto" w:fill="C6EFCE"/>
            <w:noWrap/>
            <w:hideMark/>
          </w:tcPr>
          <w:p w14:paraId="7803CE32"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60" w:type="dxa"/>
            <w:shd w:val="clear" w:color="auto" w:fill="C6EFCE"/>
            <w:noWrap/>
            <w:hideMark/>
          </w:tcPr>
          <w:p w14:paraId="450A58D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07" w:type="dxa"/>
            <w:shd w:val="clear" w:color="auto" w:fill="C6EFCE"/>
            <w:noWrap/>
            <w:hideMark/>
          </w:tcPr>
          <w:p w14:paraId="38FFE423" w14:textId="77777777" w:rsidR="00A345F4" w:rsidRDefault="005E2D4E">
            <w:pPr>
              <w:pStyle w:val="P68B1DB1-Normal14"/>
              <w:spacing w:after="0" w:line="240" w:lineRule="auto"/>
              <w:jc w:val="both"/>
              <w:rPr>
                <w:rFonts w:eastAsia="Times New Roman"/>
                <w:noProof/>
              </w:rPr>
            </w:pPr>
            <w:r>
              <w:rPr>
                <w:noProof/>
              </w:rPr>
              <w:t>T4</w:t>
            </w:r>
          </w:p>
        </w:tc>
        <w:tc>
          <w:tcPr>
            <w:tcW w:w="993" w:type="dxa"/>
            <w:shd w:val="clear" w:color="auto" w:fill="C6EFCE"/>
            <w:noWrap/>
            <w:hideMark/>
          </w:tcPr>
          <w:p w14:paraId="4BDFE1FD" w14:textId="77777777" w:rsidR="00A345F4" w:rsidRDefault="005E2D4E">
            <w:pPr>
              <w:pStyle w:val="P68B1DB1-Normal14"/>
              <w:spacing w:after="0" w:line="240" w:lineRule="auto"/>
              <w:jc w:val="both"/>
              <w:rPr>
                <w:rFonts w:eastAsia="Times New Roman"/>
                <w:noProof/>
              </w:rPr>
            </w:pPr>
            <w:r>
              <w:rPr>
                <w:noProof/>
              </w:rPr>
              <w:t>2022</w:t>
            </w:r>
          </w:p>
        </w:tc>
        <w:tc>
          <w:tcPr>
            <w:tcW w:w="2835" w:type="dxa"/>
            <w:shd w:val="clear" w:color="auto" w:fill="C6EFCE"/>
            <w:noWrap/>
            <w:hideMark/>
          </w:tcPr>
          <w:p w14:paraId="66ED877E" w14:textId="77777777" w:rsidR="00A345F4" w:rsidRDefault="005E2D4E">
            <w:pPr>
              <w:pStyle w:val="P68B1DB1-Normal14"/>
              <w:spacing w:after="0" w:line="240" w:lineRule="auto"/>
              <w:jc w:val="both"/>
              <w:rPr>
                <w:rFonts w:eastAsia="Times New Roman"/>
                <w:noProof/>
              </w:rPr>
            </w:pPr>
            <w:r>
              <w:rPr>
                <w:noProof/>
              </w:rPr>
              <w:t>Les modifications apportées au programme national pluriannuel pour l’amélioration de la performance énergétique des bâtiments résidentiels portent le niveau d’ambition des rénovations énergétiques à au moins 30 % d’économies d’énergie primaire jusqu’à 60 % d’économies d’énergie primaire pour les bâtiments résidentiels en établissant une liste actualisée des dépenses de rénovation modérée ou profonde pouvant bénéficier d’un soutien et en augmentant l’ambition des indicateurs de performance pour les projets présentés dans le cadre du programme.</w:t>
            </w:r>
          </w:p>
        </w:tc>
      </w:tr>
      <w:tr w:rsidR="00A345F4" w14:paraId="75FC523B" w14:textId="77777777" w:rsidTr="00BE5B32">
        <w:trPr>
          <w:trHeight w:val="309"/>
          <w:jc w:val="center"/>
        </w:trPr>
        <w:tc>
          <w:tcPr>
            <w:tcW w:w="779" w:type="dxa"/>
            <w:shd w:val="clear" w:color="auto" w:fill="C6EFCE"/>
            <w:noWrap/>
          </w:tcPr>
          <w:p w14:paraId="125D9DC9" w14:textId="77777777" w:rsidR="00A345F4" w:rsidRDefault="005E2D4E">
            <w:pPr>
              <w:pStyle w:val="P68B1DB1-Normal14"/>
              <w:spacing w:after="0" w:line="240" w:lineRule="auto"/>
              <w:jc w:val="center"/>
              <w:rPr>
                <w:rFonts w:eastAsia="Times New Roman"/>
                <w:noProof/>
              </w:rPr>
            </w:pPr>
            <w:r>
              <w:rPr>
                <w:noProof/>
              </w:rPr>
              <w:t>91</w:t>
            </w:r>
          </w:p>
        </w:tc>
        <w:tc>
          <w:tcPr>
            <w:tcW w:w="1626" w:type="dxa"/>
            <w:shd w:val="clear" w:color="auto" w:fill="C6EFCE"/>
            <w:noWrap/>
          </w:tcPr>
          <w:p w14:paraId="2C7AF19A" w14:textId="77777777" w:rsidR="00A345F4" w:rsidRDefault="005E2D4E">
            <w:pPr>
              <w:pStyle w:val="P68B1DB1-Normal14"/>
              <w:spacing w:after="0" w:line="240" w:lineRule="auto"/>
              <w:jc w:val="both"/>
              <w:rPr>
                <w:rFonts w:eastAsia="Times New Roman"/>
                <w:noProof/>
              </w:rPr>
            </w:pPr>
            <w:r>
              <w:rPr>
                <w:noProof/>
              </w:rPr>
              <w:t>Réforme 1. Cadre juridique et réglementaire simplifié et actualisé pour soutenir les rénovations des bâtiments en matière d’efficacité énergétique</w:t>
            </w:r>
          </w:p>
        </w:tc>
        <w:tc>
          <w:tcPr>
            <w:tcW w:w="1418" w:type="dxa"/>
            <w:shd w:val="clear" w:color="auto" w:fill="C6EFCE"/>
            <w:noWrap/>
          </w:tcPr>
          <w:p w14:paraId="039362A9" w14:textId="5A5D8405" w:rsidR="00A345F4" w:rsidRDefault="005E2D4E">
            <w:pPr>
              <w:pStyle w:val="P68B1DB1-Normal14"/>
              <w:spacing w:after="0" w:line="240" w:lineRule="auto"/>
              <w:jc w:val="center"/>
              <w:rPr>
                <w:rFonts w:eastAsia="Times New Roman"/>
                <w:noProof/>
              </w:rPr>
            </w:pPr>
            <w:r>
              <w:rPr>
                <w:noProof/>
              </w:rPr>
              <w:t>Étape</w:t>
            </w:r>
          </w:p>
        </w:tc>
        <w:tc>
          <w:tcPr>
            <w:tcW w:w="1417" w:type="dxa"/>
            <w:shd w:val="clear" w:color="auto" w:fill="C6EFCE"/>
            <w:noWrap/>
          </w:tcPr>
          <w:p w14:paraId="483CAC56" w14:textId="77777777" w:rsidR="00A345F4" w:rsidRDefault="005E2D4E">
            <w:pPr>
              <w:pStyle w:val="P68B1DB1-Normal14"/>
              <w:spacing w:after="0" w:line="240" w:lineRule="auto"/>
              <w:jc w:val="both"/>
              <w:rPr>
                <w:rFonts w:eastAsia="Times New Roman"/>
                <w:noProof/>
              </w:rPr>
            </w:pPr>
            <w:r>
              <w:rPr>
                <w:noProof/>
              </w:rPr>
              <w:t>Le cadre réglementaire technique relatif aux investissements en faveur de la transition vers des bâtiments écologiques et numériques est opérationnel</w:t>
            </w:r>
          </w:p>
        </w:tc>
        <w:tc>
          <w:tcPr>
            <w:tcW w:w="1701" w:type="dxa"/>
            <w:shd w:val="clear" w:color="auto" w:fill="C6EFCE"/>
            <w:noWrap/>
          </w:tcPr>
          <w:p w14:paraId="5AAC28E5" w14:textId="77777777" w:rsidR="00A345F4" w:rsidRDefault="005E2D4E">
            <w:pPr>
              <w:pStyle w:val="P68B1DB1-Normal14"/>
              <w:spacing w:after="0" w:line="240" w:lineRule="auto"/>
              <w:jc w:val="both"/>
              <w:rPr>
                <w:rFonts w:eastAsia="Times New Roman"/>
                <w:noProof/>
              </w:rPr>
            </w:pPr>
            <w:r>
              <w:rPr>
                <w:noProof/>
              </w:rPr>
              <w:t>Publication au Journal officiel</w:t>
            </w:r>
          </w:p>
        </w:tc>
        <w:tc>
          <w:tcPr>
            <w:tcW w:w="1276" w:type="dxa"/>
            <w:shd w:val="clear" w:color="auto" w:fill="C6EFCE"/>
            <w:noWrap/>
          </w:tcPr>
          <w:p w14:paraId="19A9C83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18" w:type="dxa"/>
            <w:shd w:val="clear" w:color="auto" w:fill="C6EFCE"/>
            <w:noWrap/>
          </w:tcPr>
          <w:p w14:paraId="217386F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60" w:type="dxa"/>
            <w:shd w:val="clear" w:color="auto" w:fill="C6EFCE"/>
            <w:noWrap/>
          </w:tcPr>
          <w:p w14:paraId="680E1536"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07" w:type="dxa"/>
            <w:shd w:val="clear" w:color="auto" w:fill="C6EFCE"/>
            <w:noWrap/>
          </w:tcPr>
          <w:p w14:paraId="7F50A423" w14:textId="77777777" w:rsidR="00A345F4" w:rsidRDefault="005E2D4E">
            <w:pPr>
              <w:pStyle w:val="P68B1DB1-Normal14"/>
              <w:spacing w:after="0" w:line="240" w:lineRule="auto"/>
              <w:jc w:val="both"/>
              <w:rPr>
                <w:rFonts w:eastAsia="Times New Roman"/>
                <w:noProof/>
              </w:rPr>
            </w:pPr>
            <w:r>
              <w:rPr>
                <w:noProof/>
              </w:rPr>
              <w:t>T4</w:t>
            </w:r>
          </w:p>
        </w:tc>
        <w:tc>
          <w:tcPr>
            <w:tcW w:w="993" w:type="dxa"/>
            <w:shd w:val="clear" w:color="auto" w:fill="C6EFCE"/>
            <w:noWrap/>
          </w:tcPr>
          <w:p w14:paraId="53B5C5A7" w14:textId="77777777" w:rsidR="00A345F4" w:rsidRDefault="005E2D4E">
            <w:pPr>
              <w:pStyle w:val="P68B1DB1-Normal14"/>
              <w:spacing w:after="0" w:line="240" w:lineRule="auto"/>
              <w:jc w:val="both"/>
              <w:rPr>
                <w:rFonts w:eastAsia="Times New Roman"/>
                <w:noProof/>
              </w:rPr>
            </w:pPr>
            <w:r>
              <w:rPr>
                <w:noProof/>
              </w:rPr>
              <w:t>2022</w:t>
            </w:r>
          </w:p>
        </w:tc>
        <w:tc>
          <w:tcPr>
            <w:tcW w:w="2835" w:type="dxa"/>
            <w:shd w:val="clear" w:color="auto" w:fill="C6EFCE"/>
            <w:noWrap/>
          </w:tcPr>
          <w:p w14:paraId="7F6C8A14" w14:textId="77777777" w:rsidR="00A345F4" w:rsidRDefault="005E2D4E">
            <w:pPr>
              <w:pStyle w:val="P68B1DB1-Normal14"/>
              <w:spacing w:after="0" w:line="240" w:lineRule="auto"/>
              <w:jc w:val="both"/>
              <w:rPr>
                <w:rFonts w:eastAsia="Times New Roman"/>
                <w:noProof/>
              </w:rPr>
            </w:pPr>
            <w:r>
              <w:rPr>
                <w:noProof/>
              </w:rPr>
              <w:t xml:space="preserve">Le cadre réglementaire technique comprend les lignes directrices suivantes, adoptées et opérationnelles: </w:t>
            </w:r>
            <w:r>
              <w:rPr>
                <w:noProof/>
              </w:rPr>
              <w:br/>
              <w:t xml:space="preserve">1. Les «lignes directrices relatives aux bâtiments dont la consommation d’énergie est quasi nulle» fournissent des orientations sur la mise en œuvre technique des exigences en matière de bâtiments dont la consommation d’énergie est quasi nulle, afin d’aider les autorités de l’administration publique centrale chargées du suivi de la mise en œuvre des exigences en matière de bâtiments dont la consommation d’énergie est quasi nulle. Les lignes directrices comprennent les indicateurs pertinents et les mécanismes de collecte et de suivi de ces indicateurs. </w:t>
            </w:r>
          </w:p>
          <w:p w14:paraId="01FA2F7C" w14:textId="77777777" w:rsidR="00A345F4" w:rsidRDefault="005E2D4E">
            <w:pPr>
              <w:pStyle w:val="P68B1DB1-Normal14"/>
              <w:spacing w:after="0" w:line="240" w:lineRule="auto"/>
              <w:jc w:val="both"/>
              <w:rPr>
                <w:rFonts w:eastAsia="Times New Roman"/>
                <w:noProof/>
              </w:rPr>
            </w:pPr>
            <w:r>
              <w:rPr>
                <w:noProof/>
              </w:rPr>
              <w:t xml:space="preserve">2.«La méthode d’approche non invasive de l’efficacité énergétique des bâtiments historiques» établit des normes visant à réaliser des économies d’énergie et d’utilisation efficace des ressources pour les bâtiments historiques sans affecter leur valeur architecturale et historique. </w:t>
            </w:r>
          </w:p>
        </w:tc>
      </w:tr>
      <w:tr w:rsidR="00A345F4" w14:paraId="56FC0B94" w14:textId="77777777" w:rsidTr="00BE5B32">
        <w:trPr>
          <w:trHeight w:val="309"/>
          <w:jc w:val="center"/>
        </w:trPr>
        <w:tc>
          <w:tcPr>
            <w:tcW w:w="779" w:type="dxa"/>
            <w:shd w:val="clear" w:color="auto" w:fill="C6EFCE"/>
            <w:noWrap/>
          </w:tcPr>
          <w:p w14:paraId="6BEB8563" w14:textId="77777777" w:rsidR="00A345F4" w:rsidRDefault="005E2D4E">
            <w:pPr>
              <w:pStyle w:val="P68B1DB1-Normal14"/>
              <w:spacing w:after="0" w:line="240" w:lineRule="auto"/>
              <w:jc w:val="center"/>
              <w:rPr>
                <w:rFonts w:eastAsia="Times New Roman"/>
                <w:noProof/>
              </w:rPr>
            </w:pPr>
            <w:r>
              <w:rPr>
                <w:noProof/>
              </w:rPr>
              <w:t>92</w:t>
            </w:r>
          </w:p>
        </w:tc>
        <w:tc>
          <w:tcPr>
            <w:tcW w:w="1626" w:type="dxa"/>
            <w:shd w:val="clear" w:color="auto" w:fill="C6EFCE"/>
            <w:noWrap/>
          </w:tcPr>
          <w:p w14:paraId="456923B8" w14:textId="63C4F01B" w:rsidR="00A345F4" w:rsidRDefault="005E2D4E">
            <w:pPr>
              <w:pStyle w:val="P68B1DB1-Normal14"/>
              <w:spacing w:after="0" w:line="240" w:lineRule="auto"/>
              <w:jc w:val="both"/>
              <w:rPr>
                <w:rFonts w:eastAsia="Times New Roman"/>
                <w:noProof/>
              </w:rPr>
            </w:pPr>
            <w:r>
              <w:rPr>
                <w:noProof/>
              </w:rPr>
              <w:t>Réforme 1. Cadre juridique et réglementaire simplifié et actualisé pour soutenir les rénovations des bâtiments en matière d’efficacité énergétique</w:t>
            </w:r>
          </w:p>
        </w:tc>
        <w:tc>
          <w:tcPr>
            <w:tcW w:w="1418" w:type="dxa"/>
            <w:shd w:val="clear" w:color="auto" w:fill="C6EFCE"/>
            <w:noWrap/>
          </w:tcPr>
          <w:p w14:paraId="6D8C3450" w14:textId="0E784816" w:rsidR="00A345F4" w:rsidRDefault="005E2D4E">
            <w:pPr>
              <w:pStyle w:val="P68B1DB1-Normal14"/>
              <w:spacing w:after="0" w:line="240" w:lineRule="auto"/>
              <w:jc w:val="center"/>
              <w:rPr>
                <w:rFonts w:eastAsia="Times New Roman"/>
                <w:noProof/>
              </w:rPr>
            </w:pPr>
            <w:r>
              <w:rPr>
                <w:noProof/>
              </w:rPr>
              <w:t>Objectif</w:t>
            </w:r>
          </w:p>
        </w:tc>
        <w:tc>
          <w:tcPr>
            <w:tcW w:w="1417" w:type="dxa"/>
            <w:shd w:val="clear" w:color="auto" w:fill="C6EFCE"/>
            <w:noWrap/>
          </w:tcPr>
          <w:p w14:paraId="36BFE589" w14:textId="77777777" w:rsidR="00A345F4" w:rsidRDefault="005E2D4E">
            <w:pPr>
              <w:pStyle w:val="P68B1DB1-Normal14"/>
              <w:spacing w:after="0" w:line="240" w:lineRule="auto"/>
              <w:jc w:val="both"/>
              <w:rPr>
                <w:rFonts w:eastAsia="Times New Roman"/>
                <w:noProof/>
              </w:rPr>
            </w:pPr>
            <w:r>
              <w:rPr>
                <w:noProof/>
              </w:rPr>
              <w:t>Réduction du temps nécessaire à la délivrance des permis de construire</w:t>
            </w:r>
          </w:p>
        </w:tc>
        <w:tc>
          <w:tcPr>
            <w:tcW w:w="1701" w:type="dxa"/>
            <w:shd w:val="clear" w:color="auto" w:fill="C6EFCE"/>
            <w:noWrap/>
          </w:tcPr>
          <w:p w14:paraId="7AD59800"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76" w:type="dxa"/>
            <w:shd w:val="clear" w:color="auto" w:fill="C6EFCE"/>
            <w:noWrap/>
          </w:tcPr>
          <w:p w14:paraId="6F353308" w14:textId="77777777" w:rsidR="00A345F4" w:rsidRDefault="005E2D4E">
            <w:pPr>
              <w:pStyle w:val="P68B1DB1-Normal14"/>
              <w:spacing w:after="0" w:line="240" w:lineRule="auto"/>
              <w:rPr>
                <w:rFonts w:eastAsia="Times New Roman"/>
                <w:noProof/>
              </w:rPr>
            </w:pPr>
            <w:r>
              <w:rPr>
                <w:noProof/>
              </w:rPr>
              <w:t>Pourcentage (%)</w:t>
            </w:r>
          </w:p>
          <w:p w14:paraId="66F39DA2"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18" w:type="dxa"/>
            <w:shd w:val="clear" w:color="auto" w:fill="C6EFCE"/>
            <w:noWrap/>
          </w:tcPr>
          <w:p w14:paraId="2AF34710" w14:textId="77777777" w:rsidR="00A345F4" w:rsidRDefault="005E2D4E">
            <w:pPr>
              <w:pStyle w:val="P68B1DB1-Normal14"/>
              <w:spacing w:after="0" w:line="240" w:lineRule="auto"/>
              <w:jc w:val="both"/>
              <w:rPr>
                <w:rFonts w:eastAsia="Times New Roman"/>
                <w:noProof/>
              </w:rPr>
            </w:pPr>
            <w:r>
              <w:rPr>
                <w:noProof/>
              </w:rPr>
              <w:t>0</w:t>
            </w:r>
          </w:p>
        </w:tc>
        <w:tc>
          <w:tcPr>
            <w:tcW w:w="1560" w:type="dxa"/>
            <w:shd w:val="clear" w:color="auto" w:fill="C6EFCE"/>
            <w:noWrap/>
          </w:tcPr>
          <w:p w14:paraId="51FA0A47" w14:textId="77777777" w:rsidR="00A345F4" w:rsidRDefault="005E2D4E">
            <w:pPr>
              <w:pStyle w:val="P68B1DB1-Normal14"/>
              <w:spacing w:after="0" w:line="240" w:lineRule="auto"/>
              <w:jc w:val="both"/>
              <w:rPr>
                <w:rFonts w:eastAsia="Times New Roman"/>
                <w:noProof/>
              </w:rPr>
            </w:pPr>
            <w:r>
              <w:rPr>
                <w:noProof/>
              </w:rPr>
              <w:t>50</w:t>
            </w:r>
          </w:p>
        </w:tc>
        <w:tc>
          <w:tcPr>
            <w:tcW w:w="1107" w:type="dxa"/>
            <w:shd w:val="clear" w:color="auto" w:fill="C6EFCE"/>
            <w:noWrap/>
          </w:tcPr>
          <w:p w14:paraId="00691AFE" w14:textId="77777777" w:rsidR="00A345F4" w:rsidRDefault="005E2D4E">
            <w:pPr>
              <w:pStyle w:val="P68B1DB1-Normal14"/>
              <w:spacing w:after="0" w:line="240" w:lineRule="auto"/>
              <w:jc w:val="both"/>
              <w:rPr>
                <w:rFonts w:eastAsia="Times New Roman"/>
                <w:noProof/>
              </w:rPr>
            </w:pPr>
            <w:r>
              <w:rPr>
                <w:noProof/>
              </w:rPr>
              <w:t>T2</w:t>
            </w:r>
          </w:p>
        </w:tc>
        <w:tc>
          <w:tcPr>
            <w:tcW w:w="993" w:type="dxa"/>
            <w:shd w:val="clear" w:color="auto" w:fill="C6EFCE"/>
            <w:noWrap/>
          </w:tcPr>
          <w:p w14:paraId="5B3D238A" w14:textId="77777777" w:rsidR="00A345F4" w:rsidRDefault="005E2D4E">
            <w:pPr>
              <w:pStyle w:val="P68B1DB1-Normal14"/>
              <w:spacing w:after="0" w:line="240" w:lineRule="auto"/>
              <w:jc w:val="both"/>
              <w:rPr>
                <w:rFonts w:eastAsia="Times New Roman"/>
                <w:noProof/>
              </w:rPr>
            </w:pPr>
            <w:r>
              <w:rPr>
                <w:noProof/>
              </w:rPr>
              <w:t>2025</w:t>
            </w:r>
          </w:p>
        </w:tc>
        <w:tc>
          <w:tcPr>
            <w:tcW w:w="2835" w:type="dxa"/>
            <w:shd w:val="clear" w:color="auto" w:fill="C6EFCE"/>
            <w:noWrap/>
          </w:tcPr>
          <w:p w14:paraId="538957D9" w14:textId="77777777" w:rsidR="00A345F4" w:rsidRDefault="005E2D4E">
            <w:pPr>
              <w:pStyle w:val="P68B1DB1-Normal14"/>
              <w:spacing w:after="0" w:line="240" w:lineRule="auto"/>
              <w:jc w:val="both"/>
              <w:rPr>
                <w:rFonts w:eastAsia="Times New Roman"/>
                <w:noProof/>
              </w:rPr>
            </w:pPr>
            <w:r>
              <w:rPr>
                <w:noProof/>
              </w:rPr>
              <w:t xml:space="preserve">Réduction d’au moins 50 % du temps nécessaire à la délivrance des permis de construire par rapport à 2020, de 270 jours à 135 jours. </w:t>
            </w:r>
          </w:p>
        </w:tc>
      </w:tr>
      <w:tr w:rsidR="00A345F4" w14:paraId="79E7BC3A" w14:textId="77777777" w:rsidTr="00BE5B32">
        <w:trPr>
          <w:trHeight w:val="309"/>
          <w:jc w:val="center"/>
        </w:trPr>
        <w:tc>
          <w:tcPr>
            <w:tcW w:w="779" w:type="dxa"/>
            <w:shd w:val="clear" w:color="auto" w:fill="C6EFCE"/>
            <w:noWrap/>
            <w:hideMark/>
          </w:tcPr>
          <w:p w14:paraId="1E550E40" w14:textId="77777777" w:rsidR="00A345F4" w:rsidRDefault="005E2D4E">
            <w:pPr>
              <w:pStyle w:val="P68B1DB1-Normal14"/>
              <w:spacing w:after="0" w:line="240" w:lineRule="auto"/>
              <w:jc w:val="center"/>
              <w:rPr>
                <w:rFonts w:eastAsia="Times New Roman"/>
                <w:noProof/>
              </w:rPr>
            </w:pPr>
            <w:r>
              <w:rPr>
                <w:noProof/>
              </w:rPr>
              <w:t>93</w:t>
            </w:r>
          </w:p>
        </w:tc>
        <w:tc>
          <w:tcPr>
            <w:tcW w:w="1626" w:type="dxa"/>
            <w:shd w:val="clear" w:color="auto" w:fill="C6EFCE"/>
            <w:noWrap/>
            <w:hideMark/>
          </w:tcPr>
          <w:p w14:paraId="40106CCA" w14:textId="77777777" w:rsidR="00A345F4" w:rsidRDefault="005E2D4E">
            <w:pPr>
              <w:pStyle w:val="P68B1DB1-Normal14"/>
              <w:spacing w:after="0" w:line="240" w:lineRule="auto"/>
              <w:jc w:val="both"/>
              <w:rPr>
                <w:rFonts w:eastAsia="Times New Roman"/>
                <w:noProof/>
              </w:rPr>
            </w:pPr>
            <w:r>
              <w:rPr>
                <w:noProof/>
              </w:rPr>
              <w:t>Réforme 2. Cadre stratégique, législatif et procédural pour soutenir la résilience sismique du parc immobilier</w:t>
            </w:r>
          </w:p>
        </w:tc>
        <w:tc>
          <w:tcPr>
            <w:tcW w:w="1418" w:type="dxa"/>
            <w:shd w:val="clear" w:color="auto" w:fill="C6EFCE"/>
            <w:noWrap/>
            <w:hideMark/>
          </w:tcPr>
          <w:p w14:paraId="512A5C6C" w14:textId="32862B13" w:rsidR="00A345F4" w:rsidRDefault="005E2D4E">
            <w:pPr>
              <w:pStyle w:val="P68B1DB1-Normal14"/>
              <w:spacing w:after="0" w:line="240" w:lineRule="auto"/>
              <w:jc w:val="center"/>
              <w:rPr>
                <w:rFonts w:eastAsia="Times New Roman"/>
                <w:noProof/>
              </w:rPr>
            </w:pPr>
            <w:r>
              <w:rPr>
                <w:noProof/>
              </w:rPr>
              <w:t>Étape</w:t>
            </w:r>
          </w:p>
        </w:tc>
        <w:tc>
          <w:tcPr>
            <w:tcW w:w="1417" w:type="dxa"/>
            <w:shd w:val="clear" w:color="auto" w:fill="C6EFCE"/>
            <w:noWrap/>
            <w:hideMark/>
          </w:tcPr>
          <w:p w14:paraId="6128694F" w14:textId="77777777" w:rsidR="00A345F4" w:rsidRDefault="005E2D4E">
            <w:pPr>
              <w:pStyle w:val="P68B1DB1-Normal14"/>
              <w:spacing w:after="0" w:line="240" w:lineRule="auto"/>
              <w:jc w:val="both"/>
              <w:rPr>
                <w:rFonts w:eastAsia="Times New Roman"/>
                <w:noProof/>
              </w:rPr>
            </w:pPr>
            <w:r>
              <w:rPr>
                <w:noProof/>
              </w:rPr>
              <w:t>Adoption et mise en œuvre de la stratégie nationale de réduction des risques sismiques pour la modernisation sismique du parc immobilier existant</w:t>
            </w:r>
            <w:r>
              <w:rPr>
                <w:noProof/>
              </w:rPr>
              <w:br/>
              <w:t xml:space="preserve"> </w:t>
            </w:r>
            <w:r>
              <w:rPr>
                <w:noProof/>
              </w:rPr>
              <w:br/>
            </w:r>
          </w:p>
        </w:tc>
        <w:tc>
          <w:tcPr>
            <w:tcW w:w="1701" w:type="dxa"/>
            <w:shd w:val="clear" w:color="auto" w:fill="C6EFCE"/>
            <w:noWrap/>
            <w:hideMark/>
          </w:tcPr>
          <w:p w14:paraId="665CDFE0" w14:textId="761FE6C5" w:rsidR="00A345F4" w:rsidRDefault="005E2D4E">
            <w:pPr>
              <w:pStyle w:val="P68B1DB1-Normal14"/>
              <w:spacing w:after="0" w:line="240" w:lineRule="auto"/>
              <w:jc w:val="both"/>
              <w:rPr>
                <w:rFonts w:eastAsia="Times New Roman"/>
                <w:strike/>
                <w:noProof/>
              </w:rPr>
            </w:pPr>
            <w:r>
              <w:rPr>
                <w:noProof/>
              </w:rPr>
              <w:t>Adoption de la Stratégie nationale de réduction des risques sismiques par le gouvernement.</w:t>
            </w:r>
          </w:p>
          <w:p w14:paraId="1CB27348" w14:textId="0F9FD357" w:rsidR="00A345F4" w:rsidRDefault="00A345F4">
            <w:pPr>
              <w:spacing w:after="0" w:line="240" w:lineRule="auto"/>
              <w:jc w:val="both"/>
              <w:rPr>
                <w:rFonts w:ascii="Times New Roman" w:eastAsia="Times New Roman" w:hAnsi="Times New Roman" w:cs="Times New Roman"/>
                <w:strike/>
                <w:noProof/>
                <w:sz w:val="20"/>
                <w:szCs w:val="20"/>
              </w:rPr>
            </w:pPr>
          </w:p>
        </w:tc>
        <w:tc>
          <w:tcPr>
            <w:tcW w:w="1276" w:type="dxa"/>
            <w:shd w:val="clear" w:color="auto" w:fill="C6EFCE"/>
            <w:noWrap/>
            <w:hideMark/>
          </w:tcPr>
          <w:p w14:paraId="04FD434A" w14:textId="77777777" w:rsidR="00A345F4" w:rsidRDefault="005E2D4E">
            <w:pPr>
              <w:pStyle w:val="P68B1DB1-Normal14"/>
              <w:spacing w:after="0" w:line="240" w:lineRule="auto"/>
              <w:jc w:val="both"/>
              <w:rPr>
                <w:rFonts w:eastAsia="Times New Roman"/>
                <w:noProof/>
              </w:rPr>
            </w:pPr>
            <w:r>
              <w:rPr>
                <w:noProof/>
              </w:rPr>
              <w:t xml:space="preserve"> </w:t>
            </w:r>
          </w:p>
        </w:tc>
        <w:tc>
          <w:tcPr>
            <w:tcW w:w="1018" w:type="dxa"/>
            <w:shd w:val="clear" w:color="auto" w:fill="C6EFCE"/>
            <w:noWrap/>
            <w:hideMark/>
          </w:tcPr>
          <w:p w14:paraId="030B0EDB" w14:textId="77777777" w:rsidR="00A345F4" w:rsidRDefault="005E2D4E">
            <w:pPr>
              <w:pStyle w:val="P68B1DB1-Normal14"/>
              <w:spacing w:after="0" w:line="240" w:lineRule="auto"/>
              <w:jc w:val="both"/>
              <w:rPr>
                <w:rFonts w:eastAsia="Times New Roman"/>
                <w:noProof/>
              </w:rPr>
            </w:pPr>
            <w:r>
              <w:rPr>
                <w:noProof/>
              </w:rPr>
              <w:t xml:space="preserve"> </w:t>
            </w:r>
          </w:p>
        </w:tc>
        <w:tc>
          <w:tcPr>
            <w:tcW w:w="1560" w:type="dxa"/>
            <w:shd w:val="clear" w:color="auto" w:fill="C6EFCE"/>
            <w:noWrap/>
            <w:hideMark/>
          </w:tcPr>
          <w:p w14:paraId="5A459809" w14:textId="77777777" w:rsidR="00A345F4" w:rsidRDefault="005E2D4E">
            <w:pPr>
              <w:pStyle w:val="P68B1DB1-Normal14"/>
              <w:spacing w:after="0" w:line="240" w:lineRule="auto"/>
              <w:jc w:val="both"/>
              <w:rPr>
                <w:rFonts w:eastAsia="Times New Roman"/>
                <w:noProof/>
              </w:rPr>
            </w:pPr>
            <w:r>
              <w:rPr>
                <w:noProof/>
              </w:rPr>
              <w:t xml:space="preserve"> </w:t>
            </w:r>
          </w:p>
        </w:tc>
        <w:tc>
          <w:tcPr>
            <w:tcW w:w="1107" w:type="dxa"/>
            <w:shd w:val="clear" w:color="auto" w:fill="C6EFCE"/>
            <w:noWrap/>
            <w:hideMark/>
          </w:tcPr>
          <w:p w14:paraId="3AE67F1E" w14:textId="77777777" w:rsidR="00A345F4" w:rsidRDefault="005E2D4E">
            <w:pPr>
              <w:pStyle w:val="P68B1DB1-Normal14"/>
              <w:spacing w:after="0" w:line="240" w:lineRule="auto"/>
              <w:jc w:val="both"/>
              <w:rPr>
                <w:rFonts w:eastAsia="Times New Roman"/>
                <w:noProof/>
              </w:rPr>
            </w:pPr>
            <w:r>
              <w:rPr>
                <w:noProof/>
              </w:rPr>
              <w:t>T4</w:t>
            </w:r>
          </w:p>
        </w:tc>
        <w:tc>
          <w:tcPr>
            <w:tcW w:w="993" w:type="dxa"/>
            <w:shd w:val="clear" w:color="auto" w:fill="C6EFCE"/>
            <w:noWrap/>
            <w:hideMark/>
          </w:tcPr>
          <w:p w14:paraId="37A77751" w14:textId="77777777" w:rsidR="00A345F4" w:rsidRDefault="005E2D4E">
            <w:pPr>
              <w:pStyle w:val="P68B1DB1-Normal14"/>
              <w:spacing w:after="0" w:line="240" w:lineRule="auto"/>
              <w:jc w:val="both"/>
              <w:rPr>
                <w:rFonts w:eastAsia="Times New Roman"/>
                <w:noProof/>
              </w:rPr>
            </w:pPr>
            <w:r>
              <w:rPr>
                <w:noProof/>
              </w:rPr>
              <w:t>2022</w:t>
            </w:r>
          </w:p>
        </w:tc>
        <w:tc>
          <w:tcPr>
            <w:tcW w:w="2835" w:type="dxa"/>
            <w:shd w:val="clear" w:color="auto" w:fill="C6EFCE"/>
            <w:noWrap/>
            <w:hideMark/>
          </w:tcPr>
          <w:p w14:paraId="2E993AF7" w14:textId="77777777" w:rsidR="00A345F4" w:rsidRDefault="005E2D4E">
            <w:pPr>
              <w:pStyle w:val="P68B1DB1-Normal14"/>
              <w:spacing w:after="0" w:line="240" w:lineRule="auto"/>
              <w:jc w:val="both"/>
              <w:rPr>
                <w:rFonts w:eastAsia="Times New Roman"/>
                <w:noProof/>
              </w:rPr>
            </w:pPr>
            <w:r>
              <w:rPr>
                <w:noProof/>
              </w:rPr>
              <w:t xml:space="preserve">La stratégie définit les critères permettant de hiérarchiser les investissements dans la réduction du risque sismique pour le parc immobilier existant en fonction du niveau de risque sismique pour les bâtiments et les communautés et des avantages des actions de réduction des risques. </w:t>
            </w:r>
            <w:bookmarkStart w:id="5" w:name="_Hlk77254549"/>
          </w:p>
          <w:bookmarkEnd w:id="5"/>
          <w:p w14:paraId="4777D5B8" w14:textId="77777777" w:rsidR="00A345F4" w:rsidRDefault="005E2D4E">
            <w:pPr>
              <w:pStyle w:val="P68B1DB1-Normal14"/>
              <w:spacing w:after="0" w:line="240" w:lineRule="auto"/>
              <w:jc w:val="both"/>
              <w:rPr>
                <w:rFonts w:eastAsia="Times New Roman"/>
                <w:noProof/>
              </w:rPr>
            </w:pPr>
            <w:r>
              <w:rPr>
                <w:noProof/>
              </w:rPr>
              <w:t xml:space="preserve">L’introduction d’une méthode d’évaluation visuelle rapide pour le deuxième niveau d’évaluation des risques sismiques contribue à réduire le temps nécessaire pour achever efficacement la hiérarchisation des interventions sur le parc immobilier sur la base de données de vulnérabilité de plusieurs années à plusieurs mois. </w:t>
            </w:r>
          </w:p>
          <w:p w14:paraId="5B4ED254" w14:textId="77777777" w:rsidR="00A345F4" w:rsidRDefault="005E2D4E">
            <w:pPr>
              <w:pStyle w:val="P68B1DB1-Normal14"/>
              <w:spacing w:after="0" w:line="240" w:lineRule="auto"/>
              <w:jc w:val="both"/>
              <w:rPr>
                <w:rFonts w:eastAsia="Times New Roman"/>
                <w:noProof/>
              </w:rPr>
            </w:pPr>
            <w:r>
              <w:rPr>
                <w:noProof/>
              </w:rPr>
              <w:t xml:space="preserve">Elle tient compte des mesures proposées par la stratégie de rénovation à long terme par l’élaboration d’un guide d’intervention intégré obligatoire. </w:t>
            </w:r>
          </w:p>
        </w:tc>
      </w:tr>
      <w:tr w:rsidR="00A345F4" w14:paraId="05AD6786" w14:textId="77777777" w:rsidTr="00BE5B32">
        <w:trPr>
          <w:trHeight w:val="309"/>
          <w:jc w:val="center"/>
        </w:trPr>
        <w:tc>
          <w:tcPr>
            <w:tcW w:w="779" w:type="dxa"/>
            <w:shd w:val="clear" w:color="auto" w:fill="C6EFCE"/>
            <w:noWrap/>
            <w:hideMark/>
          </w:tcPr>
          <w:p w14:paraId="4A2CE37F" w14:textId="77777777" w:rsidR="00A345F4" w:rsidRDefault="005E2D4E">
            <w:pPr>
              <w:pStyle w:val="P68B1DB1-Normal14"/>
              <w:spacing w:after="0" w:line="240" w:lineRule="auto"/>
              <w:jc w:val="center"/>
              <w:rPr>
                <w:rFonts w:eastAsia="Times New Roman"/>
                <w:noProof/>
              </w:rPr>
            </w:pPr>
            <w:r>
              <w:rPr>
                <w:noProof/>
              </w:rPr>
              <w:t>94</w:t>
            </w:r>
          </w:p>
        </w:tc>
        <w:tc>
          <w:tcPr>
            <w:tcW w:w="1626" w:type="dxa"/>
            <w:shd w:val="clear" w:color="auto" w:fill="C6EFCE"/>
            <w:noWrap/>
          </w:tcPr>
          <w:p w14:paraId="372064AA" w14:textId="77777777" w:rsidR="00A345F4" w:rsidRDefault="005E2D4E">
            <w:pPr>
              <w:pStyle w:val="P68B1DB1-Normal14"/>
              <w:spacing w:after="0" w:line="240" w:lineRule="auto"/>
              <w:jc w:val="both"/>
              <w:rPr>
                <w:rFonts w:eastAsia="Times New Roman"/>
                <w:noProof/>
              </w:rPr>
            </w:pPr>
            <w:r>
              <w:rPr>
                <w:noProof/>
              </w:rPr>
              <w:t xml:space="preserve">Réforme 2. Cadre stratégique, législatif et procédural pour soutenir la résilience sismique du parc immobilier </w:t>
            </w:r>
          </w:p>
        </w:tc>
        <w:tc>
          <w:tcPr>
            <w:tcW w:w="1418" w:type="dxa"/>
            <w:shd w:val="clear" w:color="auto" w:fill="C6EFCE"/>
            <w:noWrap/>
          </w:tcPr>
          <w:p w14:paraId="70C2AC51" w14:textId="617D9F4D" w:rsidR="00A345F4" w:rsidRDefault="005E2D4E">
            <w:pPr>
              <w:pStyle w:val="P68B1DB1-Normal14"/>
              <w:spacing w:after="0" w:line="240" w:lineRule="auto"/>
              <w:jc w:val="center"/>
              <w:rPr>
                <w:rFonts w:eastAsia="Times New Roman"/>
                <w:noProof/>
              </w:rPr>
            </w:pPr>
            <w:r>
              <w:rPr>
                <w:noProof/>
              </w:rPr>
              <w:t>Étape</w:t>
            </w:r>
          </w:p>
        </w:tc>
        <w:tc>
          <w:tcPr>
            <w:tcW w:w="1417" w:type="dxa"/>
            <w:shd w:val="clear" w:color="auto" w:fill="C6EFCE"/>
            <w:noWrap/>
          </w:tcPr>
          <w:p w14:paraId="7759821A" w14:textId="77777777" w:rsidR="00A345F4" w:rsidRDefault="005E2D4E">
            <w:pPr>
              <w:pStyle w:val="P68B1DB1-Normal14"/>
              <w:spacing w:after="0" w:line="240" w:lineRule="auto"/>
              <w:jc w:val="both"/>
              <w:rPr>
                <w:rFonts w:eastAsia="Times New Roman"/>
                <w:noProof/>
              </w:rPr>
            </w:pPr>
            <w:r>
              <w:rPr>
                <w:noProof/>
              </w:rPr>
              <w:t xml:space="preserve">Entrée en vigueur de la nouvelle loi sur la réduction des risques sismiques des bâtiments </w:t>
            </w:r>
            <w:r>
              <w:rPr>
                <w:noProof/>
              </w:rPr>
              <w:br/>
            </w:r>
          </w:p>
        </w:tc>
        <w:tc>
          <w:tcPr>
            <w:tcW w:w="1701" w:type="dxa"/>
            <w:shd w:val="clear" w:color="auto" w:fill="C6EFCE"/>
            <w:noWrap/>
          </w:tcPr>
          <w:p w14:paraId="3FE12831" w14:textId="77777777" w:rsidR="00A345F4" w:rsidRDefault="005E2D4E">
            <w:pPr>
              <w:pStyle w:val="P68B1DB1-Normal14"/>
              <w:spacing w:after="0" w:line="240" w:lineRule="auto"/>
              <w:jc w:val="both"/>
              <w:rPr>
                <w:rFonts w:eastAsia="Times New Roman"/>
                <w:noProof/>
              </w:rPr>
            </w:pPr>
            <w:r>
              <w:rPr>
                <w:noProof/>
              </w:rPr>
              <w:t xml:space="preserve">Disposition de la loi indiquant l'entrée en vigueur de la nouvelle loi sur la réduction des risques sismiques des bâtiments </w:t>
            </w:r>
            <w:r>
              <w:rPr>
                <w:noProof/>
              </w:rPr>
              <w:br/>
            </w:r>
          </w:p>
        </w:tc>
        <w:tc>
          <w:tcPr>
            <w:tcW w:w="1276" w:type="dxa"/>
            <w:shd w:val="clear" w:color="auto" w:fill="C6EFCE"/>
            <w:noWrap/>
          </w:tcPr>
          <w:p w14:paraId="3BCFA64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18" w:type="dxa"/>
            <w:shd w:val="clear" w:color="auto" w:fill="C6EFCE"/>
            <w:noWrap/>
          </w:tcPr>
          <w:p w14:paraId="282BFB9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60" w:type="dxa"/>
            <w:shd w:val="clear" w:color="auto" w:fill="C6EFCE"/>
            <w:noWrap/>
          </w:tcPr>
          <w:p w14:paraId="3A60AAD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07" w:type="dxa"/>
            <w:shd w:val="clear" w:color="auto" w:fill="C6EFCE"/>
            <w:noWrap/>
          </w:tcPr>
          <w:p w14:paraId="2987277E" w14:textId="77777777" w:rsidR="00A345F4" w:rsidRDefault="005E2D4E">
            <w:pPr>
              <w:pStyle w:val="P68B1DB1-Normal14"/>
              <w:spacing w:after="0" w:line="240" w:lineRule="auto"/>
              <w:jc w:val="both"/>
              <w:rPr>
                <w:rFonts w:eastAsia="Times New Roman"/>
                <w:noProof/>
              </w:rPr>
            </w:pPr>
            <w:r>
              <w:rPr>
                <w:noProof/>
              </w:rPr>
              <w:t>T4</w:t>
            </w:r>
          </w:p>
        </w:tc>
        <w:tc>
          <w:tcPr>
            <w:tcW w:w="993" w:type="dxa"/>
            <w:shd w:val="clear" w:color="auto" w:fill="C6EFCE"/>
            <w:noWrap/>
          </w:tcPr>
          <w:p w14:paraId="4102CC63" w14:textId="77777777" w:rsidR="00A345F4" w:rsidRDefault="005E2D4E">
            <w:pPr>
              <w:pStyle w:val="P68B1DB1-Normal14"/>
              <w:spacing w:after="0" w:line="240" w:lineRule="auto"/>
              <w:jc w:val="both"/>
              <w:rPr>
                <w:rFonts w:eastAsia="Times New Roman"/>
                <w:noProof/>
              </w:rPr>
            </w:pPr>
            <w:r>
              <w:rPr>
                <w:noProof/>
              </w:rPr>
              <w:t>2022</w:t>
            </w:r>
          </w:p>
        </w:tc>
        <w:tc>
          <w:tcPr>
            <w:tcW w:w="2835" w:type="dxa"/>
            <w:shd w:val="clear" w:color="auto" w:fill="C6EFCE"/>
            <w:noWrap/>
            <w:hideMark/>
          </w:tcPr>
          <w:p w14:paraId="2367D3F9" w14:textId="77777777" w:rsidR="00A345F4" w:rsidRDefault="005E2D4E">
            <w:pPr>
              <w:pStyle w:val="P68B1DB1-Normal14"/>
              <w:spacing w:after="0" w:line="240" w:lineRule="auto"/>
              <w:jc w:val="both"/>
              <w:rPr>
                <w:rFonts w:eastAsia="Times New Roman"/>
                <w:noProof/>
              </w:rPr>
            </w:pPr>
            <w:r>
              <w:rPr>
                <w:noProof/>
              </w:rPr>
              <w:t xml:space="preserve">Entrée en vigueur de la nouvelle loi sur la réduction des risques sismiques des bâtiments. La loi couvre les actions suivantes: </w:t>
            </w:r>
          </w:p>
          <w:p w14:paraId="613BC169"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inclure une approche pluriannuelle pour la modernisation du parc immobilier existant</w:t>
            </w:r>
          </w:p>
          <w:p w14:paraId="4C77BDB3"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introduire dans la liste des personnes éligibles; les dépenses relatives aux différents types de travaux éligibles nécessaires pour accroître la performance énergétique;</w:t>
            </w:r>
          </w:p>
          <w:p w14:paraId="28B54CBA"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étendre le programme aux bâtiments publics ainsi qu'aux immeubles résidentiels multifamiliaux;</w:t>
            </w:r>
          </w:p>
          <w:p w14:paraId="4E4D4719"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introduire la classe sismique RsII parmi les critères éligibles, aux côtés de la classe sismique RsI.</w:t>
            </w:r>
          </w:p>
        </w:tc>
      </w:tr>
      <w:tr w:rsidR="00A345F4" w14:paraId="577D43C1" w14:textId="77777777" w:rsidTr="00BE5B32">
        <w:trPr>
          <w:trHeight w:val="309"/>
          <w:jc w:val="center"/>
        </w:trPr>
        <w:tc>
          <w:tcPr>
            <w:tcW w:w="779" w:type="dxa"/>
            <w:shd w:val="clear" w:color="auto" w:fill="C6EFCE"/>
            <w:noWrap/>
            <w:hideMark/>
          </w:tcPr>
          <w:p w14:paraId="68692032" w14:textId="77777777" w:rsidR="00A345F4" w:rsidRDefault="005E2D4E">
            <w:pPr>
              <w:pStyle w:val="P68B1DB1-Normal14"/>
              <w:spacing w:after="0" w:line="240" w:lineRule="auto"/>
              <w:jc w:val="center"/>
              <w:rPr>
                <w:rFonts w:eastAsia="Times New Roman"/>
                <w:noProof/>
              </w:rPr>
            </w:pPr>
            <w:r>
              <w:rPr>
                <w:noProof/>
              </w:rPr>
              <w:t>95</w:t>
            </w:r>
          </w:p>
        </w:tc>
        <w:tc>
          <w:tcPr>
            <w:tcW w:w="1626" w:type="dxa"/>
            <w:shd w:val="clear" w:color="auto" w:fill="C6EFCE"/>
            <w:noWrap/>
            <w:hideMark/>
          </w:tcPr>
          <w:p w14:paraId="240517ED" w14:textId="77777777" w:rsidR="00A345F4" w:rsidRDefault="005E2D4E">
            <w:pPr>
              <w:pStyle w:val="P68B1DB1-Normal14"/>
              <w:spacing w:after="0" w:line="240" w:lineRule="auto"/>
              <w:jc w:val="both"/>
              <w:rPr>
                <w:rFonts w:eastAsia="Times New Roman"/>
                <w:noProof/>
              </w:rPr>
            </w:pPr>
            <w:r>
              <w:rPr>
                <w:noProof/>
              </w:rPr>
              <w:t>Investissement 1. Mise en place d’un fonds pour la vague de rénovations afin de financer des travaux visant à accroître l’efficacité énergétique du parc immobilier existant</w:t>
            </w:r>
          </w:p>
        </w:tc>
        <w:tc>
          <w:tcPr>
            <w:tcW w:w="1418" w:type="dxa"/>
            <w:shd w:val="clear" w:color="auto" w:fill="C6EFCE"/>
            <w:noWrap/>
            <w:hideMark/>
          </w:tcPr>
          <w:p w14:paraId="727398F1" w14:textId="01A6F2B9" w:rsidR="00A345F4" w:rsidRDefault="005E2D4E">
            <w:pPr>
              <w:pStyle w:val="P68B1DB1-Normal14"/>
              <w:spacing w:after="0" w:line="240" w:lineRule="auto"/>
              <w:jc w:val="center"/>
              <w:rPr>
                <w:rFonts w:eastAsia="Times New Roman"/>
                <w:noProof/>
              </w:rPr>
            </w:pPr>
            <w:r>
              <w:rPr>
                <w:noProof/>
              </w:rPr>
              <w:t>Étape</w:t>
            </w:r>
          </w:p>
        </w:tc>
        <w:tc>
          <w:tcPr>
            <w:tcW w:w="1417" w:type="dxa"/>
            <w:shd w:val="clear" w:color="auto" w:fill="C6EFCE"/>
            <w:noWrap/>
            <w:hideMark/>
          </w:tcPr>
          <w:p w14:paraId="57BF3815" w14:textId="77777777" w:rsidR="00A345F4" w:rsidRDefault="005E2D4E">
            <w:pPr>
              <w:pStyle w:val="P68B1DB1-Normal14"/>
              <w:spacing w:after="0" w:line="240" w:lineRule="auto"/>
              <w:jc w:val="both"/>
              <w:rPr>
                <w:rFonts w:eastAsia="Times New Roman"/>
                <w:noProof/>
              </w:rPr>
            </w:pPr>
            <w:r>
              <w:rPr>
                <w:noProof/>
              </w:rPr>
              <w:t xml:space="preserve">Mise en place d’un régime national d’aide à la rénovation énergétique et à l’efficacité énergétique et à la rénovation intégrée (consolidation sismique et efficacité énergétique) des bâtiments résidentiels multifamiliaux </w:t>
            </w:r>
            <w:r>
              <w:rPr>
                <w:noProof/>
              </w:rPr>
              <w:br/>
            </w:r>
          </w:p>
        </w:tc>
        <w:tc>
          <w:tcPr>
            <w:tcW w:w="1701" w:type="dxa"/>
            <w:shd w:val="clear" w:color="auto" w:fill="C6EFCE"/>
            <w:noWrap/>
            <w:hideMark/>
          </w:tcPr>
          <w:p w14:paraId="5DD75212" w14:textId="77777777" w:rsidR="00A345F4" w:rsidRDefault="005E2D4E">
            <w:pPr>
              <w:pStyle w:val="P68B1DB1-Normal14"/>
              <w:spacing w:after="0" w:line="240" w:lineRule="auto"/>
              <w:jc w:val="both"/>
              <w:rPr>
                <w:rFonts w:eastAsia="Times New Roman"/>
                <w:noProof/>
              </w:rPr>
            </w:pPr>
            <w:r>
              <w:rPr>
                <w:noProof/>
              </w:rPr>
              <w:t>Publication de l'arrêté ministériel établissant le dispositif de financement </w:t>
            </w:r>
          </w:p>
        </w:tc>
        <w:tc>
          <w:tcPr>
            <w:tcW w:w="1276" w:type="dxa"/>
            <w:shd w:val="clear" w:color="auto" w:fill="C6EFCE"/>
            <w:noWrap/>
            <w:hideMark/>
          </w:tcPr>
          <w:p w14:paraId="28747194" w14:textId="77777777" w:rsidR="00A345F4" w:rsidRDefault="005E2D4E">
            <w:pPr>
              <w:pStyle w:val="P68B1DB1-Normal14"/>
              <w:spacing w:after="0" w:line="240" w:lineRule="auto"/>
              <w:jc w:val="both"/>
              <w:rPr>
                <w:rFonts w:eastAsia="Times New Roman"/>
                <w:noProof/>
              </w:rPr>
            </w:pPr>
            <w:r>
              <w:rPr>
                <w:noProof/>
              </w:rPr>
              <w:t xml:space="preserve"> </w:t>
            </w:r>
          </w:p>
        </w:tc>
        <w:tc>
          <w:tcPr>
            <w:tcW w:w="1018" w:type="dxa"/>
            <w:shd w:val="clear" w:color="auto" w:fill="C6EFCE"/>
            <w:noWrap/>
            <w:hideMark/>
          </w:tcPr>
          <w:p w14:paraId="163609F8" w14:textId="77777777" w:rsidR="00A345F4" w:rsidRDefault="005E2D4E">
            <w:pPr>
              <w:pStyle w:val="P68B1DB1-Normal14"/>
              <w:spacing w:after="0" w:line="240" w:lineRule="auto"/>
              <w:jc w:val="both"/>
              <w:rPr>
                <w:rFonts w:eastAsia="Times New Roman"/>
                <w:noProof/>
              </w:rPr>
            </w:pPr>
            <w:r>
              <w:rPr>
                <w:noProof/>
              </w:rPr>
              <w:t xml:space="preserve"> </w:t>
            </w:r>
          </w:p>
        </w:tc>
        <w:tc>
          <w:tcPr>
            <w:tcW w:w="1560" w:type="dxa"/>
            <w:shd w:val="clear" w:color="auto" w:fill="C6EFCE"/>
            <w:noWrap/>
            <w:hideMark/>
          </w:tcPr>
          <w:p w14:paraId="32292259" w14:textId="77777777" w:rsidR="00A345F4" w:rsidRDefault="005E2D4E">
            <w:pPr>
              <w:pStyle w:val="P68B1DB1-Normal14"/>
              <w:spacing w:after="0" w:line="240" w:lineRule="auto"/>
              <w:jc w:val="both"/>
              <w:rPr>
                <w:rFonts w:eastAsia="Times New Roman"/>
                <w:noProof/>
              </w:rPr>
            </w:pPr>
            <w:r>
              <w:rPr>
                <w:noProof/>
              </w:rPr>
              <w:t xml:space="preserve"> </w:t>
            </w:r>
          </w:p>
        </w:tc>
        <w:tc>
          <w:tcPr>
            <w:tcW w:w="1107" w:type="dxa"/>
            <w:shd w:val="clear" w:color="auto" w:fill="C6EFCE"/>
            <w:noWrap/>
            <w:hideMark/>
          </w:tcPr>
          <w:p w14:paraId="6F176D19" w14:textId="77777777" w:rsidR="00A345F4" w:rsidRDefault="005E2D4E">
            <w:pPr>
              <w:pStyle w:val="P68B1DB1-Normal14"/>
              <w:spacing w:after="0" w:line="240" w:lineRule="auto"/>
              <w:jc w:val="both"/>
              <w:rPr>
                <w:rFonts w:eastAsia="Times New Roman"/>
                <w:noProof/>
              </w:rPr>
            </w:pPr>
            <w:r>
              <w:rPr>
                <w:noProof/>
              </w:rPr>
              <w:t>T1</w:t>
            </w:r>
          </w:p>
        </w:tc>
        <w:tc>
          <w:tcPr>
            <w:tcW w:w="993" w:type="dxa"/>
            <w:shd w:val="clear" w:color="auto" w:fill="C6EFCE"/>
            <w:noWrap/>
            <w:hideMark/>
          </w:tcPr>
          <w:p w14:paraId="70C13DD5" w14:textId="77777777" w:rsidR="00A345F4" w:rsidRDefault="005E2D4E">
            <w:pPr>
              <w:pStyle w:val="P68B1DB1-Normal14"/>
              <w:spacing w:after="0" w:line="240" w:lineRule="auto"/>
              <w:jc w:val="both"/>
              <w:rPr>
                <w:rFonts w:eastAsia="Times New Roman"/>
                <w:noProof/>
              </w:rPr>
            </w:pPr>
            <w:r>
              <w:rPr>
                <w:noProof/>
              </w:rPr>
              <w:t>2022</w:t>
            </w:r>
          </w:p>
        </w:tc>
        <w:tc>
          <w:tcPr>
            <w:tcW w:w="2835" w:type="dxa"/>
            <w:shd w:val="clear" w:color="auto" w:fill="C6EFCE"/>
            <w:noWrap/>
            <w:hideMark/>
          </w:tcPr>
          <w:p w14:paraId="406E07FE" w14:textId="77777777" w:rsidR="00A345F4" w:rsidRDefault="005E2D4E">
            <w:pPr>
              <w:pStyle w:val="P68B1DB1-Normal14"/>
              <w:spacing w:after="0" w:line="240" w:lineRule="auto"/>
              <w:jc w:val="both"/>
              <w:rPr>
                <w:rFonts w:eastAsia="Times New Roman"/>
                <w:noProof/>
              </w:rPr>
            </w:pPr>
            <w:r>
              <w:rPr>
                <w:noProof/>
              </w:rPr>
              <w:t xml:space="preserve">Le programme finance la rénovation énergétique d'au moins 3,2 millions de m² de bâtiments résidentiels. </w:t>
            </w:r>
          </w:p>
          <w:p w14:paraId="58357F9A" w14:textId="77777777" w:rsidR="00A345F4" w:rsidRDefault="005E2D4E">
            <w:pPr>
              <w:pStyle w:val="P68B1DB1-Normal14"/>
              <w:spacing w:after="0" w:line="240" w:lineRule="auto"/>
              <w:jc w:val="both"/>
              <w:rPr>
                <w:rFonts w:eastAsia="Times New Roman"/>
                <w:noProof/>
              </w:rPr>
            </w:pPr>
            <w:r>
              <w:rPr>
                <w:noProof/>
              </w:rPr>
              <w:t>Le régime finance les types de projets suivants:</w:t>
            </w:r>
          </w:p>
          <w:p w14:paraId="176D191B"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 xml:space="preserve">projets intégrés (consolidation sismique et efficacité énergétique); </w:t>
            </w:r>
          </w:p>
          <w:p w14:paraId="4F68D256"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 xml:space="preserve">les projets de rénovation énergétique. </w:t>
            </w:r>
          </w:p>
          <w:p w14:paraId="035A098F" w14:textId="77777777" w:rsidR="00A345F4" w:rsidRDefault="005E2D4E">
            <w:pPr>
              <w:pStyle w:val="P68B1DB1-Normal14"/>
              <w:spacing w:after="0" w:line="240" w:lineRule="auto"/>
              <w:jc w:val="both"/>
              <w:rPr>
                <w:rFonts w:eastAsia="Times New Roman"/>
                <w:noProof/>
              </w:rPr>
            </w:pPr>
            <w:r>
              <w:rPr>
                <w:noProof/>
              </w:rPr>
              <w:t xml:space="preserve">Le mécanisme de financement garantit qu’au moins 90 % de la dotation totale sont utilisés pour des travaux d’efficacité énergétique et pas plus de 10 % de la dotation sont utilisés pour la consolidation sismique et d’autres travaux complémentaires (tels que la sécurité incendie, l’accessibilité). </w:t>
            </w:r>
          </w:p>
          <w:p w14:paraId="302D5E09" w14:textId="77777777" w:rsidR="00A345F4" w:rsidRDefault="005E2D4E">
            <w:pPr>
              <w:pStyle w:val="P68B1DB1-Normal14"/>
              <w:spacing w:after="0" w:line="240" w:lineRule="auto"/>
              <w:jc w:val="both"/>
              <w:rPr>
                <w:rFonts w:eastAsia="Times New Roman"/>
                <w:noProof/>
              </w:rPr>
            </w:pPr>
            <w:bookmarkStart w:id="6" w:name="_Hlk79745330"/>
            <w:r>
              <w:rPr>
                <w:noProof/>
              </w:rPr>
              <w:t>L’ensemble du système garantit que tous les contrats satisfont à l’exigence pertinente en matière d’efficacité énergétique d’une réduction minimale de la consommation d’énergie d’au moins 50 % par rapport à la consommation annuelle d’énergie pour le chauffage avant la rénovation pour chaque bâtiment (à l’exception des bâtiments ayant un statut de bien culturel), ce qui permet d’économiser au moins 30 % (rénovation modérée) et 60 % (rénovation en profondeur) de la demande d’énergie primaire par rapport à l’état antérieur à la rénovation et respecte les orientations techniques «ne pas causer de préjudice important» (2021/C58/01).</w:t>
            </w:r>
            <w:bookmarkEnd w:id="6"/>
          </w:p>
        </w:tc>
      </w:tr>
      <w:tr w:rsidR="00A345F4" w14:paraId="7DD3480E" w14:textId="77777777" w:rsidTr="00BE5B32">
        <w:trPr>
          <w:trHeight w:val="309"/>
          <w:jc w:val="center"/>
        </w:trPr>
        <w:tc>
          <w:tcPr>
            <w:tcW w:w="779" w:type="dxa"/>
            <w:shd w:val="clear" w:color="auto" w:fill="C6EFCE"/>
            <w:noWrap/>
            <w:hideMark/>
          </w:tcPr>
          <w:p w14:paraId="7B9D1DB3" w14:textId="77777777" w:rsidR="00A345F4" w:rsidRDefault="005E2D4E">
            <w:pPr>
              <w:pStyle w:val="P68B1DB1-Normal14"/>
              <w:spacing w:after="0" w:line="240" w:lineRule="auto"/>
              <w:jc w:val="center"/>
              <w:rPr>
                <w:rFonts w:eastAsia="Times New Roman"/>
                <w:noProof/>
              </w:rPr>
            </w:pPr>
            <w:r>
              <w:rPr>
                <w:noProof/>
              </w:rPr>
              <w:t>96</w:t>
            </w:r>
          </w:p>
        </w:tc>
        <w:tc>
          <w:tcPr>
            <w:tcW w:w="1626" w:type="dxa"/>
            <w:shd w:val="clear" w:color="auto" w:fill="C6EFCE"/>
            <w:noWrap/>
            <w:hideMark/>
          </w:tcPr>
          <w:p w14:paraId="55894D05" w14:textId="77777777" w:rsidR="00A345F4" w:rsidRDefault="005E2D4E">
            <w:pPr>
              <w:pStyle w:val="P68B1DB1-Normal14"/>
              <w:spacing w:after="0" w:line="240" w:lineRule="auto"/>
              <w:jc w:val="both"/>
              <w:rPr>
                <w:rFonts w:eastAsia="Times New Roman"/>
                <w:noProof/>
              </w:rPr>
            </w:pPr>
            <w:r>
              <w:rPr>
                <w:noProof/>
              </w:rPr>
              <w:t>Investissement 1. Mise en place d’un fonds pour la vague de rénovations afin de financer des travaux visant à accroître l’efficacité énergétique du parc immobilier existant</w:t>
            </w:r>
          </w:p>
        </w:tc>
        <w:tc>
          <w:tcPr>
            <w:tcW w:w="1418" w:type="dxa"/>
            <w:shd w:val="clear" w:color="auto" w:fill="C6EFCE"/>
            <w:noWrap/>
            <w:hideMark/>
          </w:tcPr>
          <w:p w14:paraId="0F5C8F5D" w14:textId="13DE6647" w:rsidR="00A345F4" w:rsidRDefault="005E2D4E">
            <w:pPr>
              <w:pStyle w:val="P68B1DB1-Normal14"/>
              <w:spacing w:after="0" w:line="240" w:lineRule="auto"/>
              <w:jc w:val="center"/>
              <w:rPr>
                <w:rFonts w:eastAsia="Times New Roman"/>
                <w:noProof/>
              </w:rPr>
            </w:pPr>
            <w:r>
              <w:rPr>
                <w:noProof/>
              </w:rPr>
              <w:t>Étape</w:t>
            </w:r>
          </w:p>
        </w:tc>
        <w:tc>
          <w:tcPr>
            <w:tcW w:w="1417" w:type="dxa"/>
            <w:shd w:val="clear" w:color="auto" w:fill="C6EFCE"/>
            <w:noWrap/>
            <w:hideMark/>
          </w:tcPr>
          <w:p w14:paraId="6CF48E64" w14:textId="77777777" w:rsidR="00A345F4" w:rsidRDefault="005E2D4E">
            <w:pPr>
              <w:pStyle w:val="P68B1DB1-Normal14"/>
              <w:spacing w:after="0" w:line="240" w:lineRule="auto"/>
              <w:jc w:val="both"/>
              <w:rPr>
                <w:rFonts w:eastAsia="Times New Roman"/>
                <w:noProof/>
              </w:rPr>
            </w:pPr>
            <w:r>
              <w:rPr>
                <w:noProof/>
              </w:rPr>
              <w:t>Mise en place d’un régime national d’aide à la rénovation axée sur l’efficacité énergétique et à la rénovation intégrée (consolidation sismique et efficacité énergétique) pour les bâtiments publics</w:t>
            </w:r>
            <w:r>
              <w:rPr>
                <w:noProof/>
              </w:rPr>
              <w:br/>
            </w:r>
          </w:p>
        </w:tc>
        <w:tc>
          <w:tcPr>
            <w:tcW w:w="1701" w:type="dxa"/>
            <w:shd w:val="clear" w:color="auto" w:fill="C6EFCE"/>
            <w:noWrap/>
            <w:hideMark/>
          </w:tcPr>
          <w:p w14:paraId="7D078796" w14:textId="77777777" w:rsidR="00A345F4" w:rsidRDefault="005E2D4E">
            <w:pPr>
              <w:pStyle w:val="P68B1DB1-Normal14"/>
              <w:spacing w:after="0" w:line="240" w:lineRule="auto"/>
              <w:jc w:val="both"/>
              <w:rPr>
                <w:rFonts w:eastAsia="Times New Roman"/>
                <w:noProof/>
              </w:rPr>
            </w:pPr>
            <w:r>
              <w:rPr>
                <w:noProof/>
              </w:rPr>
              <w:t>Publication de l'arrêté instituant le régime </w:t>
            </w:r>
          </w:p>
        </w:tc>
        <w:tc>
          <w:tcPr>
            <w:tcW w:w="1276" w:type="dxa"/>
            <w:shd w:val="clear" w:color="auto" w:fill="C6EFCE"/>
            <w:noWrap/>
            <w:hideMark/>
          </w:tcPr>
          <w:p w14:paraId="24E99009" w14:textId="77777777" w:rsidR="00A345F4" w:rsidRDefault="005E2D4E">
            <w:pPr>
              <w:pStyle w:val="P68B1DB1-Normal14"/>
              <w:spacing w:after="0" w:line="240" w:lineRule="auto"/>
              <w:jc w:val="both"/>
              <w:rPr>
                <w:rFonts w:eastAsia="Times New Roman"/>
                <w:noProof/>
              </w:rPr>
            </w:pPr>
            <w:r>
              <w:rPr>
                <w:noProof/>
              </w:rPr>
              <w:t xml:space="preserve"> </w:t>
            </w:r>
          </w:p>
        </w:tc>
        <w:tc>
          <w:tcPr>
            <w:tcW w:w="1018" w:type="dxa"/>
            <w:shd w:val="clear" w:color="auto" w:fill="C6EFCE"/>
            <w:noWrap/>
            <w:hideMark/>
          </w:tcPr>
          <w:p w14:paraId="2F477D91" w14:textId="77777777" w:rsidR="00A345F4" w:rsidRDefault="005E2D4E">
            <w:pPr>
              <w:pStyle w:val="P68B1DB1-Normal14"/>
              <w:spacing w:after="0" w:line="240" w:lineRule="auto"/>
              <w:jc w:val="both"/>
              <w:rPr>
                <w:rFonts w:eastAsia="Times New Roman"/>
                <w:noProof/>
              </w:rPr>
            </w:pPr>
            <w:r>
              <w:rPr>
                <w:noProof/>
              </w:rPr>
              <w:t xml:space="preserve"> </w:t>
            </w:r>
          </w:p>
        </w:tc>
        <w:tc>
          <w:tcPr>
            <w:tcW w:w="1560" w:type="dxa"/>
            <w:shd w:val="clear" w:color="auto" w:fill="C6EFCE"/>
            <w:noWrap/>
            <w:hideMark/>
          </w:tcPr>
          <w:p w14:paraId="64A8E469" w14:textId="77777777" w:rsidR="00A345F4" w:rsidRDefault="005E2D4E">
            <w:pPr>
              <w:pStyle w:val="P68B1DB1-Normal14"/>
              <w:spacing w:after="0" w:line="240" w:lineRule="auto"/>
              <w:jc w:val="both"/>
              <w:rPr>
                <w:rFonts w:eastAsia="Times New Roman"/>
                <w:noProof/>
              </w:rPr>
            </w:pPr>
            <w:r>
              <w:rPr>
                <w:noProof/>
              </w:rPr>
              <w:t xml:space="preserve"> </w:t>
            </w:r>
          </w:p>
        </w:tc>
        <w:tc>
          <w:tcPr>
            <w:tcW w:w="1107" w:type="dxa"/>
            <w:shd w:val="clear" w:color="auto" w:fill="C6EFCE"/>
            <w:noWrap/>
            <w:hideMark/>
          </w:tcPr>
          <w:p w14:paraId="3E4F8DF3" w14:textId="77777777" w:rsidR="00A345F4" w:rsidRDefault="005E2D4E">
            <w:pPr>
              <w:pStyle w:val="P68B1DB1-Normal14"/>
              <w:spacing w:after="0" w:line="240" w:lineRule="auto"/>
              <w:jc w:val="both"/>
              <w:rPr>
                <w:rFonts w:eastAsia="Times New Roman"/>
                <w:noProof/>
              </w:rPr>
            </w:pPr>
            <w:r>
              <w:rPr>
                <w:noProof/>
              </w:rPr>
              <w:t>T1</w:t>
            </w:r>
          </w:p>
        </w:tc>
        <w:tc>
          <w:tcPr>
            <w:tcW w:w="993" w:type="dxa"/>
            <w:shd w:val="clear" w:color="auto" w:fill="C6EFCE"/>
            <w:noWrap/>
            <w:hideMark/>
          </w:tcPr>
          <w:p w14:paraId="0D057C25" w14:textId="77777777" w:rsidR="00A345F4" w:rsidRDefault="005E2D4E">
            <w:pPr>
              <w:pStyle w:val="P68B1DB1-Normal14"/>
              <w:spacing w:after="0" w:line="240" w:lineRule="auto"/>
              <w:jc w:val="both"/>
              <w:rPr>
                <w:rFonts w:eastAsia="Times New Roman"/>
                <w:noProof/>
              </w:rPr>
            </w:pPr>
            <w:r>
              <w:rPr>
                <w:noProof/>
              </w:rPr>
              <w:t>2022</w:t>
            </w:r>
          </w:p>
        </w:tc>
        <w:tc>
          <w:tcPr>
            <w:tcW w:w="2835" w:type="dxa"/>
            <w:shd w:val="clear" w:color="auto" w:fill="C6EFCE"/>
            <w:noWrap/>
            <w:hideMark/>
          </w:tcPr>
          <w:p w14:paraId="26785B41" w14:textId="77777777" w:rsidR="00A345F4" w:rsidRDefault="005E2D4E">
            <w:pPr>
              <w:pStyle w:val="P68B1DB1-Normal14"/>
              <w:spacing w:after="0" w:line="240" w:lineRule="auto"/>
              <w:jc w:val="both"/>
              <w:rPr>
                <w:rFonts w:eastAsia="Times New Roman"/>
                <w:noProof/>
              </w:rPr>
            </w:pPr>
            <w:r>
              <w:rPr>
                <w:noProof/>
              </w:rPr>
              <w:t>Le programme finance la rénovation énergétique d'au moins 1,8 million de m² de bâtiments publics. Le régime garantit les types de projets suivants:</w:t>
            </w:r>
          </w:p>
          <w:p w14:paraId="72518ED9"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 xml:space="preserve">projets intégrés (consolidation sismique et efficacité énergétique) </w:t>
            </w:r>
          </w:p>
          <w:p w14:paraId="3DE20A8D"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les projets de rénovation énergétique.</w:t>
            </w:r>
          </w:p>
          <w:p w14:paraId="23BB9678" w14:textId="77777777" w:rsidR="00A345F4" w:rsidRDefault="005E2D4E">
            <w:pPr>
              <w:pStyle w:val="P68B1DB1-Normal14"/>
              <w:spacing w:after="0" w:line="240" w:lineRule="auto"/>
              <w:jc w:val="both"/>
              <w:rPr>
                <w:rFonts w:eastAsia="Times New Roman"/>
                <w:noProof/>
              </w:rPr>
            </w:pPr>
            <w:r>
              <w:rPr>
                <w:noProof/>
              </w:rPr>
              <w:t>Le mécanisme de financement garantit qu’au moins 90 % de la dotation totale sont utilisés pour des travaux d’efficacité énergétique et pas plus de 10 % de la dotation sont utilisés pour la consolidation sismique et d’autres travaux complémentaires (tels que la sécurité incendie, l’accessibilité).</w:t>
            </w:r>
          </w:p>
          <w:p w14:paraId="6E884BDD" w14:textId="77777777" w:rsidR="00A345F4" w:rsidRDefault="005E2D4E">
            <w:pPr>
              <w:pStyle w:val="P68B1DB1-Normal14"/>
              <w:spacing w:after="0" w:line="240" w:lineRule="auto"/>
              <w:jc w:val="both"/>
              <w:rPr>
                <w:rFonts w:eastAsia="Times New Roman"/>
                <w:noProof/>
              </w:rPr>
            </w:pPr>
            <w:bookmarkStart w:id="7" w:name="_Hlk79753549"/>
            <w:r>
              <w:rPr>
                <w:noProof/>
              </w:rPr>
              <w:t>L’ensemble du système garantit que tous les contrats satisfont à l’exigence pertinente en matière d’efficacité énergétique d’une réduction minimale de la consommation d’énergie d’au moins 50 % par rapport à la consommation annuelle d’énergie pour le chauffage avant la rénovation pour chaque bâtiment (à l’exception des bâtiments ayant un statut de bien culturel), ce qui permet d’économiser au moins 30 % (rénovation modérée) et 60 % (rénovation en profondeur) de la demande d’énergie primaire par rapport à l’état antérieur à la rénovation et respecte les orientations techniques «ne pas causer de préjudice important» (2021/C58/01).</w:t>
            </w:r>
            <w:bookmarkEnd w:id="7"/>
          </w:p>
        </w:tc>
      </w:tr>
      <w:tr w:rsidR="00A345F4" w14:paraId="78A66474" w14:textId="77777777" w:rsidTr="00BE5B32">
        <w:trPr>
          <w:trHeight w:val="309"/>
          <w:jc w:val="center"/>
        </w:trPr>
        <w:tc>
          <w:tcPr>
            <w:tcW w:w="779" w:type="dxa"/>
            <w:shd w:val="clear" w:color="auto" w:fill="C6EFCE"/>
            <w:noWrap/>
            <w:hideMark/>
          </w:tcPr>
          <w:p w14:paraId="2D803B25" w14:textId="77777777" w:rsidR="00A345F4" w:rsidRDefault="005E2D4E">
            <w:pPr>
              <w:pStyle w:val="P68B1DB1-Normal14"/>
              <w:spacing w:after="0" w:line="240" w:lineRule="auto"/>
              <w:jc w:val="center"/>
              <w:rPr>
                <w:rFonts w:eastAsia="Times New Roman"/>
                <w:noProof/>
              </w:rPr>
            </w:pPr>
            <w:r>
              <w:rPr>
                <w:noProof/>
              </w:rPr>
              <w:t>97</w:t>
            </w:r>
          </w:p>
        </w:tc>
        <w:tc>
          <w:tcPr>
            <w:tcW w:w="1626" w:type="dxa"/>
            <w:shd w:val="clear" w:color="auto" w:fill="C6EFCE"/>
            <w:noWrap/>
            <w:hideMark/>
          </w:tcPr>
          <w:p w14:paraId="2B69D03C" w14:textId="77777777" w:rsidR="00A345F4" w:rsidRDefault="005E2D4E">
            <w:pPr>
              <w:pStyle w:val="P68B1DB1-Normal14"/>
              <w:spacing w:after="0" w:line="240" w:lineRule="auto"/>
              <w:jc w:val="both"/>
              <w:rPr>
                <w:rFonts w:eastAsia="Times New Roman"/>
                <w:noProof/>
              </w:rPr>
            </w:pPr>
            <w:r>
              <w:rPr>
                <w:noProof/>
              </w:rPr>
              <w:t>Investissement 1. Mise en place d’un fonds pour la vague de rénovations afin de financer des travaux visant à accroître l’efficacité énergétique du parc immobilier existant</w:t>
            </w:r>
          </w:p>
        </w:tc>
        <w:tc>
          <w:tcPr>
            <w:tcW w:w="1418" w:type="dxa"/>
            <w:shd w:val="clear" w:color="auto" w:fill="C6EFCE"/>
            <w:noWrap/>
            <w:hideMark/>
          </w:tcPr>
          <w:p w14:paraId="156666D1" w14:textId="4D5F65A3" w:rsidR="00A345F4" w:rsidRDefault="005E2D4E">
            <w:pPr>
              <w:pStyle w:val="P68B1DB1-Normal14"/>
              <w:spacing w:after="0" w:line="240" w:lineRule="auto"/>
              <w:jc w:val="center"/>
              <w:rPr>
                <w:rFonts w:eastAsia="Times New Roman"/>
                <w:noProof/>
              </w:rPr>
            </w:pPr>
            <w:r>
              <w:rPr>
                <w:noProof/>
              </w:rPr>
              <w:t>Étape</w:t>
            </w:r>
          </w:p>
        </w:tc>
        <w:tc>
          <w:tcPr>
            <w:tcW w:w="1417" w:type="dxa"/>
            <w:shd w:val="clear" w:color="auto" w:fill="C6EFCE"/>
            <w:noWrap/>
            <w:hideMark/>
          </w:tcPr>
          <w:p w14:paraId="14830B50" w14:textId="77777777" w:rsidR="00A345F4" w:rsidRDefault="005E2D4E">
            <w:pPr>
              <w:pStyle w:val="P68B1DB1-Normal14"/>
              <w:spacing w:after="0" w:line="240" w:lineRule="auto"/>
              <w:jc w:val="both"/>
              <w:rPr>
                <w:rFonts w:eastAsia="Times New Roman"/>
                <w:noProof/>
              </w:rPr>
            </w:pPr>
            <w:r>
              <w:rPr>
                <w:noProof/>
              </w:rPr>
              <w:t>Appels à propositions pour la rénovation énergétique et la rénovation intégrée (consolidation sismique et efficacité énergétique) des bâtiments résidentiels</w:t>
            </w:r>
          </w:p>
        </w:tc>
        <w:tc>
          <w:tcPr>
            <w:tcW w:w="1701" w:type="dxa"/>
            <w:shd w:val="clear" w:color="auto" w:fill="C6EFCE"/>
            <w:noWrap/>
            <w:hideMark/>
          </w:tcPr>
          <w:p w14:paraId="0255B610" w14:textId="77777777" w:rsidR="00A345F4" w:rsidRDefault="005E2D4E">
            <w:pPr>
              <w:pStyle w:val="P68B1DB1-Normal14"/>
              <w:spacing w:after="0" w:line="240" w:lineRule="auto"/>
              <w:jc w:val="both"/>
              <w:rPr>
                <w:rFonts w:eastAsia="Times New Roman"/>
                <w:noProof/>
              </w:rPr>
            </w:pPr>
            <w:r>
              <w:rPr>
                <w:noProof/>
              </w:rPr>
              <w:t>Publication des spécificités des appels</w:t>
            </w:r>
          </w:p>
        </w:tc>
        <w:tc>
          <w:tcPr>
            <w:tcW w:w="1276" w:type="dxa"/>
            <w:shd w:val="clear" w:color="auto" w:fill="C6EFCE"/>
            <w:noWrap/>
            <w:hideMark/>
          </w:tcPr>
          <w:p w14:paraId="2D36278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18" w:type="dxa"/>
            <w:shd w:val="clear" w:color="auto" w:fill="C6EFCE"/>
            <w:noWrap/>
            <w:hideMark/>
          </w:tcPr>
          <w:p w14:paraId="11983EB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60" w:type="dxa"/>
            <w:shd w:val="clear" w:color="auto" w:fill="C6EFCE"/>
            <w:noWrap/>
            <w:hideMark/>
          </w:tcPr>
          <w:p w14:paraId="18AAD1F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07" w:type="dxa"/>
            <w:shd w:val="clear" w:color="auto" w:fill="C6EFCE"/>
            <w:noWrap/>
            <w:hideMark/>
          </w:tcPr>
          <w:p w14:paraId="6C44CDC2" w14:textId="77777777" w:rsidR="00A345F4" w:rsidRDefault="005E2D4E">
            <w:pPr>
              <w:pStyle w:val="P68B1DB1-Normal14"/>
              <w:spacing w:after="0" w:line="240" w:lineRule="auto"/>
              <w:jc w:val="both"/>
              <w:rPr>
                <w:rFonts w:eastAsia="Times New Roman"/>
                <w:noProof/>
              </w:rPr>
            </w:pPr>
            <w:r>
              <w:rPr>
                <w:noProof/>
              </w:rPr>
              <w:t>T2</w:t>
            </w:r>
          </w:p>
        </w:tc>
        <w:tc>
          <w:tcPr>
            <w:tcW w:w="993" w:type="dxa"/>
            <w:shd w:val="clear" w:color="auto" w:fill="C6EFCE"/>
            <w:noWrap/>
            <w:hideMark/>
          </w:tcPr>
          <w:p w14:paraId="2696890F" w14:textId="77777777" w:rsidR="00A345F4" w:rsidRDefault="005E2D4E">
            <w:pPr>
              <w:pStyle w:val="P68B1DB1-Normal14"/>
              <w:spacing w:after="0" w:line="240" w:lineRule="auto"/>
              <w:jc w:val="both"/>
              <w:rPr>
                <w:rFonts w:eastAsia="Times New Roman"/>
                <w:noProof/>
              </w:rPr>
            </w:pPr>
            <w:r>
              <w:rPr>
                <w:noProof/>
              </w:rPr>
              <w:t>2022</w:t>
            </w:r>
          </w:p>
        </w:tc>
        <w:tc>
          <w:tcPr>
            <w:tcW w:w="2835" w:type="dxa"/>
            <w:shd w:val="clear" w:color="auto" w:fill="C6EFCE"/>
            <w:noWrap/>
            <w:hideMark/>
          </w:tcPr>
          <w:p w14:paraId="7814C868" w14:textId="77777777" w:rsidR="00A345F4" w:rsidRDefault="005E2D4E">
            <w:pPr>
              <w:pStyle w:val="P68B1DB1-Normal14"/>
              <w:spacing w:after="0" w:line="240" w:lineRule="auto"/>
              <w:jc w:val="both"/>
              <w:rPr>
                <w:rFonts w:eastAsia="Times New Roman"/>
                <w:noProof/>
              </w:rPr>
            </w:pPr>
            <w:r>
              <w:rPr>
                <w:noProof/>
              </w:rPr>
              <w:t xml:space="preserve">Les trois appels à propositions suivants sont publiés par le ministère du développement, des travaux publics et de l’administration pour la rénovation énergétique et la rénovation intégrée (consolidation sismique et efficacité énergétique) des bâtiments résidentiels: </w:t>
            </w:r>
          </w:p>
          <w:p w14:paraId="50593451"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appel à des projets intégrés dans le cadre desquels les interventions de consolidation sismique seront menées de manière intégrée avec celles consacrées à l’amélioration de l’efficacité énergétique. L’appel est consacré aux unités administratives locales situées dans des zones où la valeur maximale de l’accélération au sol pour la conception sismique a(g), conformément à la carte de zonage du territoire roumain figurant dans le code de conception sismique P100-1, est supérieure ou égale à 0,2 g pour IMR=225 ans. La spécification de l’appel exige que la priorité soit accordée aux communautés exposées au risque de pauvreté et d’exclusion sociale.</w:t>
            </w:r>
          </w:p>
          <w:p w14:paraId="0938EF0E"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 xml:space="preserve">demander des projets de rénovation en matière d’efficacité énergétique destinés aux communautés exposées au risque de pauvreté et d’exclusion sociale, dotés d’un budget d’au moins 20 % de la dotation pour l’investissement 1, axe 1, correspondant à l’efficacité énergétique. </w:t>
            </w:r>
          </w:p>
          <w:p w14:paraId="6837A794"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 xml:space="preserve">demander des projets territoriaux de rénovation énergétique ouverts à toutes les unités administratives locales, y compris les six secteurs de Bucarest par comté, en fonction du nombre de bâtiments résidentiels multifamiliaux et de la population du comté. </w:t>
            </w:r>
          </w:p>
          <w:p w14:paraId="3A24BB26" w14:textId="77777777" w:rsidR="00A345F4" w:rsidRDefault="005E2D4E">
            <w:pPr>
              <w:pStyle w:val="P68B1DB1-Normal14"/>
              <w:spacing w:after="0" w:line="240" w:lineRule="auto"/>
              <w:jc w:val="both"/>
              <w:rPr>
                <w:rFonts w:eastAsia="Times New Roman"/>
                <w:noProof/>
              </w:rPr>
            </w:pPr>
            <w:r>
              <w:rPr>
                <w:noProof/>
              </w:rPr>
              <w:t>Les bâtiments classés dans les classes de risque sismique RsI et RsII sont exclus des contrats d’efficacité énergétique attribués dans le cadre des deuxième et troisième appels.</w:t>
            </w:r>
          </w:p>
          <w:p w14:paraId="2E2C673D" w14:textId="77777777" w:rsidR="00A345F4" w:rsidRDefault="005E2D4E">
            <w:pPr>
              <w:pStyle w:val="P68B1DB1-Normal14"/>
              <w:spacing w:after="0" w:line="240" w:lineRule="auto"/>
              <w:jc w:val="both"/>
              <w:rPr>
                <w:rFonts w:eastAsia="Times New Roman"/>
                <w:noProof/>
              </w:rPr>
            </w:pPr>
            <w:r>
              <w:rPr>
                <w:noProof/>
              </w:rPr>
              <w:t xml:space="preserve">Les trois appels à propositions comprennent des critères de sélection stipulant que tous les contrats énoncent l’exigence pertinente en matière d’efficacité énergétique d’une réduction minimale de la consommation d’énergie pour le chauffage d’au moins 50 % par rapport à la consommation annuelle d’énergie pour le chauffage avant la rénovation pour chaque bâtiment (à l’exception des bâtiments ayant un statut de bien culturel), ce qui permet d’économiser au moins 30 % d’énergie primaire par rapport à l’état antérieur à la rénovation (rénovation modérée). Le troisième appel exige que 10 % du budget soient dépensés pour des projets permettant de réaliser au moins 60 % d’économies d’énergie primaire (rénovation en profondeur) par rapport à l’état antérieur à la rénovation. </w:t>
            </w:r>
          </w:p>
          <w:p w14:paraId="78815F1B" w14:textId="77777777" w:rsidR="00A345F4" w:rsidRDefault="005E2D4E">
            <w:pPr>
              <w:pStyle w:val="P68B1DB1-Normal14"/>
              <w:spacing w:after="0" w:line="240" w:lineRule="auto"/>
              <w:jc w:val="both"/>
              <w:rPr>
                <w:rFonts w:eastAsia="Times New Roman"/>
                <w:noProof/>
              </w:rPr>
            </w:pPr>
            <w:r>
              <w:rPr>
                <w:noProof/>
              </w:rPr>
              <w:t xml:space="preserve">L'investissement ne couvre pas le remplacement des chaudières à gaz. </w:t>
            </w:r>
          </w:p>
          <w:p w14:paraId="162A87BF" w14:textId="77777777" w:rsidR="00A345F4" w:rsidRDefault="005E2D4E">
            <w:pPr>
              <w:pStyle w:val="P68B1DB1-Normal14"/>
              <w:spacing w:after="0" w:line="240" w:lineRule="auto"/>
              <w:jc w:val="both"/>
              <w:rPr>
                <w:rFonts w:eastAsia="Times New Roman"/>
                <w:noProof/>
              </w:rPr>
            </w:pPr>
            <w:r>
              <w:rPr>
                <w:noProof/>
              </w:rPr>
              <w:t>Si des fonds n'ont pas été engagés après le premier tour, les fonds restants sont mis aux mêmes conditions à la disposition de toutes les unités administratives locales selon le principe du premier arrivé, premier servi.</w:t>
            </w:r>
          </w:p>
        </w:tc>
      </w:tr>
      <w:tr w:rsidR="00A345F4" w14:paraId="380D2D69" w14:textId="77777777" w:rsidTr="00BE5B32">
        <w:trPr>
          <w:trHeight w:val="309"/>
          <w:jc w:val="center"/>
        </w:trPr>
        <w:tc>
          <w:tcPr>
            <w:tcW w:w="779" w:type="dxa"/>
            <w:shd w:val="clear" w:color="auto" w:fill="C6EFCE"/>
            <w:noWrap/>
          </w:tcPr>
          <w:p w14:paraId="2268AD94" w14:textId="77777777" w:rsidR="00A345F4" w:rsidRDefault="005E2D4E">
            <w:pPr>
              <w:pStyle w:val="P68B1DB1-Normal14"/>
              <w:spacing w:after="0" w:line="240" w:lineRule="auto"/>
              <w:jc w:val="center"/>
              <w:rPr>
                <w:rFonts w:eastAsia="Times New Roman"/>
                <w:noProof/>
              </w:rPr>
            </w:pPr>
            <w:r>
              <w:rPr>
                <w:noProof/>
              </w:rPr>
              <w:t>98</w:t>
            </w:r>
          </w:p>
        </w:tc>
        <w:tc>
          <w:tcPr>
            <w:tcW w:w="1626" w:type="dxa"/>
            <w:shd w:val="clear" w:color="auto" w:fill="C6EFCE"/>
            <w:noWrap/>
          </w:tcPr>
          <w:p w14:paraId="24D7CEEC" w14:textId="77777777" w:rsidR="00A345F4" w:rsidRDefault="005E2D4E">
            <w:pPr>
              <w:pStyle w:val="P68B1DB1-Normal14"/>
              <w:spacing w:after="0" w:line="240" w:lineRule="auto"/>
              <w:jc w:val="both"/>
              <w:rPr>
                <w:rFonts w:eastAsia="Times New Roman"/>
                <w:noProof/>
              </w:rPr>
            </w:pPr>
            <w:r>
              <w:rPr>
                <w:noProof/>
              </w:rPr>
              <w:t>Investissement 1. Mise en place d’un fonds pour la vague de rénovations afin de financer des travaux visant à accroître l’efficacité énergétique du parc immobilier existant</w:t>
            </w:r>
          </w:p>
        </w:tc>
        <w:tc>
          <w:tcPr>
            <w:tcW w:w="1418" w:type="dxa"/>
            <w:shd w:val="clear" w:color="auto" w:fill="C6EFCE"/>
            <w:noWrap/>
          </w:tcPr>
          <w:p w14:paraId="062A0A81" w14:textId="07DD4B4C" w:rsidR="00A345F4" w:rsidRDefault="005E2D4E">
            <w:pPr>
              <w:pStyle w:val="P68B1DB1-Normal14"/>
              <w:spacing w:after="0" w:line="240" w:lineRule="auto"/>
              <w:jc w:val="center"/>
              <w:rPr>
                <w:rFonts w:eastAsia="Times New Roman"/>
                <w:noProof/>
              </w:rPr>
            </w:pPr>
            <w:r>
              <w:rPr>
                <w:noProof/>
              </w:rPr>
              <w:t>Étape</w:t>
            </w:r>
          </w:p>
        </w:tc>
        <w:tc>
          <w:tcPr>
            <w:tcW w:w="1417" w:type="dxa"/>
            <w:shd w:val="clear" w:color="auto" w:fill="C6EFCE"/>
            <w:noWrap/>
          </w:tcPr>
          <w:p w14:paraId="15E1B761" w14:textId="77777777" w:rsidR="00A345F4" w:rsidRDefault="005E2D4E">
            <w:pPr>
              <w:pStyle w:val="P68B1DB1-Normal14"/>
              <w:spacing w:after="0" w:line="240" w:lineRule="auto"/>
              <w:jc w:val="both"/>
              <w:rPr>
                <w:rFonts w:eastAsia="Times New Roman"/>
                <w:noProof/>
              </w:rPr>
            </w:pPr>
            <w:r>
              <w:rPr>
                <w:noProof/>
              </w:rPr>
              <w:t>Appel à propositions pour la rénovation énergétique et la rénovation intégrée (consolidation sismique et efficacité énergétique) (bâtiments publics)</w:t>
            </w:r>
          </w:p>
        </w:tc>
        <w:tc>
          <w:tcPr>
            <w:tcW w:w="1701" w:type="dxa"/>
            <w:shd w:val="clear" w:color="auto" w:fill="C6EFCE"/>
            <w:noWrap/>
          </w:tcPr>
          <w:p w14:paraId="0F44C6C7" w14:textId="77777777" w:rsidR="00A345F4" w:rsidRDefault="005E2D4E">
            <w:pPr>
              <w:pStyle w:val="P68B1DB1-Normal14"/>
              <w:spacing w:after="0" w:line="240" w:lineRule="auto"/>
              <w:jc w:val="both"/>
              <w:rPr>
                <w:rFonts w:eastAsia="Times New Roman"/>
                <w:noProof/>
              </w:rPr>
            </w:pPr>
            <w:r>
              <w:rPr>
                <w:noProof/>
              </w:rPr>
              <w:t>Publication du cahier des charges de l'appel</w:t>
            </w:r>
          </w:p>
        </w:tc>
        <w:tc>
          <w:tcPr>
            <w:tcW w:w="1276" w:type="dxa"/>
            <w:shd w:val="clear" w:color="auto" w:fill="C6EFCE"/>
            <w:noWrap/>
          </w:tcPr>
          <w:p w14:paraId="5C8A7F2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18" w:type="dxa"/>
            <w:shd w:val="clear" w:color="auto" w:fill="C6EFCE"/>
            <w:noWrap/>
          </w:tcPr>
          <w:p w14:paraId="483D0A9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60" w:type="dxa"/>
            <w:shd w:val="clear" w:color="auto" w:fill="C6EFCE"/>
            <w:noWrap/>
          </w:tcPr>
          <w:p w14:paraId="68CBC2E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07" w:type="dxa"/>
            <w:shd w:val="clear" w:color="auto" w:fill="C6EFCE"/>
            <w:noWrap/>
          </w:tcPr>
          <w:p w14:paraId="6C020544" w14:textId="77777777" w:rsidR="00A345F4" w:rsidRDefault="005E2D4E">
            <w:pPr>
              <w:pStyle w:val="P68B1DB1-Normal14"/>
              <w:spacing w:after="0" w:line="240" w:lineRule="auto"/>
              <w:jc w:val="both"/>
              <w:rPr>
                <w:rFonts w:eastAsia="Times New Roman"/>
                <w:noProof/>
              </w:rPr>
            </w:pPr>
            <w:r>
              <w:rPr>
                <w:noProof/>
              </w:rPr>
              <w:t>T2</w:t>
            </w:r>
          </w:p>
        </w:tc>
        <w:tc>
          <w:tcPr>
            <w:tcW w:w="993" w:type="dxa"/>
            <w:shd w:val="clear" w:color="auto" w:fill="C6EFCE"/>
            <w:noWrap/>
          </w:tcPr>
          <w:p w14:paraId="2490F59F" w14:textId="77777777" w:rsidR="00A345F4" w:rsidRDefault="005E2D4E">
            <w:pPr>
              <w:pStyle w:val="P68B1DB1-Normal14"/>
              <w:spacing w:after="0" w:line="240" w:lineRule="auto"/>
              <w:jc w:val="both"/>
              <w:rPr>
                <w:rFonts w:eastAsia="Times New Roman"/>
                <w:noProof/>
              </w:rPr>
            </w:pPr>
            <w:r>
              <w:rPr>
                <w:noProof/>
              </w:rPr>
              <w:t>2022</w:t>
            </w:r>
          </w:p>
        </w:tc>
        <w:tc>
          <w:tcPr>
            <w:tcW w:w="2835" w:type="dxa"/>
            <w:shd w:val="clear" w:color="auto" w:fill="C6EFCE"/>
            <w:noWrap/>
          </w:tcPr>
          <w:p w14:paraId="682B883C" w14:textId="77777777" w:rsidR="00A345F4" w:rsidRDefault="005E2D4E">
            <w:pPr>
              <w:pStyle w:val="P68B1DB1-Normal14"/>
              <w:spacing w:after="0" w:line="240" w:lineRule="auto"/>
              <w:jc w:val="both"/>
              <w:rPr>
                <w:rFonts w:eastAsia="Times New Roman"/>
                <w:noProof/>
              </w:rPr>
            </w:pPr>
            <w:r>
              <w:rPr>
                <w:noProof/>
              </w:rPr>
              <w:t>Appels à propositions publiés par le ministère du développement, des travaux publics et de l’administration pour la rénovation énergétique et la rénovation intégrée (consolidation sismique et efficacité énergétique) des bâtiments publics en vue d’une transition écologique et résiliente:</w:t>
            </w:r>
          </w:p>
          <w:p w14:paraId="69165DD4"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 xml:space="preserve">appel à projets intégrés dans le cadre desquels les interventions de consolidation sismique seront menées de manière intégrée avec celles consacrées à l’amélioration de l’efficacité énergétique. L’appel est consacré aux unités administratives locales situées dans des zones où la valeur maximale de l’accélération au sol pour la conception sismique a(g), conformément à la carte de zonage du territoire roumain figurant dans le code de conception sismique P100-1, est supérieure ou égale à 0,2 g pour IMR=225 ans. </w:t>
            </w:r>
          </w:p>
          <w:p w14:paraId="1A1A8DC5" w14:textId="77777777" w:rsidR="00A345F4" w:rsidRDefault="005E2D4E">
            <w:pPr>
              <w:pStyle w:val="P68B1DB1-Normal14"/>
              <w:numPr>
                <w:ilvl w:val="0"/>
                <w:numId w:val="18"/>
              </w:numPr>
              <w:spacing w:after="0" w:line="240" w:lineRule="auto"/>
              <w:ind w:left="178" w:hanging="218"/>
              <w:contextualSpacing/>
              <w:jc w:val="both"/>
              <w:rPr>
                <w:rFonts w:eastAsia="Times New Roman"/>
                <w:noProof/>
              </w:rPr>
            </w:pPr>
            <w:r>
              <w:rPr>
                <w:noProof/>
              </w:rPr>
              <w:t xml:space="preserve">appel à des projets de rénovation énergétique modérés (80 %) et profonds (20 %), consacrés aux autorités publiques centrales, aux conseils de comté, aux municipalités des sièges de comté et à d’autres municipalités, y compris les six secteurs de Bucarest. </w:t>
            </w:r>
          </w:p>
          <w:p w14:paraId="07BD8CCC" w14:textId="77777777" w:rsidR="00A345F4" w:rsidRDefault="005E2D4E">
            <w:pPr>
              <w:pStyle w:val="P68B1DB1-Normal14"/>
              <w:spacing w:after="0" w:line="240" w:lineRule="auto"/>
              <w:jc w:val="both"/>
              <w:rPr>
                <w:rFonts w:eastAsia="Times New Roman"/>
                <w:noProof/>
              </w:rPr>
            </w:pPr>
            <w:r>
              <w:rPr>
                <w:noProof/>
              </w:rPr>
              <w:t>Les bâtiments classés dans les classes de risque sismique RsI et RsII sont exclus des marchés attribués dans le cadre du deuxième appel.</w:t>
            </w:r>
          </w:p>
          <w:p w14:paraId="0DCF1381" w14:textId="77777777" w:rsidR="00A345F4" w:rsidRDefault="005E2D4E">
            <w:pPr>
              <w:pStyle w:val="P68B1DB1-Normal14"/>
              <w:spacing w:after="0" w:line="240" w:lineRule="auto"/>
              <w:jc w:val="both"/>
              <w:rPr>
                <w:rFonts w:eastAsia="Times New Roman"/>
                <w:noProof/>
              </w:rPr>
            </w:pPr>
            <w:r>
              <w:rPr>
                <w:noProof/>
              </w:rPr>
              <w:t>Les deux appels à propositions comprennent des critères de sélection stipulant que tous les contrats doivent énoncer l’exigence pertinente en matière d’efficacité énergétique d’une réduction minimale de la consommation d’énergie pour le chauffage d’au moins 50 % par rapport à la consommation annuelle d’énergie pour le chauffage avant la rénovation pour chaque bâtiment (à l’exception des bâtiments ayant un statut de bien culturel), ce qui doit permettre d’économiser au moins 30 % d’énergie primaire (rénovation modérée) par rapport à l’état antérieur à la rénovation. Le deuxième appel exige que 20 % du budget soient consacrés à des projets permettant de réaliser au moins 60 % d’économies d’énergie primaire (rénovation en profondeur) par rapport à l’état antérieur à la rénovation.</w:t>
            </w:r>
          </w:p>
          <w:p w14:paraId="5C2BE17A" w14:textId="77777777" w:rsidR="00A345F4" w:rsidRDefault="005E2D4E">
            <w:pPr>
              <w:pStyle w:val="P68B1DB1-Normal14"/>
              <w:spacing w:after="0" w:line="240" w:lineRule="auto"/>
              <w:jc w:val="both"/>
              <w:rPr>
                <w:rFonts w:eastAsia="Times New Roman"/>
                <w:noProof/>
              </w:rPr>
            </w:pPr>
            <w:r>
              <w:rPr>
                <w:noProof/>
              </w:rPr>
              <w:t>Les investissements ne couvrent pas le remplacement des chaudières à gaz.</w:t>
            </w:r>
          </w:p>
          <w:p w14:paraId="1A75E635" w14:textId="77777777" w:rsidR="00A345F4" w:rsidRDefault="005E2D4E">
            <w:pPr>
              <w:pStyle w:val="P68B1DB1-Normal14"/>
              <w:spacing w:before="120" w:after="0" w:line="240" w:lineRule="auto"/>
              <w:jc w:val="both"/>
              <w:rPr>
                <w:rFonts w:eastAsia="Times New Roman"/>
                <w:noProof/>
              </w:rPr>
            </w:pPr>
            <w:r>
              <w:rPr>
                <w:noProof/>
              </w:rPr>
              <w:t>Si des fonds n'ont pas été engagés après le premier tour, les fonds restants sont mis aux mêmes conditions à la disposition de toutes les municipalités selon le principe du premier arrivé, premier servi.</w:t>
            </w:r>
          </w:p>
        </w:tc>
      </w:tr>
      <w:tr w:rsidR="00A345F4" w14:paraId="63205889" w14:textId="77777777" w:rsidTr="00BE5B32">
        <w:trPr>
          <w:trHeight w:val="309"/>
          <w:jc w:val="center"/>
        </w:trPr>
        <w:tc>
          <w:tcPr>
            <w:tcW w:w="779" w:type="dxa"/>
            <w:shd w:val="clear" w:color="auto" w:fill="C6EFCE"/>
            <w:noWrap/>
          </w:tcPr>
          <w:p w14:paraId="6C93EAC9" w14:textId="77777777" w:rsidR="00A345F4" w:rsidRDefault="005E2D4E">
            <w:pPr>
              <w:pStyle w:val="P68B1DB1-Normal14"/>
              <w:spacing w:after="0" w:line="240" w:lineRule="auto"/>
              <w:jc w:val="center"/>
              <w:rPr>
                <w:rFonts w:eastAsia="Times New Roman"/>
                <w:noProof/>
              </w:rPr>
            </w:pPr>
            <w:r>
              <w:rPr>
                <w:noProof/>
              </w:rPr>
              <w:t>99</w:t>
            </w:r>
          </w:p>
        </w:tc>
        <w:tc>
          <w:tcPr>
            <w:tcW w:w="1626" w:type="dxa"/>
            <w:shd w:val="clear" w:color="auto" w:fill="C6EFCE"/>
            <w:noWrap/>
          </w:tcPr>
          <w:p w14:paraId="01A31277" w14:textId="77777777" w:rsidR="00A345F4" w:rsidRDefault="005E2D4E">
            <w:pPr>
              <w:pStyle w:val="P68B1DB1-Normal14"/>
              <w:spacing w:after="0" w:line="240" w:lineRule="auto"/>
              <w:jc w:val="both"/>
              <w:rPr>
                <w:rFonts w:eastAsia="Times New Roman"/>
                <w:noProof/>
              </w:rPr>
            </w:pPr>
            <w:r>
              <w:rPr>
                <w:noProof/>
              </w:rPr>
              <w:t>Investissement 1. Mise en place d’un fonds pour la vague de rénovations afin de financer des travaux visant à accroître l’efficacité énergétique du parc immobilier existant</w:t>
            </w:r>
          </w:p>
        </w:tc>
        <w:tc>
          <w:tcPr>
            <w:tcW w:w="1418" w:type="dxa"/>
            <w:shd w:val="clear" w:color="auto" w:fill="C6EFCE"/>
            <w:noWrap/>
          </w:tcPr>
          <w:p w14:paraId="68081301" w14:textId="08CC567F" w:rsidR="00A345F4" w:rsidRDefault="005E2D4E">
            <w:pPr>
              <w:pStyle w:val="P68B1DB1-Normal14"/>
              <w:spacing w:after="0" w:line="240" w:lineRule="auto"/>
              <w:jc w:val="center"/>
              <w:rPr>
                <w:rFonts w:eastAsia="Times New Roman"/>
                <w:noProof/>
              </w:rPr>
            </w:pPr>
            <w:r>
              <w:rPr>
                <w:noProof/>
              </w:rPr>
              <w:t>Étape</w:t>
            </w:r>
          </w:p>
        </w:tc>
        <w:tc>
          <w:tcPr>
            <w:tcW w:w="1417" w:type="dxa"/>
            <w:shd w:val="clear" w:color="auto" w:fill="C6EFCE"/>
            <w:noWrap/>
          </w:tcPr>
          <w:p w14:paraId="18CDFAEA" w14:textId="77777777" w:rsidR="00A345F4" w:rsidRDefault="005E2D4E">
            <w:pPr>
              <w:pStyle w:val="P68B1DB1-Normal14"/>
              <w:spacing w:after="0" w:line="240" w:lineRule="auto"/>
              <w:jc w:val="both"/>
              <w:rPr>
                <w:rFonts w:eastAsia="Times New Roman"/>
                <w:noProof/>
              </w:rPr>
            </w:pPr>
            <w:r>
              <w:rPr>
                <w:noProof/>
              </w:rPr>
              <w:t>Signature de contrats pour la rénovation énergétique et la rénovation intégrée (consolidation sismique et efficacité énergétique) des bâtiments résidentiels</w:t>
            </w:r>
          </w:p>
        </w:tc>
        <w:tc>
          <w:tcPr>
            <w:tcW w:w="1701" w:type="dxa"/>
            <w:shd w:val="clear" w:color="auto" w:fill="C6EFCE"/>
            <w:noWrap/>
          </w:tcPr>
          <w:p w14:paraId="311F9104" w14:textId="77777777" w:rsidR="00A345F4" w:rsidRDefault="005E2D4E">
            <w:pPr>
              <w:pStyle w:val="P68B1DB1-Normal14"/>
              <w:spacing w:after="0" w:line="240" w:lineRule="auto"/>
              <w:jc w:val="both"/>
              <w:rPr>
                <w:rFonts w:eastAsia="Times New Roman"/>
                <w:noProof/>
              </w:rPr>
            </w:pPr>
            <w:r>
              <w:rPr>
                <w:noProof/>
              </w:rPr>
              <w:t>Signature des contrats</w:t>
            </w:r>
          </w:p>
        </w:tc>
        <w:tc>
          <w:tcPr>
            <w:tcW w:w="1276" w:type="dxa"/>
            <w:shd w:val="clear" w:color="auto" w:fill="C6EFCE"/>
            <w:noWrap/>
          </w:tcPr>
          <w:p w14:paraId="230B0E2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18" w:type="dxa"/>
            <w:shd w:val="clear" w:color="auto" w:fill="C6EFCE"/>
            <w:noWrap/>
          </w:tcPr>
          <w:p w14:paraId="7A2B0E36"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60" w:type="dxa"/>
            <w:shd w:val="clear" w:color="auto" w:fill="C6EFCE"/>
            <w:noWrap/>
          </w:tcPr>
          <w:p w14:paraId="60CD2D3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07" w:type="dxa"/>
            <w:shd w:val="clear" w:color="auto" w:fill="C6EFCE"/>
            <w:noWrap/>
          </w:tcPr>
          <w:p w14:paraId="3A4CA412" w14:textId="77777777" w:rsidR="00A345F4" w:rsidRDefault="005E2D4E">
            <w:pPr>
              <w:pStyle w:val="P68B1DB1-Normal14"/>
              <w:spacing w:after="0" w:line="240" w:lineRule="auto"/>
              <w:jc w:val="both"/>
              <w:rPr>
                <w:rFonts w:eastAsia="Times New Roman"/>
                <w:noProof/>
              </w:rPr>
            </w:pPr>
            <w:r>
              <w:rPr>
                <w:noProof/>
              </w:rPr>
              <w:t>T4</w:t>
            </w:r>
          </w:p>
        </w:tc>
        <w:tc>
          <w:tcPr>
            <w:tcW w:w="993" w:type="dxa"/>
            <w:shd w:val="clear" w:color="auto" w:fill="C6EFCE"/>
            <w:noWrap/>
          </w:tcPr>
          <w:p w14:paraId="293F2181" w14:textId="77777777" w:rsidR="00A345F4" w:rsidRDefault="005E2D4E">
            <w:pPr>
              <w:pStyle w:val="P68B1DB1-Normal14"/>
              <w:spacing w:after="0" w:line="240" w:lineRule="auto"/>
              <w:jc w:val="both"/>
              <w:rPr>
                <w:rFonts w:eastAsia="Times New Roman"/>
                <w:noProof/>
              </w:rPr>
            </w:pPr>
            <w:r>
              <w:rPr>
                <w:noProof/>
              </w:rPr>
              <w:t>2022</w:t>
            </w:r>
          </w:p>
        </w:tc>
        <w:tc>
          <w:tcPr>
            <w:tcW w:w="2835" w:type="dxa"/>
            <w:shd w:val="clear" w:color="auto" w:fill="C6EFCE"/>
            <w:noWrap/>
          </w:tcPr>
          <w:p w14:paraId="75F518F8" w14:textId="77777777" w:rsidR="00A345F4" w:rsidRDefault="005E2D4E">
            <w:pPr>
              <w:pStyle w:val="P68B1DB1-Normal14"/>
              <w:spacing w:after="0" w:line="240" w:lineRule="auto"/>
              <w:jc w:val="both"/>
              <w:rPr>
                <w:rFonts w:eastAsia="Times New Roman"/>
                <w:noProof/>
              </w:rPr>
            </w:pPr>
            <w:r>
              <w:rPr>
                <w:noProof/>
              </w:rPr>
              <w:t>La signature des contrats de rénovation en matière d’efficacité énergétique et de rénovation intégrée (consolidation sismique et efficacité énergétique) pour la transition vers des bâtiments verts et résilients (bâtiments résidentiels) est effectuée conformément aux conditions des jalons 95 et 97.</w:t>
            </w:r>
          </w:p>
          <w:p w14:paraId="56CBCA65" w14:textId="77777777" w:rsidR="00A345F4" w:rsidRDefault="00A345F4">
            <w:pPr>
              <w:spacing w:after="0" w:line="240" w:lineRule="auto"/>
              <w:jc w:val="both"/>
              <w:rPr>
                <w:rFonts w:ascii="Times New Roman" w:eastAsia="Times New Roman" w:hAnsi="Times New Roman" w:cs="Times New Roman"/>
                <w:noProof/>
                <w:sz w:val="20"/>
                <w:szCs w:val="20"/>
              </w:rPr>
            </w:pPr>
          </w:p>
        </w:tc>
      </w:tr>
      <w:tr w:rsidR="00A345F4" w14:paraId="757910F4" w14:textId="77777777" w:rsidTr="00BE5B32">
        <w:trPr>
          <w:trHeight w:val="309"/>
          <w:jc w:val="center"/>
        </w:trPr>
        <w:tc>
          <w:tcPr>
            <w:tcW w:w="779" w:type="dxa"/>
            <w:shd w:val="clear" w:color="auto" w:fill="C6EFCE"/>
            <w:noWrap/>
          </w:tcPr>
          <w:p w14:paraId="6AF1636C" w14:textId="77777777" w:rsidR="00A345F4" w:rsidRDefault="005E2D4E">
            <w:pPr>
              <w:pStyle w:val="P68B1DB1-Normal14"/>
              <w:spacing w:after="0" w:line="240" w:lineRule="auto"/>
              <w:jc w:val="center"/>
              <w:rPr>
                <w:rFonts w:eastAsia="Times New Roman"/>
                <w:noProof/>
              </w:rPr>
            </w:pPr>
            <w:r>
              <w:rPr>
                <w:noProof/>
              </w:rPr>
              <w:t>100</w:t>
            </w:r>
          </w:p>
        </w:tc>
        <w:tc>
          <w:tcPr>
            <w:tcW w:w="1626" w:type="dxa"/>
            <w:shd w:val="clear" w:color="auto" w:fill="C6EFCE"/>
            <w:noWrap/>
          </w:tcPr>
          <w:p w14:paraId="49801667" w14:textId="77777777" w:rsidR="00A345F4" w:rsidRDefault="005E2D4E">
            <w:pPr>
              <w:pStyle w:val="P68B1DB1-Normal14"/>
              <w:spacing w:after="0" w:line="240" w:lineRule="auto"/>
              <w:jc w:val="both"/>
              <w:rPr>
                <w:rFonts w:eastAsia="Times New Roman"/>
                <w:noProof/>
              </w:rPr>
            </w:pPr>
            <w:r>
              <w:rPr>
                <w:noProof/>
              </w:rPr>
              <w:t>Investissement 1. Mise en place d’un fonds pour la vague de rénovations afin de financer des travaux visant à accroître l’efficacité énergétique du parc immobilier existant</w:t>
            </w:r>
          </w:p>
        </w:tc>
        <w:tc>
          <w:tcPr>
            <w:tcW w:w="1418" w:type="dxa"/>
            <w:shd w:val="clear" w:color="auto" w:fill="C6EFCE"/>
            <w:noWrap/>
          </w:tcPr>
          <w:p w14:paraId="51E8441C" w14:textId="1794A225" w:rsidR="00A345F4" w:rsidRDefault="005E2D4E">
            <w:pPr>
              <w:pStyle w:val="P68B1DB1-Normal14"/>
              <w:spacing w:after="0" w:line="240" w:lineRule="auto"/>
              <w:jc w:val="center"/>
              <w:rPr>
                <w:rFonts w:eastAsia="Times New Roman"/>
                <w:noProof/>
              </w:rPr>
            </w:pPr>
            <w:r>
              <w:rPr>
                <w:noProof/>
              </w:rPr>
              <w:t>Étape</w:t>
            </w:r>
          </w:p>
        </w:tc>
        <w:tc>
          <w:tcPr>
            <w:tcW w:w="1417" w:type="dxa"/>
            <w:shd w:val="clear" w:color="auto" w:fill="C6EFCE"/>
            <w:noWrap/>
          </w:tcPr>
          <w:p w14:paraId="5689C614" w14:textId="77777777" w:rsidR="00A345F4" w:rsidRDefault="005E2D4E">
            <w:pPr>
              <w:pStyle w:val="P68B1DB1-Normal14"/>
              <w:spacing w:after="0" w:line="240" w:lineRule="auto"/>
              <w:jc w:val="both"/>
              <w:rPr>
                <w:rFonts w:eastAsia="Times New Roman"/>
                <w:noProof/>
              </w:rPr>
            </w:pPr>
            <w:r>
              <w:rPr>
                <w:noProof/>
              </w:rPr>
              <w:t>Signature de contrats pour la rénovation énergétique et la rénovation intégrée (consolidation sismique et efficacité énergétique) des bâtiments publics</w:t>
            </w:r>
          </w:p>
        </w:tc>
        <w:tc>
          <w:tcPr>
            <w:tcW w:w="1701" w:type="dxa"/>
            <w:shd w:val="clear" w:color="auto" w:fill="C6EFCE"/>
            <w:noWrap/>
          </w:tcPr>
          <w:p w14:paraId="7E80DA48" w14:textId="77777777" w:rsidR="00A345F4" w:rsidRDefault="005E2D4E">
            <w:pPr>
              <w:pStyle w:val="P68B1DB1-Normal14"/>
              <w:spacing w:after="0" w:line="240" w:lineRule="auto"/>
              <w:jc w:val="both"/>
              <w:rPr>
                <w:rFonts w:eastAsia="Times New Roman"/>
                <w:noProof/>
              </w:rPr>
            </w:pPr>
            <w:r>
              <w:rPr>
                <w:noProof/>
              </w:rPr>
              <w:t>Signature des contrats</w:t>
            </w:r>
          </w:p>
        </w:tc>
        <w:tc>
          <w:tcPr>
            <w:tcW w:w="1276" w:type="dxa"/>
            <w:shd w:val="clear" w:color="auto" w:fill="C6EFCE"/>
            <w:noWrap/>
          </w:tcPr>
          <w:p w14:paraId="30430760"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18" w:type="dxa"/>
            <w:shd w:val="clear" w:color="auto" w:fill="C6EFCE"/>
            <w:noWrap/>
          </w:tcPr>
          <w:p w14:paraId="167EB43C"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60" w:type="dxa"/>
            <w:shd w:val="clear" w:color="auto" w:fill="C6EFCE"/>
            <w:noWrap/>
          </w:tcPr>
          <w:p w14:paraId="15D52AC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07" w:type="dxa"/>
            <w:shd w:val="clear" w:color="auto" w:fill="C6EFCE"/>
            <w:noWrap/>
          </w:tcPr>
          <w:p w14:paraId="2DD6EAFD" w14:textId="77777777" w:rsidR="00A345F4" w:rsidRDefault="005E2D4E">
            <w:pPr>
              <w:pStyle w:val="P68B1DB1-Normal14"/>
              <w:spacing w:after="0" w:line="240" w:lineRule="auto"/>
              <w:jc w:val="both"/>
              <w:rPr>
                <w:rFonts w:eastAsia="Times New Roman"/>
                <w:noProof/>
              </w:rPr>
            </w:pPr>
            <w:r>
              <w:rPr>
                <w:noProof/>
              </w:rPr>
              <w:t>T4</w:t>
            </w:r>
          </w:p>
        </w:tc>
        <w:tc>
          <w:tcPr>
            <w:tcW w:w="993" w:type="dxa"/>
            <w:shd w:val="clear" w:color="auto" w:fill="C6EFCE"/>
            <w:noWrap/>
          </w:tcPr>
          <w:p w14:paraId="2901A575" w14:textId="77777777" w:rsidR="00A345F4" w:rsidRDefault="005E2D4E">
            <w:pPr>
              <w:pStyle w:val="P68B1DB1-Normal14"/>
              <w:spacing w:after="0" w:line="240" w:lineRule="auto"/>
              <w:jc w:val="both"/>
              <w:rPr>
                <w:rFonts w:eastAsia="Times New Roman"/>
                <w:noProof/>
              </w:rPr>
            </w:pPr>
            <w:r>
              <w:rPr>
                <w:noProof/>
              </w:rPr>
              <w:t>2022</w:t>
            </w:r>
          </w:p>
        </w:tc>
        <w:tc>
          <w:tcPr>
            <w:tcW w:w="2835" w:type="dxa"/>
            <w:shd w:val="clear" w:color="auto" w:fill="C6EFCE"/>
            <w:noWrap/>
          </w:tcPr>
          <w:p w14:paraId="3F354029" w14:textId="77777777" w:rsidR="00A345F4" w:rsidRDefault="005E2D4E">
            <w:pPr>
              <w:pStyle w:val="P68B1DB1-Normal14"/>
              <w:spacing w:after="0" w:line="240" w:lineRule="auto"/>
              <w:jc w:val="both"/>
              <w:rPr>
                <w:rFonts w:eastAsia="Times New Roman"/>
                <w:noProof/>
              </w:rPr>
            </w:pPr>
            <w:r>
              <w:rPr>
                <w:noProof/>
              </w:rPr>
              <w:t>La signature des contrats de rénovation en matière d’efficacité énergétique et de rénovation intégrée (consolidation sismique et efficacité énergétique) pour la transition vers des bâtiments verts et résilients (bâtiments publics) est effectuée conformément aux conditions des jalons 96 et 98.</w:t>
            </w:r>
          </w:p>
          <w:p w14:paraId="78EB49BF" w14:textId="77777777" w:rsidR="00A345F4" w:rsidRDefault="00A345F4">
            <w:pPr>
              <w:spacing w:after="0" w:line="240" w:lineRule="auto"/>
              <w:jc w:val="both"/>
              <w:rPr>
                <w:rFonts w:ascii="Times New Roman" w:eastAsia="Times New Roman" w:hAnsi="Times New Roman" w:cs="Times New Roman"/>
                <w:noProof/>
                <w:sz w:val="20"/>
                <w:szCs w:val="20"/>
              </w:rPr>
            </w:pPr>
          </w:p>
        </w:tc>
      </w:tr>
      <w:tr w:rsidR="00A345F4" w14:paraId="75158518" w14:textId="77777777" w:rsidTr="00BE5B32">
        <w:trPr>
          <w:trHeight w:val="309"/>
          <w:jc w:val="center"/>
        </w:trPr>
        <w:tc>
          <w:tcPr>
            <w:tcW w:w="779" w:type="dxa"/>
            <w:shd w:val="clear" w:color="auto" w:fill="C6EFCE"/>
            <w:noWrap/>
          </w:tcPr>
          <w:p w14:paraId="408C687C" w14:textId="77777777" w:rsidR="00A345F4" w:rsidRDefault="005E2D4E">
            <w:pPr>
              <w:pStyle w:val="P68B1DB1-Normal14"/>
              <w:spacing w:after="0" w:line="240" w:lineRule="auto"/>
              <w:jc w:val="center"/>
              <w:rPr>
                <w:rFonts w:eastAsia="Times New Roman"/>
                <w:noProof/>
              </w:rPr>
            </w:pPr>
            <w:r>
              <w:rPr>
                <w:noProof/>
              </w:rPr>
              <w:t>103</w:t>
            </w:r>
          </w:p>
        </w:tc>
        <w:tc>
          <w:tcPr>
            <w:tcW w:w="1626" w:type="dxa"/>
            <w:shd w:val="clear" w:color="auto" w:fill="C6EFCE"/>
            <w:noWrap/>
          </w:tcPr>
          <w:p w14:paraId="65914306" w14:textId="77777777" w:rsidR="00A345F4" w:rsidRDefault="005E2D4E">
            <w:pPr>
              <w:pStyle w:val="P68B1DB1-Normal14"/>
              <w:spacing w:after="0" w:line="240" w:lineRule="auto"/>
              <w:jc w:val="both"/>
              <w:rPr>
                <w:rFonts w:eastAsia="Times New Roman"/>
                <w:noProof/>
              </w:rPr>
            </w:pPr>
            <w:r>
              <w:rPr>
                <w:noProof/>
              </w:rPr>
              <w:t>Investissement 1. Mise en place d’un fonds pour la vague de rénovations afin de financer des travaux visant à accroître l’efficacité énergétique du parc immobilier existant</w:t>
            </w:r>
          </w:p>
        </w:tc>
        <w:tc>
          <w:tcPr>
            <w:tcW w:w="1418" w:type="dxa"/>
            <w:shd w:val="clear" w:color="auto" w:fill="C6EFCE"/>
            <w:noWrap/>
          </w:tcPr>
          <w:p w14:paraId="10C51F30" w14:textId="7F6B602B" w:rsidR="00A345F4" w:rsidRDefault="005E2D4E">
            <w:pPr>
              <w:pStyle w:val="P68B1DB1-Normal14"/>
              <w:spacing w:after="0" w:line="240" w:lineRule="auto"/>
              <w:jc w:val="center"/>
              <w:rPr>
                <w:rFonts w:eastAsia="Times New Roman"/>
                <w:noProof/>
              </w:rPr>
            </w:pPr>
            <w:r>
              <w:rPr>
                <w:noProof/>
              </w:rPr>
              <w:t>Objectif</w:t>
            </w:r>
          </w:p>
        </w:tc>
        <w:tc>
          <w:tcPr>
            <w:tcW w:w="1417" w:type="dxa"/>
            <w:shd w:val="clear" w:color="auto" w:fill="C6EFCE"/>
            <w:noWrap/>
          </w:tcPr>
          <w:p w14:paraId="754A3E64" w14:textId="77777777" w:rsidR="00A345F4" w:rsidRDefault="005E2D4E">
            <w:pPr>
              <w:pStyle w:val="P68B1DB1-Normal14"/>
              <w:spacing w:after="0" w:line="240" w:lineRule="auto"/>
              <w:jc w:val="both"/>
              <w:rPr>
                <w:rFonts w:eastAsia="Times New Roman"/>
                <w:noProof/>
              </w:rPr>
            </w:pPr>
            <w:r>
              <w:rPr>
                <w:noProof/>
              </w:rPr>
              <w:t xml:space="preserve">Rénovation énergétique des immeubles résidentiels multifamiliaux </w:t>
            </w:r>
          </w:p>
        </w:tc>
        <w:tc>
          <w:tcPr>
            <w:tcW w:w="1701" w:type="dxa"/>
            <w:shd w:val="clear" w:color="auto" w:fill="C6EFCE"/>
            <w:noWrap/>
          </w:tcPr>
          <w:p w14:paraId="3C4866E2"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76" w:type="dxa"/>
            <w:shd w:val="clear" w:color="auto" w:fill="C6EFCE"/>
            <w:noWrap/>
          </w:tcPr>
          <w:p w14:paraId="409FBCF3" w14:textId="77777777" w:rsidR="00A345F4" w:rsidRDefault="005E2D4E">
            <w:pPr>
              <w:pStyle w:val="P68B1DB1-Normal14"/>
              <w:spacing w:after="0" w:line="240" w:lineRule="auto"/>
              <w:jc w:val="both"/>
              <w:rPr>
                <w:rFonts w:eastAsia="Times New Roman"/>
                <w:noProof/>
              </w:rPr>
            </w:pPr>
            <w:r>
              <w:rPr>
                <w:noProof/>
              </w:rPr>
              <w:t>Numéro (m</w:t>
            </w:r>
            <w:r>
              <w:rPr>
                <w:noProof/>
                <w:vertAlign w:val="superscript"/>
              </w:rPr>
              <w:t xml:space="preserve"> 2</w:t>
            </w:r>
            <w:r>
              <w:rPr>
                <w:noProof/>
              </w:rPr>
              <w:t>)</w:t>
            </w:r>
          </w:p>
        </w:tc>
        <w:tc>
          <w:tcPr>
            <w:tcW w:w="1018" w:type="dxa"/>
            <w:shd w:val="clear" w:color="auto" w:fill="C6EFCE"/>
            <w:noWrap/>
          </w:tcPr>
          <w:p w14:paraId="4B208FBE" w14:textId="77777777" w:rsidR="00A345F4" w:rsidRDefault="005E2D4E">
            <w:pPr>
              <w:pStyle w:val="P68B1DB1-Normal14"/>
              <w:spacing w:after="0" w:line="240" w:lineRule="auto"/>
              <w:jc w:val="both"/>
              <w:rPr>
                <w:rFonts w:eastAsia="Times New Roman"/>
                <w:noProof/>
                <w:highlight w:val="yellow"/>
              </w:rPr>
            </w:pPr>
            <w:r>
              <w:rPr>
                <w:noProof/>
              </w:rPr>
              <w:t>0</w:t>
            </w:r>
          </w:p>
        </w:tc>
        <w:tc>
          <w:tcPr>
            <w:tcW w:w="1560" w:type="dxa"/>
            <w:shd w:val="clear" w:color="auto" w:fill="C6EFCE"/>
            <w:noWrap/>
          </w:tcPr>
          <w:p w14:paraId="3B374138" w14:textId="77777777" w:rsidR="00A345F4" w:rsidRDefault="005E2D4E">
            <w:pPr>
              <w:pStyle w:val="P68B1DB1-Normal14"/>
              <w:spacing w:after="0" w:line="240" w:lineRule="auto"/>
              <w:jc w:val="both"/>
              <w:rPr>
                <w:noProof/>
              </w:rPr>
            </w:pPr>
            <w:r>
              <w:rPr>
                <w:noProof/>
              </w:rPr>
              <w:t>1 051 792</w:t>
            </w:r>
          </w:p>
        </w:tc>
        <w:tc>
          <w:tcPr>
            <w:tcW w:w="1107" w:type="dxa"/>
            <w:shd w:val="clear" w:color="auto" w:fill="C6EFCE"/>
            <w:noWrap/>
          </w:tcPr>
          <w:p w14:paraId="51CDC8F9" w14:textId="77777777" w:rsidR="00A345F4" w:rsidRDefault="005E2D4E">
            <w:pPr>
              <w:pStyle w:val="P68B1DB1-Normal14"/>
              <w:spacing w:after="0" w:line="240" w:lineRule="auto"/>
              <w:jc w:val="both"/>
              <w:rPr>
                <w:rFonts w:eastAsia="Times New Roman"/>
                <w:noProof/>
              </w:rPr>
            </w:pPr>
            <w:r>
              <w:rPr>
                <w:noProof/>
              </w:rPr>
              <w:t>T2</w:t>
            </w:r>
          </w:p>
        </w:tc>
        <w:tc>
          <w:tcPr>
            <w:tcW w:w="993" w:type="dxa"/>
            <w:shd w:val="clear" w:color="auto" w:fill="C6EFCE"/>
            <w:noWrap/>
          </w:tcPr>
          <w:p w14:paraId="5EA3EB2C" w14:textId="77777777" w:rsidR="00A345F4" w:rsidRDefault="005E2D4E">
            <w:pPr>
              <w:pStyle w:val="P68B1DB1-Normal14"/>
              <w:spacing w:after="0" w:line="240" w:lineRule="auto"/>
              <w:jc w:val="both"/>
              <w:rPr>
                <w:rFonts w:eastAsia="Times New Roman"/>
                <w:noProof/>
              </w:rPr>
            </w:pPr>
            <w:r>
              <w:rPr>
                <w:noProof/>
              </w:rPr>
              <w:t>2026</w:t>
            </w:r>
          </w:p>
        </w:tc>
        <w:tc>
          <w:tcPr>
            <w:tcW w:w="2835" w:type="dxa"/>
            <w:shd w:val="clear" w:color="auto" w:fill="C6EFCE"/>
            <w:noWrap/>
          </w:tcPr>
          <w:p w14:paraId="5181D458" w14:textId="77777777" w:rsidR="00A345F4" w:rsidRDefault="005E2D4E">
            <w:pPr>
              <w:pStyle w:val="P68B1DB1-Normal14"/>
              <w:spacing w:after="0" w:line="240" w:lineRule="auto"/>
              <w:jc w:val="both"/>
              <w:rPr>
                <w:noProof/>
              </w:rPr>
            </w:pPr>
            <w:r>
              <w:rPr>
                <w:noProof/>
              </w:rPr>
              <w:t xml:space="preserve">La rénovation énergétique des bâtiments résidentiels multifamiliaux couvre: </w:t>
            </w:r>
          </w:p>
          <w:p w14:paraId="7CBC1A3E" w14:textId="10D482DA" w:rsidR="00A345F4" w:rsidRDefault="005E2D4E">
            <w:pPr>
              <w:pStyle w:val="P68B1DB1-Normal14"/>
              <w:numPr>
                <w:ilvl w:val="0"/>
                <w:numId w:val="11"/>
              </w:numPr>
              <w:spacing w:after="0" w:line="240" w:lineRule="auto"/>
              <w:jc w:val="both"/>
              <w:rPr>
                <w:noProof/>
              </w:rPr>
            </w:pPr>
            <w:r>
              <w:rPr>
                <w:noProof/>
              </w:rPr>
              <w:t xml:space="preserve">981 792 m2 de rénovation modérée (c’est-à-dire une rénovation avec un minimum de 30 % d’économies d’énergie primaire, </w:t>
            </w:r>
          </w:p>
          <w:p w14:paraId="5747BA67" w14:textId="77777777" w:rsidR="00A345F4" w:rsidRDefault="005E2D4E">
            <w:pPr>
              <w:pStyle w:val="P68B1DB1-ListParagraph29"/>
              <w:numPr>
                <w:ilvl w:val="0"/>
                <w:numId w:val="11"/>
              </w:numPr>
              <w:spacing w:after="0" w:line="240" w:lineRule="auto"/>
              <w:jc w:val="both"/>
              <w:rPr>
                <w:noProof/>
              </w:rPr>
            </w:pPr>
            <w:r>
              <w:rPr>
                <w:noProof/>
              </w:rPr>
              <w:t>70 000 m2 de rénovation en profondeur (c’est-à-dire une rénovation avec un minimum de 60 % d’économies de la demande d’énergie primaire).</w:t>
            </w:r>
          </w:p>
          <w:p w14:paraId="75C6E140" w14:textId="4EF3F575" w:rsidR="00A345F4" w:rsidRDefault="005E2D4E">
            <w:pPr>
              <w:pStyle w:val="P68B1DB1-Normal14"/>
              <w:spacing w:after="0" w:line="240" w:lineRule="auto"/>
              <w:jc w:val="both"/>
              <w:rPr>
                <w:noProof/>
              </w:rPr>
            </w:pPr>
            <w:r>
              <w:rPr>
                <w:noProof/>
              </w:rPr>
              <w:t>La rénovation énergétique entraîne une réduction minimale de la consommation d’énergie d’au moins 50 % par rapport à la consommation annuelle d’énergie pour le chauffage avant la rénovation pour chaque bâtiment (à l’exception des bâtiments qui ont le statut de bien culturel).</w:t>
            </w:r>
          </w:p>
          <w:p w14:paraId="69BC3A4D" w14:textId="77777777" w:rsidR="00A345F4" w:rsidRDefault="005E2D4E">
            <w:pPr>
              <w:pStyle w:val="P68B1DB1-Normal14"/>
              <w:spacing w:after="0" w:line="240" w:lineRule="auto"/>
              <w:jc w:val="both"/>
              <w:rPr>
                <w:noProof/>
              </w:rPr>
            </w:pPr>
            <w:r>
              <w:rPr>
                <w:noProof/>
              </w:rPr>
              <w:t>Le certificat de réception de l’achèvement des travaux, le rapport d’audit énergétique ex ante et la performance énergétique ex post sont fournis à titre de preuve de la réalisation de l’objectif.</w:t>
            </w:r>
          </w:p>
        </w:tc>
      </w:tr>
      <w:tr w:rsidR="00A345F4" w14:paraId="2F95D327" w14:textId="77777777" w:rsidTr="00BE5B32">
        <w:trPr>
          <w:trHeight w:val="309"/>
          <w:jc w:val="center"/>
        </w:trPr>
        <w:tc>
          <w:tcPr>
            <w:tcW w:w="779" w:type="dxa"/>
            <w:shd w:val="clear" w:color="auto" w:fill="C6EFCE"/>
            <w:noWrap/>
          </w:tcPr>
          <w:p w14:paraId="559FE3DA" w14:textId="77777777" w:rsidR="00A345F4" w:rsidRDefault="005E2D4E">
            <w:pPr>
              <w:pStyle w:val="P68B1DB1-Normal14"/>
              <w:spacing w:after="0" w:line="240" w:lineRule="auto"/>
              <w:jc w:val="center"/>
              <w:rPr>
                <w:rFonts w:eastAsia="Times New Roman"/>
                <w:noProof/>
              </w:rPr>
            </w:pPr>
            <w:r>
              <w:rPr>
                <w:noProof/>
              </w:rPr>
              <w:t>106</w:t>
            </w:r>
          </w:p>
        </w:tc>
        <w:tc>
          <w:tcPr>
            <w:tcW w:w="1626" w:type="dxa"/>
            <w:shd w:val="clear" w:color="auto" w:fill="C6EFCE"/>
            <w:noWrap/>
          </w:tcPr>
          <w:p w14:paraId="71F4FF07" w14:textId="77777777" w:rsidR="00A345F4" w:rsidRDefault="005E2D4E">
            <w:pPr>
              <w:pStyle w:val="P68B1DB1-Normal14"/>
              <w:spacing w:after="0" w:line="240" w:lineRule="auto"/>
              <w:jc w:val="both"/>
              <w:rPr>
                <w:rFonts w:eastAsia="Times New Roman"/>
                <w:noProof/>
              </w:rPr>
            </w:pPr>
            <w:r>
              <w:rPr>
                <w:noProof/>
              </w:rPr>
              <w:t>Investissement 1.</w:t>
            </w:r>
          </w:p>
          <w:p w14:paraId="5EE8B1C4" w14:textId="77777777" w:rsidR="00A345F4" w:rsidRDefault="005E2D4E">
            <w:pPr>
              <w:pStyle w:val="P68B1DB1-Normal14"/>
              <w:spacing w:after="0" w:line="240" w:lineRule="auto"/>
              <w:jc w:val="both"/>
              <w:rPr>
                <w:rFonts w:eastAsia="Times New Roman"/>
                <w:noProof/>
              </w:rPr>
            </w:pPr>
            <w:r>
              <w:rPr>
                <w:noProof/>
              </w:rPr>
              <w:t>Mise en place d’un fonds pour la vague de rénovations afin de financer des travaux visant à accroître l’efficacité énergétique du parc immobilier existant</w:t>
            </w:r>
          </w:p>
        </w:tc>
        <w:tc>
          <w:tcPr>
            <w:tcW w:w="1418" w:type="dxa"/>
            <w:shd w:val="clear" w:color="auto" w:fill="C6EFCE"/>
            <w:noWrap/>
          </w:tcPr>
          <w:p w14:paraId="1FF8A0B8" w14:textId="77777777" w:rsidR="00A345F4" w:rsidRDefault="005E2D4E">
            <w:pPr>
              <w:pStyle w:val="P68B1DB1-Normal14"/>
              <w:spacing w:after="0" w:line="240" w:lineRule="auto"/>
              <w:jc w:val="center"/>
              <w:rPr>
                <w:rFonts w:eastAsia="Times New Roman"/>
                <w:noProof/>
              </w:rPr>
            </w:pPr>
            <w:r>
              <w:rPr>
                <w:noProof/>
              </w:rPr>
              <w:t>Objectif</w:t>
            </w:r>
          </w:p>
        </w:tc>
        <w:tc>
          <w:tcPr>
            <w:tcW w:w="1417" w:type="dxa"/>
            <w:shd w:val="clear" w:color="auto" w:fill="C6EFCE"/>
            <w:noWrap/>
          </w:tcPr>
          <w:p w14:paraId="203A77A1" w14:textId="77777777" w:rsidR="00A345F4" w:rsidRDefault="005E2D4E">
            <w:pPr>
              <w:pStyle w:val="P68B1DB1-Normal14"/>
              <w:spacing w:after="0" w:line="240" w:lineRule="auto"/>
              <w:jc w:val="both"/>
              <w:rPr>
                <w:rFonts w:eastAsia="Times New Roman"/>
                <w:noProof/>
              </w:rPr>
            </w:pPr>
            <w:r>
              <w:rPr>
                <w:noProof/>
              </w:rPr>
              <w:t xml:space="preserve">Rénovation énergétique des bâtiments publics </w:t>
            </w:r>
          </w:p>
        </w:tc>
        <w:tc>
          <w:tcPr>
            <w:tcW w:w="1701" w:type="dxa"/>
            <w:shd w:val="clear" w:color="auto" w:fill="C6EFCE"/>
            <w:noWrap/>
          </w:tcPr>
          <w:p w14:paraId="7E0C2B9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76" w:type="dxa"/>
            <w:shd w:val="clear" w:color="auto" w:fill="C6EFCE"/>
            <w:noWrap/>
          </w:tcPr>
          <w:p w14:paraId="33F0FA00" w14:textId="77777777" w:rsidR="00A345F4" w:rsidRDefault="005E2D4E">
            <w:pPr>
              <w:pStyle w:val="P68B1DB1-Normal14"/>
              <w:spacing w:after="0" w:line="240" w:lineRule="auto"/>
              <w:jc w:val="both"/>
              <w:rPr>
                <w:rFonts w:eastAsia="Times New Roman"/>
                <w:noProof/>
              </w:rPr>
            </w:pPr>
            <w:r>
              <w:rPr>
                <w:noProof/>
              </w:rPr>
              <w:t>Numéro (m</w:t>
            </w:r>
            <w:r>
              <w:rPr>
                <w:noProof/>
                <w:vertAlign w:val="superscript"/>
              </w:rPr>
              <w:t xml:space="preserve"> 2</w:t>
            </w:r>
            <w:r>
              <w:rPr>
                <w:noProof/>
              </w:rPr>
              <w:t>)</w:t>
            </w:r>
          </w:p>
        </w:tc>
        <w:tc>
          <w:tcPr>
            <w:tcW w:w="1018" w:type="dxa"/>
            <w:shd w:val="clear" w:color="auto" w:fill="C6EFCE"/>
            <w:noWrap/>
          </w:tcPr>
          <w:p w14:paraId="3EB3AA0B" w14:textId="77777777" w:rsidR="00A345F4" w:rsidRDefault="005E2D4E">
            <w:pPr>
              <w:pStyle w:val="P68B1DB1-Normal14"/>
              <w:spacing w:after="0" w:line="240" w:lineRule="auto"/>
              <w:jc w:val="both"/>
              <w:rPr>
                <w:rFonts w:eastAsia="Times New Roman"/>
                <w:noProof/>
              </w:rPr>
            </w:pPr>
            <w:r>
              <w:rPr>
                <w:noProof/>
              </w:rPr>
              <w:t>0</w:t>
            </w:r>
          </w:p>
        </w:tc>
        <w:tc>
          <w:tcPr>
            <w:tcW w:w="1560" w:type="dxa"/>
            <w:shd w:val="clear" w:color="auto" w:fill="C6EFCE"/>
            <w:noWrap/>
          </w:tcPr>
          <w:p w14:paraId="0D8F2BE2" w14:textId="1B0B2260" w:rsidR="00A345F4" w:rsidRDefault="005E2D4E">
            <w:pPr>
              <w:pStyle w:val="P68B1DB1-Normal14"/>
              <w:spacing w:after="0" w:line="240" w:lineRule="auto"/>
              <w:jc w:val="both"/>
              <w:rPr>
                <w:noProof/>
              </w:rPr>
            </w:pPr>
            <w:r>
              <w:rPr>
                <w:noProof/>
              </w:rPr>
              <w:t>286 709</w:t>
            </w:r>
          </w:p>
        </w:tc>
        <w:tc>
          <w:tcPr>
            <w:tcW w:w="1107" w:type="dxa"/>
            <w:shd w:val="clear" w:color="auto" w:fill="C6EFCE"/>
            <w:noWrap/>
          </w:tcPr>
          <w:p w14:paraId="4893464E" w14:textId="77777777" w:rsidR="00A345F4" w:rsidRDefault="005E2D4E">
            <w:pPr>
              <w:pStyle w:val="P68B1DB1-Normal14"/>
              <w:spacing w:after="0" w:line="240" w:lineRule="auto"/>
              <w:jc w:val="both"/>
              <w:rPr>
                <w:rFonts w:eastAsia="Times New Roman"/>
                <w:noProof/>
              </w:rPr>
            </w:pPr>
            <w:r>
              <w:rPr>
                <w:noProof/>
              </w:rPr>
              <w:t>T2</w:t>
            </w:r>
          </w:p>
        </w:tc>
        <w:tc>
          <w:tcPr>
            <w:tcW w:w="993" w:type="dxa"/>
            <w:shd w:val="clear" w:color="auto" w:fill="C6EFCE"/>
            <w:noWrap/>
          </w:tcPr>
          <w:p w14:paraId="54FD09EF" w14:textId="77777777" w:rsidR="00A345F4" w:rsidRDefault="005E2D4E">
            <w:pPr>
              <w:pStyle w:val="P68B1DB1-Normal14"/>
              <w:spacing w:after="0" w:line="240" w:lineRule="auto"/>
              <w:jc w:val="both"/>
              <w:rPr>
                <w:rFonts w:eastAsia="Times New Roman"/>
                <w:noProof/>
              </w:rPr>
            </w:pPr>
            <w:r>
              <w:rPr>
                <w:noProof/>
              </w:rPr>
              <w:t>2026</w:t>
            </w:r>
          </w:p>
        </w:tc>
        <w:tc>
          <w:tcPr>
            <w:tcW w:w="2835" w:type="dxa"/>
            <w:shd w:val="clear" w:color="auto" w:fill="C6EFCE"/>
            <w:noWrap/>
          </w:tcPr>
          <w:p w14:paraId="0A72E95F" w14:textId="77777777" w:rsidR="00A345F4" w:rsidRDefault="005E2D4E">
            <w:pPr>
              <w:pStyle w:val="P68B1DB1-Normal28"/>
              <w:spacing w:after="0" w:line="240" w:lineRule="auto"/>
              <w:jc w:val="both"/>
              <w:rPr>
                <w:noProof/>
              </w:rPr>
            </w:pPr>
            <w:r>
              <w:rPr>
                <w:noProof/>
              </w:rPr>
              <w:t>La rénovation énergétique des bâtiments publics couvre:</w:t>
            </w:r>
          </w:p>
          <w:p w14:paraId="756FA94A" w14:textId="5E5DBEA5" w:rsidR="00A345F4" w:rsidRDefault="005E2D4E">
            <w:pPr>
              <w:pStyle w:val="P68B1DB1-ListParagraph29"/>
              <w:numPr>
                <w:ilvl w:val="0"/>
                <w:numId w:val="12"/>
              </w:numPr>
              <w:spacing w:after="0" w:line="240" w:lineRule="auto"/>
              <w:jc w:val="both"/>
              <w:rPr>
                <w:noProof/>
              </w:rPr>
            </w:pPr>
            <w:r>
              <w:rPr>
                <w:noProof/>
              </w:rPr>
              <w:t xml:space="preserve">25 253 m2 de projets intégrés avec un minimum de 30 % d'économies sur la demande d'énergie primaire, </w:t>
            </w:r>
          </w:p>
          <w:p w14:paraId="57BE7C89" w14:textId="77777777" w:rsidR="00A345F4" w:rsidRDefault="005E2D4E">
            <w:pPr>
              <w:pStyle w:val="P68B1DB1-ListParagraph29"/>
              <w:numPr>
                <w:ilvl w:val="0"/>
                <w:numId w:val="12"/>
              </w:numPr>
              <w:spacing w:after="0" w:line="240" w:lineRule="auto"/>
              <w:jc w:val="both"/>
              <w:rPr>
                <w:noProof/>
              </w:rPr>
            </w:pPr>
            <w:r>
              <w:rPr>
                <w:noProof/>
              </w:rPr>
              <w:t xml:space="preserve">216 456 m2 de rénovation modérée (c’est-à-dire une rénovation avec un minimum de 30 % d’économies de la demande d’énergie primaire), </w:t>
            </w:r>
          </w:p>
          <w:p w14:paraId="41BC68F7" w14:textId="77777777" w:rsidR="00A345F4" w:rsidRDefault="005E2D4E">
            <w:pPr>
              <w:pStyle w:val="P68B1DB1-ListParagraph29"/>
              <w:numPr>
                <w:ilvl w:val="0"/>
                <w:numId w:val="12"/>
              </w:numPr>
              <w:spacing w:after="0" w:line="240" w:lineRule="auto"/>
              <w:jc w:val="both"/>
              <w:rPr>
                <w:noProof/>
              </w:rPr>
            </w:pPr>
            <w:r>
              <w:rPr>
                <w:noProof/>
              </w:rPr>
              <w:t>45 000 m2 de rénovation en profondeur (c’est-à-dire une rénovation avec un minimum de 60 % d’économies de la demande d’énergie primaire).</w:t>
            </w:r>
          </w:p>
          <w:p w14:paraId="7413935C" w14:textId="77777777" w:rsidR="00A345F4" w:rsidRDefault="005E2D4E">
            <w:pPr>
              <w:pStyle w:val="P68B1DB1-Normal14"/>
              <w:spacing w:after="0" w:line="240" w:lineRule="auto"/>
              <w:jc w:val="both"/>
              <w:rPr>
                <w:rFonts w:eastAsia="Times New Roman"/>
                <w:noProof/>
              </w:rPr>
            </w:pPr>
            <w:r>
              <w:rPr>
                <w:noProof/>
              </w:rPr>
              <w:t>La rénovation énergétique entraîne une réduction minimale de la consommation d’énergie d’au moins 50 % par rapport à la consommation annuelle d’énergie pour le chauffage avant la rénovation pour chaque bâtiment (à l’exception des bâtiments ayant le statut de bien culturel).</w:t>
            </w:r>
          </w:p>
          <w:p w14:paraId="2E092323" w14:textId="77777777" w:rsidR="00A345F4" w:rsidRDefault="005E2D4E">
            <w:pPr>
              <w:pStyle w:val="P68B1DB1-Normal14"/>
              <w:spacing w:after="0" w:line="240" w:lineRule="auto"/>
              <w:jc w:val="both"/>
              <w:rPr>
                <w:noProof/>
              </w:rPr>
            </w:pPr>
            <w:r>
              <w:rPr>
                <w:noProof/>
              </w:rPr>
              <w:t>Le certificat de réception d’achèvement des travaux, le rapport d’audit énergétique ex ante et le certificat de performance énergétique ex post sont fournis à titre de preuve de la réalisation de l’objectif.</w:t>
            </w:r>
          </w:p>
        </w:tc>
      </w:tr>
      <w:tr w:rsidR="00A345F4" w14:paraId="48D228F4" w14:textId="77777777" w:rsidTr="00BE5B32">
        <w:trPr>
          <w:trHeight w:val="309"/>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21D2460D" w14:textId="77777777" w:rsidR="00A345F4" w:rsidRDefault="005E2D4E">
            <w:pPr>
              <w:pStyle w:val="P68B1DB1-Normal14"/>
              <w:spacing w:after="0" w:line="240" w:lineRule="auto"/>
              <w:jc w:val="center"/>
              <w:rPr>
                <w:noProof/>
              </w:rPr>
            </w:pPr>
            <w:r>
              <w:rPr>
                <w:noProof/>
              </w:rPr>
              <w:t>107</w:t>
            </w:r>
          </w:p>
        </w:tc>
        <w:tc>
          <w:tcPr>
            <w:tcW w:w="1626" w:type="dxa"/>
            <w:tcBorders>
              <w:top w:val="single" w:sz="4" w:space="0" w:color="auto"/>
              <w:left w:val="single" w:sz="4" w:space="0" w:color="auto"/>
              <w:bottom w:val="single" w:sz="4" w:space="0" w:color="auto"/>
              <w:right w:val="single" w:sz="4" w:space="0" w:color="auto"/>
            </w:tcBorders>
            <w:shd w:val="clear" w:color="auto" w:fill="C6EFCE"/>
            <w:noWrap/>
          </w:tcPr>
          <w:p w14:paraId="1AD6341F" w14:textId="77777777" w:rsidR="00A345F4" w:rsidRDefault="005E2D4E">
            <w:pPr>
              <w:pStyle w:val="P68B1DB1-Normal14"/>
              <w:spacing w:after="0" w:line="240" w:lineRule="auto"/>
              <w:jc w:val="both"/>
              <w:rPr>
                <w:noProof/>
              </w:rPr>
            </w:pPr>
            <w:r>
              <w:rPr>
                <w:noProof/>
              </w:rPr>
              <w:t>Investissement 2. Publication du Registre National Numérique des Bâtiments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269A431C" w14:textId="77777777" w:rsidR="00A345F4" w:rsidRDefault="005E2D4E">
            <w:pPr>
              <w:pStyle w:val="P68B1DB1-Normal14"/>
              <w:spacing w:after="0" w:line="240" w:lineRule="auto"/>
              <w:jc w:val="center"/>
              <w:rPr>
                <w:noProof/>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070D4558" w14:textId="77777777" w:rsidR="00A345F4" w:rsidRDefault="005E2D4E">
            <w:pPr>
              <w:pStyle w:val="P68B1DB1-Normal14"/>
              <w:spacing w:after="0" w:line="240" w:lineRule="auto"/>
              <w:jc w:val="both"/>
              <w:rPr>
                <w:noProof/>
              </w:rPr>
            </w:pPr>
            <w:r>
              <w:rPr>
                <w:noProof/>
              </w:rPr>
              <w:t xml:space="preserve">Publication du registre national numérique des bâtiments </w:t>
            </w:r>
            <w:r>
              <w:rPr>
                <w:noProof/>
              </w:rPr>
              <w:br/>
            </w:r>
          </w:p>
        </w:tc>
        <w:tc>
          <w:tcPr>
            <w:tcW w:w="1701" w:type="dxa"/>
            <w:tcBorders>
              <w:top w:val="single" w:sz="4" w:space="0" w:color="auto"/>
              <w:left w:val="nil"/>
              <w:bottom w:val="single" w:sz="4" w:space="0" w:color="auto"/>
              <w:right w:val="single" w:sz="4" w:space="0" w:color="auto"/>
            </w:tcBorders>
            <w:shd w:val="clear" w:color="auto" w:fill="C6EFCE"/>
            <w:noWrap/>
          </w:tcPr>
          <w:p w14:paraId="2329EEFA" w14:textId="77777777" w:rsidR="00A345F4" w:rsidRDefault="005E2D4E">
            <w:pPr>
              <w:pStyle w:val="P68B1DB1-Normal14"/>
              <w:spacing w:after="0" w:line="240" w:lineRule="auto"/>
              <w:jc w:val="both"/>
              <w:rPr>
                <w:rFonts w:eastAsia="Times New Roman"/>
                <w:noProof/>
              </w:rPr>
            </w:pPr>
            <w:r>
              <w:rPr>
                <w:noProof/>
              </w:rPr>
              <w:t>Le registre national numérique des bâtiments est disponible en ligne, avec une section pilote qui comprend les informations relatives aux bâtiments rénovés dans le cadre du plan national pour la reprise et la résilience.</w:t>
            </w:r>
          </w:p>
        </w:tc>
        <w:tc>
          <w:tcPr>
            <w:tcW w:w="1276" w:type="dxa"/>
            <w:tcBorders>
              <w:top w:val="single" w:sz="4" w:space="0" w:color="auto"/>
              <w:left w:val="nil"/>
              <w:bottom w:val="single" w:sz="4" w:space="0" w:color="auto"/>
              <w:right w:val="single" w:sz="4" w:space="0" w:color="auto"/>
            </w:tcBorders>
            <w:shd w:val="clear" w:color="auto" w:fill="C6EFCE"/>
            <w:noWrap/>
          </w:tcPr>
          <w:p w14:paraId="1AC1B487" w14:textId="77777777" w:rsidR="00A345F4" w:rsidRDefault="00A345F4">
            <w:pPr>
              <w:spacing w:after="0" w:line="240" w:lineRule="auto"/>
              <w:jc w:val="both"/>
              <w:rPr>
                <w:rFonts w:ascii="Times New Roman" w:hAnsi="Times New Roman" w:cs="Times New Roman"/>
                <w:noProof/>
                <w:sz w:val="20"/>
                <w:szCs w:val="20"/>
              </w:rPr>
            </w:pPr>
          </w:p>
        </w:tc>
        <w:tc>
          <w:tcPr>
            <w:tcW w:w="1018" w:type="dxa"/>
            <w:tcBorders>
              <w:top w:val="single" w:sz="4" w:space="0" w:color="auto"/>
              <w:left w:val="nil"/>
              <w:bottom w:val="single" w:sz="4" w:space="0" w:color="auto"/>
              <w:right w:val="single" w:sz="4" w:space="0" w:color="auto"/>
            </w:tcBorders>
            <w:shd w:val="clear" w:color="auto" w:fill="C6EFCE"/>
            <w:noWrap/>
          </w:tcPr>
          <w:p w14:paraId="1437725E" w14:textId="77777777" w:rsidR="00A345F4" w:rsidRDefault="00A345F4">
            <w:pPr>
              <w:spacing w:after="0" w:line="240" w:lineRule="auto"/>
              <w:jc w:val="both"/>
              <w:rPr>
                <w:rFonts w:ascii="Times New Roman" w:hAnsi="Times New Roman" w:cs="Times New Roman"/>
                <w:noProof/>
                <w:sz w:val="20"/>
                <w:szCs w:val="20"/>
              </w:rPr>
            </w:pPr>
          </w:p>
        </w:tc>
        <w:tc>
          <w:tcPr>
            <w:tcW w:w="1560" w:type="dxa"/>
            <w:tcBorders>
              <w:top w:val="single" w:sz="4" w:space="0" w:color="auto"/>
              <w:left w:val="nil"/>
              <w:bottom w:val="single" w:sz="4" w:space="0" w:color="auto"/>
              <w:right w:val="single" w:sz="4" w:space="0" w:color="auto"/>
            </w:tcBorders>
            <w:shd w:val="clear" w:color="auto" w:fill="C6EFCE"/>
            <w:noWrap/>
          </w:tcPr>
          <w:p w14:paraId="2E2B3307" w14:textId="77777777" w:rsidR="00A345F4" w:rsidRDefault="00A345F4">
            <w:pPr>
              <w:spacing w:after="0" w:line="240" w:lineRule="auto"/>
              <w:jc w:val="both"/>
              <w:rPr>
                <w:rFonts w:ascii="Times New Roman" w:hAnsi="Times New Roman" w:cs="Times New Roman"/>
                <w:noProof/>
                <w:sz w:val="20"/>
                <w:szCs w:val="20"/>
              </w:rPr>
            </w:pPr>
          </w:p>
        </w:tc>
        <w:tc>
          <w:tcPr>
            <w:tcW w:w="1107" w:type="dxa"/>
            <w:tcBorders>
              <w:top w:val="single" w:sz="4" w:space="0" w:color="auto"/>
              <w:left w:val="single" w:sz="4" w:space="0" w:color="auto"/>
              <w:bottom w:val="single" w:sz="4" w:space="0" w:color="auto"/>
              <w:right w:val="single" w:sz="4" w:space="0" w:color="auto"/>
            </w:tcBorders>
            <w:shd w:val="clear" w:color="auto" w:fill="C6EFCE"/>
            <w:noWrap/>
          </w:tcPr>
          <w:p w14:paraId="4A5153D5" w14:textId="77777777" w:rsidR="00A345F4" w:rsidRDefault="005E2D4E">
            <w:pPr>
              <w:pStyle w:val="P68B1DB1-Normal14"/>
              <w:spacing w:after="0" w:line="240" w:lineRule="auto"/>
              <w:jc w:val="both"/>
              <w:rPr>
                <w:noProof/>
              </w:rPr>
            </w:pPr>
            <w:r>
              <w:rPr>
                <w:noProof/>
              </w:rPr>
              <w:t>T2</w:t>
            </w:r>
          </w:p>
        </w:tc>
        <w:tc>
          <w:tcPr>
            <w:tcW w:w="993" w:type="dxa"/>
            <w:tcBorders>
              <w:top w:val="single" w:sz="4" w:space="0" w:color="auto"/>
              <w:left w:val="nil"/>
              <w:bottom w:val="single" w:sz="4" w:space="0" w:color="auto"/>
              <w:right w:val="single" w:sz="4" w:space="0" w:color="auto"/>
            </w:tcBorders>
            <w:shd w:val="clear" w:color="auto" w:fill="C6EFCE"/>
            <w:noWrap/>
          </w:tcPr>
          <w:p w14:paraId="2D09E660" w14:textId="77777777" w:rsidR="00A345F4" w:rsidRDefault="005E2D4E">
            <w:pPr>
              <w:pStyle w:val="P68B1DB1-Normal14"/>
              <w:spacing w:after="0" w:line="240" w:lineRule="auto"/>
              <w:jc w:val="both"/>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6FD7BC1A" w14:textId="77777777" w:rsidR="00A345F4" w:rsidRDefault="005E2D4E">
            <w:pPr>
              <w:pStyle w:val="P68B1DB1-Normal14"/>
              <w:spacing w:after="0" w:line="240" w:lineRule="auto"/>
              <w:jc w:val="both"/>
              <w:rPr>
                <w:noProof/>
              </w:rPr>
            </w:pPr>
            <w:r>
              <w:rPr>
                <w:noProof/>
              </w:rPr>
              <w:t>Le registre numérique national surveille les données relatives à la rénovation en matière d’efficacité énergétique (économies d’énergie, réduction des émissions) et les données relatives à la vulnérabilité sismique.</w:t>
            </w:r>
          </w:p>
          <w:p w14:paraId="4258195F" w14:textId="77777777" w:rsidR="00A345F4" w:rsidRDefault="005E2D4E">
            <w:pPr>
              <w:pStyle w:val="P68B1DB1-Normal14"/>
              <w:spacing w:after="0" w:line="240" w:lineRule="auto"/>
              <w:jc w:val="both"/>
              <w:rPr>
                <w:noProof/>
              </w:rPr>
            </w:pPr>
            <w:r>
              <w:rPr>
                <w:noProof/>
              </w:rPr>
              <w:t xml:space="preserve">Le registre des bâtiments contient une base de données géoréférencée des bâtiments publics et privés, complémentaire du géoportail INSPIRE, liée et interopérable avec les bases de données urbaines au niveau local et d’autres systèmes de registres nationaux. Les journaux de bord font partie du registre numérique national des bâtiments en tant que système intégré. Les passeports énergétiques des bâtiments font partie des journaux de bord et contiennent toutes les informations sur les interventions liées à l’énergie au format numérique. </w:t>
            </w:r>
          </w:p>
        </w:tc>
      </w:tr>
      <w:bookmarkEnd w:id="4"/>
    </w:tbl>
    <w:p w14:paraId="4179F181" w14:textId="77777777" w:rsidR="00A345F4" w:rsidRDefault="00A345F4">
      <w:pPr>
        <w:spacing w:before="120" w:after="120" w:line="240" w:lineRule="auto"/>
        <w:jc w:val="both"/>
        <w:rPr>
          <w:rFonts w:ascii="Times New Roman" w:hAnsi="Times New Roman" w:cs="Times New Roman"/>
          <w:noProof/>
        </w:rPr>
        <w:sectPr w:rsidR="00A345F4" w:rsidSect="000A4598">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C1A7FA3" w14:textId="77777777" w:rsidR="00A345F4" w:rsidRDefault="005E2D4E">
      <w:pPr>
        <w:pStyle w:val="P68B1DB1-Normal30"/>
        <w:keepNext/>
        <w:numPr>
          <w:ilvl w:val="0"/>
          <w:numId w:val="1"/>
        </w:numPr>
        <w:tabs>
          <w:tab w:val="left" w:pos="850"/>
        </w:tabs>
        <w:spacing w:before="360" w:after="120" w:line="240" w:lineRule="auto"/>
        <w:jc w:val="both"/>
        <w:outlineLvl w:val="0"/>
        <w:rPr>
          <w:bCs/>
          <w:noProof/>
        </w:rPr>
      </w:pPr>
      <w:r>
        <w:rPr>
          <w:noProof/>
        </w:rPr>
        <w:t xml:space="preserve">Élément 6: Énergie </w:t>
      </w:r>
    </w:p>
    <w:p w14:paraId="4F9F7DFC" w14:textId="77777777" w:rsidR="00A345F4" w:rsidRDefault="005E2D4E">
      <w:pPr>
        <w:pStyle w:val="P68B1DB1-Normal31"/>
        <w:spacing w:before="120" w:after="120" w:line="240" w:lineRule="auto"/>
        <w:jc w:val="both"/>
        <w:rPr>
          <w:noProof/>
        </w:rPr>
      </w:pPr>
      <w:r>
        <w:rPr>
          <w:noProof/>
        </w:rPr>
        <w:t>Le secteur de l’énergie est la principale source (66 %) d’émissions de gaz à effet de serre (GES) en Roumanie. Dans son plan national en matière d’énergie et de climat (PNEC), la Roumanie estime à environ 22,6 milliards d’EUR les besoins d’investissement dans le secteur de l’énergie au cours de la période 2021-2030 pour atteindre les objectifs stratégiques du PNEC à l’horizon 2030.</w:t>
      </w:r>
    </w:p>
    <w:p w14:paraId="34B10A6F" w14:textId="77777777" w:rsidR="00A345F4" w:rsidRDefault="005E2D4E">
      <w:pPr>
        <w:pStyle w:val="P68B1DB1-Normal32"/>
        <w:spacing w:before="120" w:after="120" w:line="240" w:lineRule="auto"/>
        <w:jc w:val="both"/>
        <w:rPr>
          <w:noProof/>
        </w:rPr>
      </w:pPr>
      <w:r>
        <w:rPr>
          <w:noProof/>
        </w:rPr>
        <w:t xml:space="preserve">L’objectif de ce volet est de relever les principaux défis du secteur énergétique roumain en matière de décarbonation et de pollution atmosphérique. Elle vise en particulier à accélérer la décarbonation du secteur de l’énergie en supprimant progressivement les centrales au lignite et au charbon d’ici à 2032 et en facilitant le déploiement des énergies renouvelables et des sources d’énergie alternatives, telles que l’hydrogène vert. Il vise également à accroître la flexibilité du réseau électrique, à numériser le secteur de l’énergie et à réduire l’intensité énergétique de l’industrie. Le volet vise également à </w:t>
      </w:r>
      <w:r>
        <w:rPr>
          <w:noProof/>
          <w:szCs w:val="22"/>
        </w:rPr>
        <w:t>améliorer</w:t>
      </w:r>
      <w:r>
        <w:rPr>
          <w:noProof/>
        </w:rPr>
        <w:t xml:space="preserve"> la gouvernance d'entreprise des entreprises publiques du secteur de l'énergie.</w:t>
      </w:r>
    </w:p>
    <w:p w14:paraId="06EA0EA8" w14:textId="77777777" w:rsidR="00A345F4" w:rsidRDefault="005E2D4E">
      <w:pPr>
        <w:pStyle w:val="P68B1DB1-Normal31"/>
        <w:spacing w:before="120" w:after="120" w:line="240" w:lineRule="auto"/>
        <w:jc w:val="both"/>
        <w:rPr>
          <w:noProof/>
        </w:rPr>
      </w:pPr>
      <w:r>
        <w:rPr>
          <w:noProof/>
        </w:rPr>
        <w:t>Ces investissements et réformes répondent aux recommandations par pays de la Roumanie des deux dernières années visant à «axer la politique économique liée aux investissements sur […] une faible intensité de carbone et l’efficacité énergétique» (recommandation par pays no 4, 2019) et à «axer les investissements sur la transition écologique […], en particulier sur la production et l’utilisation propres et efficaces des infrastructures énergétiques et environnementales, y compris dans les régions charbonnières» (recommandation par pays no 3, 2020).</w:t>
      </w:r>
    </w:p>
    <w:p w14:paraId="5C40FDB3" w14:textId="77777777" w:rsidR="00A345F4" w:rsidRDefault="005E2D4E">
      <w:pPr>
        <w:pStyle w:val="P68B1DB1-Normal31"/>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4519E7C" w14:textId="77777777" w:rsidR="00A345F4" w:rsidRDefault="005E2D4E">
      <w:pPr>
        <w:pStyle w:val="P68B1DB1-Normal31"/>
        <w:keepNext/>
        <w:spacing w:before="120" w:after="120" w:line="240" w:lineRule="auto"/>
        <w:jc w:val="both"/>
        <w:outlineLvl w:val="1"/>
        <w:rPr>
          <w:rFonts w:eastAsia="Yu Gothic Light"/>
          <w:b/>
          <w:bCs/>
          <w:noProof/>
        </w:rPr>
      </w:pPr>
      <w:r>
        <w:rPr>
          <w:b/>
          <w:noProof/>
        </w:rPr>
        <w:t>F.1. Description des réformes et des investissements pour le soutien financier non remboursable</w:t>
      </w:r>
    </w:p>
    <w:p w14:paraId="0A39C874" w14:textId="77777777" w:rsidR="00A345F4" w:rsidRDefault="005E2D4E">
      <w:pPr>
        <w:pStyle w:val="P68B1DB1-Normal12"/>
        <w:suppressAutoHyphens/>
        <w:autoSpaceDN w:val="0"/>
        <w:spacing w:before="240" w:after="0" w:line="240" w:lineRule="auto"/>
        <w:jc w:val="both"/>
        <w:textAlignment w:val="baseline"/>
        <w:rPr>
          <w:rFonts w:eastAsia="Yu Gothic Light"/>
          <w:noProof/>
        </w:rPr>
      </w:pPr>
      <w:r>
        <w:rPr>
          <w:noProof/>
        </w:rPr>
        <w:t>Réforme 1. Réforme du marché de l'électricité, remplacement du charbon dans le bouquet énergétique et soutien à un cadre législatif et réglementaire pour les investissements privés dans la production d'électricité renouvelable</w:t>
      </w:r>
    </w:p>
    <w:p w14:paraId="65CBAF9A" w14:textId="77777777" w:rsidR="00A345F4" w:rsidRDefault="005E2D4E">
      <w:pPr>
        <w:pStyle w:val="P68B1DB1-Normal32"/>
        <w:spacing w:before="120" w:after="120" w:line="240" w:lineRule="auto"/>
        <w:jc w:val="both"/>
        <w:rPr>
          <w:rFonts w:eastAsia="Times New Roman"/>
          <w:noProof/>
        </w:rPr>
      </w:pPr>
      <w:r>
        <w:rPr>
          <w:noProof/>
        </w:rPr>
        <w:t>L’objectif de cette réforme est la décarbonation du secteur de l’énergie.</w:t>
      </w:r>
    </w:p>
    <w:p w14:paraId="521CA041" w14:textId="77777777" w:rsidR="00A345F4" w:rsidRDefault="005E2D4E">
      <w:pPr>
        <w:pStyle w:val="P68B1DB1-Normal33"/>
        <w:spacing w:before="120" w:after="120" w:line="240" w:lineRule="auto"/>
        <w:jc w:val="both"/>
        <w:rPr>
          <w:noProof/>
        </w:rPr>
      </w:pPr>
      <w:r>
        <w:rPr>
          <w:noProof/>
        </w:rPr>
        <w:t>La réforme consiste en des actes législatifs et réglementaires supprimant progressivement le charbon et permettant l’augmentation de la capacité de production d’électricité à partir de sources renouvelables.</w:t>
      </w:r>
    </w:p>
    <w:p w14:paraId="2F3CBA60" w14:textId="77777777" w:rsidR="00A345F4" w:rsidRDefault="005E2D4E">
      <w:pPr>
        <w:pStyle w:val="P68B1DB1-Normal12"/>
        <w:suppressAutoHyphens/>
        <w:autoSpaceDN w:val="0"/>
        <w:spacing w:before="240" w:after="240" w:line="240" w:lineRule="auto"/>
        <w:jc w:val="both"/>
        <w:textAlignment w:val="baseline"/>
        <w:rPr>
          <w:noProof/>
        </w:rPr>
      </w:pPr>
      <w:r>
        <w:rPr>
          <w:noProof/>
        </w:rPr>
        <w:t>Réforme 2. Réformer la gouvernance des entreprises publiques dans le secteur de l'énergie</w:t>
      </w:r>
    </w:p>
    <w:p w14:paraId="47C6C9C5" w14:textId="77777777" w:rsidR="00A345F4" w:rsidRDefault="005E2D4E">
      <w:pPr>
        <w:pStyle w:val="P68B1DB1-Normal34"/>
        <w:suppressAutoHyphens/>
        <w:autoSpaceDN w:val="0"/>
        <w:spacing w:before="120" w:after="120" w:line="240" w:lineRule="auto"/>
        <w:jc w:val="both"/>
        <w:textAlignment w:val="baseline"/>
        <w:rPr>
          <w:noProof/>
        </w:rPr>
      </w:pPr>
      <w:r>
        <w:rPr>
          <w:noProof/>
        </w:rPr>
        <w:t xml:space="preserve">L'objectif de la réforme est de soutenir la réforme de la gouvernance des entreprises publiques dans le secteur de l'énergie. </w:t>
      </w:r>
    </w:p>
    <w:p w14:paraId="30375CB0" w14:textId="77777777" w:rsidR="00A345F4" w:rsidRDefault="005E2D4E">
      <w:pPr>
        <w:pStyle w:val="P68B1DB1-Normal34"/>
        <w:suppressAutoHyphens/>
        <w:autoSpaceDN w:val="0"/>
        <w:spacing w:before="120" w:after="120" w:line="240" w:lineRule="auto"/>
        <w:jc w:val="both"/>
        <w:textAlignment w:val="baseline"/>
        <w:rPr>
          <w:noProof/>
        </w:rPr>
      </w:pPr>
      <w:r>
        <w:rPr>
          <w:noProof/>
        </w:rPr>
        <w:t>La réforme consiste en la sélection et la nomination des membres du conseil d'administration et de surveillance sur la base d'une procédure transparente et concurrentielle.</w:t>
      </w:r>
    </w:p>
    <w:p w14:paraId="56EBA8C6" w14:textId="77777777" w:rsidR="00A345F4" w:rsidRDefault="005E2D4E">
      <w:pPr>
        <w:pStyle w:val="P68B1DB1-Normal35"/>
        <w:spacing w:line="259" w:lineRule="auto"/>
        <w:jc w:val="both"/>
        <w:rPr>
          <w:noProof/>
        </w:rPr>
      </w:pPr>
      <w:r>
        <w:rPr>
          <w:noProof/>
        </w:rPr>
        <w:t xml:space="preserve">Réforme 3. Budgétisation verte </w:t>
      </w:r>
    </w:p>
    <w:p w14:paraId="29B68FCB" w14:textId="77777777" w:rsidR="00A345F4" w:rsidRDefault="005E2D4E">
      <w:pPr>
        <w:pStyle w:val="P68B1DB1-Normal33"/>
        <w:spacing w:line="259" w:lineRule="auto"/>
        <w:jc w:val="both"/>
        <w:rPr>
          <w:noProof/>
        </w:rPr>
      </w:pPr>
      <w:r>
        <w:rPr>
          <w:noProof/>
        </w:rPr>
        <w:t xml:space="preserve">L'objectif de cette réforme est de suivre et d'évaluer l'impact de la politique budgétaire sur les objectifs climatiques et environnementaux. </w:t>
      </w:r>
    </w:p>
    <w:p w14:paraId="5BB72CBF" w14:textId="77777777" w:rsidR="00A345F4" w:rsidRDefault="005E2D4E">
      <w:pPr>
        <w:pStyle w:val="P68B1DB1-Normal33"/>
        <w:spacing w:line="259" w:lineRule="auto"/>
        <w:jc w:val="both"/>
        <w:rPr>
          <w:noProof/>
        </w:rPr>
      </w:pPr>
      <w:r>
        <w:rPr>
          <w:noProof/>
        </w:rPr>
        <w:t>La réforme consiste à appliquer des pratiques budgétaires vertes au budget national.</w:t>
      </w:r>
    </w:p>
    <w:p w14:paraId="1D3C789A" w14:textId="77777777" w:rsidR="00A345F4" w:rsidRDefault="005E2D4E">
      <w:pPr>
        <w:pStyle w:val="P68B1DB1-Normal12"/>
        <w:suppressAutoHyphens/>
        <w:autoSpaceDN w:val="0"/>
        <w:spacing w:before="240" w:after="0" w:line="240" w:lineRule="auto"/>
        <w:jc w:val="both"/>
        <w:textAlignment w:val="baseline"/>
        <w:rPr>
          <w:rFonts w:eastAsia="Yu Gothic Light"/>
          <w:noProof/>
        </w:rPr>
      </w:pPr>
      <w:r>
        <w:rPr>
          <w:noProof/>
        </w:rPr>
        <w:t>Investissement 2a. Capacités de production d’hydrogène vert destinées au stockage de l’électricité et/ou à la décarbonation de l’industrie</w:t>
      </w:r>
    </w:p>
    <w:p w14:paraId="33EB5DEC" w14:textId="77777777" w:rsidR="00A345F4" w:rsidRDefault="005E2D4E">
      <w:pPr>
        <w:pStyle w:val="P68B1DB1-Normal32"/>
        <w:spacing w:before="120" w:after="120" w:line="240" w:lineRule="auto"/>
        <w:jc w:val="both"/>
        <w:rPr>
          <w:noProof/>
        </w:rPr>
      </w:pPr>
      <w:r>
        <w:rPr>
          <w:noProof/>
        </w:rPr>
        <w:t xml:space="preserve">L’objectif de cet investissement est de soutenir le déploiement de capacités de production d’hydrogène vert. </w:t>
      </w:r>
    </w:p>
    <w:p w14:paraId="677F067E" w14:textId="6CE2BFDB" w:rsidR="00A345F4" w:rsidRDefault="005E2D4E">
      <w:pPr>
        <w:pStyle w:val="P68B1DB1-Normal32"/>
        <w:spacing w:before="120" w:after="120" w:line="240" w:lineRule="auto"/>
        <w:jc w:val="both"/>
        <w:rPr>
          <w:noProof/>
        </w:rPr>
      </w:pPr>
      <w:r>
        <w:rPr>
          <w:noProof/>
        </w:rPr>
        <w:t>Cet investissement consiste en l'installation d'électrolyseurs pour permettre la production d'hydrogène renouvelable (vert).</w:t>
      </w:r>
    </w:p>
    <w:p w14:paraId="0F28EEDC" w14:textId="77777777" w:rsidR="00A345F4" w:rsidRDefault="00A345F4">
      <w:pPr>
        <w:spacing w:before="120" w:after="120" w:line="240" w:lineRule="auto"/>
        <w:jc w:val="both"/>
        <w:rPr>
          <w:rFonts w:ascii="Times New Roman" w:eastAsia="Aptos" w:hAnsi="Times New Roman" w:cs="Times New Roman"/>
          <w:noProof/>
          <w:kern w:val="2"/>
          <w14:ligatures w14:val="standardContextual"/>
        </w:rPr>
        <w:sectPr w:rsidR="00A345F4" w:rsidSect="00145434">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08"/>
          <w:docGrid w:linePitch="360"/>
        </w:sectPr>
      </w:pPr>
    </w:p>
    <w:p w14:paraId="306034A8" w14:textId="77777777" w:rsidR="00A345F4" w:rsidRDefault="005E2D4E">
      <w:pPr>
        <w:pStyle w:val="P68B1DB1-Normal31"/>
        <w:keepNext/>
        <w:spacing w:before="120" w:after="120" w:line="240" w:lineRule="auto"/>
        <w:jc w:val="both"/>
        <w:outlineLvl w:val="1"/>
        <w:rPr>
          <w:rFonts w:eastAsia="Yu Gothic Light"/>
          <w:bCs/>
          <w:noProof/>
          <w:u w:val="single"/>
        </w:rPr>
      </w:pPr>
      <w:r>
        <w:rPr>
          <w:b/>
          <w:noProof/>
        </w:rPr>
        <w:t>F.2. Étapes, cibles, indicateurs et calendrier pour le suivi et la mise en œuvre du soutien financier non remboursable</w:t>
      </w:r>
    </w:p>
    <w:tbl>
      <w:tblPr>
        <w:tblW w:w="15593" w:type="dxa"/>
        <w:jc w:val="center"/>
        <w:tblLayout w:type="fixed"/>
        <w:tblLook w:val="04A0" w:firstRow="1" w:lastRow="0" w:firstColumn="1" w:lastColumn="0" w:noHBand="0" w:noVBand="1"/>
      </w:tblPr>
      <w:tblGrid>
        <w:gridCol w:w="791"/>
        <w:gridCol w:w="1823"/>
        <w:gridCol w:w="1221"/>
        <w:gridCol w:w="1782"/>
        <w:gridCol w:w="1822"/>
        <w:gridCol w:w="1332"/>
        <w:gridCol w:w="1332"/>
        <w:gridCol w:w="949"/>
        <w:gridCol w:w="1134"/>
        <w:gridCol w:w="850"/>
        <w:gridCol w:w="2557"/>
      </w:tblGrid>
      <w:tr w:rsidR="00A345F4" w14:paraId="0132E912" w14:textId="77777777" w:rsidTr="00ED5A2F">
        <w:trPr>
          <w:trHeight w:val="567"/>
          <w:tblHeader/>
          <w:jc w:val="center"/>
        </w:trPr>
        <w:tc>
          <w:tcPr>
            <w:tcW w:w="7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D0D67D" w14:textId="77777777" w:rsidR="00A345F4" w:rsidRDefault="005E2D4E">
            <w:pPr>
              <w:pStyle w:val="P68B1DB1-Normal36"/>
              <w:spacing w:after="0" w:line="240" w:lineRule="auto"/>
              <w:jc w:val="center"/>
              <w:rPr>
                <w:rFonts w:eastAsia="Times New Roman"/>
                <w:noProof/>
              </w:rPr>
            </w:pPr>
            <w:r>
              <w:rPr>
                <w:noProof/>
              </w:rPr>
              <w:t>Seq. Num.</w:t>
            </w:r>
          </w:p>
        </w:tc>
        <w:tc>
          <w:tcPr>
            <w:tcW w:w="18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C161DC" w14:textId="77777777" w:rsidR="00A345F4" w:rsidRDefault="005E2D4E">
            <w:pPr>
              <w:pStyle w:val="P68B1DB1-Normal36"/>
              <w:spacing w:after="0" w:line="240" w:lineRule="auto"/>
              <w:jc w:val="center"/>
              <w:rPr>
                <w:rFonts w:eastAsia="Times New Roman"/>
                <w:noProof/>
              </w:rPr>
            </w:pPr>
            <w:r>
              <w:rPr>
                <w:noProof/>
              </w:rPr>
              <w:t>Mesure connexe (réforme ou investissement)</w:t>
            </w:r>
          </w:p>
        </w:tc>
        <w:tc>
          <w:tcPr>
            <w:tcW w:w="12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D416DB" w14:textId="77777777" w:rsidR="00A345F4" w:rsidRDefault="005E2D4E">
            <w:pPr>
              <w:pStyle w:val="P68B1DB1-Normal36"/>
              <w:spacing w:after="0" w:line="240" w:lineRule="auto"/>
              <w:jc w:val="center"/>
              <w:rPr>
                <w:rFonts w:eastAsia="Times New Roman"/>
                <w:noProof/>
              </w:rPr>
            </w:pPr>
            <w:r>
              <w:rPr>
                <w:noProof/>
              </w:rPr>
              <w:t>Étape/cible</w:t>
            </w:r>
          </w:p>
        </w:tc>
        <w:tc>
          <w:tcPr>
            <w:tcW w:w="17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7D928B" w14:textId="77777777" w:rsidR="00A345F4" w:rsidRDefault="005E2D4E">
            <w:pPr>
              <w:pStyle w:val="P68B1DB1-Normal36"/>
              <w:spacing w:after="0" w:line="240" w:lineRule="auto"/>
              <w:jc w:val="center"/>
              <w:rPr>
                <w:rFonts w:eastAsia="Times New Roman"/>
                <w:noProof/>
              </w:rPr>
            </w:pPr>
            <w:r>
              <w:rPr>
                <w:noProof/>
              </w:rPr>
              <w:t>Nom</w:t>
            </w:r>
          </w:p>
        </w:tc>
        <w:tc>
          <w:tcPr>
            <w:tcW w:w="18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6BC72C" w14:textId="77777777" w:rsidR="00A345F4" w:rsidRDefault="005E2D4E">
            <w:pPr>
              <w:pStyle w:val="P68B1DB1-Normal37"/>
              <w:spacing w:after="0" w:line="240" w:lineRule="auto"/>
              <w:jc w:val="center"/>
              <w:rPr>
                <w:rFonts w:eastAsia="Times New Roman"/>
                <w:b/>
                <w:noProof/>
              </w:rPr>
            </w:pPr>
            <w:r>
              <w:rPr>
                <w:b/>
                <w:noProof/>
              </w:rPr>
              <w:t>Indicateurs qualitatifs</w:t>
            </w:r>
            <w:r>
              <w:rPr>
                <w:noProof/>
              </w:rPr>
              <w:br/>
            </w:r>
            <w:r>
              <w:rPr>
                <w:b/>
                <w:noProof/>
              </w:rPr>
              <w:t>(pour les jalons)</w:t>
            </w:r>
          </w:p>
        </w:tc>
        <w:tc>
          <w:tcPr>
            <w:tcW w:w="361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8C4BEC6" w14:textId="77777777" w:rsidR="00A345F4" w:rsidRDefault="005E2D4E">
            <w:pPr>
              <w:pStyle w:val="P68B1DB1-Normal37"/>
              <w:spacing w:after="0" w:line="240" w:lineRule="auto"/>
              <w:jc w:val="center"/>
              <w:rPr>
                <w:rFonts w:eastAsia="Times New Roman"/>
                <w:b/>
                <w:noProof/>
              </w:rPr>
            </w:pPr>
            <w:r>
              <w:rPr>
                <w:b/>
                <w:noProof/>
              </w:rPr>
              <w:t>Indicateurs quantitatifs</w:t>
            </w:r>
            <w:r>
              <w:rPr>
                <w:noProof/>
              </w:rPr>
              <w:br/>
            </w:r>
            <w:r>
              <w:rPr>
                <w:b/>
                <w:noProof/>
              </w:rPr>
              <w:t>(pour les objectifs)</w:t>
            </w:r>
          </w:p>
        </w:tc>
        <w:tc>
          <w:tcPr>
            <w:tcW w:w="1984" w:type="dxa"/>
            <w:gridSpan w:val="2"/>
            <w:tcBorders>
              <w:top w:val="single" w:sz="4" w:space="0" w:color="auto"/>
              <w:left w:val="nil"/>
              <w:bottom w:val="single" w:sz="4" w:space="0" w:color="auto"/>
              <w:right w:val="single" w:sz="4" w:space="0" w:color="auto"/>
            </w:tcBorders>
            <w:shd w:val="clear" w:color="auto" w:fill="BDD7EE"/>
            <w:vAlign w:val="center"/>
            <w:hideMark/>
          </w:tcPr>
          <w:p w14:paraId="6ED778F6" w14:textId="77777777" w:rsidR="00A345F4" w:rsidRDefault="005E2D4E">
            <w:pPr>
              <w:pStyle w:val="P68B1DB1-Normal36"/>
              <w:spacing w:after="0" w:line="240" w:lineRule="auto"/>
              <w:jc w:val="center"/>
              <w:rPr>
                <w:rFonts w:eastAsia="Times New Roman"/>
                <w:noProof/>
              </w:rPr>
            </w:pPr>
            <w:r>
              <w:rPr>
                <w:noProof/>
              </w:rPr>
              <w:t>Calendrier indicatif d'achèvement</w:t>
            </w:r>
          </w:p>
        </w:tc>
        <w:tc>
          <w:tcPr>
            <w:tcW w:w="25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4856B3" w14:textId="77777777" w:rsidR="00A345F4" w:rsidRDefault="005E2D4E">
            <w:pPr>
              <w:pStyle w:val="P68B1DB1-Normal36"/>
              <w:spacing w:after="0" w:line="240" w:lineRule="auto"/>
              <w:jc w:val="center"/>
              <w:rPr>
                <w:rFonts w:eastAsia="Times New Roman"/>
                <w:noProof/>
              </w:rPr>
            </w:pPr>
            <w:r>
              <w:rPr>
                <w:noProof/>
              </w:rPr>
              <w:t>Description de chaque jalon et cible</w:t>
            </w:r>
          </w:p>
        </w:tc>
      </w:tr>
      <w:tr w:rsidR="00A345F4" w14:paraId="65F7B8D8" w14:textId="77777777" w:rsidTr="00ED5A2F">
        <w:trPr>
          <w:trHeight w:val="522"/>
          <w:tblHeader/>
          <w:jc w:val="center"/>
        </w:trPr>
        <w:tc>
          <w:tcPr>
            <w:tcW w:w="791" w:type="dxa"/>
            <w:vMerge/>
            <w:tcBorders>
              <w:top w:val="single" w:sz="4" w:space="0" w:color="auto"/>
              <w:left w:val="single" w:sz="4" w:space="0" w:color="auto"/>
              <w:bottom w:val="single" w:sz="4" w:space="0" w:color="auto"/>
              <w:right w:val="single" w:sz="4" w:space="0" w:color="auto"/>
            </w:tcBorders>
            <w:hideMark/>
          </w:tcPr>
          <w:p w14:paraId="19241B6D"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193CEDCE"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c>
          <w:tcPr>
            <w:tcW w:w="1221" w:type="dxa"/>
            <w:vMerge/>
            <w:tcBorders>
              <w:top w:val="single" w:sz="4" w:space="0" w:color="auto"/>
              <w:left w:val="single" w:sz="4" w:space="0" w:color="auto"/>
              <w:bottom w:val="single" w:sz="4" w:space="0" w:color="auto"/>
              <w:right w:val="single" w:sz="4" w:space="0" w:color="auto"/>
            </w:tcBorders>
            <w:vAlign w:val="center"/>
            <w:hideMark/>
          </w:tcPr>
          <w:p w14:paraId="517BC892"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c>
          <w:tcPr>
            <w:tcW w:w="1782" w:type="dxa"/>
            <w:vMerge/>
            <w:tcBorders>
              <w:top w:val="single" w:sz="4" w:space="0" w:color="auto"/>
              <w:left w:val="single" w:sz="4" w:space="0" w:color="auto"/>
              <w:bottom w:val="single" w:sz="4" w:space="0" w:color="auto"/>
              <w:right w:val="single" w:sz="4" w:space="0" w:color="auto"/>
            </w:tcBorders>
            <w:vAlign w:val="center"/>
            <w:hideMark/>
          </w:tcPr>
          <w:p w14:paraId="14CA6B3C"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c>
          <w:tcPr>
            <w:tcW w:w="1822" w:type="dxa"/>
            <w:vMerge/>
            <w:tcBorders>
              <w:top w:val="single" w:sz="4" w:space="0" w:color="auto"/>
              <w:left w:val="single" w:sz="4" w:space="0" w:color="auto"/>
              <w:bottom w:val="single" w:sz="4" w:space="0" w:color="auto"/>
              <w:right w:val="single" w:sz="4" w:space="0" w:color="auto"/>
            </w:tcBorders>
            <w:vAlign w:val="center"/>
            <w:hideMark/>
          </w:tcPr>
          <w:p w14:paraId="3480A507"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c>
          <w:tcPr>
            <w:tcW w:w="1332" w:type="dxa"/>
            <w:tcBorders>
              <w:top w:val="nil"/>
              <w:left w:val="single" w:sz="4" w:space="0" w:color="auto"/>
              <w:bottom w:val="single" w:sz="4" w:space="0" w:color="auto"/>
              <w:right w:val="single" w:sz="4" w:space="0" w:color="auto"/>
            </w:tcBorders>
            <w:shd w:val="clear" w:color="auto" w:fill="BDD7EE"/>
            <w:vAlign w:val="center"/>
            <w:hideMark/>
          </w:tcPr>
          <w:p w14:paraId="4647DB47" w14:textId="77777777" w:rsidR="00A345F4" w:rsidRDefault="005E2D4E">
            <w:pPr>
              <w:pStyle w:val="P68B1DB1-Normal36"/>
              <w:spacing w:after="0" w:line="240" w:lineRule="auto"/>
              <w:jc w:val="center"/>
              <w:rPr>
                <w:rFonts w:eastAsia="Times New Roman"/>
                <w:noProof/>
              </w:rPr>
            </w:pPr>
            <w:r>
              <w:rPr>
                <w:noProof/>
              </w:rPr>
              <w:t>Unité de mesure</w:t>
            </w:r>
          </w:p>
        </w:tc>
        <w:tc>
          <w:tcPr>
            <w:tcW w:w="1332" w:type="dxa"/>
            <w:tcBorders>
              <w:top w:val="nil"/>
              <w:left w:val="nil"/>
              <w:bottom w:val="single" w:sz="4" w:space="0" w:color="auto"/>
              <w:right w:val="single" w:sz="4" w:space="0" w:color="auto"/>
            </w:tcBorders>
            <w:shd w:val="clear" w:color="auto" w:fill="BDD7EE"/>
            <w:vAlign w:val="center"/>
            <w:hideMark/>
          </w:tcPr>
          <w:p w14:paraId="4DB4158C" w14:textId="77777777" w:rsidR="00A345F4" w:rsidRDefault="005E2D4E">
            <w:pPr>
              <w:pStyle w:val="P68B1DB1-Normal36"/>
              <w:spacing w:after="0" w:line="240" w:lineRule="auto"/>
              <w:jc w:val="center"/>
              <w:rPr>
                <w:rFonts w:eastAsia="Times New Roman"/>
                <w:noProof/>
              </w:rPr>
            </w:pPr>
            <w:r>
              <w:rPr>
                <w:noProof/>
              </w:rPr>
              <w:t xml:space="preserve">Données de référence </w:t>
            </w:r>
          </w:p>
        </w:tc>
        <w:tc>
          <w:tcPr>
            <w:tcW w:w="949" w:type="dxa"/>
            <w:tcBorders>
              <w:top w:val="nil"/>
              <w:left w:val="nil"/>
              <w:bottom w:val="single" w:sz="4" w:space="0" w:color="auto"/>
              <w:right w:val="single" w:sz="4" w:space="0" w:color="auto"/>
            </w:tcBorders>
            <w:shd w:val="clear" w:color="auto" w:fill="BDD7EE"/>
            <w:vAlign w:val="center"/>
            <w:hideMark/>
          </w:tcPr>
          <w:p w14:paraId="10AB8523" w14:textId="77777777" w:rsidR="00A345F4" w:rsidRDefault="005E2D4E">
            <w:pPr>
              <w:pStyle w:val="P68B1DB1-Normal36"/>
              <w:spacing w:after="0" w:line="240" w:lineRule="auto"/>
              <w:jc w:val="center"/>
              <w:rPr>
                <w:rFonts w:eastAsia="Times New Roman"/>
                <w:noProof/>
              </w:rPr>
            </w:pPr>
            <w:r>
              <w:rPr>
                <w:noProof/>
              </w:rPr>
              <w:t xml:space="preserve">Objectif </w:t>
            </w:r>
          </w:p>
        </w:tc>
        <w:tc>
          <w:tcPr>
            <w:tcW w:w="1134" w:type="dxa"/>
            <w:tcBorders>
              <w:top w:val="nil"/>
              <w:left w:val="nil"/>
              <w:bottom w:val="single" w:sz="4" w:space="0" w:color="auto"/>
              <w:right w:val="single" w:sz="4" w:space="0" w:color="auto"/>
            </w:tcBorders>
            <w:shd w:val="clear" w:color="auto" w:fill="BDD7EE"/>
            <w:vAlign w:val="center"/>
            <w:hideMark/>
          </w:tcPr>
          <w:p w14:paraId="1F1F4B0F" w14:textId="77777777" w:rsidR="00A345F4" w:rsidRDefault="005E2D4E">
            <w:pPr>
              <w:pStyle w:val="P68B1DB1-Normal36"/>
              <w:spacing w:after="0" w:line="240" w:lineRule="auto"/>
              <w:jc w:val="center"/>
              <w:rPr>
                <w:rFonts w:eastAsia="Times New Roman"/>
                <w:noProof/>
              </w:rPr>
            </w:pPr>
            <w:r>
              <w:rPr>
                <w:noProof/>
              </w:rPr>
              <w:t>Trimestre</w:t>
            </w:r>
          </w:p>
        </w:tc>
        <w:tc>
          <w:tcPr>
            <w:tcW w:w="850" w:type="dxa"/>
            <w:tcBorders>
              <w:top w:val="nil"/>
              <w:left w:val="nil"/>
              <w:bottom w:val="single" w:sz="4" w:space="0" w:color="auto"/>
              <w:right w:val="single" w:sz="4" w:space="0" w:color="auto"/>
            </w:tcBorders>
            <w:shd w:val="clear" w:color="auto" w:fill="BDD7EE"/>
            <w:vAlign w:val="center"/>
            <w:hideMark/>
          </w:tcPr>
          <w:p w14:paraId="0E8F52E6" w14:textId="77777777" w:rsidR="00A345F4" w:rsidRDefault="005E2D4E">
            <w:pPr>
              <w:pStyle w:val="P68B1DB1-Normal36"/>
              <w:spacing w:after="0" w:line="240" w:lineRule="auto"/>
              <w:jc w:val="center"/>
              <w:rPr>
                <w:rFonts w:eastAsia="Times New Roman"/>
                <w:noProof/>
              </w:rPr>
            </w:pPr>
            <w:r>
              <w:rPr>
                <w:noProof/>
              </w:rPr>
              <w:t>Année</w:t>
            </w:r>
          </w:p>
        </w:tc>
        <w:tc>
          <w:tcPr>
            <w:tcW w:w="2557" w:type="dxa"/>
            <w:vMerge/>
            <w:tcBorders>
              <w:top w:val="single" w:sz="4" w:space="0" w:color="auto"/>
              <w:bottom w:val="single" w:sz="4" w:space="0" w:color="auto"/>
              <w:right w:val="single" w:sz="4" w:space="0" w:color="auto"/>
            </w:tcBorders>
            <w:vAlign w:val="center"/>
            <w:hideMark/>
          </w:tcPr>
          <w:p w14:paraId="2B6BE9DE"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r>
      <w:tr w:rsidR="00A345F4" w14:paraId="2CDD88BF"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6B7B3672" w14:textId="77777777" w:rsidR="00A345F4" w:rsidRDefault="005E2D4E">
            <w:pPr>
              <w:pStyle w:val="P68B1DB1-Normal37"/>
              <w:spacing w:after="0" w:line="240" w:lineRule="auto"/>
              <w:jc w:val="both"/>
              <w:rPr>
                <w:rFonts w:eastAsia="Times New Roman"/>
                <w:noProof/>
              </w:rPr>
            </w:pPr>
            <w:r>
              <w:rPr>
                <w:noProof/>
              </w:rPr>
              <w:t>113</w:t>
            </w:r>
          </w:p>
        </w:tc>
        <w:tc>
          <w:tcPr>
            <w:tcW w:w="1823" w:type="dxa"/>
            <w:tcBorders>
              <w:top w:val="single" w:sz="4" w:space="0" w:color="auto"/>
              <w:left w:val="nil"/>
              <w:bottom w:val="single" w:sz="4" w:space="0" w:color="auto"/>
              <w:right w:val="single" w:sz="4" w:space="0" w:color="auto"/>
            </w:tcBorders>
            <w:shd w:val="clear" w:color="auto" w:fill="C6EFCE"/>
            <w:noWrap/>
          </w:tcPr>
          <w:p w14:paraId="70E4968B" w14:textId="77777777" w:rsidR="00A345F4" w:rsidRDefault="005E2D4E">
            <w:pPr>
              <w:pStyle w:val="P68B1DB1-Normal37"/>
              <w:spacing w:after="0" w:line="240" w:lineRule="auto"/>
              <w:jc w:val="both"/>
              <w:rPr>
                <w:rFonts w:eastAsia="Times New Roman"/>
                <w:noProof/>
              </w:rPr>
            </w:pPr>
            <w:r>
              <w:rPr>
                <w:noProof/>
              </w:rPr>
              <w:t xml:space="preserve">Réforme 1. Réforme du marché de l'électricité, remplacement du charbon dans le bouquet énergétique et soutien à un cadre législatif et réglementaire pour les investissements privés dans la production d'électricité renouvelable </w:t>
            </w:r>
          </w:p>
        </w:tc>
        <w:tc>
          <w:tcPr>
            <w:tcW w:w="1221" w:type="dxa"/>
            <w:tcBorders>
              <w:top w:val="single" w:sz="4" w:space="0" w:color="auto"/>
              <w:left w:val="nil"/>
              <w:bottom w:val="single" w:sz="4" w:space="0" w:color="auto"/>
              <w:right w:val="single" w:sz="4" w:space="0" w:color="auto"/>
            </w:tcBorders>
            <w:shd w:val="clear" w:color="auto" w:fill="C6EFCE"/>
            <w:noWrap/>
          </w:tcPr>
          <w:p w14:paraId="0C703854" w14:textId="77777777" w:rsidR="00A345F4" w:rsidRDefault="005E2D4E">
            <w:pPr>
              <w:pStyle w:val="P68B1DB1-Normal37"/>
              <w:spacing w:after="0" w:line="240" w:lineRule="auto"/>
              <w:jc w:val="both"/>
              <w:rPr>
                <w:rFonts w:eastAsia="Times New Roman"/>
                <w:noProof/>
              </w:rPr>
            </w:pPr>
            <w:r>
              <w:rPr>
                <w:noProof/>
              </w:rPr>
              <w:t>Objectif</w:t>
            </w:r>
          </w:p>
        </w:tc>
        <w:tc>
          <w:tcPr>
            <w:tcW w:w="1782" w:type="dxa"/>
            <w:tcBorders>
              <w:top w:val="single" w:sz="4" w:space="0" w:color="auto"/>
              <w:left w:val="nil"/>
              <w:bottom w:val="single" w:sz="4" w:space="0" w:color="auto"/>
              <w:right w:val="single" w:sz="4" w:space="0" w:color="auto"/>
            </w:tcBorders>
            <w:shd w:val="clear" w:color="auto" w:fill="C6EFCE"/>
            <w:noWrap/>
          </w:tcPr>
          <w:p w14:paraId="482D9C4C" w14:textId="77777777" w:rsidR="00A345F4" w:rsidRDefault="005E2D4E">
            <w:pPr>
              <w:pStyle w:val="P68B1DB1-Normal37"/>
              <w:spacing w:after="0" w:line="240" w:lineRule="auto"/>
              <w:jc w:val="both"/>
              <w:rPr>
                <w:rFonts w:eastAsia="Times New Roman"/>
                <w:noProof/>
              </w:rPr>
            </w:pPr>
            <w:r>
              <w:rPr>
                <w:noProof/>
              </w:rPr>
              <w:t xml:space="preserve">Démantèlement de la capacité de production d'électricité à partir de charbon </w:t>
            </w:r>
          </w:p>
        </w:tc>
        <w:tc>
          <w:tcPr>
            <w:tcW w:w="1822" w:type="dxa"/>
            <w:tcBorders>
              <w:top w:val="single" w:sz="4" w:space="0" w:color="auto"/>
              <w:left w:val="nil"/>
              <w:bottom w:val="single" w:sz="4" w:space="0" w:color="auto"/>
              <w:right w:val="single" w:sz="4" w:space="0" w:color="auto"/>
            </w:tcBorders>
            <w:shd w:val="clear" w:color="auto" w:fill="C6EFCE"/>
            <w:noWrap/>
          </w:tcPr>
          <w:p w14:paraId="18D1E8C7" w14:textId="77777777" w:rsidR="00A345F4" w:rsidRDefault="005E2D4E">
            <w:pPr>
              <w:pStyle w:val="P68B1DB1-Normal37"/>
              <w:spacing w:after="0" w:line="240" w:lineRule="auto"/>
              <w:jc w:val="both"/>
              <w:rPr>
                <w:rFonts w:eastAsia="Times New Roman"/>
                <w:noProof/>
              </w:rPr>
            </w:pPr>
            <w:r>
              <w:rPr>
                <w:noProof/>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47DBD39D" w14:textId="77777777" w:rsidR="00A345F4" w:rsidRDefault="005E2D4E">
            <w:pPr>
              <w:pStyle w:val="P68B1DB1-Normal37"/>
              <w:spacing w:after="0" w:line="240" w:lineRule="auto"/>
              <w:jc w:val="both"/>
              <w:rPr>
                <w:rFonts w:eastAsia="Times New Roman"/>
                <w:noProof/>
              </w:rPr>
            </w:pPr>
            <w:r>
              <w:rPr>
                <w:noProof/>
              </w:rPr>
              <w:t>Mégawatts (MW)</w:t>
            </w:r>
          </w:p>
        </w:tc>
        <w:tc>
          <w:tcPr>
            <w:tcW w:w="1332" w:type="dxa"/>
            <w:tcBorders>
              <w:top w:val="single" w:sz="4" w:space="0" w:color="auto"/>
              <w:left w:val="nil"/>
              <w:bottom w:val="single" w:sz="4" w:space="0" w:color="auto"/>
              <w:right w:val="single" w:sz="4" w:space="0" w:color="auto"/>
            </w:tcBorders>
            <w:shd w:val="clear" w:color="auto" w:fill="C6EFCE"/>
            <w:noWrap/>
          </w:tcPr>
          <w:p w14:paraId="57520626" w14:textId="77777777" w:rsidR="00A345F4" w:rsidRDefault="005E2D4E">
            <w:pPr>
              <w:pStyle w:val="P68B1DB1-Normal37"/>
              <w:spacing w:after="0" w:line="240" w:lineRule="auto"/>
              <w:jc w:val="both"/>
              <w:rPr>
                <w:rFonts w:eastAsia="Times New Roman"/>
                <w:noProof/>
              </w:rPr>
            </w:pPr>
            <w:r>
              <w:rPr>
                <w:noProof/>
              </w:rPr>
              <w:t> 0</w:t>
            </w:r>
          </w:p>
        </w:tc>
        <w:tc>
          <w:tcPr>
            <w:tcW w:w="949" w:type="dxa"/>
            <w:tcBorders>
              <w:top w:val="single" w:sz="4" w:space="0" w:color="auto"/>
              <w:left w:val="nil"/>
              <w:bottom w:val="single" w:sz="4" w:space="0" w:color="auto"/>
              <w:right w:val="single" w:sz="4" w:space="0" w:color="auto"/>
            </w:tcBorders>
            <w:shd w:val="clear" w:color="auto" w:fill="C6EFCE"/>
            <w:noWrap/>
          </w:tcPr>
          <w:p w14:paraId="00C2D107" w14:textId="77777777" w:rsidR="00A345F4" w:rsidRDefault="005E2D4E">
            <w:pPr>
              <w:pStyle w:val="P68B1DB1-Normal37"/>
              <w:spacing w:after="0" w:line="240" w:lineRule="auto"/>
              <w:jc w:val="both"/>
              <w:rPr>
                <w:rFonts w:eastAsia="Times New Roman"/>
                <w:noProof/>
              </w:rPr>
            </w:pPr>
            <w:r>
              <w:rPr>
                <w:noProof/>
              </w:rPr>
              <w:t>1 695</w:t>
            </w:r>
          </w:p>
        </w:tc>
        <w:tc>
          <w:tcPr>
            <w:tcW w:w="1134" w:type="dxa"/>
            <w:tcBorders>
              <w:top w:val="single" w:sz="4" w:space="0" w:color="auto"/>
              <w:left w:val="nil"/>
              <w:bottom w:val="single" w:sz="4" w:space="0" w:color="auto"/>
              <w:right w:val="single" w:sz="4" w:space="0" w:color="auto"/>
            </w:tcBorders>
            <w:shd w:val="clear" w:color="auto" w:fill="C6EFCE"/>
            <w:noWrap/>
          </w:tcPr>
          <w:p w14:paraId="4CD99843" w14:textId="77777777" w:rsidR="00A345F4" w:rsidRDefault="005E2D4E">
            <w:pPr>
              <w:pStyle w:val="P68B1DB1-Normal37"/>
              <w:spacing w:after="0" w:line="240" w:lineRule="auto"/>
              <w:jc w:val="both"/>
              <w:rPr>
                <w:rFonts w:eastAsia="Times New Roman"/>
                <w:noProof/>
              </w:rPr>
            </w:pPr>
            <w:r>
              <w:rPr>
                <w:noProof/>
              </w:rPr>
              <w:t>T4</w:t>
            </w:r>
          </w:p>
        </w:tc>
        <w:tc>
          <w:tcPr>
            <w:tcW w:w="850" w:type="dxa"/>
            <w:tcBorders>
              <w:top w:val="single" w:sz="4" w:space="0" w:color="auto"/>
              <w:left w:val="nil"/>
              <w:bottom w:val="single" w:sz="4" w:space="0" w:color="auto"/>
              <w:right w:val="single" w:sz="4" w:space="0" w:color="auto"/>
            </w:tcBorders>
            <w:shd w:val="clear" w:color="auto" w:fill="C6EFCE"/>
            <w:noWrap/>
          </w:tcPr>
          <w:p w14:paraId="52B32E50" w14:textId="77777777" w:rsidR="00A345F4" w:rsidRDefault="005E2D4E">
            <w:pPr>
              <w:pStyle w:val="P68B1DB1-Normal37"/>
              <w:spacing w:after="0" w:line="240" w:lineRule="auto"/>
              <w:jc w:val="both"/>
              <w:rPr>
                <w:rFonts w:eastAsia="Times New Roman"/>
                <w:noProof/>
              </w:rPr>
            </w:pPr>
            <w:r>
              <w:rPr>
                <w:noProof/>
              </w:rPr>
              <w:t>2021</w:t>
            </w:r>
          </w:p>
        </w:tc>
        <w:tc>
          <w:tcPr>
            <w:tcW w:w="2557" w:type="dxa"/>
            <w:tcBorders>
              <w:top w:val="single" w:sz="4" w:space="0" w:color="auto"/>
              <w:left w:val="nil"/>
              <w:bottom w:val="single" w:sz="4" w:space="0" w:color="auto"/>
              <w:right w:val="single" w:sz="4" w:space="0" w:color="auto"/>
            </w:tcBorders>
            <w:shd w:val="clear" w:color="auto" w:fill="C6EFCE"/>
            <w:noWrap/>
          </w:tcPr>
          <w:p w14:paraId="3F048E8D" w14:textId="77777777" w:rsidR="00A345F4" w:rsidRDefault="005E2D4E">
            <w:pPr>
              <w:pStyle w:val="P68B1DB1-Normal37"/>
              <w:spacing w:after="0" w:line="240" w:lineRule="auto"/>
              <w:jc w:val="both"/>
              <w:rPr>
                <w:rFonts w:eastAsia="Times New Roman"/>
                <w:noProof/>
              </w:rPr>
            </w:pPr>
            <w:r>
              <w:rPr>
                <w:noProof/>
              </w:rPr>
              <w:t>1 695 MW de capacité installée de production d'électricité au charbon ont été déclassés.</w:t>
            </w:r>
          </w:p>
        </w:tc>
      </w:tr>
      <w:tr w:rsidR="00A345F4" w14:paraId="2DEC5476"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49D3D2D7" w14:textId="77777777" w:rsidR="00A345F4" w:rsidRDefault="005E2D4E">
            <w:pPr>
              <w:pStyle w:val="P68B1DB1-Normal37"/>
              <w:spacing w:after="0" w:line="240" w:lineRule="auto"/>
              <w:jc w:val="both"/>
              <w:rPr>
                <w:rFonts w:eastAsia="Times New Roman"/>
                <w:noProof/>
              </w:rPr>
            </w:pPr>
            <w:r>
              <w:rPr>
                <w:noProof/>
              </w:rPr>
              <w:t>114</w:t>
            </w:r>
          </w:p>
        </w:tc>
        <w:tc>
          <w:tcPr>
            <w:tcW w:w="1823" w:type="dxa"/>
            <w:tcBorders>
              <w:top w:val="single" w:sz="4" w:space="0" w:color="auto"/>
              <w:left w:val="nil"/>
              <w:bottom w:val="single" w:sz="4" w:space="0" w:color="auto"/>
              <w:right w:val="single" w:sz="4" w:space="0" w:color="auto"/>
            </w:tcBorders>
            <w:shd w:val="clear" w:color="auto" w:fill="C6EFCE"/>
            <w:noWrap/>
          </w:tcPr>
          <w:p w14:paraId="5E4C5892" w14:textId="77777777" w:rsidR="00A345F4" w:rsidRDefault="005E2D4E">
            <w:pPr>
              <w:pStyle w:val="P68B1DB1-Normal37"/>
              <w:spacing w:after="0" w:line="240" w:lineRule="auto"/>
              <w:jc w:val="both"/>
              <w:rPr>
                <w:rFonts w:eastAsia="Times New Roman"/>
                <w:noProof/>
              </w:rPr>
            </w:pPr>
            <w:r>
              <w:rPr>
                <w:noProof/>
              </w:rPr>
              <w:t xml:space="preserve">Réforme 1. Réforme du marché de l'électricité, remplacement du charbon dans le bouquet énergétique et soutien à un cadre législatif et réglementaire pour les investissements privés dans la production d'électricité renouvelable </w:t>
            </w:r>
          </w:p>
        </w:tc>
        <w:tc>
          <w:tcPr>
            <w:tcW w:w="1221" w:type="dxa"/>
            <w:tcBorders>
              <w:top w:val="single" w:sz="4" w:space="0" w:color="auto"/>
              <w:left w:val="nil"/>
              <w:bottom w:val="single" w:sz="4" w:space="0" w:color="auto"/>
              <w:right w:val="single" w:sz="4" w:space="0" w:color="auto"/>
            </w:tcBorders>
            <w:shd w:val="clear" w:color="auto" w:fill="C6EFCE"/>
            <w:noWrap/>
          </w:tcPr>
          <w:p w14:paraId="31EECA68" w14:textId="77777777" w:rsidR="00A345F4" w:rsidRDefault="005E2D4E">
            <w:pPr>
              <w:pStyle w:val="P68B1DB1-Normal37"/>
              <w:spacing w:after="0" w:line="240" w:lineRule="auto"/>
              <w:jc w:val="both"/>
              <w:rPr>
                <w:rFonts w:eastAsia="Times New Roman"/>
                <w:noProof/>
              </w:rPr>
            </w:pPr>
            <w:r>
              <w:rPr>
                <w:noProof/>
              </w:rPr>
              <w:t>Étape</w:t>
            </w:r>
          </w:p>
        </w:tc>
        <w:tc>
          <w:tcPr>
            <w:tcW w:w="1782" w:type="dxa"/>
            <w:tcBorders>
              <w:top w:val="single" w:sz="4" w:space="0" w:color="auto"/>
              <w:left w:val="nil"/>
              <w:bottom w:val="single" w:sz="4" w:space="0" w:color="auto"/>
              <w:right w:val="single" w:sz="4" w:space="0" w:color="auto"/>
            </w:tcBorders>
            <w:shd w:val="clear" w:color="auto" w:fill="C6EFCE"/>
            <w:noWrap/>
          </w:tcPr>
          <w:p w14:paraId="30D7CACE" w14:textId="77777777" w:rsidR="00A345F4" w:rsidRDefault="005E2D4E">
            <w:pPr>
              <w:pStyle w:val="P68B1DB1-Normal37"/>
              <w:spacing w:after="0" w:line="240" w:lineRule="auto"/>
              <w:jc w:val="both"/>
              <w:rPr>
                <w:rFonts w:eastAsia="Times New Roman"/>
                <w:noProof/>
              </w:rPr>
            </w:pPr>
            <w:r>
              <w:rPr>
                <w:noProof/>
              </w:rPr>
              <w:t>Entrée en vigueur de la loi sur la décarbonation adoptant le calendrier d’élimination progressive du charbon/lignite</w:t>
            </w:r>
          </w:p>
        </w:tc>
        <w:tc>
          <w:tcPr>
            <w:tcW w:w="1822" w:type="dxa"/>
            <w:tcBorders>
              <w:top w:val="single" w:sz="4" w:space="0" w:color="auto"/>
              <w:left w:val="nil"/>
              <w:bottom w:val="single" w:sz="4" w:space="0" w:color="auto"/>
              <w:right w:val="single" w:sz="4" w:space="0" w:color="auto"/>
            </w:tcBorders>
            <w:shd w:val="clear" w:color="auto" w:fill="C6EFCE"/>
            <w:noWrap/>
          </w:tcPr>
          <w:p w14:paraId="618BFE33" w14:textId="77777777" w:rsidR="00A345F4" w:rsidRDefault="005E2D4E">
            <w:pPr>
              <w:pStyle w:val="P68B1DB1-Normal37"/>
              <w:spacing w:after="0" w:line="240" w:lineRule="auto"/>
              <w:jc w:val="both"/>
              <w:rPr>
                <w:rFonts w:eastAsia="Times New Roman"/>
                <w:noProof/>
              </w:rPr>
            </w:pPr>
            <w:r>
              <w:rPr>
                <w:noProof/>
              </w:rPr>
              <w:t>Disposition de la loi indiquant l’entrée en vigueur de l’acte législatif</w:t>
            </w:r>
          </w:p>
        </w:tc>
        <w:tc>
          <w:tcPr>
            <w:tcW w:w="1332" w:type="dxa"/>
            <w:tcBorders>
              <w:top w:val="single" w:sz="4" w:space="0" w:color="auto"/>
              <w:left w:val="nil"/>
              <w:bottom w:val="single" w:sz="4" w:space="0" w:color="auto"/>
              <w:right w:val="single" w:sz="4" w:space="0" w:color="auto"/>
            </w:tcBorders>
            <w:shd w:val="clear" w:color="auto" w:fill="C6EFCE"/>
            <w:noWrap/>
          </w:tcPr>
          <w:p w14:paraId="52A3E1AA" w14:textId="77777777" w:rsidR="00A345F4" w:rsidRDefault="005E2D4E">
            <w:pPr>
              <w:pStyle w:val="P68B1DB1-Normal37"/>
              <w:spacing w:after="0" w:line="240" w:lineRule="auto"/>
              <w:jc w:val="both"/>
              <w:rPr>
                <w:rFonts w:eastAsia="Times New Roman"/>
                <w:noProof/>
              </w:rPr>
            </w:pPr>
            <w:r>
              <w:rPr>
                <w:noProof/>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74150940" w14:textId="77777777" w:rsidR="00A345F4" w:rsidRDefault="005E2D4E">
            <w:pPr>
              <w:pStyle w:val="P68B1DB1-Normal37"/>
              <w:spacing w:after="0" w:line="240" w:lineRule="auto"/>
              <w:jc w:val="both"/>
              <w:rPr>
                <w:rFonts w:eastAsia="Times New Roman"/>
                <w:noProof/>
              </w:rPr>
            </w:pPr>
            <w:r>
              <w:rPr>
                <w:noProof/>
              </w:rPr>
              <w:t xml:space="preserve"> </w:t>
            </w:r>
          </w:p>
        </w:tc>
        <w:tc>
          <w:tcPr>
            <w:tcW w:w="949" w:type="dxa"/>
            <w:tcBorders>
              <w:top w:val="single" w:sz="4" w:space="0" w:color="auto"/>
              <w:left w:val="nil"/>
              <w:bottom w:val="single" w:sz="4" w:space="0" w:color="auto"/>
              <w:right w:val="single" w:sz="4" w:space="0" w:color="auto"/>
            </w:tcBorders>
            <w:shd w:val="clear" w:color="auto" w:fill="C6EFCE"/>
            <w:noWrap/>
          </w:tcPr>
          <w:p w14:paraId="6610DBED" w14:textId="77777777" w:rsidR="00A345F4" w:rsidRDefault="005E2D4E">
            <w:pPr>
              <w:pStyle w:val="P68B1DB1-Normal37"/>
              <w:spacing w:after="0" w:line="240" w:lineRule="auto"/>
              <w:jc w:val="both"/>
              <w:rPr>
                <w:rFonts w:eastAsia="Times New Roman"/>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2FD200B8" w14:textId="77777777" w:rsidR="00A345F4" w:rsidRDefault="005E2D4E">
            <w:pPr>
              <w:pStyle w:val="P68B1DB1-Normal37"/>
              <w:spacing w:after="0" w:line="240" w:lineRule="auto"/>
              <w:jc w:val="both"/>
              <w:rPr>
                <w:rFonts w:eastAsia="Times New Roman"/>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267262B8" w14:textId="77777777" w:rsidR="00A345F4" w:rsidRDefault="005E2D4E">
            <w:pPr>
              <w:pStyle w:val="P68B1DB1-Normal37"/>
              <w:spacing w:after="0" w:line="240" w:lineRule="auto"/>
              <w:jc w:val="both"/>
              <w:rPr>
                <w:rFonts w:eastAsia="Times New Roman"/>
                <w:noProof/>
              </w:rPr>
            </w:pPr>
            <w:r>
              <w:rPr>
                <w:noProof/>
              </w:rPr>
              <w:t>2022</w:t>
            </w:r>
          </w:p>
        </w:tc>
        <w:tc>
          <w:tcPr>
            <w:tcW w:w="2557" w:type="dxa"/>
            <w:tcBorders>
              <w:top w:val="single" w:sz="4" w:space="0" w:color="auto"/>
              <w:left w:val="nil"/>
              <w:bottom w:val="single" w:sz="4" w:space="0" w:color="auto"/>
              <w:right w:val="single" w:sz="4" w:space="0" w:color="auto"/>
            </w:tcBorders>
            <w:shd w:val="clear" w:color="auto" w:fill="C6EFCE"/>
            <w:noWrap/>
          </w:tcPr>
          <w:p w14:paraId="0D41F873" w14:textId="7C6720B4" w:rsidR="00A345F4" w:rsidRDefault="005E2D4E">
            <w:pPr>
              <w:pStyle w:val="P68B1DB1-Normal37"/>
              <w:spacing w:after="0" w:line="240" w:lineRule="auto"/>
              <w:rPr>
                <w:rFonts w:eastAsia="Times New Roman"/>
                <w:noProof/>
              </w:rPr>
            </w:pPr>
            <w:r>
              <w:rPr>
                <w:noProof/>
              </w:rPr>
              <w:t>Au plus tard au deuxième trimestre 2022, une loi sur la décarbonation (et tout acte de droit dérivé) entre en vigueur, établissant un calendrier jusqu’en 2032 pour:</w:t>
            </w:r>
          </w:p>
          <w:p w14:paraId="36E511D2" w14:textId="77777777" w:rsidR="00A345F4" w:rsidRDefault="005E2D4E">
            <w:pPr>
              <w:pStyle w:val="P68B1DB1-Normal37"/>
              <w:numPr>
                <w:ilvl w:val="0"/>
                <w:numId w:val="105"/>
              </w:numPr>
              <w:spacing w:after="0" w:line="240" w:lineRule="auto"/>
              <w:ind w:left="187" w:hanging="218"/>
              <w:contextualSpacing/>
              <w:jc w:val="both"/>
              <w:rPr>
                <w:rFonts w:eastAsia="Times New Roman"/>
                <w:noProof/>
              </w:rPr>
            </w:pPr>
            <w:r>
              <w:rPr>
                <w:noProof/>
              </w:rPr>
              <w:t>Déclassement de la capacité totale de production d'électricité installée alimentée au charbon/lignite (c'est-à-dire 4 590 MW).</w:t>
            </w:r>
          </w:p>
          <w:p w14:paraId="0CE9680E" w14:textId="77777777" w:rsidR="00A345F4" w:rsidRDefault="005E2D4E">
            <w:pPr>
              <w:pStyle w:val="P68B1DB1-Normal37"/>
              <w:numPr>
                <w:ilvl w:val="0"/>
                <w:numId w:val="105"/>
              </w:numPr>
              <w:spacing w:after="0" w:line="240" w:lineRule="auto"/>
              <w:ind w:left="187" w:hanging="218"/>
              <w:contextualSpacing/>
              <w:jc w:val="both"/>
              <w:rPr>
                <w:rFonts w:eastAsia="Times New Roman"/>
                <w:noProof/>
              </w:rPr>
            </w:pPr>
            <w:r>
              <w:rPr>
                <w:noProof/>
              </w:rPr>
              <w:t>Mesures relatives à la remise en état des mines à fermer (par exemple, récupération des sols dans les zones minées telles que la couche arable et la revégétalisation, les dépôts de déchets, l'utilisation des terres après la fermeture pour le relief).</w:t>
            </w:r>
          </w:p>
          <w:p w14:paraId="71498E7D" w14:textId="77777777" w:rsidR="00A345F4" w:rsidRDefault="005E2D4E">
            <w:pPr>
              <w:pStyle w:val="P68B1DB1-Normal37"/>
              <w:numPr>
                <w:ilvl w:val="0"/>
                <w:numId w:val="105"/>
              </w:numPr>
              <w:spacing w:after="0" w:line="240" w:lineRule="auto"/>
              <w:ind w:left="187" w:hanging="218"/>
              <w:contextualSpacing/>
              <w:jc w:val="both"/>
              <w:rPr>
                <w:rFonts w:eastAsia="Times New Roman"/>
                <w:noProof/>
              </w:rPr>
            </w:pPr>
            <w:r>
              <w:rPr>
                <w:noProof/>
              </w:rPr>
              <w:t xml:space="preserve">Mesures de perfectionnement (reconversion et reconversion professionnelles) et autres mesures ayant un impact socio-économique sur les communautés touchées. </w:t>
            </w:r>
          </w:p>
        </w:tc>
      </w:tr>
      <w:tr w:rsidR="00A345F4" w14:paraId="73B3AC51"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5E7100DE" w14:textId="77777777" w:rsidR="00A345F4" w:rsidRDefault="005E2D4E">
            <w:pPr>
              <w:pStyle w:val="P68B1DB1-Normal37"/>
              <w:spacing w:after="0" w:line="240" w:lineRule="auto"/>
              <w:jc w:val="both"/>
              <w:rPr>
                <w:rFonts w:eastAsia="Times New Roman"/>
                <w:noProof/>
              </w:rPr>
            </w:pPr>
            <w:r>
              <w:rPr>
                <w:noProof/>
              </w:rPr>
              <w:t>115</w:t>
            </w:r>
          </w:p>
        </w:tc>
        <w:tc>
          <w:tcPr>
            <w:tcW w:w="1823" w:type="dxa"/>
            <w:tcBorders>
              <w:top w:val="single" w:sz="4" w:space="0" w:color="auto"/>
              <w:left w:val="nil"/>
              <w:bottom w:val="single" w:sz="4" w:space="0" w:color="auto"/>
              <w:right w:val="single" w:sz="4" w:space="0" w:color="auto"/>
            </w:tcBorders>
            <w:shd w:val="clear" w:color="auto" w:fill="C6EFCE"/>
            <w:noWrap/>
          </w:tcPr>
          <w:p w14:paraId="303B21DC" w14:textId="77777777" w:rsidR="00A345F4" w:rsidRDefault="005E2D4E">
            <w:pPr>
              <w:pStyle w:val="P68B1DB1-Normal37"/>
              <w:spacing w:after="0" w:line="240" w:lineRule="auto"/>
              <w:jc w:val="both"/>
              <w:rPr>
                <w:rFonts w:eastAsia="Times New Roman"/>
                <w:noProof/>
              </w:rPr>
            </w:pPr>
            <w:r>
              <w:rPr>
                <w:noProof/>
              </w:rPr>
              <w:t>Réforme 1. Réforme du marché de l'électricité, remplacement du charbon dans le bouquet énergétique et soutien à un cadre législatif et réglementaire pour les investissements privés dans la production d'électricité renouvelable</w:t>
            </w:r>
          </w:p>
        </w:tc>
        <w:tc>
          <w:tcPr>
            <w:tcW w:w="1221" w:type="dxa"/>
            <w:tcBorders>
              <w:top w:val="single" w:sz="4" w:space="0" w:color="auto"/>
              <w:left w:val="nil"/>
              <w:bottom w:val="single" w:sz="4" w:space="0" w:color="auto"/>
              <w:right w:val="single" w:sz="4" w:space="0" w:color="auto"/>
            </w:tcBorders>
            <w:shd w:val="clear" w:color="auto" w:fill="C6EFCE"/>
            <w:noWrap/>
          </w:tcPr>
          <w:p w14:paraId="678ECD43" w14:textId="77777777" w:rsidR="00A345F4" w:rsidRDefault="005E2D4E">
            <w:pPr>
              <w:pStyle w:val="P68B1DB1-Normal37"/>
              <w:spacing w:after="0" w:line="240" w:lineRule="auto"/>
              <w:jc w:val="both"/>
              <w:rPr>
                <w:rFonts w:eastAsia="Times New Roman"/>
                <w:noProof/>
              </w:rPr>
            </w:pPr>
            <w:r>
              <w:rPr>
                <w:noProof/>
              </w:rPr>
              <w:t>Objectif</w:t>
            </w:r>
          </w:p>
        </w:tc>
        <w:tc>
          <w:tcPr>
            <w:tcW w:w="1782" w:type="dxa"/>
            <w:tcBorders>
              <w:top w:val="single" w:sz="4" w:space="0" w:color="auto"/>
              <w:left w:val="nil"/>
              <w:bottom w:val="single" w:sz="4" w:space="0" w:color="auto"/>
              <w:right w:val="single" w:sz="4" w:space="0" w:color="auto"/>
            </w:tcBorders>
            <w:shd w:val="clear" w:color="auto" w:fill="C6EFCE"/>
            <w:noWrap/>
          </w:tcPr>
          <w:p w14:paraId="6C656319" w14:textId="3BEDB515" w:rsidR="00A345F4" w:rsidRDefault="005E2D4E">
            <w:pPr>
              <w:pStyle w:val="P68B1DB1-Normal37"/>
              <w:spacing w:after="0" w:line="240" w:lineRule="auto"/>
              <w:jc w:val="both"/>
              <w:rPr>
                <w:rFonts w:eastAsia="Times New Roman"/>
                <w:noProof/>
              </w:rPr>
            </w:pPr>
            <w:r>
              <w:rPr>
                <w:noProof/>
              </w:rPr>
              <w:t>Démantèlement de la capacité de production d'électricité à partir de charbon/lignite</w:t>
            </w:r>
          </w:p>
        </w:tc>
        <w:tc>
          <w:tcPr>
            <w:tcW w:w="1822" w:type="dxa"/>
            <w:tcBorders>
              <w:top w:val="single" w:sz="4" w:space="0" w:color="auto"/>
              <w:left w:val="nil"/>
              <w:bottom w:val="single" w:sz="4" w:space="0" w:color="auto"/>
              <w:right w:val="single" w:sz="4" w:space="0" w:color="auto"/>
            </w:tcBorders>
            <w:shd w:val="clear" w:color="auto" w:fill="C6EFCE"/>
            <w:noWrap/>
          </w:tcPr>
          <w:p w14:paraId="0897952B"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3A42596E" w14:textId="77777777" w:rsidR="00A345F4" w:rsidRDefault="005E2D4E">
            <w:pPr>
              <w:pStyle w:val="P68B1DB1-Normal37"/>
              <w:spacing w:after="0" w:line="240" w:lineRule="auto"/>
              <w:jc w:val="both"/>
              <w:rPr>
                <w:rFonts w:eastAsia="Times New Roman"/>
                <w:noProof/>
              </w:rPr>
            </w:pPr>
            <w:r>
              <w:rPr>
                <w:noProof/>
              </w:rPr>
              <w:t>Mégawatts (MW)</w:t>
            </w:r>
          </w:p>
        </w:tc>
        <w:tc>
          <w:tcPr>
            <w:tcW w:w="1332" w:type="dxa"/>
            <w:tcBorders>
              <w:top w:val="single" w:sz="4" w:space="0" w:color="auto"/>
              <w:left w:val="nil"/>
              <w:bottom w:val="single" w:sz="4" w:space="0" w:color="auto"/>
              <w:right w:val="single" w:sz="4" w:space="0" w:color="auto"/>
            </w:tcBorders>
            <w:shd w:val="clear" w:color="auto" w:fill="C6EFCE"/>
            <w:noWrap/>
          </w:tcPr>
          <w:p w14:paraId="1E6D9D64" w14:textId="77777777" w:rsidR="00A345F4" w:rsidRDefault="005E2D4E">
            <w:pPr>
              <w:pStyle w:val="P68B1DB1-Normal37"/>
              <w:spacing w:after="0" w:line="240" w:lineRule="auto"/>
              <w:jc w:val="both"/>
              <w:rPr>
                <w:rFonts w:eastAsia="Times New Roman"/>
                <w:noProof/>
              </w:rPr>
            </w:pPr>
            <w:r>
              <w:rPr>
                <w:noProof/>
              </w:rPr>
              <w:t>1 695</w:t>
            </w:r>
          </w:p>
        </w:tc>
        <w:tc>
          <w:tcPr>
            <w:tcW w:w="949" w:type="dxa"/>
            <w:tcBorders>
              <w:top w:val="single" w:sz="4" w:space="0" w:color="auto"/>
              <w:left w:val="nil"/>
              <w:bottom w:val="single" w:sz="4" w:space="0" w:color="auto"/>
              <w:right w:val="single" w:sz="4" w:space="0" w:color="auto"/>
            </w:tcBorders>
            <w:shd w:val="clear" w:color="auto" w:fill="C6EFCE"/>
            <w:noWrap/>
          </w:tcPr>
          <w:p w14:paraId="6E3BC34B" w14:textId="77777777" w:rsidR="00A345F4" w:rsidRDefault="005E2D4E">
            <w:pPr>
              <w:pStyle w:val="P68B1DB1-Normal37"/>
              <w:spacing w:after="0" w:line="240" w:lineRule="auto"/>
              <w:jc w:val="both"/>
              <w:rPr>
                <w:rFonts w:eastAsia="Times New Roman"/>
                <w:noProof/>
              </w:rPr>
            </w:pPr>
            <w:r>
              <w:rPr>
                <w:noProof/>
              </w:rPr>
              <w:t>2 355</w:t>
            </w:r>
          </w:p>
        </w:tc>
        <w:tc>
          <w:tcPr>
            <w:tcW w:w="1134" w:type="dxa"/>
            <w:tcBorders>
              <w:top w:val="single" w:sz="4" w:space="0" w:color="auto"/>
              <w:left w:val="nil"/>
              <w:bottom w:val="single" w:sz="4" w:space="0" w:color="auto"/>
              <w:right w:val="single" w:sz="4" w:space="0" w:color="auto"/>
            </w:tcBorders>
            <w:shd w:val="clear" w:color="auto" w:fill="C6EFCE"/>
            <w:noWrap/>
          </w:tcPr>
          <w:p w14:paraId="05BFF668" w14:textId="77777777" w:rsidR="00A345F4" w:rsidRDefault="005E2D4E">
            <w:pPr>
              <w:pStyle w:val="P68B1DB1-Normal37"/>
              <w:spacing w:after="0" w:line="240" w:lineRule="auto"/>
              <w:jc w:val="both"/>
              <w:rPr>
                <w:rFonts w:eastAsia="Times New Roman"/>
                <w:noProof/>
              </w:rPr>
            </w:pPr>
            <w:r>
              <w:rPr>
                <w:noProof/>
              </w:rPr>
              <w:t>T4</w:t>
            </w:r>
          </w:p>
        </w:tc>
        <w:tc>
          <w:tcPr>
            <w:tcW w:w="850" w:type="dxa"/>
            <w:tcBorders>
              <w:top w:val="single" w:sz="4" w:space="0" w:color="auto"/>
              <w:left w:val="nil"/>
              <w:bottom w:val="single" w:sz="4" w:space="0" w:color="auto"/>
              <w:right w:val="single" w:sz="4" w:space="0" w:color="auto"/>
            </w:tcBorders>
            <w:shd w:val="clear" w:color="auto" w:fill="C6EFCE"/>
            <w:noWrap/>
          </w:tcPr>
          <w:p w14:paraId="305CA576" w14:textId="77777777" w:rsidR="00A345F4" w:rsidRDefault="005E2D4E">
            <w:pPr>
              <w:pStyle w:val="P68B1DB1-Normal37"/>
              <w:spacing w:after="0" w:line="240" w:lineRule="auto"/>
              <w:jc w:val="both"/>
              <w:rPr>
                <w:rFonts w:eastAsia="Times New Roman"/>
                <w:noProof/>
              </w:rPr>
            </w:pPr>
            <w:r>
              <w:rPr>
                <w:noProof/>
              </w:rPr>
              <w:t>2022</w:t>
            </w:r>
          </w:p>
        </w:tc>
        <w:tc>
          <w:tcPr>
            <w:tcW w:w="2557" w:type="dxa"/>
            <w:tcBorders>
              <w:top w:val="single" w:sz="4" w:space="0" w:color="auto"/>
              <w:left w:val="nil"/>
              <w:bottom w:val="single" w:sz="4" w:space="0" w:color="auto"/>
              <w:right w:val="single" w:sz="4" w:space="0" w:color="auto"/>
            </w:tcBorders>
            <w:shd w:val="clear" w:color="auto" w:fill="C6EFCE"/>
            <w:noWrap/>
          </w:tcPr>
          <w:p w14:paraId="6D4463C0" w14:textId="77777777" w:rsidR="00A345F4" w:rsidRDefault="005E2D4E">
            <w:pPr>
              <w:pStyle w:val="P68B1DB1-Normal37"/>
              <w:spacing w:after="0" w:line="240" w:lineRule="auto"/>
              <w:jc w:val="both"/>
              <w:rPr>
                <w:rFonts w:eastAsia="Times New Roman"/>
                <w:noProof/>
              </w:rPr>
            </w:pPr>
            <w:r>
              <w:rPr>
                <w:noProof/>
              </w:rPr>
              <w:t>Une capacité cumulée de production d’électricité installée alimentée au charbon et au lignite de 2 355 MW a été arrêtée, dont 2 025 MW ont été mis hors service et 330 MW ont été mis hors service. La capacité mise hors service est déclassée d’ici à 2025 et n’est activée et appelée à produire que dans les circonstances spécifiques prévues à l’article 4 de la loi sur la décarbonation et dans le plein respect du droit de l’Union applicable, y compris les règles en matière d’aides d’État.</w:t>
            </w:r>
          </w:p>
        </w:tc>
      </w:tr>
      <w:tr w:rsidR="00A345F4" w14:paraId="3DD8574D"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4EE68B19" w14:textId="35B67932" w:rsidR="00A345F4" w:rsidRDefault="005E2D4E">
            <w:pPr>
              <w:pStyle w:val="P68B1DB1-Normal37"/>
              <w:spacing w:after="0" w:line="240" w:lineRule="auto"/>
              <w:jc w:val="both"/>
              <w:rPr>
                <w:rFonts w:eastAsia="Times New Roman"/>
                <w:noProof/>
              </w:rPr>
            </w:pPr>
            <w:r>
              <w:rPr>
                <w:noProof/>
              </w:rPr>
              <w:t>116</w:t>
            </w:r>
          </w:p>
        </w:tc>
        <w:tc>
          <w:tcPr>
            <w:tcW w:w="1823" w:type="dxa"/>
            <w:tcBorders>
              <w:top w:val="single" w:sz="4" w:space="0" w:color="auto"/>
              <w:left w:val="nil"/>
              <w:bottom w:val="single" w:sz="4" w:space="0" w:color="auto"/>
              <w:right w:val="single" w:sz="4" w:space="0" w:color="auto"/>
            </w:tcBorders>
            <w:shd w:val="clear" w:color="auto" w:fill="C6EFCE"/>
            <w:noWrap/>
          </w:tcPr>
          <w:p w14:paraId="7D7318AB" w14:textId="77777777" w:rsidR="00A345F4" w:rsidRDefault="005E2D4E">
            <w:pPr>
              <w:pStyle w:val="P68B1DB1-Normal37"/>
              <w:spacing w:after="0" w:line="240" w:lineRule="auto"/>
              <w:jc w:val="both"/>
              <w:rPr>
                <w:rFonts w:eastAsia="Times New Roman"/>
                <w:noProof/>
              </w:rPr>
            </w:pPr>
            <w:r>
              <w:rPr>
                <w:noProof/>
              </w:rPr>
              <w:t>Réforme 1. Réforme du marché de l'électricité, remplacement du charbon dans le bouquet énergétique et soutien à un cadre législatif et réglementaire pour les investissements privés dans la production d'électricité renouvelable</w:t>
            </w:r>
          </w:p>
        </w:tc>
        <w:tc>
          <w:tcPr>
            <w:tcW w:w="1221" w:type="dxa"/>
            <w:tcBorders>
              <w:top w:val="single" w:sz="4" w:space="0" w:color="auto"/>
              <w:left w:val="nil"/>
              <w:bottom w:val="single" w:sz="4" w:space="0" w:color="auto"/>
              <w:right w:val="single" w:sz="4" w:space="0" w:color="auto"/>
            </w:tcBorders>
            <w:shd w:val="clear" w:color="auto" w:fill="C6EFCE"/>
            <w:noWrap/>
          </w:tcPr>
          <w:p w14:paraId="4386491D" w14:textId="77777777" w:rsidR="00A345F4" w:rsidRDefault="005E2D4E">
            <w:pPr>
              <w:pStyle w:val="P68B1DB1-Normal37"/>
              <w:spacing w:after="0" w:line="240" w:lineRule="auto"/>
              <w:jc w:val="both"/>
              <w:rPr>
                <w:rFonts w:eastAsia="Times New Roman"/>
                <w:noProof/>
              </w:rPr>
            </w:pPr>
            <w:r>
              <w:rPr>
                <w:noProof/>
              </w:rPr>
              <w:t>Étape</w:t>
            </w:r>
          </w:p>
        </w:tc>
        <w:tc>
          <w:tcPr>
            <w:tcW w:w="1782" w:type="dxa"/>
            <w:tcBorders>
              <w:top w:val="single" w:sz="4" w:space="0" w:color="auto"/>
              <w:left w:val="nil"/>
              <w:bottom w:val="single" w:sz="4" w:space="0" w:color="auto"/>
              <w:right w:val="single" w:sz="4" w:space="0" w:color="auto"/>
            </w:tcBorders>
            <w:shd w:val="clear" w:color="auto" w:fill="C6EFCE"/>
            <w:noWrap/>
          </w:tcPr>
          <w:p w14:paraId="11AFB415" w14:textId="6A13359F" w:rsidR="00A345F4" w:rsidRDefault="005E2D4E">
            <w:pPr>
              <w:pStyle w:val="P68B1DB1-Normal37"/>
              <w:spacing w:after="0" w:line="240" w:lineRule="auto"/>
              <w:jc w:val="both"/>
              <w:rPr>
                <w:rFonts w:eastAsia="Times New Roman"/>
                <w:noProof/>
              </w:rPr>
            </w:pPr>
            <w:r>
              <w:rPr>
                <w:noProof/>
              </w:rPr>
              <w:t>Entrée en vigueur des actes juridiques et réglementaires</w:t>
            </w:r>
          </w:p>
        </w:tc>
        <w:tc>
          <w:tcPr>
            <w:tcW w:w="1822" w:type="dxa"/>
            <w:tcBorders>
              <w:top w:val="single" w:sz="4" w:space="0" w:color="auto"/>
              <w:left w:val="nil"/>
              <w:bottom w:val="single" w:sz="4" w:space="0" w:color="auto"/>
              <w:right w:val="single" w:sz="4" w:space="0" w:color="auto"/>
            </w:tcBorders>
            <w:shd w:val="clear" w:color="auto" w:fill="C6EFCE"/>
            <w:noWrap/>
          </w:tcPr>
          <w:p w14:paraId="1C9C353D" w14:textId="77777777" w:rsidR="00A345F4" w:rsidRDefault="005E2D4E">
            <w:pPr>
              <w:pStyle w:val="P68B1DB1-Normal37"/>
              <w:spacing w:after="0" w:line="240" w:lineRule="auto"/>
              <w:jc w:val="both"/>
              <w:rPr>
                <w:rFonts w:eastAsia="Times New Roman"/>
                <w:noProof/>
              </w:rPr>
            </w:pPr>
            <w:r>
              <w:rPr>
                <w:noProof/>
              </w:rPr>
              <w:t xml:space="preserve">Disposition des actes juridiques et réglementaires indiquant l'entrée en vigueur </w:t>
            </w:r>
          </w:p>
        </w:tc>
        <w:tc>
          <w:tcPr>
            <w:tcW w:w="1332" w:type="dxa"/>
            <w:tcBorders>
              <w:top w:val="single" w:sz="4" w:space="0" w:color="auto"/>
              <w:left w:val="nil"/>
              <w:bottom w:val="single" w:sz="4" w:space="0" w:color="auto"/>
              <w:right w:val="single" w:sz="4" w:space="0" w:color="auto"/>
            </w:tcBorders>
            <w:shd w:val="clear" w:color="auto" w:fill="C6EFCE"/>
            <w:noWrap/>
          </w:tcPr>
          <w:p w14:paraId="2FB33410" w14:textId="77777777" w:rsidR="00A345F4" w:rsidRDefault="005E2D4E">
            <w:pPr>
              <w:pStyle w:val="P68B1DB1-Normal37"/>
              <w:spacing w:after="0" w:line="240" w:lineRule="auto"/>
              <w:jc w:val="both"/>
              <w:rPr>
                <w:rFonts w:eastAsia="Times New Roman"/>
                <w:noProof/>
              </w:rPr>
            </w:pPr>
            <w:r>
              <w:rPr>
                <w:noProof/>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08E1078F" w14:textId="77777777" w:rsidR="00A345F4" w:rsidRDefault="005E2D4E">
            <w:pPr>
              <w:pStyle w:val="P68B1DB1-Normal37"/>
              <w:spacing w:after="0" w:line="240" w:lineRule="auto"/>
              <w:jc w:val="both"/>
              <w:rPr>
                <w:rFonts w:eastAsia="Times New Roman"/>
                <w:noProof/>
              </w:rPr>
            </w:pPr>
            <w:r>
              <w:rPr>
                <w:noProof/>
              </w:rPr>
              <w:t xml:space="preserve"> </w:t>
            </w:r>
          </w:p>
        </w:tc>
        <w:tc>
          <w:tcPr>
            <w:tcW w:w="949" w:type="dxa"/>
            <w:tcBorders>
              <w:top w:val="single" w:sz="4" w:space="0" w:color="auto"/>
              <w:left w:val="nil"/>
              <w:bottom w:val="single" w:sz="4" w:space="0" w:color="auto"/>
              <w:right w:val="single" w:sz="4" w:space="0" w:color="auto"/>
            </w:tcBorders>
            <w:shd w:val="clear" w:color="auto" w:fill="C6EFCE"/>
            <w:noWrap/>
          </w:tcPr>
          <w:p w14:paraId="3BEB9FD6" w14:textId="77777777" w:rsidR="00A345F4" w:rsidRDefault="005E2D4E">
            <w:pPr>
              <w:pStyle w:val="P68B1DB1-Normal37"/>
              <w:spacing w:after="0" w:line="240" w:lineRule="auto"/>
              <w:jc w:val="both"/>
              <w:rPr>
                <w:rFonts w:eastAsia="Times New Roman"/>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595FB8FF" w14:textId="77777777" w:rsidR="00A345F4" w:rsidRDefault="005E2D4E">
            <w:pPr>
              <w:pStyle w:val="P68B1DB1-Normal37"/>
              <w:spacing w:after="0" w:line="240" w:lineRule="auto"/>
              <w:jc w:val="both"/>
              <w:rPr>
                <w:rFonts w:eastAsia="Times New Roman"/>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4848E9D3" w14:textId="77777777" w:rsidR="00A345F4" w:rsidRDefault="005E2D4E">
            <w:pPr>
              <w:pStyle w:val="P68B1DB1-Normal37"/>
              <w:spacing w:after="0" w:line="240" w:lineRule="auto"/>
              <w:jc w:val="both"/>
              <w:rPr>
                <w:rFonts w:eastAsia="Times New Roman"/>
                <w:noProof/>
              </w:rPr>
            </w:pPr>
            <w:r>
              <w:rPr>
                <w:noProof/>
              </w:rPr>
              <w:t>2026</w:t>
            </w:r>
          </w:p>
        </w:tc>
        <w:tc>
          <w:tcPr>
            <w:tcW w:w="2557" w:type="dxa"/>
            <w:tcBorders>
              <w:top w:val="single" w:sz="4" w:space="0" w:color="auto"/>
              <w:left w:val="nil"/>
              <w:bottom w:val="single" w:sz="4" w:space="0" w:color="auto"/>
              <w:right w:val="single" w:sz="4" w:space="0" w:color="auto"/>
            </w:tcBorders>
            <w:shd w:val="clear" w:color="auto" w:fill="C6EFCE"/>
            <w:noWrap/>
            <w:vAlign w:val="bottom"/>
          </w:tcPr>
          <w:p w14:paraId="303F1FAA" w14:textId="77777777" w:rsidR="00A345F4" w:rsidRDefault="005E2D4E">
            <w:pPr>
              <w:pStyle w:val="P68B1DB1-Normal37"/>
              <w:spacing w:after="0" w:line="240" w:lineRule="auto"/>
              <w:jc w:val="both"/>
              <w:rPr>
                <w:rFonts w:eastAsia="Times New Roman"/>
                <w:noProof/>
              </w:rPr>
            </w:pPr>
            <w:r>
              <w:rPr>
                <w:noProof/>
              </w:rPr>
              <w:t xml:space="preserve">Les actes juridiques et réglementaires entrent en vigueur pour: </w:t>
            </w:r>
          </w:p>
          <w:p w14:paraId="00AE98B3" w14:textId="77777777" w:rsidR="00A345F4" w:rsidRDefault="005E2D4E">
            <w:pPr>
              <w:pStyle w:val="P68B1DB1-Normal37"/>
              <w:numPr>
                <w:ilvl w:val="0"/>
                <w:numId w:val="106"/>
              </w:numPr>
              <w:spacing w:after="0" w:line="240" w:lineRule="auto"/>
              <w:contextualSpacing/>
              <w:jc w:val="both"/>
              <w:rPr>
                <w:rFonts w:eastAsia="Times New Roman"/>
                <w:noProof/>
              </w:rPr>
            </w:pPr>
            <w:r>
              <w:rPr>
                <w:noProof/>
              </w:rPr>
              <w:t>introduire les contrats d’écart compensatoire (CdD) en tant que mécanisme de soutien par défaut dans la production d’énergie renouvelable;</w:t>
            </w:r>
          </w:p>
          <w:p w14:paraId="4524B9A2" w14:textId="6E0F1C72" w:rsidR="00A345F4" w:rsidRDefault="005E2D4E">
            <w:pPr>
              <w:pStyle w:val="P68B1DB1-Normal37"/>
              <w:numPr>
                <w:ilvl w:val="0"/>
                <w:numId w:val="106"/>
              </w:numPr>
              <w:spacing w:after="0" w:line="240" w:lineRule="auto"/>
              <w:contextualSpacing/>
              <w:jc w:val="both"/>
              <w:rPr>
                <w:rFonts w:eastAsia="Times New Roman"/>
                <w:noProof/>
              </w:rPr>
            </w:pPr>
            <w:r>
              <w:rPr>
                <w:noProof/>
              </w:rPr>
              <w:t>permettre la négociation directe d'accords d'achat d'électricité (AAE) par tous les producteurs d'énergie;</w:t>
            </w:r>
          </w:p>
          <w:p w14:paraId="2CF254F2" w14:textId="77777777" w:rsidR="00A345F4" w:rsidRDefault="005E2D4E">
            <w:pPr>
              <w:pStyle w:val="P68B1DB1-Normal37"/>
              <w:numPr>
                <w:ilvl w:val="0"/>
                <w:numId w:val="106"/>
              </w:numPr>
              <w:spacing w:after="0" w:line="240" w:lineRule="auto"/>
              <w:contextualSpacing/>
              <w:jc w:val="both"/>
              <w:rPr>
                <w:rFonts w:eastAsia="Times New Roman"/>
                <w:noProof/>
              </w:rPr>
            </w:pPr>
            <w:r>
              <w:rPr>
                <w:noProof/>
              </w:rPr>
              <w:t xml:space="preserve">simplifier les procédures d’octroi de licences et d’autorisation pour les investissements dans les sources d’énergie renouvelables, en fixant des délais de réponse administratifs plus courts et obligatoires et en mettant en œuvre des procédures de responsabilité en cas de retards inutiles; </w:t>
            </w:r>
          </w:p>
          <w:p w14:paraId="67B185BA" w14:textId="77777777" w:rsidR="00A345F4" w:rsidRDefault="005E2D4E">
            <w:pPr>
              <w:pStyle w:val="P68B1DB1-Normal37"/>
              <w:numPr>
                <w:ilvl w:val="0"/>
                <w:numId w:val="106"/>
              </w:numPr>
              <w:spacing w:after="0" w:line="240" w:lineRule="auto"/>
              <w:contextualSpacing/>
              <w:jc w:val="both"/>
              <w:rPr>
                <w:rFonts w:eastAsia="Times New Roman"/>
                <w:noProof/>
              </w:rPr>
            </w:pPr>
            <w:r>
              <w:rPr>
                <w:noProof/>
              </w:rPr>
              <w:t>mettre en place un cadre spécifique pour les investissements dans les sources d’énergie renouvelables en mer;</w:t>
            </w:r>
          </w:p>
          <w:p w14:paraId="20642B28" w14:textId="77777777" w:rsidR="00A345F4" w:rsidRDefault="005E2D4E">
            <w:pPr>
              <w:pStyle w:val="P68B1DB1-Normal37"/>
              <w:numPr>
                <w:ilvl w:val="0"/>
                <w:numId w:val="106"/>
              </w:numPr>
              <w:spacing w:after="0" w:line="240" w:lineRule="auto"/>
              <w:contextualSpacing/>
              <w:jc w:val="both"/>
              <w:rPr>
                <w:noProof/>
              </w:rPr>
            </w:pPr>
            <w:r>
              <w:rPr>
                <w:noProof/>
              </w:rPr>
              <w:t>introduire la réponse du côté de la demande sur le marché de l’équilibrage et permettre la participation des utilisateurs industriels.</w:t>
            </w:r>
          </w:p>
        </w:tc>
      </w:tr>
      <w:tr w:rsidR="00A345F4" w14:paraId="5E50D2A2"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2F9A0089" w14:textId="77777777" w:rsidR="00A345F4" w:rsidRDefault="005E2D4E">
            <w:pPr>
              <w:pStyle w:val="P68B1DB1-Normal37"/>
              <w:spacing w:after="0" w:line="240" w:lineRule="auto"/>
              <w:jc w:val="both"/>
              <w:rPr>
                <w:rFonts w:eastAsia="Times New Roman"/>
                <w:noProof/>
              </w:rPr>
            </w:pPr>
            <w:r>
              <w:rPr>
                <w:noProof/>
              </w:rPr>
              <w:t>118</w:t>
            </w:r>
          </w:p>
        </w:tc>
        <w:tc>
          <w:tcPr>
            <w:tcW w:w="1823" w:type="dxa"/>
            <w:tcBorders>
              <w:top w:val="single" w:sz="4" w:space="0" w:color="auto"/>
              <w:left w:val="nil"/>
              <w:bottom w:val="single" w:sz="4" w:space="0" w:color="auto"/>
              <w:right w:val="single" w:sz="4" w:space="0" w:color="auto"/>
            </w:tcBorders>
            <w:shd w:val="clear" w:color="auto" w:fill="C6EFCE"/>
            <w:noWrap/>
          </w:tcPr>
          <w:p w14:paraId="42136043" w14:textId="77777777" w:rsidR="00A345F4" w:rsidRDefault="005E2D4E">
            <w:pPr>
              <w:pStyle w:val="P68B1DB1-Normal37"/>
              <w:spacing w:after="0" w:line="240" w:lineRule="auto"/>
              <w:jc w:val="both"/>
              <w:rPr>
                <w:rFonts w:eastAsia="Times New Roman"/>
                <w:noProof/>
              </w:rPr>
            </w:pPr>
            <w:r>
              <w:rPr>
                <w:noProof/>
              </w:rPr>
              <w:t>Réforme 1. Réforme du marché de l'électricité, remplacement du charbon dans le bouquet énergétique et soutien à un cadre législatif et réglementaire pour les investissements privés dans la production d'électricité renouvelable</w:t>
            </w:r>
          </w:p>
        </w:tc>
        <w:tc>
          <w:tcPr>
            <w:tcW w:w="1221" w:type="dxa"/>
            <w:tcBorders>
              <w:top w:val="single" w:sz="4" w:space="0" w:color="auto"/>
              <w:left w:val="nil"/>
              <w:bottom w:val="single" w:sz="4" w:space="0" w:color="auto"/>
              <w:right w:val="single" w:sz="4" w:space="0" w:color="auto"/>
            </w:tcBorders>
            <w:shd w:val="clear" w:color="auto" w:fill="C6EFCE"/>
            <w:noWrap/>
          </w:tcPr>
          <w:p w14:paraId="7C60B1AB" w14:textId="77777777" w:rsidR="00A345F4" w:rsidRDefault="005E2D4E">
            <w:pPr>
              <w:pStyle w:val="P68B1DB1-Normal37"/>
              <w:spacing w:after="0" w:line="240" w:lineRule="auto"/>
              <w:jc w:val="both"/>
              <w:rPr>
                <w:rFonts w:eastAsia="Times New Roman"/>
                <w:noProof/>
              </w:rPr>
            </w:pPr>
            <w:r>
              <w:rPr>
                <w:noProof/>
              </w:rPr>
              <w:t>Étape</w:t>
            </w:r>
          </w:p>
        </w:tc>
        <w:tc>
          <w:tcPr>
            <w:tcW w:w="1782" w:type="dxa"/>
            <w:tcBorders>
              <w:top w:val="single" w:sz="4" w:space="0" w:color="auto"/>
              <w:left w:val="nil"/>
              <w:bottom w:val="single" w:sz="4" w:space="0" w:color="auto"/>
              <w:right w:val="single" w:sz="4" w:space="0" w:color="auto"/>
            </w:tcBorders>
            <w:shd w:val="clear" w:color="auto" w:fill="C6EFCE"/>
            <w:noWrap/>
          </w:tcPr>
          <w:p w14:paraId="248CEA54" w14:textId="77777777" w:rsidR="00A345F4" w:rsidRDefault="005E2D4E">
            <w:pPr>
              <w:pStyle w:val="P68B1DB1-Normal37"/>
              <w:spacing w:after="0" w:line="240" w:lineRule="auto"/>
              <w:jc w:val="both"/>
              <w:rPr>
                <w:rFonts w:eastAsia="Times New Roman"/>
                <w:noProof/>
              </w:rPr>
            </w:pPr>
            <w:r>
              <w:rPr>
                <w:noProof/>
              </w:rPr>
              <w:t>Signature de contrats d’écart compensatoire pour les sources d’énergie renouvelables à l’issue de cycles d’enchères</w:t>
            </w:r>
          </w:p>
        </w:tc>
        <w:tc>
          <w:tcPr>
            <w:tcW w:w="1822" w:type="dxa"/>
            <w:tcBorders>
              <w:top w:val="single" w:sz="4" w:space="0" w:color="auto"/>
              <w:left w:val="nil"/>
              <w:bottom w:val="single" w:sz="4" w:space="0" w:color="auto"/>
              <w:right w:val="single" w:sz="4" w:space="0" w:color="auto"/>
            </w:tcBorders>
            <w:shd w:val="clear" w:color="auto" w:fill="C6EFCE"/>
            <w:noWrap/>
          </w:tcPr>
          <w:p w14:paraId="4D066012" w14:textId="77777777" w:rsidR="00A345F4" w:rsidRDefault="005E2D4E">
            <w:pPr>
              <w:pStyle w:val="P68B1DB1-Normal37"/>
              <w:spacing w:after="0" w:line="240" w:lineRule="auto"/>
              <w:jc w:val="both"/>
              <w:rPr>
                <w:rFonts w:eastAsia="Times New Roman"/>
                <w:noProof/>
              </w:rPr>
            </w:pPr>
            <w:r>
              <w:rPr>
                <w:noProof/>
              </w:rPr>
              <w:t>Signature des contrats</w:t>
            </w:r>
          </w:p>
        </w:tc>
        <w:tc>
          <w:tcPr>
            <w:tcW w:w="1332" w:type="dxa"/>
            <w:tcBorders>
              <w:top w:val="single" w:sz="4" w:space="0" w:color="auto"/>
              <w:left w:val="nil"/>
              <w:bottom w:val="single" w:sz="4" w:space="0" w:color="auto"/>
              <w:right w:val="single" w:sz="4" w:space="0" w:color="auto"/>
            </w:tcBorders>
            <w:shd w:val="clear" w:color="auto" w:fill="C6EFCE"/>
            <w:noWrap/>
          </w:tcPr>
          <w:p w14:paraId="08A07E4A"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10199801"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949" w:type="dxa"/>
            <w:tcBorders>
              <w:top w:val="single" w:sz="4" w:space="0" w:color="auto"/>
              <w:left w:val="nil"/>
              <w:bottom w:val="single" w:sz="4" w:space="0" w:color="auto"/>
              <w:right w:val="single" w:sz="4" w:space="0" w:color="auto"/>
            </w:tcBorders>
            <w:shd w:val="clear" w:color="auto" w:fill="C6EFCE"/>
            <w:noWrap/>
          </w:tcPr>
          <w:p w14:paraId="40E91DE7"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134" w:type="dxa"/>
            <w:tcBorders>
              <w:top w:val="single" w:sz="4" w:space="0" w:color="auto"/>
              <w:left w:val="nil"/>
              <w:bottom w:val="single" w:sz="4" w:space="0" w:color="auto"/>
              <w:right w:val="single" w:sz="4" w:space="0" w:color="auto"/>
            </w:tcBorders>
            <w:shd w:val="clear" w:color="auto" w:fill="C6EFCE"/>
            <w:noWrap/>
          </w:tcPr>
          <w:p w14:paraId="4A2D01F5" w14:textId="77777777" w:rsidR="00A345F4" w:rsidRDefault="005E2D4E">
            <w:pPr>
              <w:pStyle w:val="P68B1DB1-Normal37"/>
              <w:spacing w:after="0" w:line="240" w:lineRule="auto"/>
              <w:jc w:val="both"/>
              <w:rPr>
                <w:rFonts w:eastAsia="Times New Roman"/>
                <w:noProof/>
              </w:rPr>
            </w:pPr>
            <w:r>
              <w:rPr>
                <w:noProof/>
              </w:rPr>
              <w:t>T4</w:t>
            </w:r>
          </w:p>
        </w:tc>
        <w:tc>
          <w:tcPr>
            <w:tcW w:w="850" w:type="dxa"/>
            <w:tcBorders>
              <w:top w:val="single" w:sz="4" w:space="0" w:color="auto"/>
              <w:left w:val="nil"/>
              <w:bottom w:val="single" w:sz="4" w:space="0" w:color="auto"/>
              <w:right w:val="single" w:sz="4" w:space="0" w:color="auto"/>
            </w:tcBorders>
            <w:shd w:val="clear" w:color="auto" w:fill="C6EFCE"/>
            <w:noWrap/>
          </w:tcPr>
          <w:p w14:paraId="3BB0E214" w14:textId="77777777" w:rsidR="00A345F4" w:rsidRDefault="005E2D4E">
            <w:pPr>
              <w:pStyle w:val="P68B1DB1-Normal37"/>
              <w:spacing w:after="0" w:line="240" w:lineRule="auto"/>
              <w:jc w:val="both"/>
              <w:rPr>
                <w:rFonts w:eastAsia="Times New Roman"/>
                <w:noProof/>
              </w:rPr>
            </w:pPr>
            <w:r>
              <w:rPr>
                <w:noProof/>
              </w:rPr>
              <w:t>2025</w:t>
            </w:r>
          </w:p>
        </w:tc>
        <w:tc>
          <w:tcPr>
            <w:tcW w:w="2557" w:type="dxa"/>
            <w:tcBorders>
              <w:top w:val="single" w:sz="4" w:space="0" w:color="auto"/>
              <w:left w:val="nil"/>
              <w:bottom w:val="single" w:sz="4" w:space="0" w:color="auto"/>
              <w:right w:val="single" w:sz="4" w:space="0" w:color="auto"/>
            </w:tcBorders>
            <w:shd w:val="clear" w:color="auto" w:fill="C6EFCE"/>
            <w:noWrap/>
          </w:tcPr>
          <w:p w14:paraId="0BDDFD73" w14:textId="5EA5273E" w:rsidR="00A345F4" w:rsidRDefault="005E2D4E">
            <w:pPr>
              <w:pStyle w:val="P68B1DB1-Normal37"/>
              <w:spacing w:after="0" w:line="240" w:lineRule="auto"/>
              <w:jc w:val="both"/>
              <w:rPr>
                <w:rFonts w:eastAsia="Times New Roman"/>
                <w:noProof/>
              </w:rPr>
            </w:pPr>
            <w:r>
              <w:rPr>
                <w:noProof/>
              </w:rPr>
              <w:t>Signature de contrats d’écart compensatoire pour la production d’électricité (capacité installée d’au moins 3 500 MW) à partir de sources renouvelables.</w:t>
            </w:r>
          </w:p>
        </w:tc>
      </w:tr>
      <w:tr w:rsidR="00A345F4" w14:paraId="3FA925DF"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5DAD70FC" w14:textId="77777777" w:rsidR="00A345F4" w:rsidRDefault="005E2D4E">
            <w:pPr>
              <w:pStyle w:val="P68B1DB1-Normal37"/>
              <w:spacing w:after="0" w:line="240" w:lineRule="auto"/>
              <w:jc w:val="both"/>
              <w:rPr>
                <w:rFonts w:eastAsia="Times New Roman"/>
                <w:noProof/>
              </w:rPr>
            </w:pPr>
            <w:r>
              <w:rPr>
                <w:noProof/>
              </w:rPr>
              <w:t>119</w:t>
            </w:r>
          </w:p>
        </w:tc>
        <w:tc>
          <w:tcPr>
            <w:tcW w:w="1823" w:type="dxa"/>
            <w:tcBorders>
              <w:top w:val="single" w:sz="4" w:space="0" w:color="auto"/>
              <w:left w:val="nil"/>
              <w:bottom w:val="single" w:sz="4" w:space="0" w:color="auto"/>
              <w:right w:val="single" w:sz="4" w:space="0" w:color="auto"/>
            </w:tcBorders>
            <w:shd w:val="clear" w:color="auto" w:fill="C6EFCE"/>
            <w:noWrap/>
          </w:tcPr>
          <w:p w14:paraId="61D44F1C" w14:textId="77777777" w:rsidR="00A345F4" w:rsidRDefault="005E2D4E">
            <w:pPr>
              <w:pStyle w:val="P68B1DB1-Normal37"/>
              <w:spacing w:after="0" w:line="240" w:lineRule="auto"/>
              <w:jc w:val="both"/>
              <w:rPr>
                <w:rFonts w:eastAsia="Times New Roman"/>
                <w:noProof/>
              </w:rPr>
            </w:pPr>
            <w:r>
              <w:rPr>
                <w:noProof/>
              </w:rPr>
              <w:t>Réforme 1. Réforme du marché de l'électricité, remplacement du charbon dans le bouquet énergétique et soutien à un cadre législatif et réglementaire pour les investissements privés dans la production d'électricité renouvelable</w:t>
            </w:r>
          </w:p>
        </w:tc>
        <w:tc>
          <w:tcPr>
            <w:tcW w:w="1221" w:type="dxa"/>
            <w:tcBorders>
              <w:top w:val="single" w:sz="4" w:space="0" w:color="auto"/>
              <w:left w:val="nil"/>
              <w:bottom w:val="single" w:sz="4" w:space="0" w:color="auto"/>
              <w:right w:val="single" w:sz="4" w:space="0" w:color="auto"/>
            </w:tcBorders>
            <w:shd w:val="clear" w:color="auto" w:fill="C6EFCE"/>
            <w:noWrap/>
          </w:tcPr>
          <w:p w14:paraId="28EBBDAA" w14:textId="77777777" w:rsidR="00A345F4" w:rsidRDefault="005E2D4E">
            <w:pPr>
              <w:pStyle w:val="P68B1DB1-Normal37"/>
              <w:spacing w:after="0" w:line="240" w:lineRule="auto"/>
              <w:jc w:val="both"/>
              <w:rPr>
                <w:rFonts w:eastAsia="Times New Roman"/>
                <w:noProof/>
              </w:rPr>
            </w:pPr>
            <w:r>
              <w:rPr>
                <w:noProof/>
              </w:rPr>
              <w:t>Objectif</w:t>
            </w:r>
          </w:p>
        </w:tc>
        <w:tc>
          <w:tcPr>
            <w:tcW w:w="1782" w:type="dxa"/>
            <w:tcBorders>
              <w:top w:val="single" w:sz="4" w:space="0" w:color="auto"/>
              <w:left w:val="nil"/>
              <w:bottom w:val="single" w:sz="4" w:space="0" w:color="auto"/>
              <w:right w:val="single" w:sz="4" w:space="0" w:color="auto"/>
            </w:tcBorders>
            <w:shd w:val="clear" w:color="auto" w:fill="C6EFCE"/>
            <w:noWrap/>
          </w:tcPr>
          <w:p w14:paraId="76D7EA16" w14:textId="2948AF3C" w:rsidR="00A345F4" w:rsidRDefault="005E2D4E">
            <w:pPr>
              <w:pStyle w:val="P68B1DB1-Normal37"/>
              <w:spacing w:after="0" w:line="240" w:lineRule="auto"/>
              <w:jc w:val="both"/>
              <w:rPr>
                <w:rFonts w:eastAsia="Times New Roman"/>
                <w:noProof/>
              </w:rPr>
            </w:pPr>
            <w:r>
              <w:rPr>
                <w:noProof/>
              </w:rPr>
              <w:t xml:space="preserve">Démantèlement de la capacité de production d’électricité à partir de charbon/lignite </w:t>
            </w:r>
          </w:p>
        </w:tc>
        <w:tc>
          <w:tcPr>
            <w:tcW w:w="1822" w:type="dxa"/>
            <w:tcBorders>
              <w:top w:val="single" w:sz="4" w:space="0" w:color="auto"/>
              <w:left w:val="nil"/>
              <w:bottom w:val="single" w:sz="4" w:space="0" w:color="auto"/>
              <w:right w:val="single" w:sz="4" w:space="0" w:color="auto"/>
            </w:tcBorders>
            <w:shd w:val="clear" w:color="auto" w:fill="C6EFCE"/>
            <w:noWrap/>
          </w:tcPr>
          <w:p w14:paraId="543C4B32" w14:textId="77777777" w:rsidR="00A345F4" w:rsidRDefault="005E2D4E">
            <w:pPr>
              <w:pStyle w:val="P68B1DB1-Normal37"/>
              <w:spacing w:after="0" w:line="240" w:lineRule="auto"/>
              <w:jc w:val="both"/>
              <w:rPr>
                <w:rFonts w:eastAsia="Times New Roman"/>
                <w:noProof/>
              </w:rPr>
            </w:pPr>
            <w:r>
              <w:rPr>
                <w:noProof/>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281DAB16" w14:textId="77777777" w:rsidR="00A345F4" w:rsidRDefault="005E2D4E">
            <w:pPr>
              <w:pStyle w:val="P68B1DB1-Normal37"/>
              <w:spacing w:after="0" w:line="240" w:lineRule="auto"/>
              <w:jc w:val="both"/>
              <w:rPr>
                <w:rFonts w:eastAsia="Times New Roman"/>
                <w:noProof/>
              </w:rPr>
            </w:pPr>
            <w:r>
              <w:rPr>
                <w:noProof/>
              </w:rPr>
              <w:t>Mégawatts (MW)</w:t>
            </w:r>
          </w:p>
        </w:tc>
        <w:tc>
          <w:tcPr>
            <w:tcW w:w="1332" w:type="dxa"/>
            <w:tcBorders>
              <w:top w:val="single" w:sz="4" w:space="0" w:color="auto"/>
              <w:left w:val="nil"/>
              <w:bottom w:val="single" w:sz="4" w:space="0" w:color="auto"/>
              <w:right w:val="single" w:sz="4" w:space="0" w:color="auto"/>
            </w:tcBorders>
            <w:shd w:val="clear" w:color="auto" w:fill="C6EFCE"/>
            <w:noWrap/>
          </w:tcPr>
          <w:p w14:paraId="15393061" w14:textId="77777777" w:rsidR="00A345F4" w:rsidRDefault="005E2D4E">
            <w:pPr>
              <w:pStyle w:val="P68B1DB1-Normal37"/>
              <w:spacing w:after="0" w:line="240" w:lineRule="auto"/>
              <w:jc w:val="both"/>
              <w:rPr>
                <w:rFonts w:eastAsia="Times New Roman"/>
                <w:noProof/>
              </w:rPr>
            </w:pPr>
            <w:r>
              <w:rPr>
                <w:noProof/>
              </w:rPr>
              <w:t>2 025</w:t>
            </w:r>
          </w:p>
        </w:tc>
        <w:tc>
          <w:tcPr>
            <w:tcW w:w="949" w:type="dxa"/>
            <w:tcBorders>
              <w:top w:val="single" w:sz="4" w:space="0" w:color="auto"/>
              <w:left w:val="nil"/>
              <w:bottom w:val="single" w:sz="4" w:space="0" w:color="auto"/>
              <w:right w:val="single" w:sz="4" w:space="0" w:color="auto"/>
            </w:tcBorders>
            <w:shd w:val="clear" w:color="auto" w:fill="C6EFCE"/>
            <w:noWrap/>
          </w:tcPr>
          <w:p w14:paraId="4E01B45B" w14:textId="77777777" w:rsidR="00A345F4" w:rsidRDefault="005E2D4E">
            <w:pPr>
              <w:pStyle w:val="P68B1DB1-Normal37"/>
              <w:spacing w:after="0" w:line="240" w:lineRule="auto"/>
              <w:jc w:val="both"/>
              <w:rPr>
                <w:rFonts w:eastAsia="Times New Roman"/>
                <w:noProof/>
              </w:rPr>
            </w:pPr>
            <w:r>
              <w:rPr>
                <w:noProof/>
              </w:rPr>
              <w:t>3 070</w:t>
            </w:r>
          </w:p>
        </w:tc>
        <w:tc>
          <w:tcPr>
            <w:tcW w:w="1134" w:type="dxa"/>
            <w:tcBorders>
              <w:top w:val="single" w:sz="4" w:space="0" w:color="auto"/>
              <w:left w:val="nil"/>
              <w:bottom w:val="single" w:sz="4" w:space="0" w:color="auto"/>
              <w:right w:val="single" w:sz="4" w:space="0" w:color="auto"/>
            </w:tcBorders>
            <w:shd w:val="clear" w:color="auto" w:fill="C6EFCE"/>
            <w:noWrap/>
          </w:tcPr>
          <w:p w14:paraId="3270ECF6" w14:textId="77777777" w:rsidR="00A345F4" w:rsidRDefault="005E2D4E">
            <w:pPr>
              <w:pStyle w:val="P68B1DB1-Normal37"/>
              <w:spacing w:after="0" w:line="240" w:lineRule="auto"/>
              <w:jc w:val="both"/>
              <w:rPr>
                <w:rFonts w:eastAsia="Times New Roman"/>
                <w:noProof/>
              </w:rPr>
            </w:pPr>
            <w:r>
              <w:rPr>
                <w:noProof/>
              </w:rPr>
              <w:t>T4</w:t>
            </w:r>
          </w:p>
        </w:tc>
        <w:tc>
          <w:tcPr>
            <w:tcW w:w="850" w:type="dxa"/>
            <w:tcBorders>
              <w:top w:val="single" w:sz="4" w:space="0" w:color="auto"/>
              <w:left w:val="nil"/>
              <w:bottom w:val="single" w:sz="4" w:space="0" w:color="auto"/>
              <w:right w:val="single" w:sz="4" w:space="0" w:color="auto"/>
            </w:tcBorders>
            <w:shd w:val="clear" w:color="auto" w:fill="C6EFCE"/>
            <w:noWrap/>
          </w:tcPr>
          <w:p w14:paraId="313F7468" w14:textId="77777777" w:rsidR="00A345F4" w:rsidRDefault="005E2D4E">
            <w:pPr>
              <w:pStyle w:val="P68B1DB1-Normal37"/>
              <w:spacing w:after="0" w:line="240" w:lineRule="auto"/>
              <w:jc w:val="both"/>
              <w:rPr>
                <w:rFonts w:eastAsia="Times New Roman"/>
                <w:noProof/>
              </w:rPr>
            </w:pPr>
            <w:r>
              <w:rPr>
                <w:noProof/>
              </w:rPr>
              <w:t>2025</w:t>
            </w:r>
          </w:p>
        </w:tc>
        <w:tc>
          <w:tcPr>
            <w:tcW w:w="2557" w:type="dxa"/>
            <w:tcBorders>
              <w:top w:val="single" w:sz="4" w:space="0" w:color="auto"/>
              <w:left w:val="nil"/>
              <w:bottom w:val="single" w:sz="4" w:space="0" w:color="auto"/>
              <w:right w:val="single" w:sz="4" w:space="0" w:color="auto"/>
            </w:tcBorders>
            <w:shd w:val="clear" w:color="auto" w:fill="C6EFCE"/>
            <w:noWrap/>
          </w:tcPr>
          <w:p w14:paraId="6A6187DB" w14:textId="77777777" w:rsidR="00A345F4" w:rsidRDefault="005E2D4E">
            <w:pPr>
              <w:pStyle w:val="P68B1DB1-Normal37"/>
              <w:spacing w:after="0" w:line="240" w:lineRule="auto"/>
              <w:jc w:val="both"/>
              <w:rPr>
                <w:noProof/>
              </w:rPr>
            </w:pPr>
            <w:r>
              <w:rPr>
                <w:noProof/>
              </w:rPr>
              <w:t>Décision(s) émise(s) par l’autorité nationale de régulation de l’énergie</w:t>
            </w:r>
          </w:p>
          <w:p w14:paraId="03DFE6E2" w14:textId="28D3BC8B" w:rsidR="00A345F4" w:rsidRDefault="005E2D4E">
            <w:pPr>
              <w:pStyle w:val="P68B1DB1-Normal37"/>
              <w:spacing w:after="0" w:line="240" w:lineRule="auto"/>
              <w:jc w:val="both"/>
              <w:rPr>
                <w:rFonts w:eastAsia="Times New Roman"/>
                <w:noProof/>
              </w:rPr>
            </w:pPr>
            <w:r>
              <w:rPr>
                <w:noProof/>
              </w:rPr>
              <w:t xml:space="preserve">le retrait de la ou des licences d’exploitation ainsi que de la ou des certifications du gestionnaire de réseau de transport confirmant la déconnexion d’une capacité cumulée de production d’électricité déclassée au charbon et au lignite de 3 070 MW. </w:t>
            </w:r>
          </w:p>
        </w:tc>
      </w:tr>
      <w:tr w:rsidR="00A345F4" w14:paraId="59A32DD4"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571EB793" w14:textId="77777777" w:rsidR="00A345F4" w:rsidRDefault="005E2D4E">
            <w:pPr>
              <w:pStyle w:val="P68B1DB1-Normal37"/>
              <w:spacing w:after="0" w:line="240" w:lineRule="auto"/>
              <w:jc w:val="both"/>
              <w:rPr>
                <w:noProof/>
              </w:rPr>
            </w:pPr>
            <w:r>
              <w:rPr>
                <w:noProof/>
              </w:rPr>
              <w:t>119a</w:t>
            </w:r>
          </w:p>
        </w:tc>
        <w:tc>
          <w:tcPr>
            <w:tcW w:w="1823" w:type="dxa"/>
            <w:tcBorders>
              <w:top w:val="single" w:sz="4" w:space="0" w:color="auto"/>
              <w:left w:val="nil"/>
              <w:bottom w:val="single" w:sz="4" w:space="0" w:color="auto"/>
              <w:right w:val="single" w:sz="4" w:space="0" w:color="auto"/>
            </w:tcBorders>
            <w:shd w:val="clear" w:color="auto" w:fill="C6EFCE"/>
            <w:noWrap/>
          </w:tcPr>
          <w:p w14:paraId="50755AE4" w14:textId="77777777" w:rsidR="00A345F4" w:rsidRDefault="005E2D4E">
            <w:pPr>
              <w:pStyle w:val="P68B1DB1-Normal37"/>
              <w:spacing w:after="0" w:line="240" w:lineRule="auto"/>
              <w:jc w:val="both"/>
              <w:rPr>
                <w:noProof/>
              </w:rPr>
            </w:pPr>
            <w:r>
              <w:rPr>
                <w:noProof/>
              </w:rPr>
              <w:t>Réforme 1. Réforme du marché de l'électricité, remplacement du charbon dans le bouquet énergétique et soutien à un cadre législatif et réglementaire pour les investissements privés dans la production d'électricité renouvelable</w:t>
            </w:r>
          </w:p>
        </w:tc>
        <w:tc>
          <w:tcPr>
            <w:tcW w:w="1221" w:type="dxa"/>
            <w:tcBorders>
              <w:top w:val="single" w:sz="4" w:space="0" w:color="auto"/>
              <w:left w:val="nil"/>
              <w:bottom w:val="single" w:sz="4" w:space="0" w:color="auto"/>
              <w:right w:val="single" w:sz="4" w:space="0" w:color="auto"/>
            </w:tcBorders>
            <w:shd w:val="clear" w:color="auto" w:fill="C6EFCE"/>
            <w:noWrap/>
          </w:tcPr>
          <w:p w14:paraId="412CCA86" w14:textId="77777777" w:rsidR="00A345F4" w:rsidRDefault="005E2D4E">
            <w:pPr>
              <w:pStyle w:val="P68B1DB1-Normal37"/>
              <w:spacing w:after="0" w:line="240" w:lineRule="auto"/>
              <w:jc w:val="both"/>
              <w:rPr>
                <w:noProof/>
              </w:rPr>
            </w:pPr>
            <w:r>
              <w:rPr>
                <w:noProof/>
              </w:rPr>
              <w:t>Objectif</w:t>
            </w:r>
          </w:p>
        </w:tc>
        <w:tc>
          <w:tcPr>
            <w:tcW w:w="1782" w:type="dxa"/>
            <w:tcBorders>
              <w:top w:val="single" w:sz="4" w:space="0" w:color="auto"/>
              <w:left w:val="nil"/>
              <w:bottom w:val="single" w:sz="4" w:space="0" w:color="auto"/>
              <w:right w:val="single" w:sz="4" w:space="0" w:color="auto"/>
            </w:tcBorders>
            <w:shd w:val="clear" w:color="auto" w:fill="C6EFCE"/>
            <w:noWrap/>
          </w:tcPr>
          <w:p w14:paraId="6E624D85" w14:textId="64776B02" w:rsidR="00A345F4" w:rsidRDefault="005E2D4E">
            <w:pPr>
              <w:pStyle w:val="P68B1DB1-Normal37"/>
              <w:spacing w:after="0" w:line="240" w:lineRule="auto"/>
              <w:jc w:val="both"/>
              <w:rPr>
                <w:noProof/>
              </w:rPr>
            </w:pPr>
            <w:r>
              <w:rPr>
                <w:noProof/>
              </w:rPr>
              <w:t>Démantèlement de la capacité de production d’électricité à partir de charbon/lignite</w:t>
            </w:r>
          </w:p>
        </w:tc>
        <w:tc>
          <w:tcPr>
            <w:tcW w:w="1822" w:type="dxa"/>
            <w:tcBorders>
              <w:top w:val="single" w:sz="4" w:space="0" w:color="auto"/>
              <w:left w:val="nil"/>
              <w:bottom w:val="single" w:sz="4" w:space="0" w:color="auto"/>
              <w:right w:val="single" w:sz="4" w:space="0" w:color="auto"/>
            </w:tcBorders>
            <w:shd w:val="clear" w:color="auto" w:fill="C6EFCE"/>
            <w:noWrap/>
          </w:tcPr>
          <w:p w14:paraId="4C44D529" w14:textId="77777777" w:rsidR="00A345F4" w:rsidRDefault="00A345F4">
            <w:pPr>
              <w:spacing w:after="0" w:line="240" w:lineRule="auto"/>
              <w:jc w:val="both"/>
              <w:rPr>
                <w:rFonts w:ascii="Times New Roman" w:eastAsia="Aptos" w:hAnsi="Times New Roman" w:cs="Times New Roman"/>
                <w:noProof/>
                <w:kern w:val="2"/>
                <w:sz w:val="20"/>
                <w:szCs w:val="20"/>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07B26AD4" w14:textId="77777777" w:rsidR="00A345F4" w:rsidRDefault="005E2D4E">
            <w:pPr>
              <w:pStyle w:val="P68B1DB1-Normal37"/>
              <w:spacing w:after="0" w:line="240" w:lineRule="auto"/>
              <w:jc w:val="both"/>
              <w:rPr>
                <w:noProof/>
              </w:rPr>
            </w:pPr>
            <w:r>
              <w:rPr>
                <w:noProof/>
              </w:rPr>
              <w:t>Mégawatts (MW)</w:t>
            </w:r>
          </w:p>
        </w:tc>
        <w:tc>
          <w:tcPr>
            <w:tcW w:w="1332" w:type="dxa"/>
            <w:tcBorders>
              <w:top w:val="single" w:sz="4" w:space="0" w:color="auto"/>
              <w:left w:val="nil"/>
              <w:bottom w:val="single" w:sz="4" w:space="0" w:color="auto"/>
              <w:right w:val="single" w:sz="4" w:space="0" w:color="auto"/>
            </w:tcBorders>
            <w:shd w:val="clear" w:color="auto" w:fill="C6EFCE"/>
            <w:noWrap/>
          </w:tcPr>
          <w:p w14:paraId="62B8EDD4" w14:textId="66837AB8" w:rsidR="00A345F4" w:rsidRDefault="005E2D4E">
            <w:pPr>
              <w:pStyle w:val="P68B1DB1-Normal37"/>
              <w:spacing w:after="0" w:line="240" w:lineRule="auto"/>
              <w:jc w:val="both"/>
              <w:rPr>
                <w:noProof/>
              </w:rPr>
            </w:pPr>
            <w:r>
              <w:rPr>
                <w:noProof/>
              </w:rPr>
              <w:t>3 070</w:t>
            </w:r>
          </w:p>
        </w:tc>
        <w:tc>
          <w:tcPr>
            <w:tcW w:w="949" w:type="dxa"/>
            <w:tcBorders>
              <w:top w:val="single" w:sz="4" w:space="0" w:color="auto"/>
              <w:left w:val="nil"/>
              <w:bottom w:val="single" w:sz="4" w:space="0" w:color="auto"/>
              <w:right w:val="single" w:sz="4" w:space="0" w:color="auto"/>
            </w:tcBorders>
            <w:shd w:val="clear" w:color="auto" w:fill="C6EFCE"/>
            <w:noWrap/>
          </w:tcPr>
          <w:p w14:paraId="6B88BB4D" w14:textId="5CD5A2AE" w:rsidR="00A345F4" w:rsidRDefault="005E2D4E">
            <w:pPr>
              <w:pStyle w:val="P68B1DB1-Normal37"/>
              <w:spacing w:after="0" w:line="240" w:lineRule="auto"/>
              <w:jc w:val="both"/>
              <w:rPr>
                <w:noProof/>
              </w:rPr>
            </w:pPr>
            <w:r>
              <w:rPr>
                <w:noProof/>
              </w:rPr>
              <w:t>3 780</w:t>
            </w:r>
          </w:p>
        </w:tc>
        <w:tc>
          <w:tcPr>
            <w:tcW w:w="1134" w:type="dxa"/>
            <w:tcBorders>
              <w:top w:val="single" w:sz="4" w:space="0" w:color="auto"/>
              <w:left w:val="nil"/>
              <w:bottom w:val="single" w:sz="4" w:space="0" w:color="auto"/>
              <w:right w:val="single" w:sz="4" w:space="0" w:color="auto"/>
            </w:tcBorders>
            <w:shd w:val="clear" w:color="auto" w:fill="C6EFCE"/>
            <w:noWrap/>
          </w:tcPr>
          <w:p w14:paraId="77865847" w14:textId="77777777" w:rsidR="00A345F4" w:rsidRDefault="005E2D4E">
            <w:pPr>
              <w:pStyle w:val="P68B1DB1-Normal37"/>
              <w:spacing w:after="0" w:line="240" w:lineRule="auto"/>
              <w:jc w:val="both"/>
              <w:rPr>
                <w:noProof/>
              </w:rPr>
            </w:pPr>
            <w:r>
              <w:rPr>
                <w:noProof/>
              </w:rPr>
              <w:t>T3</w:t>
            </w:r>
          </w:p>
        </w:tc>
        <w:tc>
          <w:tcPr>
            <w:tcW w:w="850" w:type="dxa"/>
            <w:tcBorders>
              <w:top w:val="single" w:sz="4" w:space="0" w:color="auto"/>
              <w:left w:val="nil"/>
              <w:bottom w:val="single" w:sz="4" w:space="0" w:color="auto"/>
              <w:right w:val="single" w:sz="4" w:space="0" w:color="auto"/>
            </w:tcBorders>
            <w:shd w:val="clear" w:color="auto" w:fill="C6EFCE"/>
            <w:noWrap/>
          </w:tcPr>
          <w:p w14:paraId="77F59DCA" w14:textId="77777777" w:rsidR="00A345F4" w:rsidRDefault="005E2D4E">
            <w:pPr>
              <w:pStyle w:val="P68B1DB1-Normal37"/>
              <w:spacing w:after="0" w:line="240" w:lineRule="auto"/>
              <w:jc w:val="both"/>
              <w:rPr>
                <w:noProof/>
              </w:rPr>
            </w:pPr>
            <w:r>
              <w:rPr>
                <w:noProof/>
              </w:rPr>
              <w:t>2026</w:t>
            </w:r>
          </w:p>
        </w:tc>
        <w:tc>
          <w:tcPr>
            <w:tcW w:w="2557" w:type="dxa"/>
            <w:tcBorders>
              <w:top w:val="single" w:sz="4" w:space="0" w:color="auto"/>
              <w:left w:val="nil"/>
              <w:bottom w:val="single" w:sz="4" w:space="0" w:color="auto"/>
              <w:right w:val="single" w:sz="4" w:space="0" w:color="auto"/>
            </w:tcBorders>
            <w:shd w:val="clear" w:color="auto" w:fill="C6EFCE"/>
            <w:noWrap/>
          </w:tcPr>
          <w:p w14:paraId="24B35448" w14:textId="77777777" w:rsidR="00A345F4" w:rsidRDefault="005E2D4E">
            <w:pPr>
              <w:pStyle w:val="P68B1DB1-Normal37"/>
              <w:spacing w:after="0" w:line="240" w:lineRule="auto"/>
              <w:jc w:val="both"/>
              <w:rPr>
                <w:noProof/>
              </w:rPr>
            </w:pPr>
            <w:r>
              <w:rPr>
                <w:noProof/>
              </w:rPr>
              <w:t>Décision(s) émise(s) par l’autorité nationale de régulation de l’énergie</w:t>
            </w:r>
          </w:p>
          <w:p w14:paraId="0EB5186A" w14:textId="77777777" w:rsidR="00A345F4" w:rsidRDefault="005E2D4E">
            <w:pPr>
              <w:pStyle w:val="P68B1DB1-Normal37"/>
              <w:spacing w:after="0" w:line="240" w:lineRule="auto"/>
              <w:jc w:val="both"/>
              <w:rPr>
                <w:noProof/>
              </w:rPr>
            </w:pPr>
            <w:r>
              <w:rPr>
                <w:noProof/>
              </w:rPr>
              <w:t>le retrait de la ou des licences d’exploitation ainsi que de la ou des certifications du gestionnaire de réseau de transport, confirmant la déconnexion;</w:t>
            </w:r>
          </w:p>
          <w:p w14:paraId="54764E35" w14:textId="18A0A916" w:rsidR="00A345F4" w:rsidRDefault="005E2D4E">
            <w:pPr>
              <w:pStyle w:val="P68B1DB1-Normal37"/>
              <w:spacing w:after="0" w:line="240" w:lineRule="auto"/>
              <w:jc w:val="both"/>
              <w:rPr>
                <w:noProof/>
              </w:rPr>
            </w:pPr>
            <w:r>
              <w:rPr>
                <w:noProof/>
              </w:rPr>
              <w:t>d'une capacité cumulée de production d'électricité déclassée au charbon et au lignite de 3 780 MW, complétée par des contrats signés pour 1 200 MW de sources d'électricité renouvelables, ainsi que 1 500 MWh de stockage d'électricité en aval .</w:t>
            </w:r>
          </w:p>
        </w:tc>
      </w:tr>
      <w:tr w:rsidR="00A345F4" w14:paraId="29B3C831"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64221167" w14:textId="77777777" w:rsidR="00A345F4" w:rsidRDefault="005E2D4E">
            <w:pPr>
              <w:pStyle w:val="P68B1DB1-Normal37"/>
              <w:spacing w:after="0" w:line="240" w:lineRule="auto"/>
              <w:jc w:val="both"/>
              <w:rPr>
                <w:rFonts w:eastAsia="Times New Roman"/>
                <w:noProof/>
              </w:rPr>
            </w:pPr>
            <w:r>
              <w:rPr>
                <w:noProof/>
              </w:rPr>
              <w:t>120</w:t>
            </w:r>
          </w:p>
        </w:tc>
        <w:tc>
          <w:tcPr>
            <w:tcW w:w="1823" w:type="dxa"/>
            <w:tcBorders>
              <w:top w:val="single" w:sz="4" w:space="0" w:color="auto"/>
              <w:left w:val="nil"/>
              <w:bottom w:val="single" w:sz="4" w:space="0" w:color="auto"/>
              <w:right w:val="single" w:sz="4" w:space="0" w:color="auto"/>
            </w:tcBorders>
            <w:shd w:val="clear" w:color="auto" w:fill="C6EFCE"/>
            <w:noWrap/>
          </w:tcPr>
          <w:p w14:paraId="0A029222" w14:textId="77777777" w:rsidR="00A345F4" w:rsidRDefault="005E2D4E">
            <w:pPr>
              <w:pStyle w:val="P68B1DB1-Normal37"/>
              <w:spacing w:after="0" w:line="240" w:lineRule="auto"/>
              <w:jc w:val="both"/>
              <w:rPr>
                <w:rFonts w:eastAsia="Times New Roman"/>
                <w:noProof/>
              </w:rPr>
            </w:pPr>
            <w:r>
              <w:rPr>
                <w:noProof/>
              </w:rPr>
              <w:t>Réforme 1. Réforme du marché de l'électricité, remplacement du charbon dans le bouquet énergétique et soutien à un cadre législatif et réglementaire pour les investissements privés dans la production d'électricité renouvelable</w:t>
            </w:r>
          </w:p>
        </w:tc>
        <w:tc>
          <w:tcPr>
            <w:tcW w:w="1221" w:type="dxa"/>
            <w:tcBorders>
              <w:top w:val="single" w:sz="4" w:space="0" w:color="auto"/>
              <w:left w:val="nil"/>
              <w:bottom w:val="single" w:sz="4" w:space="0" w:color="auto"/>
              <w:right w:val="single" w:sz="4" w:space="0" w:color="auto"/>
            </w:tcBorders>
            <w:shd w:val="clear" w:color="auto" w:fill="C6EFCE"/>
            <w:noWrap/>
          </w:tcPr>
          <w:p w14:paraId="1FACE38B" w14:textId="77777777" w:rsidR="00A345F4" w:rsidRDefault="005E2D4E">
            <w:pPr>
              <w:pStyle w:val="P68B1DB1-Normal37"/>
              <w:spacing w:after="0" w:line="240" w:lineRule="auto"/>
              <w:jc w:val="both"/>
              <w:rPr>
                <w:rFonts w:eastAsia="Times New Roman"/>
                <w:noProof/>
              </w:rPr>
            </w:pPr>
            <w:r>
              <w:rPr>
                <w:noProof/>
              </w:rPr>
              <w:t>Objectif</w:t>
            </w:r>
          </w:p>
        </w:tc>
        <w:tc>
          <w:tcPr>
            <w:tcW w:w="1782" w:type="dxa"/>
            <w:tcBorders>
              <w:top w:val="single" w:sz="4" w:space="0" w:color="auto"/>
              <w:left w:val="nil"/>
              <w:bottom w:val="single" w:sz="4" w:space="0" w:color="auto"/>
              <w:right w:val="single" w:sz="4" w:space="0" w:color="auto"/>
            </w:tcBorders>
            <w:shd w:val="clear" w:color="auto" w:fill="C6EFCE"/>
            <w:noWrap/>
          </w:tcPr>
          <w:p w14:paraId="46A20005" w14:textId="77777777" w:rsidR="00A345F4" w:rsidRDefault="005E2D4E">
            <w:pPr>
              <w:pStyle w:val="P68B1DB1-Normal37"/>
              <w:spacing w:after="0" w:line="240" w:lineRule="auto"/>
              <w:jc w:val="both"/>
              <w:rPr>
                <w:rFonts w:eastAsia="Times New Roman"/>
                <w:noProof/>
              </w:rPr>
            </w:pPr>
            <w:r>
              <w:rPr>
                <w:noProof/>
              </w:rPr>
              <w:t xml:space="preserve">Capacité supplémentaire d’énergies renouvelables installée et connectée au réseau </w:t>
            </w:r>
          </w:p>
        </w:tc>
        <w:tc>
          <w:tcPr>
            <w:tcW w:w="1822" w:type="dxa"/>
            <w:tcBorders>
              <w:top w:val="single" w:sz="4" w:space="0" w:color="auto"/>
              <w:left w:val="nil"/>
              <w:bottom w:val="single" w:sz="4" w:space="0" w:color="auto"/>
              <w:right w:val="single" w:sz="4" w:space="0" w:color="auto"/>
            </w:tcBorders>
            <w:shd w:val="clear" w:color="auto" w:fill="C6EFCE"/>
            <w:noWrap/>
          </w:tcPr>
          <w:p w14:paraId="4FE7A651"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04E45DDA" w14:textId="77777777" w:rsidR="00A345F4" w:rsidRDefault="005E2D4E">
            <w:pPr>
              <w:pStyle w:val="P68B1DB1-Normal37"/>
              <w:spacing w:after="0" w:line="240" w:lineRule="auto"/>
              <w:jc w:val="both"/>
              <w:rPr>
                <w:rFonts w:eastAsia="Times New Roman"/>
                <w:noProof/>
              </w:rPr>
            </w:pPr>
            <w:r>
              <w:rPr>
                <w:noProof/>
              </w:rPr>
              <w:t>Mégawatts (MW)</w:t>
            </w:r>
          </w:p>
        </w:tc>
        <w:tc>
          <w:tcPr>
            <w:tcW w:w="1332" w:type="dxa"/>
            <w:tcBorders>
              <w:top w:val="single" w:sz="4" w:space="0" w:color="auto"/>
              <w:left w:val="nil"/>
              <w:bottom w:val="single" w:sz="4" w:space="0" w:color="auto"/>
              <w:right w:val="single" w:sz="4" w:space="0" w:color="auto"/>
            </w:tcBorders>
            <w:shd w:val="clear" w:color="auto" w:fill="C6EFCE"/>
            <w:noWrap/>
          </w:tcPr>
          <w:p w14:paraId="47F1214D" w14:textId="77777777" w:rsidR="00A345F4" w:rsidRDefault="005E2D4E">
            <w:pPr>
              <w:pStyle w:val="P68B1DB1-Normal37"/>
              <w:spacing w:after="0" w:line="240" w:lineRule="auto"/>
              <w:jc w:val="both"/>
              <w:rPr>
                <w:rFonts w:eastAsia="Times New Roman"/>
                <w:noProof/>
              </w:rPr>
            </w:pPr>
            <w:r>
              <w:rPr>
                <w:noProof/>
              </w:rPr>
              <w:t>4 408</w:t>
            </w:r>
          </w:p>
        </w:tc>
        <w:tc>
          <w:tcPr>
            <w:tcW w:w="949" w:type="dxa"/>
            <w:tcBorders>
              <w:top w:val="single" w:sz="4" w:space="0" w:color="auto"/>
              <w:left w:val="nil"/>
              <w:bottom w:val="single" w:sz="4" w:space="0" w:color="auto"/>
              <w:right w:val="single" w:sz="4" w:space="0" w:color="auto"/>
            </w:tcBorders>
            <w:shd w:val="clear" w:color="auto" w:fill="C6EFCE"/>
            <w:noWrap/>
          </w:tcPr>
          <w:p w14:paraId="08976E27" w14:textId="77777777" w:rsidR="00A345F4" w:rsidRDefault="005E2D4E">
            <w:pPr>
              <w:pStyle w:val="P68B1DB1-Normal37"/>
              <w:spacing w:after="0" w:line="240" w:lineRule="auto"/>
              <w:jc w:val="both"/>
              <w:rPr>
                <w:rFonts w:eastAsia="Times New Roman"/>
                <w:noProof/>
              </w:rPr>
            </w:pPr>
            <w:r>
              <w:rPr>
                <w:noProof/>
              </w:rPr>
              <w:t>7 408</w:t>
            </w:r>
          </w:p>
        </w:tc>
        <w:tc>
          <w:tcPr>
            <w:tcW w:w="1134" w:type="dxa"/>
            <w:tcBorders>
              <w:top w:val="single" w:sz="4" w:space="0" w:color="auto"/>
              <w:left w:val="nil"/>
              <w:bottom w:val="single" w:sz="4" w:space="0" w:color="auto"/>
              <w:right w:val="single" w:sz="4" w:space="0" w:color="auto"/>
            </w:tcBorders>
            <w:shd w:val="clear" w:color="auto" w:fill="C6EFCE"/>
            <w:noWrap/>
          </w:tcPr>
          <w:p w14:paraId="34698637" w14:textId="77777777" w:rsidR="00A345F4" w:rsidRDefault="005E2D4E">
            <w:pPr>
              <w:pStyle w:val="P68B1DB1-Normal37"/>
              <w:spacing w:after="0" w:line="240" w:lineRule="auto"/>
              <w:jc w:val="both"/>
              <w:rPr>
                <w:rFonts w:eastAsia="Times New Roman"/>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4F4EC0B9" w14:textId="77777777" w:rsidR="00A345F4" w:rsidRDefault="005E2D4E">
            <w:pPr>
              <w:pStyle w:val="P68B1DB1-Normal37"/>
              <w:spacing w:after="0" w:line="240" w:lineRule="auto"/>
              <w:jc w:val="both"/>
              <w:rPr>
                <w:rFonts w:eastAsia="Times New Roman"/>
                <w:noProof/>
              </w:rPr>
            </w:pPr>
            <w:r>
              <w:rPr>
                <w:noProof/>
              </w:rPr>
              <w:t>2026</w:t>
            </w:r>
          </w:p>
        </w:tc>
        <w:tc>
          <w:tcPr>
            <w:tcW w:w="2557" w:type="dxa"/>
            <w:tcBorders>
              <w:top w:val="single" w:sz="4" w:space="0" w:color="auto"/>
              <w:left w:val="nil"/>
              <w:bottom w:val="single" w:sz="4" w:space="0" w:color="auto"/>
              <w:right w:val="single" w:sz="4" w:space="0" w:color="auto"/>
            </w:tcBorders>
            <w:shd w:val="clear" w:color="auto" w:fill="C6EFCE"/>
            <w:noWrap/>
          </w:tcPr>
          <w:p w14:paraId="1B4463C2" w14:textId="77777777" w:rsidR="00A345F4" w:rsidRDefault="005E2D4E">
            <w:pPr>
              <w:pStyle w:val="P68B1DB1-Normal37"/>
              <w:spacing w:after="0" w:line="240" w:lineRule="auto"/>
              <w:jc w:val="both"/>
              <w:rPr>
                <w:rFonts w:eastAsia="Times New Roman"/>
                <w:noProof/>
              </w:rPr>
            </w:pPr>
            <w:r>
              <w:rPr>
                <w:noProof/>
              </w:rPr>
              <w:t>Certificat(s) du gestionnaire de réseau de transport ou de distribution d’électricité ou de l’autorité de régulation nationale confirmant le raccordement et prouvant une augmentation d’au moins 3 000 MW de la capacité supplémentaire d’énergies renouvelables (à financer en partie par d’autres fonds de l’UE).</w:t>
            </w:r>
          </w:p>
        </w:tc>
      </w:tr>
      <w:tr w:rsidR="00A345F4" w14:paraId="0D80A700"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7113DAE9" w14:textId="77777777" w:rsidR="00A345F4" w:rsidRDefault="005E2D4E">
            <w:pPr>
              <w:pStyle w:val="P68B1DB1-Normal37"/>
              <w:spacing w:after="0" w:line="240" w:lineRule="auto"/>
              <w:jc w:val="both"/>
              <w:rPr>
                <w:rFonts w:eastAsia="Times New Roman"/>
                <w:noProof/>
              </w:rPr>
            </w:pPr>
            <w:r>
              <w:rPr>
                <w:noProof/>
              </w:rPr>
              <w:t>121</w:t>
            </w:r>
          </w:p>
        </w:tc>
        <w:tc>
          <w:tcPr>
            <w:tcW w:w="1823" w:type="dxa"/>
            <w:tcBorders>
              <w:top w:val="single" w:sz="4" w:space="0" w:color="auto"/>
              <w:left w:val="nil"/>
              <w:bottom w:val="single" w:sz="4" w:space="0" w:color="auto"/>
              <w:right w:val="single" w:sz="4" w:space="0" w:color="auto"/>
            </w:tcBorders>
            <w:shd w:val="clear" w:color="auto" w:fill="C6EFCE"/>
            <w:noWrap/>
          </w:tcPr>
          <w:p w14:paraId="21C2180E" w14:textId="77777777" w:rsidR="00A345F4" w:rsidRDefault="005E2D4E">
            <w:pPr>
              <w:pStyle w:val="P68B1DB1-Normal37"/>
              <w:spacing w:after="0" w:line="240" w:lineRule="auto"/>
              <w:jc w:val="both"/>
              <w:rPr>
                <w:rFonts w:eastAsia="Times New Roman"/>
                <w:noProof/>
              </w:rPr>
            </w:pPr>
            <w:r>
              <w:rPr>
                <w:noProof/>
              </w:rPr>
              <w:t>Réforme 2. Réformer la gouvernance des entreprises publiques dans le secteur de l'énergie</w:t>
            </w:r>
          </w:p>
        </w:tc>
        <w:tc>
          <w:tcPr>
            <w:tcW w:w="1221" w:type="dxa"/>
            <w:tcBorders>
              <w:top w:val="single" w:sz="4" w:space="0" w:color="auto"/>
              <w:left w:val="nil"/>
              <w:bottom w:val="single" w:sz="4" w:space="0" w:color="auto"/>
              <w:right w:val="single" w:sz="4" w:space="0" w:color="auto"/>
            </w:tcBorders>
            <w:shd w:val="clear" w:color="auto" w:fill="C6EFCE"/>
            <w:noWrap/>
          </w:tcPr>
          <w:p w14:paraId="2E218ADB" w14:textId="77777777" w:rsidR="00A345F4" w:rsidRDefault="005E2D4E">
            <w:pPr>
              <w:pStyle w:val="P68B1DB1-Normal37"/>
              <w:spacing w:after="0" w:line="240" w:lineRule="auto"/>
              <w:jc w:val="both"/>
              <w:rPr>
                <w:rFonts w:eastAsia="Times New Roman"/>
                <w:noProof/>
              </w:rPr>
            </w:pPr>
            <w:r>
              <w:rPr>
                <w:noProof/>
              </w:rPr>
              <w:t>Étape</w:t>
            </w:r>
          </w:p>
        </w:tc>
        <w:tc>
          <w:tcPr>
            <w:tcW w:w="1782" w:type="dxa"/>
            <w:tcBorders>
              <w:top w:val="single" w:sz="4" w:space="0" w:color="auto"/>
              <w:left w:val="nil"/>
              <w:bottom w:val="single" w:sz="4" w:space="0" w:color="auto"/>
              <w:right w:val="single" w:sz="4" w:space="0" w:color="auto"/>
            </w:tcBorders>
            <w:shd w:val="clear" w:color="auto" w:fill="C6EFCE"/>
            <w:noWrap/>
          </w:tcPr>
          <w:p w14:paraId="57D8CF1F" w14:textId="77777777" w:rsidR="00A345F4" w:rsidRDefault="005E2D4E">
            <w:pPr>
              <w:pStyle w:val="P68B1DB1-Normal37"/>
              <w:spacing w:after="0" w:line="240" w:lineRule="auto"/>
              <w:jc w:val="both"/>
              <w:rPr>
                <w:rFonts w:eastAsia="Times New Roman"/>
                <w:noProof/>
              </w:rPr>
            </w:pPr>
            <w:r>
              <w:rPr>
                <w:noProof/>
              </w:rPr>
              <w:t>Améliorer la gouvernance des entreprises publiques dans le secteur de l'énergie</w:t>
            </w:r>
          </w:p>
        </w:tc>
        <w:tc>
          <w:tcPr>
            <w:tcW w:w="1822" w:type="dxa"/>
            <w:tcBorders>
              <w:top w:val="single" w:sz="4" w:space="0" w:color="auto"/>
              <w:left w:val="nil"/>
              <w:bottom w:val="single" w:sz="4" w:space="0" w:color="auto"/>
              <w:right w:val="single" w:sz="4" w:space="0" w:color="auto"/>
            </w:tcBorders>
            <w:shd w:val="clear" w:color="auto" w:fill="C6EFCE"/>
            <w:noWrap/>
          </w:tcPr>
          <w:p w14:paraId="338EB0C1" w14:textId="77777777" w:rsidR="00A345F4" w:rsidRDefault="005E2D4E">
            <w:pPr>
              <w:pStyle w:val="P68B1DB1-Normal37"/>
              <w:spacing w:after="0" w:line="240" w:lineRule="auto"/>
              <w:jc w:val="both"/>
              <w:rPr>
                <w:rFonts w:eastAsia="Times New Roman"/>
                <w:noProof/>
              </w:rPr>
            </w:pPr>
            <w:r>
              <w:rPr>
                <w:noProof/>
              </w:rPr>
              <w:t>La sélection et la nomination des conseils d'administration sont terminées</w:t>
            </w:r>
          </w:p>
        </w:tc>
        <w:tc>
          <w:tcPr>
            <w:tcW w:w="1332" w:type="dxa"/>
            <w:tcBorders>
              <w:top w:val="single" w:sz="4" w:space="0" w:color="auto"/>
              <w:left w:val="nil"/>
              <w:bottom w:val="single" w:sz="4" w:space="0" w:color="auto"/>
              <w:right w:val="single" w:sz="4" w:space="0" w:color="auto"/>
            </w:tcBorders>
            <w:shd w:val="clear" w:color="auto" w:fill="C6EFCE"/>
            <w:noWrap/>
          </w:tcPr>
          <w:p w14:paraId="041FA373" w14:textId="77777777" w:rsidR="00A345F4" w:rsidRDefault="005E2D4E">
            <w:pPr>
              <w:pStyle w:val="P68B1DB1-Normal37"/>
              <w:spacing w:after="0" w:line="240" w:lineRule="auto"/>
              <w:jc w:val="both"/>
              <w:rPr>
                <w:rFonts w:eastAsia="Times New Roman"/>
                <w:noProof/>
              </w:rPr>
            </w:pPr>
            <w:r>
              <w:rPr>
                <w:noProof/>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4CCE2341" w14:textId="77777777" w:rsidR="00A345F4" w:rsidRDefault="005E2D4E">
            <w:pPr>
              <w:pStyle w:val="P68B1DB1-Normal37"/>
              <w:spacing w:after="0" w:line="240" w:lineRule="auto"/>
              <w:jc w:val="both"/>
              <w:rPr>
                <w:rFonts w:eastAsia="Times New Roman"/>
                <w:noProof/>
              </w:rPr>
            </w:pPr>
            <w:r>
              <w:rPr>
                <w:noProof/>
              </w:rPr>
              <w:t xml:space="preserve"> </w:t>
            </w:r>
          </w:p>
        </w:tc>
        <w:tc>
          <w:tcPr>
            <w:tcW w:w="949" w:type="dxa"/>
            <w:tcBorders>
              <w:top w:val="single" w:sz="4" w:space="0" w:color="auto"/>
              <w:left w:val="nil"/>
              <w:bottom w:val="single" w:sz="4" w:space="0" w:color="auto"/>
              <w:right w:val="single" w:sz="4" w:space="0" w:color="auto"/>
            </w:tcBorders>
            <w:shd w:val="clear" w:color="auto" w:fill="C6EFCE"/>
            <w:noWrap/>
          </w:tcPr>
          <w:p w14:paraId="1B2B6276" w14:textId="77777777" w:rsidR="00A345F4" w:rsidRDefault="005E2D4E">
            <w:pPr>
              <w:pStyle w:val="P68B1DB1-Normal37"/>
              <w:spacing w:after="0" w:line="240" w:lineRule="auto"/>
              <w:jc w:val="both"/>
              <w:rPr>
                <w:rFonts w:eastAsia="Times New Roman"/>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6A6D0748" w14:textId="77777777" w:rsidR="00A345F4" w:rsidRDefault="005E2D4E">
            <w:pPr>
              <w:pStyle w:val="P68B1DB1-Normal37"/>
              <w:spacing w:after="0" w:line="240" w:lineRule="auto"/>
              <w:jc w:val="both"/>
              <w:rPr>
                <w:rFonts w:eastAsia="Times New Roman"/>
                <w:noProof/>
              </w:rPr>
            </w:pPr>
            <w:r>
              <w:rPr>
                <w:noProof/>
              </w:rPr>
              <w:t>T4</w:t>
            </w:r>
          </w:p>
        </w:tc>
        <w:tc>
          <w:tcPr>
            <w:tcW w:w="850" w:type="dxa"/>
            <w:tcBorders>
              <w:top w:val="single" w:sz="4" w:space="0" w:color="auto"/>
              <w:left w:val="nil"/>
              <w:bottom w:val="single" w:sz="4" w:space="0" w:color="auto"/>
              <w:right w:val="single" w:sz="4" w:space="0" w:color="auto"/>
            </w:tcBorders>
            <w:shd w:val="clear" w:color="auto" w:fill="C6EFCE"/>
            <w:noWrap/>
          </w:tcPr>
          <w:p w14:paraId="73BD3AC2" w14:textId="77777777" w:rsidR="00A345F4" w:rsidRDefault="005E2D4E">
            <w:pPr>
              <w:pStyle w:val="P68B1DB1-Normal37"/>
              <w:spacing w:after="0" w:line="240" w:lineRule="auto"/>
              <w:jc w:val="both"/>
              <w:rPr>
                <w:rFonts w:eastAsia="Times New Roman"/>
                <w:noProof/>
              </w:rPr>
            </w:pPr>
            <w:r>
              <w:rPr>
                <w:noProof/>
              </w:rPr>
              <w:t>2022</w:t>
            </w:r>
          </w:p>
        </w:tc>
        <w:tc>
          <w:tcPr>
            <w:tcW w:w="2557" w:type="dxa"/>
            <w:tcBorders>
              <w:top w:val="single" w:sz="4" w:space="0" w:color="auto"/>
              <w:left w:val="nil"/>
              <w:bottom w:val="single" w:sz="4" w:space="0" w:color="auto"/>
              <w:right w:val="single" w:sz="4" w:space="0" w:color="auto"/>
            </w:tcBorders>
            <w:shd w:val="clear" w:color="auto" w:fill="C6EFCE"/>
            <w:noWrap/>
            <w:vAlign w:val="bottom"/>
          </w:tcPr>
          <w:p w14:paraId="3D840A01" w14:textId="77777777" w:rsidR="00A345F4" w:rsidRDefault="005E2D4E">
            <w:pPr>
              <w:pStyle w:val="P68B1DB1-Normal37"/>
              <w:spacing w:after="0" w:line="240" w:lineRule="auto"/>
              <w:jc w:val="both"/>
              <w:rPr>
                <w:rFonts w:eastAsia="Times New Roman"/>
                <w:noProof/>
              </w:rPr>
            </w:pPr>
            <w:r>
              <w:rPr>
                <w:noProof/>
              </w:rPr>
              <w:t>Sélection et nomination des membres des conseils de direction et/ou de surveillance de toutes les entreprises publiques nationales relevant du ministère de l’énergie (par exemple Hidroelectrica, Romgaz, Nuclearelectrica) sur la base d’une procédure transparente et concurrentielle avec un mandat de quatre ans et d’un régime de rémunération fondé sur des objectifs quantitatifs et qualitatifs liés à la performance financière (tels que les recettes et le rendement, la participation au budget de l’État) et de service (tels que sur la base d’une enquête représentative de satisfaction de la clientèle réalisée par un organisme indépendant) de l’entreprise.</w:t>
            </w:r>
          </w:p>
        </w:tc>
      </w:tr>
      <w:tr w:rsidR="00A345F4" w14:paraId="303C07E3"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1B936E4A" w14:textId="77777777" w:rsidR="00A345F4" w:rsidRDefault="005E2D4E">
            <w:pPr>
              <w:pStyle w:val="P68B1DB1-Normal37"/>
              <w:spacing w:after="0" w:line="240" w:lineRule="auto"/>
              <w:jc w:val="both"/>
              <w:rPr>
                <w:rFonts w:eastAsia="Times New Roman"/>
                <w:noProof/>
              </w:rPr>
            </w:pPr>
            <w:r>
              <w:rPr>
                <w:noProof/>
              </w:rPr>
              <w:t>122</w:t>
            </w:r>
          </w:p>
        </w:tc>
        <w:tc>
          <w:tcPr>
            <w:tcW w:w="1823" w:type="dxa"/>
            <w:tcBorders>
              <w:top w:val="single" w:sz="4" w:space="0" w:color="auto"/>
              <w:left w:val="nil"/>
              <w:bottom w:val="single" w:sz="4" w:space="0" w:color="auto"/>
              <w:right w:val="single" w:sz="4" w:space="0" w:color="auto"/>
            </w:tcBorders>
            <w:shd w:val="clear" w:color="auto" w:fill="C6EFCE"/>
            <w:noWrap/>
          </w:tcPr>
          <w:p w14:paraId="01FAC4B5" w14:textId="77777777" w:rsidR="00A345F4" w:rsidRDefault="005E2D4E">
            <w:pPr>
              <w:pStyle w:val="P68B1DB1-Normal37"/>
              <w:spacing w:after="0" w:line="240" w:lineRule="auto"/>
              <w:jc w:val="both"/>
              <w:rPr>
                <w:rFonts w:eastAsia="Times New Roman"/>
                <w:noProof/>
              </w:rPr>
            </w:pPr>
            <w:r>
              <w:rPr>
                <w:noProof/>
              </w:rPr>
              <w:t>Réforme 2. Réformer la gouvernance des entreprises publiques dans le secteur de l'énergie</w:t>
            </w:r>
          </w:p>
        </w:tc>
        <w:tc>
          <w:tcPr>
            <w:tcW w:w="1221" w:type="dxa"/>
            <w:tcBorders>
              <w:top w:val="single" w:sz="4" w:space="0" w:color="auto"/>
              <w:left w:val="nil"/>
              <w:bottom w:val="single" w:sz="4" w:space="0" w:color="auto"/>
              <w:right w:val="single" w:sz="4" w:space="0" w:color="auto"/>
            </w:tcBorders>
            <w:shd w:val="clear" w:color="auto" w:fill="C6EFCE"/>
            <w:noWrap/>
          </w:tcPr>
          <w:p w14:paraId="0C591399" w14:textId="77777777" w:rsidR="00A345F4" w:rsidRDefault="005E2D4E">
            <w:pPr>
              <w:pStyle w:val="P68B1DB1-Normal37"/>
              <w:spacing w:after="0" w:line="240" w:lineRule="auto"/>
              <w:jc w:val="both"/>
              <w:rPr>
                <w:rFonts w:eastAsia="Times New Roman"/>
                <w:noProof/>
              </w:rPr>
            </w:pPr>
            <w:r>
              <w:rPr>
                <w:noProof/>
              </w:rPr>
              <w:t>Étape</w:t>
            </w:r>
          </w:p>
        </w:tc>
        <w:tc>
          <w:tcPr>
            <w:tcW w:w="1782" w:type="dxa"/>
            <w:tcBorders>
              <w:top w:val="single" w:sz="4" w:space="0" w:color="auto"/>
              <w:left w:val="nil"/>
              <w:bottom w:val="single" w:sz="4" w:space="0" w:color="auto"/>
              <w:right w:val="single" w:sz="4" w:space="0" w:color="auto"/>
            </w:tcBorders>
            <w:shd w:val="clear" w:color="auto" w:fill="C6EFCE"/>
            <w:noWrap/>
          </w:tcPr>
          <w:p w14:paraId="50517EC5" w14:textId="2D1D0AA7" w:rsidR="00A345F4" w:rsidRDefault="005E2D4E">
            <w:pPr>
              <w:pStyle w:val="P68B1DB1-Normal37"/>
              <w:spacing w:after="0" w:line="240" w:lineRule="auto"/>
              <w:jc w:val="both"/>
              <w:rPr>
                <w:rFonts w:eastAsia="Times New Roman"/>
                <w:noProof/>
              </w:rPr>
            </w:pPr>
            <w:r>
              <w:rPr>
                <w:noProof/>
              </w:rPr>
              <w:t>Cotation d'au moins 15% des actions d'Hidroelectrica sur l'échange</w:t>
            </w:r>
          </w:p>
        </w:tc>
        <w:tc>
          <w:tcPr>
            <w:tcW w:w="1822" w:type="dxa"/>
            <w:tcBorders>
              <w:top w:val="single" w:sz="4" w:space="0" w:color="auto"/>
              <w:left w:val="nil"/>
              <w:bottom w:val="single" w:sz="4" w:space="0" w:color="auto"/>
              <w:right w:val="single" w:sz="4" w:space="0" w:color="auto"/>
            </w:tcBorders>
            <w:shd w:val="clear" w:color="auto" w:fill="C6EFCE"/>
            <w:noWrap/>
          </w:tcPr>
          <w:p w14:paraId="61792026" w14:textId="77777777" w:rsidR="00A345F4" w:rsidRDefault="005E2D4E">
            <w:pPr>
              <w:pStyle w:val="P68B1DB1-Normal37"/>
              <w:spacing w:after="0" w:line="240" w:lineRule="auto"/>
              <w:jc w:val="both"/>
              <w:rPr>
                <w:rFonts w:eastAsia="Times New Roman"/>
                <w:noProof/>
              </w:rPr>
            </w:pPr>
            <w:r>
              <w:rPr>
                <w:noProof/>
              </w:rPr>
              <w:t>Achèvement de l'offre publique initiale</w:t>
            </w:r>
          </w:p>
        </w:tc>
        <w:tc>
          <w:tcPr>
            <w:tcW w:w="1332" w:type="dxa"/>
            <w:tcBorders>
              <w:top w:val="single" w:sz="4" w:space="0" w:color="auto"/>
              <w:left w:val="nil"/>
              <w:bottom w:val="single" w:sz="4" w:space="0" w:color="auto"/>
              <w:right w:val="single" w:sz="4" w:space="0" w:color="auto"/>
            </w:tcBorders>
            <w:shd w:val="clear" w:color="auto" w:fill="C6EFCE"/>
            <w:noWrap/>
          </w:tcPr>
          <w:p w14:paraId="7ED3457E" w14:textId="77777777" w:rsidR="00A345F4" w:rsidRDefault="005E2D4E">
            <w:pPr>
              <w:pStyle w:val="P68B1DB1-Normal37"/>
              <w:spacing w:after="0" w:line="240" w:lineRule="auto"/>
              <w:jc w:val="both"/>
              <w:rPr>
                <w:rFonts w:eastAsia="Times New Roman"/>
                <w:noProof/>
              </w:rPr>
            </w:pPr>
            <w:r>
              <w:rPr>
                <w:noProof/>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0A1DDE00" w14:textId="77777777" w:rsidR="00A345F4" w:rsidRDefault="005E2D4E">
            <w:pPr>
              <w:pStyle w:val="P68B1DB1-Normal37"/>
              <w:spacing w:after="0" w:line="240" w:lineRule="auto"/>
              <w:jc w:val="both"/>
              <w:rPr>
                <w:rFonts w:eastAsia="Times New Roman"/>
                <w:noProof/>
              </w:rPr>
            </w:pPr>
            <w:r>
              <w:rPr>
                <w:noProof/>
              </w:rPr>
              <w:t xml:space="preserve"> </w:t>
            </w:r>
          </w:p>
        </w:tc>
        <w:tc>
          <w:tcPr>
            <w:tcW w:w="949" w:type="dxa"/>
            <w:tcBorders>
              <w:top w:val="single" w:sz="4" w:space="0" w:color="auto"/>
              <w:left w:val="nil"/>
              <w:bottom w:val="single" w:sz="4" w:space="0" w:color="auto"/>
              <w:right w:val="single" w:sz="4" w:space="0" w:color="auto"/>
            </w:tcBorders>
            <w:shd w:val="clear" w:color="auto" w:fill="C6EFCE"/>
            <w:noWrap/>
          </w:tcPr>
          <w:p w14:paraId="36DA56C7" w14:textId="77777777" w:rsidR="00A345F4" w:rsidRDefault="005E2D4E">
            <w:pPr>
              <w:pStyle w:val="P68B1DB1-Normal37"/>
              <w:spacing w:after="0" w:line="240" w:lineRule="auto"/>
              <w:jc w:val="both"/>
              <w:rPr>
                <w:rFonts w:eastAsia="Times New Roman"/>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13FF3A5" w14:textId="77777777" w:rsidR="00A345F4" w:rsidRDefault="005E2D4E">
            <w:pPr>
              <w:pStyle w:val="P68B1DB1-Normal37"/>
              <w:spacing w:after="0" w:line="240" w:lineRule="auto"/>
              <w:jc w:val="both"/>
              <w:rPr>
                <w:rFonts w:eastAsia="Times New Roman"/>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3D72FB99" w14:textId="77777777" w:rsidR="00A345F4" w:rsidRDefault="005E2D4E">
            <w:pPr>
              <w:pStyle w:val="P68B1DB1-Normal37"/>
              <w:spacing w:after="0" w:line="240" w:lineRule="auto"/>
              <w:jc w:val="both"/>
              <w:rPr>
                <w:rFonts w:eastAsia="Times New Roman"/>
                <w:noProof/>
              </w:rPr>
            </w:pPr>
            <w:r>
              <w:rPr>
                <w:noProof/>
              </w:rPr>
              <w:t>2023</w:t>
            </w:r>
          </w:p>
        </w:tc>
        <w:tc>
          <w:tcPr>
            <w:tcW w:w="2557" w:type="dxa"/>
            <w:tcBorders>
              <w:top w:val="single" w:sz="4" w:space="0" w:color="auto"/>
              <w:left w:val="nil"/>
              <w:bottom w:val="single" w:sz="4" w:space="0" w:color="auto"/>
              <w:right w:val="single" w:sz="4" w:space="0" w:color="auto"/>
            </w:tcBorders>
            <w:shd w:val="clear" w:color="auto" w:fill="C6EFCE"/>
            <w:noWrap/>
          </w:tcPr>
          <w:p w14:paraId="7F2B03C1" w14:textId="77777777" w:rsidR="00A345F4" w:rsidRDefault="005E2D4E">
            <w:pPr>
              <w:pStyle w:val="P68B1DB1-Normal37"/>
              <w:spacing w:after="0" w:line="240" w:lineRule="auto"/>
              <w:jc w:val="both"/>
              <w:rPr>
                <w:rFonts w:eastAsia="Times New Roman"/>
                <w:noProof/>
              </w:rPr>
            </w:pPr>
            <w:r>
              <w:rPr>
                <w:noProof/>
              </w:rPr>
              <w:t>À la suite de la publication du prospectus de cotation, une participation d'au moins 15 % dans Hidroelectrica est négociée sur l'échange après une offre publique initiale.</w:t>
            </w:r>
          </w:p>
        </w:tc>
      </w:tr>
      <w:tr w:rsidR="00A345F4" w14:paraId="2A2A5C0D" w14:textId="77777777" w:rsidTr="00ED5A2F">
        <w:trPr>
          <w:trHeight w:val="300"/>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0A076436" w14:textId="77777777" w:rsidR="00A345F4" w:rsidRDefault="005E2D4E">
            <w:pPr>
              <w:pStyle w:val="P68B1DB1-Normal37"/>
              <w:spacing w:after="0" w:line="240" w:lineRule="auto"/>
              <w:jc w:val="both"/>
              <w:rPr>
                <w:rFonts w:eastAsia="Times New Roman"/>
                <w:noProof/>
              </w:rPr>
            </w:pPr>
            <w:r>
              <w:rPr>
                <w:noProof/>
              </w:rPr>
              <w:t>123</w:t>
            </w:r>
          </w:p>
        </w:tc>
        <w:tc>
          <w:tcPr>
            <w:tcW w:w="1823" w:type="dxa"/>
            <w:tcBorders>
              <w:top w:val="single" w:sz="4" w:space="0" w:color="auto"/>
              <w:left w:val="nil"/>
              <w:bottom w:val="single" w:sz="4" w:space="0" w:color="auto"/>
              <w:right w:val="single" w:sz="4" w:space="0" w:color="auto"/>
            </w:tcBorders>
            <w:shd w:val="clear" w:color="auto" w:fill="C6EFCE"/>
            <w:noWrap/>
          </w:tcPr>
          <w:p w14:paraId="589C2FCD" w14:textId="77777777" w:rsidR="00A345F4" w:rsidRDefault="005E2D4E">
            <w:pPr>
              <w:pStyle w:val="P68B1DB1-Normal37"/>
              <w:spacing w:after="0" w:line="240" w:lineRule="auto"/>
              <w:jc w:val="both"/>
              <w:rPr>
                <w:rFonts w:eastAsia="Times New Roman"/>
                <w:noProof/>
              </w:rPr>
            </w:pPr>
            <w:r>
              <w:rPr>
                <w:noProof/>
              </w:rPr>
              <w:t xml:space="preserve">Réforme 3. Budgétisation verte </w:t>
            </w:r>
          </w:p>
        </w:tc>
        <w:tc>
          <w:tcPr>
            <w:tcW w:w="1221" w:type="dxa"/>
            <w:tcBorders>
              <w:top w:val="single" w:sz="4" w:space="0" w:color="auto"/>
              <w:left w:val="nil"/>
              <w:bottom w:val="single" w:sz="4" w:space="0" w:color="auto"/>
              <w:right w:val="single" w:sz="4" w:space="0" w:color="auto"/>
            </w:tcBorders>
            <w:shd w:val="clear" w:color="auto" w:fill="C6EFCE"/>
            <w:noWrap/>
          </w:tcPr>
          <w:p w14:paraId="7AE2B08C" w14:textId="77777777" w:rsidR="00A345F4" w:rsidRDefault="005E2D4E">
            <w:pPr>
              <w:pStyle w:val="P68B1DB1-Normal37"/>
              <w:spacing w:after="0" w:line="240" w:lineRule="auto"/>
              <w:jc w:val="both"/>
              <w:rPr>
                <w:rFonts w:eastAsia="Times New Roman"/>
                <w:noProof/>
              </w:rPr>
            </w:pPr>
            <w:r>
              <w:rPr>
                <w:noProof/>
              </w:rPr>
              <w:t>Étape</w:t>
            </w:r>
          </w:p>
        </w:tc>
        <w:tc>
          <w:tcPr>
            <w:tcW w:w="1782" w:type="dxa"/>
            <w:tcBorders>
              <w:top w:val="single" w:sz="4" w:space="0" w:color="auto"/>
              <w:left w:val="nil"/>
              <w:bottom w:val="single" w:sz="4" w:space="0" w:color="auto"/>
              <w:right w:val="single" w:sz="4" w:space="0" w:color="auto"/>
            </w:tcBorders>
            <w:shd w:val="clear" w:color="auto" w:fill="C6EFCE"/>
            <w:noWrap/>
          </w:tcPr>
          <w:p w14:paraId="659BEC55" w14:textId="77777777" w:rsidR="00A345F4" w:rsidRDefault="005E2D4E">
            <w:pPr>
              <w:pStyle w:val="P68B1DB1-Normal37"/>
              <w:spacing w:after="0" w:line="240" w:lineRule="auto"/>
              <w:jc w:val="both"/>
              <w:rPr>
                <w:rFonts w:eastAsia="Times New Roman"/>
                <w:noProof/>
              </w:rPr>
            </w:pPr>
            <w:r>
              <w:rPr>
                <w:noProof/>
              </w:rPr>
              <w:t>Mise en place et utilisation d'une méthodologie de planification budgétaire verte</w:t>
            </w:r>
          </w:p>
        </w:tc>
        <w:tc>
          <w:tcPr>
            <w:tcW w:w="1822" w:type="dxa"/>
            <w:tcBorders>
              <w:top w:val="single" w:sz="4" w:space="0" w:color="auto"/>
              <w:left w:val="nil"/>
              <w:bottom w:val="single" w:sz="4" w:space="0" w:color="auto"/>
              <w:right w:val="single" w:sz="4" w:space="0" w:color="auto"/>
            </w:tcBorders>
            <w:shd w:val="clear" w:color="auto" w:fill="C6EFCE"/>
            <w:noWrap/>
          </w:tcPr>
          <w:p w14:paraId="29C6744A" w14:textId="77777777" w:rsidR="00A345F4" w:rsidRDefault="005E2D4E">
            <w:pPr>
              <w:pStyle w:val="P68B1DB1-Normal37"/>
              <w:spacing w:after="0" w:line="240" w:lineRule="auto"/>
              <w:jc w:val="both"/>
              <w:rPr>
                <w:rFonts w:eastAsia="Times New Roman"/>
                <w:noProof/>
              </w:rPr>
            </w:pPr>
            <w:r>
              <w:rPr>
                <w:noProof/>
              </w:rPr>
              <w:t>Mise en place et utilisation d'une méthodologie de planification budgétaire verte</w:t>
            </w:r>
          </w:p>
        </w:tc>
        <w:tc>
          <w:tcPr>
            <w:tcW w:w="1332" w:type="dxa"/>
            <w:tcBorders>
              <w:top w:val="single" w:sz="4" w:space="0" w:color="auto"/>
              <w:left w:val="nil"/>
              <w:bottom w:val="single" w:sz="4" w:space="0" w:color="auto"/>
              <w:right w:val="single" w:sz="4" w:space="0" w:color="auto"/>
            </w:tcBorders>
            <w:shd w:val="clear" w:color="auto" w:fill="C6EFCE"/>
            <w:noWrap/>
          </w:tcPr>
          <w:p w14:paraId="3D67F494"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581EA65C"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949" w:type="dxa"/>
            <w:tcBorders>
              <w:top w:val="single" w:sz="4" w:space="0" w:color="auto"/>
              <w:left w:val="nil"/>
              <w:bottom w:val="single" w:sz="4" w:space="0" w:color="auto"/>
              <w:right w:val="single" w:sz="4" w:space="0" w:color="auto"/>
            </w:tcBorders>
            <w:shd w:val="clear" w:color="auto" w:fill="C6EFCE"/>
            <w:noWrap/>
          </w:tcPr>
          <w:p w14:paraId="2AE0F409"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134" w:type="dxa"/>
            <w:tcBorders>
              <w:top w:val="single" w:sz="4" w:space="0" w:color="auto"/>
              <w:left w:val="nil"/>
              <w:bottom w:val="single" w:sz="4" w:space="0" w:color="auto"/>
              <w:right w:val="single" w:sz="4" w:space="0" w:color="auto"/>
            </w:tcBorders>
            <w:shd w:val="clear" w:color="auto" w:fill="C6EFCE"/>
            <w:noWrap/>
          </w:tcPr>
          <w:p w14:paraId="12FEC43B" w14:textId="77777777" w:rsidR="00A345F4" w:rsidRDefault="005E2D4E">
            <w:pPr>
              <w:pStyle w:val="P68B1DB1-Normal37"/>
              <w:spacing w:after="0" w:line="240" w:lineRule="auto"/>
              <w:jc w:val="both"/>
              <w:rPr>
                <w:rFonts w:eastAsia="Times New Roman"/>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52BABF6F" w14:textId="77777777" w:rsidR="00A345F4" w:rsidRDefault="005E2D4E">
            <w:pPr>
              <w:pStyle w:val="P68B1DB1-Normal37"/>
              <w:spacing w:after="0" w:line="240" w:lineRule="auto"/>
              <w:jc w:val="both"/>
              <w:rPr>
                <w:rFonts w:eastAsia="Times New Roman"/>
                <w:noProof/>
              </w:rPr>
            </w:pPr>
            <w:r>
              <w:rPr>
                <w:noProof/>
              </w:rPr>
              <w:t>2026</w:t>
            </w:r>
          </w:p>
        </w:tc>
        <w:tc>
          <w:tcPr>
            <w:tcW w:w="2557" w:type="dxa"/>
            <w:tcBorders>
              <w:top w:val="single" w:sz="4" w:space="0" w:color="auto"/>
              <w:left w:val="nil"/>
              <w:bottom w:val="single" w:sz="4" w:space="0" w:color="auto"/>
              <w:right w:val="single" w:sz="4" w:space="0" w:color="auto"/>
            </w:tcBorders>
            <w:shd w:val="clear" w:color="auto" w:fill="C6EFCE"/>
            <w:noWrap/>
          </w:tcPr>
          <w:p w14:paraId="614EE169" w14:textId="77777777" w:rsidR="00A345F4" w:rsidRDefault="005E2D4E">
            <w:pPr>
              <w:pStyle w:val="P68B1DB1-Normal37"/>
              <w:spacing w:after="0" w:line="240" w:lineRule="auto"/>
              <w:jc w:val="both"/>
              <w:rPr>
                <w:rFonts w:eastAsia="Times New Roman"/>
                <w:noProof/>
              </w:rPr>
            </w:pPr>
            <w:r>
              <w:rPr>
                <w:noProof/>
              </w:rPr>
              <w:t xml:space="preserve">Les autorités appliquent une méthode d’évaluation des dépenses budgétaires vertes et de l’incidence de la politique budgétaire sur les activités durables sur le plan environnemental, telles que définies dans le règlement sur la taxinomie de l’UE, pour les orientations techniques «ne pas causer de préjudice important» (2021/C58/01) et «ne pas causer de préjudice important». </w:t>
            </w:r>
          </w:p>
        </w:tc>
      </w:tr>
      <w:tr w:rsidR="00A345F4" w14:paraId="06F15BF4" w14:textId="77777777" w:rsidTr="00ED5A2F">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361A2F92" w14:textId="77777777" w:rsidR="00A345F4" w:rsidRDefault="005E2D4E">
            <w:pPr>
              <w:pStyle w:val="P68B1DB1-Normal37"/>
              <w:spacing w:after="0" w:line="240" w:lineRule="auto"/>
              <w:jc w:val="both"/>
              <w:rPr>
                <w:noProof/>
              </w:rPr>
            </w:pPr>
            <w:r>
              <w:rPr>
                <w:noProof/>
              </w:rPr>
              <w:t>131</w:t>
            </w:r>
          </w:p>
        </w:tc>
        <w:tc>
          <w:tcPr>
            <w:tcW w:w="1823" w:type="dxa"/>
            <w:tcBorders>
              <w:top w:val="single" w:sz="4" w:space="0" w:color="auto"/>
              <w:left w:val="nil"/>
              <w:bottom w:val="single" w:sz="4" w:space="0" w:color="auto"/>
              <w:right w:val="single" w:sz="4" w:space="0" w:color="auto"/>
            </w:tcBorders>
            <w:shd w:val="clear" w:color="auto" w:fill="C6EFCE"/>
            <w:noWrap/>
          </w:tcPr>
          <w:p w14:paraId="259FCD81" w14:textId="69C481B9" w:rsidR="00A345F4" w:rsidRDefault="005E2D4E">
            <w:pPr>
              <w:pStyle w:val="P68B1DB1-Normal38"/>
              <w:spacing w:after="0" w:line="240" w:lineRule="auto"/>
              <w:jc w:val="both"/>
              <w:rPr>
                <w:rFonts w:eastAsia="Aptos"/>
                <w:noProof/>
              </w:rPr>
            </w:pPr>
            <w:r>
              <w:rPr>
                <w:noProof/>
              </w:rPr>
              <w:t>Investissement 2a. Capacités de production d’hydrogène vert destinées au stockage de l’électricité et/ou à la décarbonation de l’industrie</w:t>
            </w:r>
          </w:p>
        </w:tc>
        <w:tc>
          <w:tcPr>
            <w:tcW w:w="1221" w:type="dxa"/>
            <w:tcBorders>
              <w:top w:val="single" w:sz="4" w:space="0" w:color="auto"/>
              <w:left w:val="nil"/>
              <w:bottom w:val="single" w:sz="4" w:space="0" w:color="auto"/>
              <w:right w:val="single" w:sz="4" w:space="0" w:color="auto"/>
            </w:tcBorders>
            <w:shd w:val="clear" w:color="auto" w:fill="C6EFCE"/>
            <w:noWrap/>
          </w:tcPr>
          <w:p w14:paraId="7E9BA30E" w14:textId="77777777" w:rsidR="00A345F4" w:rsidRDefault="005E2D4E">
            <w:pPr>
              <w:pStyle w:val="P68B1DB1-Normal37"/>
              <w:spacing w:after="0" w:line="240" w:lineRule="auto"/>
              <w:jc w:val="both"/>
              <w:rPr>
                <w:noProof/>
              </w:rPr>
            </w:pPr>
            <w:r>
              <w:rPr>
                <w:noProof/>
              </w:rPr>
              <w:t>Objectif</w:t>
            </w:r>
          </w:p>
        </w:tc>
        <w:tc>
          <w:tcPr>
            <w:tcW w:w="1782" w:type="dxa"/>
            <w:tcBorders>
              <w:top w:val="single" w:sz="4" w:space="0" w:color="auto"/>
              <w:left w:val="nil"/>
              <w:bottom w:val="single" w:sz="4" w:space="0" w:color="auto"/>
              <w:right w:val="single" w:sz="4" w:space="0" w:color="auto"/>
            </w:tcBorders>
            <w:shd w:val="clear" w:color="auto" w:fill="C6EFCE"/>
            <w:noWrap/>
          </w:tcPr>
          <w:p w14:paraId="33CB3E15" w14:textId="77777777" w:rsidR="00A345F4" w:rsidRDefault="005E2D4E">
            <w:pPr>
              <w:pStyle w:val="P68B1DB1-Normal37"/>
              <w:spacing w:after="0" w:line="240" w:lineRule="auto"/>
              <w:jc w:val="both"/>
              <w:rPr>
                <w:rFonts w:eastAsia="Times New Roman"/>
                <w:noProof/>
              </w:rPr>
            </w:pPr>
            <w:r>
              <w:rPr>
                <w:noProof/>
              </w:rPr>
              <w:t>Installation d'électrolyseurs</w:t>
            </w:r>
          </w:p>
          <w:p w14:paraId="171977FC" w14:textId="77777777" w:rsidR="00A345F4" w:rsidRDefault="00A345F4">
            <w:pPr>
              <w:spacing w:after="0" w:line="240" w:lineRule="auto"/>
              <w:jc w:val="both"/>
              <w:rPr>
                <w:rFonts w:ascii="Times New Roman" w:eastAsia="Aptos" w:hAnsi="Times New Roman" w:cs="Times New Roman"/>
                <w:noProof/>
                <w:kern w:val="2"/>
                <w:sz w:val="20"/>
                <w:szCs w:val="20"/>
                <w14:ligatures w14:val="standardContextual"/>
              </w:rPr>
            </w:pPr>
          </w:p>
        </w:tc>
        <w:tc>
          <w:tcPr>
            <w:tcW w:w="1822" w:type="dxa"/>
            <w:tcBorders>
              <w:top w:val="single" w:sz="4" w:space="0" w:color="auto"/>
              <w:left w:val="nil"/>
              <w:bottom w:val="single" w:sz="4" w:space="0" w:color="auto"/>
              <w:right w:val="single" w:sz="4" w:space="0" w:color="auto"/>
            </w:tcBorders>
            <w:shd w:val="clear" w:color="auto" w:fill="C6EFCE"/>
            <w:noWrap/>
          </w:tcPr>
          <w:p w14:paraId="471CB58B" w14:textId="77777777" w:rsidR="00A345F4" w:rsidRDefault="00A345F4">
            <w:pPr>
              <w:spacing w:after="0" w:line="240" w:lineRule="auto"/>
              <w:jc w:val="both"/>
              <w:rPr>
                <w:rFonts w:ascii="Times New Roman" w:eastAsia="Aptos" w:hAnsi="Times New Roman" w:cs="Times New Roman"/>
                <w:noProof/>
                <w:kern w:val="2"/>
                <w:sz w:val="20"/>
                <w:szCs w:val="20"/>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336D7BC6" w14:textId="77777777" w:rsidR="00A345F4" w:rsidRDefault="005E2D4E">
            <w:pPr>
              <w:pStyle w:val="P68B1DB1-Normal37"/>
              <w:spacing w:line="240" w:lineRule="auto"/>
              <w:jc w:val="both"/>
              <w:rPr>
                <w:rFonts w:eastAsia="Times New Roman"/>
                <w:noProof/>
              </w:rPr>
            </w:pPr>
            <w:r>
              <w:rPr>
                <w:noProof/>
              </w:rPr>
              <w:t>Mégawatts (MW</w:t>
            </w:r>
            <w:r>
              <w:rPr>
                <w:noProof/>
                <w:vertAlign w:val="subscript"/>
              </w:rPr>
              <w:t xml:space="preserve"> H2)</w:t>
            </w:r>
          </w:p>
          <w:p w14:paraId="0A323273" w14:textId="77777777" w:rsidR="00A345F4" w:rsidRDefault="00A345F4">
            <w:pPr>
              <w:spacing w:after="0" w:line="240" w:lineRule="auto"/>
              <w:jc w:val="both"/>
              <w:rPr>
                <w:rFonts w:ascii="Times New Roman" w:eastAsia="Aptos" w:hAnsi="Times New Roman" w:cs="Times New Roman"/>
                <w:noProof/>
                <w:kern w:val="2"/>
                <w:sz w:val="20"/>
                <w:szCs w:val="20"/>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42C61F3F" w14:textId="77777777" w:rsidR="00A345F4" w:rsidRDefault="005E2D4E">
            <w:pPr>
              <w:pStyle w:val="P68B1DB1-Normal39"/>
              <w:spacing w:after="0" w:line="240" w:lineRule="auto"/>
              <w:jc w:val="both"/>
              <w:rPr>
                <w:rFonts w:eastAsia="Aptos"/>
                <w:noProof/>
              </w:rPr>
            </w:pPr>
            <w:r>
              <w:rPr>
                <w:noProof/>
              </w:rPr>
              <w:t>0</w:t>
            </w:r>
          </w:p>
        </w:tc>
        <w:tc>
          <w:tcPr>
            <w:tcW w:w="949" w:type="dxa"/>
            <w:tcBorders>
              <w:top w:val="single" w:sz="4" w:space="0" w:color="auto"/>
              <w:left w:val="nil"/>
              <w:bottom w:val="single" w:sz="4" w:space="0" w:color="auto"/>
              <w:right w:val="single" w:sz="4" w:space="0" w:color="auto"/>
            </w:tcBorders>
            <w:shd w:val="clear" w:color="auto" w:fill="C6EFCE"/>
            <w:noWrap/>
          </w:tcPr>
          <w:p w14:paraId="45A999F0" w14:textId="77777777" w:rsidR="00A345F4" w:rsidRDefault="005E2D4E">
            <w:pPr>
              <w:pStyle w:val="P68B1DB1-Normal39"/>
              <w:spacing w:after="0" w:line="240" w:lineRule="auto"/>
              <w:jc w:val="both"/>
              <w:rPr>
                <w:rFonts w:eastAsia="Aptos"/>
                <w:noProof/>
              </w:rPr>
            </w:pPr>
            <w:r>
              <w:rPr>
                <w:noProof/>
              </w:rPr>
              <w:t>45</w:t>
            </w:r>
          </w:p>
        </w:tc>
        <w:tc>
          <w:tcPr>
            <w:tcW w:w="1134" w:type="dxa"/>
            <w:tcBorders>
              <w:top w:val="single" w:sz="4" w:space="0" w:color="auto"/>
              <w:left w:val="nil"/>
              <w:bottom w:val="single" w:sz="4" w:space="0" w:color="auto"/>
              <w:right w:val="single" w:sz="4" w:space="0" w:color="auto"/>
            </w:tcBorders>
            <w:shd w:val="clear" w:color="auto" w:fill="C6EFCE"/>
            <w:noWrap/>
          </w:tcPr>
          <w:p w14:paraId="1683752A" w14:textId="77777777" w:rsidR="00A345F4" w:rsidRDefault="005E2D4E">
            <w:pPr>
              <w:pStyle w:val="P68B1DB1-Normal37"/>
              <w:spacing w:after="0" w:line="240" w:lineRule="auto"/>
              <w:jc w:val="both"/>
              <w:rPr>
                <w:noProof/>
              </w:rPr>
            </w:pPr>
            <w:r>
              <w:rPr>
                <w:noProof/>
              </w:rPr>
              <w:t>T3</w:t>
            </w:r>
          </w:p>
        </w:tc>
        <w:tc>
          <w:tcPr>
            <w:tcW w:w="850" w:type="dxa"/>
            <w:tcBorders>
              <w:top w:val="single" w:sz="4" w:space="0" w:color="auto"/>
              <w:left w:val="nil"/>
              <w:bottom w:val="single" w:sz="4" w:space="0" w:color="auto"/>
              <w:right w:val="single" w:sz="4" w:space="0" w:color="auto"/>
            </w:tcBorders>
            <w:shd w:val="clear" w:color="auto" w:fill="C6EFCE"/>
            <w:noWrap/>
          </w:tcPr>
          <w:p w14:paraId="4C329217" w14:textId="77777777" w:rsidR="00A345F4" w:rsidRDefault="005E2D4E">
            <w:pPr>
              <w:pStyle w:val="P68B1DB1-Normal37"/>
              <w:spacing w:after="0" w:line="240" w:lineRule="auto"/>
              <w:jc w:val="both"/>
              <w:rPr>
                <w:rFonts w:eastAsia="Times New Roman"/>
                <w:noProof/>
              </w:rPr>
            </w:pPr>
            <w:r>
              <w:rPr>
                <w:noProof/>
              </w:rPr>
              <w:t>2026</w:t>
            </w:r>
          </w:p>
          <w:p w14:paraId="4B1B6149" w14:textId="77777777" w:rsidR="00A345F4" w:rsidRDefault="00A345F4">
            <w:pPr>
              <w:spacing w:after="0" w:line="240" w:lineRule="auto"/>
              <w:jc w:val="both"/>
              <w:rPr>
                <w:rFonts w:ascii="Times New Roman" w:eastAsia="Aptos" w:hAnsi="Times New Roman" w:cs="Times New Roman"/>
                <w:noProof/>
                <w:kern w:val="2"/>
                <w:sz w:val="20"/>
                <w:szCs w:val="20"/>
                <w14:ligatures w14:val="standardContextual"/>
              </w:rPr>
            </w:pPr>
          </w:p>
        </w:tc>
        <w:tc>
          <w:tcPr>
            <w:tcW w:w="2557" w:type="dxa"/>
            <w:tcBorders>
              <w:top w:val="single" w:sz="4" w:space="0" w:color="auto"/>
              <w:left w:val="nil"/>
              <w:bottom w:val="single" w:sz="4" w:space="0" w:color="auto"/>
              <w:right w:val="single" w:sz="4" w:space="0" w:color="auto"/>
            </w:tcBorders>
            <w:shd w:val="clear" w:color="auto" w:fill="C6EFCE"/>
            <w:noWrap/>
          </w:tcPr>
          <w:p w14:paraId="746FFAB1" w14:textId="77777777" w:rsidR="00A345F4" w:rsidRDefault="005E2D4E">
            <w:pPr>
              <w:pStyle w:val="P68B1DB1-Normal37"/>
              <w:spacing w:after="0" w:line="240" w:lineRule="auto"/>
              <w:jc w:val="both"/>
              <w:rPr>
                <w:noProof/>
              </w:rPr>
            </w:pPr>
            <w:r>
              <w:rPr>
                <w:noProof/>
              </w:rPr>
              <w:t>Certificats d'acceptation attestant l'installation d'électrolyseurs d'une capacité totale d'au moins 45 MW H₂. La ou les notifications de mise sous tension (NPT) certifient le raccordement des électrolyseurs au réseau de transport ou de distribution d’électricité.</w:t>
            </w:r>
          </w:p>
        </w:tc>
      </w:tr>
    </w:tbl>
    <w:p w14:paraId="746158A8" w14:textId="77777777" w:rsidR="00A345F4" w:rsidRDefault="00A345F4">
      <w:pPr>
        <w:keepNext/>
        <w:spacing w:before="120" w:after="120" w:line="240" w:lineRule="auto"/>
        <w:jc w:val="both"/>
        <w:outlineLvl w:val="1"/>
        <w:rPr>
          <w:rFonts w:ascii="Times New Roman" w:eastAsia="Yu Gothic Light" w:hAnsi="Times New Roman" w:cs="Times New Roman"/>
          <w:b/>
          <w:bCs/>
          <w:noProof/>
          <w:kern w:val="2"/>
          <w14:ligatures w14:val="standardContextual"/>
        </w:rPr>
        <w:sectPr w:rsidR="00A345F4" w:rsidSect="00145434">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55932E00" w14:textId="77777777" w:rsidR="00A345F4" w:rsidRDefault="005E2D4E">
      <w:pPr>
        <w:pStyle w:val="P68B1DB1-Normal31"/>
        <w:keepNext/>
        <w:spacing w:before="120" w:after="120" w:line="240" w:lineRule="auto"/>
        <w:jc w:val="both"/>
        <w:outlineLvl w:val="1"/>
        <w:rPr>
          <w:rFonts w:eastAsia="Yu Gothic Light"/>
          <w:b/>
          <w:bCs/>
          <w:noProof/>
        </w:rPr>
      </w:pPr>
      <w:r>
        <w:rPr>
          <w:b/>
          <w:noProof/>
        </w:rPr>
        <w:t xml:space="preserve">F.3. Description des réformes et des investissements pour le prêt </w:t>
      </w:r>
    </w:p>
    <w:p w14:paraId="0A589157" w14:textId="601DE040" w:rsidR="00A345F4" w:rsidRDefault="005E2D4E">
      <w:pPr>
        <w:pStyle w:val="P68B1DB1-Normal18"/>
        <w:suppressAutoHyphens/>
        <w:autoSpaceDN w:val="0"/>
        <w:spacing w:before="240" w:after="0" w:line="240" w:lineRule="auto"/>
        <w:jc w:val="both"/>
        <w:textAlignment w:val="baseline"/>
        <w:rPr>
          <w:rFonts w:eastAsia="Yu Gothic Light"/>
          <w:noProof/>
          <w:kern w:val="3"/>
        </w:rPr>
      </w:pPr>
      <w:r>
        <w:rPr>
          <w:noProof/>
          <w:kern w:val="3"/>
        </w:rPr>
        <w:t>Réforme 4.</w:t>
      </w:r>
      <w:r>
        <w:rPr>
          <w:noProof/>
          <w:kern w:val="2"/>
          <w14:ligatures w14:val="standardContextual"/>
        </w:rPr>
        <w:t xml:space="preserve"> Modification du cadre réglementaire pour l’hydrogène renouvelable</w:t>
      </w:r>
    </w:p>
    <w:p w14:paraId="02CC7A32" w14:textId="77777777" w:rsidR="00A345F4" w:rsidRDefault="005E2D4E">
      <w:pPr>
        <w:pStyle w:val="P68B1DB1-Normal32"/>
        <w:spacing w:before="120" w:after="120" w:line="240" w:lineRule="auto"/>
        <w:jc w:val="both"/>
        <w:rPr>
          <w:noProof/>
        </w:rPr>
      </w:pPr>
      <w:r>
        <w:rPr>
          <w:noProof/>
        </w:rPr>
        <w:t>L’objectif de la réforme est de modifier le cadre juridique et réglementaire existant afin de faciliter le déploiement de l’hydrogène renouvelable.</w:t>
      </w:r>
    </w:p>
    <w:p w14:paraId="79787D7E" w14:textId="6C98B39D" w:rsidR="00A345F4" w:rsidRDefault="005E2D4E">
      <w:pPr>
        <w:pStyle w:val="P68B1DB1-Normal32"/>
        <w:spacing w:before="120" w:after="120" w:line="240" w:lineRule="auto"/>
        <w:jc w:val="both"/>
        <w:rPr>
          <w:noProof/>
        </w:rPr>
      </w:pPr>
      <w:r>
        <w:rPr>
          <w:noProof/>
        </w:rPr>
        <w:t xml:space="preserve">La réforme consiste en l’entrée en vigueur des modifications apportées au cadre réglementaire sur la base de la stratégie nationale pour l’hydrogène et de son plan d’action. </w:t>
      </w:r>
    </w:p>
    <w:p w14:paraId="1E7346DC" w14:textId="77777777" w:rsidR="00A345F4" w:rsidRDefault="005E2D4E">
      <w:pPr>
        <w:pStyle w:val="P68B1DB1-Normal31"/>
        <w:spacing w:before="120" w:after="120" w:line="240" w:lineRule="auto"/>
        <w:jc w:val="both"/>
        <w:rPr>
          <w:noProof/>
        </w:rPr>
      </w:pPr>
      <w:r>
        <w:rPr>
          <w:noProof/>
        </w:rPr>
        <w:t>Conformément à l’article 7, paragraphe 2, du règlement sur la reprise et la résilience, la Roumanie a demandé un soutien technique au moyen de l’instrument d’assistance technique pour l’élaboration de la stratégie nationale pour l’hydrogène.</w:t>
      </w:r>
    </w:p>
    <w:p w14:paraId="477228AF" w14:textId="77777777" w:rsidR="00A345F4" w:rsidRDefault="005E2D4E">
      <w:pPr>
        <w:pStyle w:val="P68B1DB1-Normal12"/>
        <w:suppressAutoHyphens/>
        <w:autoSpaceDN w:val="0"/>
        <w:spacing w:before="240" w:after="0" w:line="240" w:lineRule="auto"/>
        <w:jc w:val="both"/>
        <w:textAlignment w:val="baseline"/>
        <w:rPr>
          <w:rFonts w:eastAsia="Yu Gothic Light"/>
          <w:noProof/>
        </w:rPr>
      </w:pPr>
      <w:r>
        <w:rPr>
          <w:noProof/>
        </w:rPr>
        <w:t xml:space="preserve">Réforme 5. Réduire l'intensité énergétique de l'économie en établissant un mécanisme durable pour stimuler l'efficacité énergétique dans l'industrie </w:t>
      </w:r>
    </w:p>
    <w:p w14:paraId="018F9559" w14:textId="77777777" w:rsidR="00A345F4" w:rsidRDefault="005E2D4E">
      <w:pPr>
        <w:pStyle w:val="P68B1DB1-Normal31"/>
        <w:spacing w:before="120" w:after="120" w:line="240" w:lineRule="auto"/>
        <w:jc w:val="both"/>
        <w:rPr>
          <w:noProof/>
        </w:rPr>
      </w:pPr>
      <w:r>
        <w:rPr>
          <w:noProof/>
        </w:rPr>
        <w:t xml:space="preserve">L’objectif de cette réforme est de faciliter les investissements dans l’efficacité énergétique dans l’industrie et d’accroître la résilience du secteur industriel. </w:t>
      </w:r>
    </w:p>
    <w:p w14:paraId="7C612DA7" w14:textId="77777777" w:rsidR="00A345F4" w:rsidRDefault="005E2D4E">
      <w:pPr>
        <w:pStyle w:val="P68B1DB1-Normal32"/>
        <w:spacing w:before="120" w:after="120" w:line="240" w:lineRule="auto"/>
        <w:jc w:val="both"/>
        <w:rPr>
          <w:noProof/>
        </w:rPr>
      </w:pPr>
      <w:r>
        <w:rPr>
          <w:noProof/>
        </w:rPr>
        <w:t xml:space="preserve">Cette réforme consiste à i) supprimer les obstacles aux contrats de performance énergétique; ii) en instaurant une surveillance du marché en matière d'efficacité énergétique afin de garantir la conformité des produits avec les normes d'écoconception, iii) en sensibilisant les PME aux mesures, programmes et avantages en matière d'efficacité énergétique; iv) la création d'un système de suivi de l'application des recommandations issues des audits énergétiques dans les secteurs relevant du SEQE; v) l'introduction de nouvelles normes pour les instruments financiers verts. </w:t>
      </w:r>
    </w:p>
    <w:p w14:paraId="372153F5" w14:textId="77777777" w:rsidR="00A345F4" w:rsidRDefault="005E2D4E">
      <w:pPr>
        <w:pStyle w:val="P68B1DB1-Normal12"/>
        <w:suppressAutoHyphens/>
        <w:autoSpaceDN w:val="0"/>
        <w:spacing w:before="240" w:after="0" w:line="240" w:lineRule="auto"/>
        <w:jc w:val="both"/>
        <w:textAlignment w:val="baseline"/>
        <w:rPr>
          <w:rFonts w:eastAsia="Yu Gothic Light"/>
          <w:noProof/>
        </w:rPr>
      </w:pPr>
      <w:r>
        <w:rPr>
          <w:noProof/>
        </w:rPr>
        <w:t>Réforme 6. Décarbonation du secteur du chauffage et du refroidissement</w:t>
      </w:r>
    </w:p>
    <w:p w14:paraId="149EBFCA" w14:textId="77777777" w:rsidR="00A345F4" w:rsidRDefault="005E2D4E">
      <w:pPr>
        <w:pStyle w:val="P68B1DB1-Normal31"/>
        <w:spacing w:before="120" w:after="120" w:line="240" w:lineRule="auto"/>
        <w:jc w:val="both"/>
        <w:rPr>
          <w:noProof/>
        </w:rPr>
      </w:pPr>
      <w:r>
        <w:rPr>
          <w:noProof/>
        </w:rPr>
        <w:t xml:space="preserve">L’objectif de la réforme est de contribuer à la décarbonation du secteur du chauffage et du refroidissement. </w:t>
      </w:r>
    </w:p>
    <w:p w14:paraId="29305D6F" w14:textId="77777777" w:rsidR="00A345F4" w:rsidRDefault="005E2D4E">
      <w:pPr>
        <w:pStyle w:val="P68B1DB1-Normal31"/>
        <w:spacing w:before="120" w:after="120" w:line="240" w:lineRule="auto"/>
        <w:jc w:val="both"/>
        <w:rPr>
          <w:noProof/>
        </w:rPr>
      </w:pPr>
      <w:r>
        <w:rPr>
          <w:noProof/>
        </w:rPr>
        <w:t>La réforme consiste en l’adoption d’actes juridiques introduisant des mesures visant à décarboner le secteur du chauffage et du refroidissement.</w:t>
      </w:r>
    </w:p>
    <w:p w14:paraId="3F7D35E1" w14:textId="77777777" w:rsidR="00A345F4" w:rsidRDefault="005E2D4E">
      <w:pPr>
        <w:pStyle w:val="P68B1DB1-Normal12"/>
        <w:suppressAutoHyphens/>
        <w:autoSpaceDN w:val="0"/>
        <w:spacing w:before="240" w:after="0" w:line="240" w:lineRule="auto"/>
        <w:jc w:val="both"/>
        <w:textAlignment w:val="baseline"/>
        <w:rPr>
          <w:rFonts w:eastAsia="Yu Gothic Light"/>
          <w:noProof/>
        </w:rPr>
      </w:pPr>
      <w:r>
        <w:rPr>
          <w:noProof/>
        </w:rPr>
        <w:t>Investissement 2. Capacités de production d’hydrogène vert destinées au stockage de l’électricité et/ou à la décarbonation de l’industrie</w:t>
      </w:r>
    </w:p>
    <w:p w14:paraId="4188C850" w14:textId="77777777" w:rsidR="00A345F4" w:rsidRDefault="005E2D4E">
      <w:pPr>
        <w:pStyle w:val="P68B1DB1-Normal32"/>
        <w:spacing w:before="120" w:after="120" w:line="240" w:lineRule="auto"/>
        <w:jc w:val="both"/>
        <w:rPr>
          <w:noProof/>
        </w:rPr>
      </w:pPr>
      <w:r>
        <w:rPr>
          <w:noProof/>
        </w:rPr>
        <w:t xml:space="preserve">L’objectif de cet investissement est de soutenir le déploiement de capacités de production d’hydrogène vert. </w:t>
      </w:r>
    </w:p>
    <w:p w14:paraId="37797B28" w14:textId="77777777" w:rsidR="00A345F4" w:rsidRDefault="005E2D4E">
      <w:pPr>
        <w:pStyle w:val="P68B1DB1-Normal32"/>
        <w:spacing w:before="120" w:after="120" w:line="240" w:lineRule="auto"/>
        <w:jc w:val="both"/>
        <w:rPr>
          <w:noProof/>
        </w:rPr>
      </w:pPr>
      <w:r>
        <w:rPr>
          <w:noProof/>
        </w:rPr>
        <w:t>Cet investissement consiste en la signature de contrats pour la construction d'au moins 60 MW (H2) de nouvelle capacité d'électrolyseurs.</w:t>
      </w:r>
    </w:p>
    <w:p w14:paraId="4A767C0E" w14:textId="77777777" w:rsidR="00A345F4" w:rsidRDefault="005E2D4E">
      <w:pPr>
        <w:pStyle w:val="P68B1DB1-Normal12"/>
        <w:spacing w:before="120" w:after="120" w:line="240" w:lineRule="auto"/>
        <w:jc w:val="both"/>
        <w:rPr>
          <w:noProof/>
        </w:rPr>
      </w:pPr>
      <w:r>
        <w:rPr>
          <w:noProof/>
        </w:rPr>
        <w:t xml:space="preserve">Investissement 3. Construction de systèmes flexibles et très efficaces de production d'électricité et de chaleur au gaz pour le chauffage urbain </w:t>
      </w:r>
    </w:p>
    <w:p w14:paraId="3E820CB6" w14:textId="77777777" w:rsidR="00A345F4" w:rsidRDefault="005E2D4E">
      <w:pPr>
        <w:pStyle w:val="P68B1DB1-Normal31"/>
        <w:spacing w:before="120" w:after="120" w:line="240" w:lineRule="auto"/>
        <w:jc w:val="both"/>
        <w:rPr>
          <w:noProof/>
        </w:rPr>
      </w:pPr>
      <w:r>
        <w:rPr>
          <w:noProof/>
        </w:rPr>
        <w:t>L’objectif de cet investissement est de relever les défis auxquels la Roumanie est confrontée dans sa transition vers l’abandon des sources d’énergie à base de charbon et de lignite.</w:t>
      </w:r>
    </w:p>
    <w:p w14:paraId="1E2E83FA" w14:textId="77777777" w:rsidR="00A345F4" w:rsidRDefault="005E2D4E">
      <w:pPr>
        <w:pStyle w:val="P68B1DB1-Normal32"/>
        <w:spacing w:before="120" w:after="120" w:line="240" w:lineRule="auto"/>
        <w:jc w:val="both"/>
        <w:rPr>
          <w:noProof/>
        </w:rPr>
      </w:pPr>
      <w:r>
        <w:rPr>
          <w:noProof/>
        </w:rPr>
        <w:t xml:space="preserve">L’investissement consiste en l’installation d’une capacité de production d’électricité à l’épreuve du temps, flexible et à haut rendement pour la production combinée de chaleur et d’électricité au gaz, permettant l’utilisation de gaz renouvelables et bas carbone. </w:t>
      </w:r>
    </w:p>
    <w:p w14:paraId="3611038A" w14:textId="77777777" w:rsidR="00A345F4" w:rsidRDefault="005E2D4E">
      <w:pPr>
        <w:pStyle w:val="P68B1DB1-Normal12"/>
        <w:suppressAutoHyphens/>
        <w:autoSpaceDN w:val="0"/>
        <w:spacing w:before="240" w:after="0" w:line="240" w:lineRule="auto"/>
        <w:jc w:val="both"/>
        <w:textAlignment w:val="baseline"/>
        <w:rPr>
          <w:rFonts w:eastAsia="Yu Gothic Light"/>
          <w:noProof/>
        </w:rPr>
      </w:pPr>
      <w:bookmarkStart w:id="8" w:name="_Hlk211578828"/>
      <w:r>
        <w:rPr>
          <w:noProof/>
        </w:rPr>
        <w:t>Investissement 5. Assurer l'efficacité énergétique dans le secteur industriel</w:t>
      </w:r>
    </w:p>
    <w:bookmarkEnd w:id="8"/>
    <w:p w14:paraId="45C19515" w14:textId="77777777" w:rsidR="00A345F4" w:rsidRDefault="005E2D4E">
      <w:pPr>
        <w:pStyle w:val="P68B1DB1-Normal32"/>
        <w:spacing w:before="120" w:after="120" w:line="240" w:lineRule="auto"/>
        <w:jc w:val="both"/>
        <w:rPr>
          <w:noProof/>
        </w:rPr>
      </w:pPr>
      <w:r>
        <w:rPr>
          <w:noProof/>
        </w:rPr>
        <w:t>L'objectif de l'investissement est d'accroître l'efficacité énergétique de l'industrie.</w:t>
      </w:r>
    </w:p>
    <w:p w14:paraId="2E811934" w14:textId="77777777" w:rsidR="00A345F4" w:rsidRDefault="005E2D4E">
      <w:pPr>
        <w:pStyle w:val="P68B1DB1-Normal32"/>
        <w:spacing w:before="120" w:after="120" w:line="240" w:lineRule="auto"/>
        <w:jc w:val="both"/>
        <w:rPr>
          <w:noProof/>
        </w:rPr>
      </w:pPr>
      <w:r>
        <w:rPr>
          <w:noProof/>
        </w:rPr>
        <w:t>L’investissement consiste à soutenir des projets industriels réduisant les émissions directes et indirectes de GES par rapport aux émissions ex ante.</w:t>
      </w:r>
    </w:p>
    <w:p w14:paraId="29B099D0" w14:textId="77777777" w:rsidR="00A345F4" w:rsidRDefault="00A345F4">
      <w:pPr>
        <w:spacing w:before="120" w:after="120" w:line="240" w:lineRule="auto"/>
        <w:jc w:val="both"/>
        <w:rPr>
          <w:rFonts w:ascii="Times New Roman" w:eastAsia="Aptos" w:hAnsi="Times New Roman" w:cs="Times New Roman"/>
          <w:i/>
          <w:noProof/>
          <w:kern w:val="2"/>
          <w14:ligatures w14:val="standardContextual"/>
        </w:rPr>
      </w:pPr>
    </w:p>
    <w:p w14:paraId="770983B2" w14:textId="77777777" w:rsidR="00A345F4" w:rsidRDefault="00A345F4">
      <w:pPr>
        <w:spacing w:before="120" w:after="120" w:line="240" w:lineRule="auto"/>
        <w:ind w:left="850"/>
        <w:jc w:val="both"/>
        <w:rPr>
          <w:rFonts w:ascii="Times New Roman" w:eastAsia="Aptos" w:hAnsi="Times New Roman" w:cs="Times New Roman"/>
          <w:i/>
          <w:noProof/>
          <w:kern w:val="2"/>
          <w14:ligatures w14:val="standardContextual"/>
        </w:rPr>
        <w:sectPr w:rsidR="00A345F4" w:rsidSect="00145434">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430E3A47" w14:textId="77777777" w:rsidR="00A345F4" w:rsidRDefault="005E2D4E">
      <w:pPr>
        <w:pStyle w:val="P68B1DB1-Normal31"/>
        <w:keepNext/>
        <w:spacing w:before="120" w:after="120" w:line="240" w:lineRule="auto"/>
        <w:jc w:val="both"/>
        <w:outlineLvl w:val="1"/>
        <w:rPr>
          <w:rFonts w:eastAsia="Yu Gothic Light"/>
          <w:b/>
          <w:bCs/>
          <w:noProof/>
        </w:rPr>
      </w:pPr>
      <w:r>
        <w:rPr>
          <w:b/>
          <w:noProof/>
        </w:rPr>
        <w:t xml:space="preserve">F.4. Étapes, objectifs, indicateurs et calendrier du suivi et de la mise en œuvre du prêt </w:t>
      </w:r>
    </w:p>
    <w:tbl>
      <w:tblPr>
        <w:tblW w:w="15593" w:type="dxa"/>
        <w:jc w:val="center"/>
        <w:tblLayout w:type="fixed"/>
        <w:tblLook w:val="04A0" w:firstRow="1" w:lastRow="0" w:firstColumn="1" w:lastColumn="0" w:noHBand="0" w:noVBand="1"/>
      </w:tblPr>
      <w:tblGrid>
        <w:gridCol w:w="818"/>
        <w:gridCol w:w="1895"/>
        <w:gridCol w:w="1222"/>
        <w:gridCol w:w="1759"/>
        <w:gridCol w:w="1625"/>
        <w:gridCol w:w="1352"/>
        <w:gridCol w:w="1093"/>
        <w:gridCol w:w="1004"/>
        <w:gridCol w:w="1134"/>
        <w:gridCol w:w="851"/>
        <w:gridCol w:w="2840"/>
      </w:tblGrid>
      <w:tr w:rsidR="00A345F4" w14:paraId="4DE1F105" w14:textId="77777777" w:rsidTr="00551692">
        <w:trPr>
          <w:trHeight w:val="445"/>
          <w:tblHeader/>
          <w:jc w:val="center"/>
        </w:trPr>
        <w:tc>
          <w:tcPr>
            <w:tcW w:w="8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DE7DF4" w14:textId="77777777" w:rsidR="00A345F4" w:rsidRDefault="005E2D4E">
            <w:pPr>
              <w:pStyle w:val="P68B1DB1-Normal36"/>
              <w:spacing w:after="0" w:line="240" w:lineRule="auto"/>
              <w:jc w:val="center"/>
              <w:rPr>
                <w:rFonts w:eastAsia="Times New Roman"/>
                <w:noProof/>
              </w:rPr>
            </w:pPr>
            <w:r>
              <w:rPr>
                <w:noProof/>
              </w:rPr>
              <w:t>Seq. Num.</w:t>
            </w:r>
          </w:p>
        </w:tc>
        <w:tc>
          <w:tcPr>
            <w:tcW w:w="18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92AA0B" w14:textId="77777777" w:rsidR="00A345F4" w:rsidRDefault="005E2D4E">
            <w:pPr>
              <w:pStyle w:val="P68B1DB1-Normal36"/>
              <w:spacing w:after="0" w:line="240" w:lineRule="auto"/>
              <w:jc w:val="center"/>
              <w:rPr>
                <w:rFonts w:eastAsia="Times New Roman"/>
                <w:noProof/>
              </w:rPr>
            </w:pPr>
            <w:r>
              <w:rPr>
                <w:noProof/>
              </w:rPr>
              <w:t>Mesure connexe (réforme ou investissement)</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924EDF" w14:textId="77777777" w:rsidR="00A345F4" w:rsidRDefault="005E2D4E">
            <w:pPr>
              <w:pStyle w:val="P68B1DB1-Normal36"/>
              <w:spacing w:after="0" w:line="240" w:lineRule="auto"/>
              <w:jc w:val="center"/>
              <w:rPr>
                <w:rFonts w:eastAsia="Times New Roman"/>
                <w:noProof/>
              </w:rPr>
            </w:pPr>
            <w:r>
              <w:rPr>
                <w:noProof/>
              </w:rPr>
              <w:t>Étape/cible</w:t>
            </w:r>
          </w:p>
        </w:tc>
        <w:tc>
          <w:tcPr>
            <w:tcW w:w="17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E8A9EA" w14:textId="77777777" w:rsidR="00A345F4" w:rsidRDefault="005E2D4E">
            <w:pPr>
              <w:pStyle w:val="P68B1DB1-Normal36"/>
              <w:spacing w:after="0" w:line="240" w:lineRule="auto"/>
              <w:jc w:val="center"/>
              <w:rPr>
                <w:rFonts w:eastAsia="Times New Roman"/>
                <w:noProof/>
              </w:rPr>
            </w:pPr>
            <w:r>
              <w:rPr>
                <w:noProof/>
              </w:rPr>
              <w:t>Nom</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CB34E0" w14:textId="77777777" w:rsidR="00A345F4" w:rsidRDefault="005E2D4E">
            <w:pPr>
              <w:pStyle w:val="P68B1DB1-Normal37"/>
              <w:spacing w:after="0" w:line="240" w:lineRule="auto"/>
              <w:jc w:val="center"/>
              <w:rPr>
                <w:rFonts w:eastAsia="Times New Roman"/>
                <w:b/>
                <w:noProof/>
              </w:rPr>
            </w:pPr>
            <w:r>
              <w:rPr>
                <w:b/>
                <w:noProof/>
              </w:rPr>
              <w:t>Indicateurs qualitatifs</w:t>
            </w:r>
            <w:r>
              <w:rPr>
                <w:noProof/>
              </w:rPr>
              <w:br/>
            </w:r>
            <w:r>
              <w:rPr>
                <w:b/>
                <w:noProof/>
              </w:rPr>
              <w:t>(pour les jalons)</w:t>
            </w:r>
          </w:p>
        </w:tc>
        <w:tc>
          <w:tcPr>
            <w:tcW w:w="344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7B83810" w14:textId="77777777" w:rsidR="00A345F4" w:rsidRDefault="005E2D4E">
            <w:pPr>
              <w:pStyle w:val="P68B1DB1-Normal37"/>
              <w:spacing w:after="0" w:line="240" w:lineRule="auto"/>
              <w:jc w:val="center"/>
              <w:rPr>
                <w:rFonts w:eastAsia="Times New Roman"/>
                <w:b/>
                <w:noProof/>
              </w:rPr>
            </w:pPr>
            <w:r>
              <w:rPr>
                <w:b/>
                <w:noProof/>
              </w:rPr>
              <w:t>Indicateurs quantitatifs</w:t>
            </w:r>
            <w:r>
              <w:rPr>
                <w:noProof/>
              </w:rPr>
              <w:br/>
            </w:r>
            <w:r>
              <w:rPr>
                <w:b/>
                <w:noProof/>
              </w:rPr>
              <w:t>(pour les objectifs)</w:t>
            </w:r>
          </w:p>
        </w:tc>
        <w:tc>
          <w:tcPr>
            <w:tcW w:w="1985" w:type="dxa"/>
            <w:gridSpan w:val="2"/>
            <w:tcBorders>
              <w:top w:val="single" w:sz="4" w:space="0" w:color="auto"/>
              <w:left w:val="nil"/>
              <w:bottom w:val="single" w:sz="4" w:space="0" w:color="auto"/>
              <w:right w:val="single" w:sz="4" w:space="0" w:color="auto"/>
            </w:tcBorders>
            <w:shd w:val="clear" w:color="auto" w:fill="BDD7EE"/>
            <w:vAlign w:val="center"/>
            <w:hideMark/>
          </w:tcPr>
          <w:p w14:paraId="314B8A9D" w14:textId="77777777" w:rsidR="00A345F4" w:rsidRDefault="005E2D4E">
            <w:pPr>
              <w:pStyle w:val="P68B1DB1-Normal36"/>
              <w:spacing w:after="0" w:line="240" w:lineRule="auto"/>
              <w:jc w:val="center"/>
              <w:rPr>
                <w:rFonts w:eastAsia="Times New Roman"/>
                <w:noProof/>
              </w:rPr>
            </w:pPr>
            <w:r>
              <w:rPr>
                <w:noProof/>
              </w:rPr>
              <w:t>Calendrier indicatif d'achèvement</w:t>
            </w:r>
          </w:p>
        </w:tc>
        <w:tc>
          <w:tcPr>
            <w:tcW w:w="28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1189D8" w14:textId="77777777" w:rsidR="00A345F4" w:rsidRDefault="005E2D4E">
            <w:pPr>
              <w:pStyle w:val="P68B1DB1-Normal36"/>
              <w:spacing w:after="0" w:line="240" w:lineRule="auto"/>
              <w:jc w:val="center"/>
              <w:rPr>
                <w:rFonts w:eastAsia="Times New Roman"/>
                <w:noProof/>
              </w:rPr>
            </w:pPr>
            <w:r>
              <w:rPr>
                <w:noProof/>
              </w:rPr>
              <w:t>Description de chaque jalon et cible</w:t>
            </w:r>
          </w:p>
        </w:tc>
      </w:tr>
      <w:tr w:rsidR="00A345F4" w14:paraId="7C4A9CC9" w14:textId="77777777" w:rsidTr="00551692">
        <w:trPr>
          <w:trHeight w:val="680"/>
          <w:tblHeader/>
          <w:jc w:val="center"/>
        </w:trPr>
        <w:tc>
          <w:tcPr>
            <w:tcW w:w="818" w:type="dxa"/>
            <w:vMerge/>
            <w:tcBorders>
              <w:top w:val="single" w:sz="4" w:space="0" w:color="auto"/>
              <w:left w:val="single" w:sz="4" w:space="0" w:color="auto"/>
              <w:bottom w:val="single" w:sz="4" w:space="0" w:color="auto"/>
              <w:right w:val="single" w:sz="4" w:space="0" w:color="auto"/>
            </w:tcBorders>
            <w:hideMark/>
          </w:tcPr>
          <w:p w14:paraId="6FE82694"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c>
          <w:tcPr>
            <w:tcW w:w="1895" w:type="dxa"/>
            <w:vMerge/>
            <w:tcBorders>
              <w:top w:val="single" w:sz="4" w:space="0" w:color="auto"/>
              <w:left w:val="single" w:sz="4" w:space="0" w:color="auto"/>
              <w:bottom w:val="single" w:sz="4" w:space="0" w:color="auto"/>
              <w:right w:val="single" w:sz="4" w:space="0" w:color="auto"/>
            </w:tcBorders>
            <w:vAlign w:val="center"/>
            <w:hideMark/>
          </w:tcPr>
          <w:p w14:paraId="381CECD5"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c>
          <w:tcPr>
            <w:tcW w:w="1222" w:type="dxa"/>
            <w:vMerge/>
            <w:tcBorders>
              <w:top w:val="single" w:sz="4" w:space="0" w:color="auto"/>
              <w:left w:val="single" w:sz="4" w:space="0" w:color="auto"/>
              <w:bottom w:val="single" w:sz="4" w:space="0" w:color="auto"/>
              <w:right w:val="single" w:sz="4" w:space="0" w:color="auto"/>
            </w:tcBorders>
            <w:vAlign w:val="center"/>
            <w:hideMark/>
          </w:tcPr>
          <w:p w14:paraId="48B684F7"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c>
          <w:tcPr>
            <w:tcW w:w="1759" w:type="dxa"/>
            <w:vMerge/>
            <w:tcBorders>
              <w:top w:val="single" w:sz="4" w:space="0" w:color="auto"/>
              <w:left w:val="single" w:sz="4" w:space="0" w:color="auto"/>
              <w:bottom w:val="single" w:sz="4" w:space="0" w:color="auto"/>
              <w:right w:val="single" w:sz="4" w:space="0" w:color="auto"/>
            </w:tcBorders>
            <w:vAlign w:val="center"/>
            <w:hideMark/>
          </w:tcPr>
          <w:p w14:paraId="1D17CC8D"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c>
          <w:tcPr>
            <w:tcW w:w="1625" w:type="dxa"/>
            <w:vMerge/>
            <w:tcBorders>
              <w:top w:val="single" w:sz="4" w:space="0" w:color="auto"/>
              <w:left w:val="single" w:sz="4" w:space="0" w:color="auto"/>
              <w:bottom w:val="single" w:sz="4" w:space="0" w:color="auto"/>
              <w:right w:val="single" w:sz="4" w:space="0" w:color="auto"/>
            </w:tcBorders>
            <w:vAlign w:val="center"/>
            <w:hideMark/>
          </w:tcPr>
          <w:p w14:paraId="350F0860"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c>
          <w:tcPr>
            <w:tcW w:w="1352" w:type="dxa"/>
            <w:tcBorders>
              <w:top w:val="nil"/>
              <w:left w:val="single" w:sz="4" w:space="0" w:color="auto"/>
              <w:bottom w:val="single" w:sz="4" w:space="0" w:color="auto"/>
              <w:right w:val="single" w:sz="4" w:space="0" w:color="auto"/>
            </w:tcBorders>
            <w:shd w:val="clear" w:color="auto" w:fill="BDD7EE"/>
            <w:vAlign w:val="center"/>
            <w:hideMark/>
          </w:tcPr>
          <w:p w14:paraId="1CC12BD6" w14:textId="77777777" w:rsidR="00A345F4" w:rsidRDefault="005E2D4E">
            <w:pPr>
              <w:pStyle w:val="P68B1DB1-Normal36"/>
              <w:spacing w:after="0" w:line="240" w:lineRule="auto"/>
              <w:jc w:val="center"/>
              <w:rPr>
                <w:rFonts w:eastAsia="Times New Roman"/>
                <w:noProof/>
              </w:rPr>
            </w:pPr>
            <w:r>
              <w:rPr>
                <w:noProof/>
              </w:rPr>
              <w:t>Unité de mesure</w:t>
            </w:r>
          </w:p>
        </w:tc>
        <w:tc>
          <w:tcPr>
            <w:tcW w:w="1093" w:type="dxa"/>
            <w:tcBorders>
              <w:top w:val="nil"/>
              <w:left w:val="nil"/>
              <w:bottom w:val="single" w:sz="4" w:space="0" w:color="auto"/>
              <w:right w:val="single" w:sz="4" w:space="0" w:color="auto"/>
            </w:tcBorders>
            <w:shd w:val="clear" w:color="auto" w:fill="BDD7EE"/>
            <w:vAlign w:val="center"/>
            <w:hideMark/>
          </w:tcPr>
          <w:p w14:paraId="39BB65DE" w14:textId="6E8EE011" w:rsidR="00A345F4" w:rsidRDefault="005E2D4E">
            <w:pPr>
              <w:pStyle w:val="P68B1DB1-Normal36"/>
              <w:spacing w:after="0" w:line="240" w:lineRule="auto"/>
              <w:jc w:val="center"/>
              <w:rPr>
                <w:rFonts w:eastAsia="Times New Roman"/>
                <w:noProof/>
              </w:rPr>
            </w:pPr>
            <w:r>
              <w:rPr>
                <w:noProof/>
              </w:rPr>
              <w:t>Données de référence</w:t>
            </w:r>
          </w:p>
        </w:tc>
        <w:tc>
          <w:tcPr>
            <w:tcW w:w="1004" w:type="dxa"/>
            <w:tcBorders>
              <w:top w:val="nil"/>
              <w:left w:val="nil"/>
              <w:bottom w:val="single" w:sz="4" w:space="0" w:color="auto"/>
              <w:right w:val="single" w:sz="4" w:space="0" w:color="auto"/>
            </w:tcBorders>
            <w:shd w:val="clear" w:color="auto" w:fill="BDD7EE"/>
            <w:vAlign w:val="center"/>
            <w:hideMark/>
          </w:tcPr>
          <w:p w14:paraId="653FC72B" w14:textId="7A36CF87" w:rsidR="00A345F4" w:rsidRDefault="005E2D4E">
            <w:pPr>
              <w:pStyle w:val="P68B1DB1-Normal36"/>
              <w:spacing w:after="0" w:line="240" w:lineRule="auto"/>
              <w:jc w:val="center"/>
              <w:rPr>
                <w:rFonts w:eastAsia="Times New Roman"/>
                <w:noProof/>
              </w:rPr>
            </w:pPr>
            <w:r>
              <w:rPr>
                <w:noProof/>
              </w:rPr>
              <w:t>Objectif</w:t>
            </w:r>
          </w:p>
        </w:tc>
        <w:tc>
          <w:tcPr>
            <w:tcW w:w="1134" w:type="dxa"/>
            <w:tcBorders>
              <w:top w:val="nil"/>
              <w:left w:val="nil"/>
              <w:bottom w:val="single" w:sz="4" w:space="0" w:color="auto"/>
              <w:right w:val="single" w:sz="4" w:space="0" w:color="auto"/>
            </w:tcBorders>
            <w:shd w:val="clear" w:color="auto" w:fill="BDD7EE"/>
            <w:vAlign w:val="center"/>
            <w:hideMark/>
          </w:tcPr>
          <w:p w14:paraId="5AC8AE70" w14:textId="77777777" w:rsidR="00A345F4" w:rsidRDefault="005E2D4E">
            <w:pPr>
              <w:pStyle w:val="P68B1DB1-Normal36"/>
              <w:spacing w:after="0" w:line="240" w:lineRule="auto"/>
              <w:jc w:val="center"/>
              <w:rPr>
                <w:rFonts w:eastAsia="Times New Roman"/>
                <w:noProof/>
              </w:rPr>
            </w:pPr>
            <w:r>
              <w:rPr>
                <w:noProof/>
              </w:rPr>
              <w:t>Trimestre</w:t>
            </w:r>
          </w:p>
        </w:tc>
        <w:tc>
          <w:tcPr>
            <w:tcW w:w="851" w:type="dxa"/>
            <w:tcBorders>
              <w:top w:val="nil"/>
              <w:left w:val="nil"/>
              <w:bottom w:val="single" w:sz="4" w:space="0" w:color="auto"/>
              <w:right w:val="single" w:sz="4" w:space="0" w:color="auto"/>
            </w:tcBorders>
            <w:shd w:val="clear" w:color="auto" w:fill="BDD7EE"/>
            <w:vAlign w:val="center"/>
            <w:hideMark/>
          </w:tcPr>
          <w:p w14:paraId="5FD8D527" w14:textId="77777777" w:rsidR="00A345F4" w:rsidRDefault="005E2D4E">
            <w:pPr>
              <w:pStyle w:val="P68B1DB1-Normal36"/>
              <w:spacing w:after="0" w:line="240" w:lineRule="auto"/>
              <w:jc w:val="center"/>
              <w:rPr>
                <w:rFonts w:eastAsia="Times New Roman"/>
                <w:noProof/>
              </w:rPr>
            </w:pPr>
            <w:r>
              <w:rPr>
                <w:noProof/>
              </w:rPr>
              <w:t>Année</w:t>
            </w:r>
          </w:p>
        </w:tc>
        <w:tc>
          <w:tcPr>
            <w:tcW w:w="2840" w:type="dxa"/>
            <w:vMerge/>
            <w:tcBorders>
              <w:top w:val="single" w:sz="4" w:space="0" w:color="auto"/>
              <w:bottom w:val="single" w:sz="4" w:space="0" w:color="auto"/>
              <w:right w:val="single" w:sz="4" w:space="0" w:color="auto"/>
            </w:tcBorders>
            <w:vAlign w:val="center"/>
            <w:hideMark/>
          </w:tcPr>
          <w:p w14:paraId="1C762A89" w14:textId="77777777" w:rsidR="00A345F4" w:rsidRDefault="00A345F4">
            <w:pPr>
              <w:spacing w:after="0" w:line="240" w:lineRule="auto"/>
              <w:jc w:val="both"/>
              <w:rPr>
                <w:rFonts w:ascii="Times New Roman" w:eastAsia="Times New Roman" w:hAnsi="Times New Roman" w:cs="Times New Roman"/>
                <w:b/>
                <w:bCs/>
                <w:noProof/>
                <w:kern w:val="2"/>
                <w:sz w:val="20"/>
                <w:szCs w:val="20"/>
                <w14:ligatures w14:val="standardContextual"/>
              </w:rPr>
            </w:pPr>
          </w:p>
        </w:tc>
      </w:tr>
      <w:tr w:rsidR="00A345F4" w14:paraId="7414E256" w14:textId="77777777" w:rsidTr="00551692">
        <w:trPr>
          <w:trHeight w:val="313"/>
          <w:jc w:val="center"/>
        </w:trPr>
        <w:tc>
          <w:tcPr>
            <w:tcW w:w="818" w:type="dxa"/>
            <w:tcBorders>
              <w:top w:val="single" w:sz="4" w:space="0" w:color="auto"/>
              <w:left w:val="single" w:sz="4" w:space="0" w:color="auto"/>
              <w:bottom w:val="single" w:sz="4" w:space="0" w:color="auto"/>
              <w:right w:val="single" w:sz="4" w:space="0" w:color="auto"/>
            </w:tcBorders>
            <w:shd w:val="clear" w:color="auto" w:fill="C6EFCE"/>
            <w:noWrap/>
            <w:hideMark/>
          </w:tcPr>
          <w:p w14:paraId="556DD51D" w14:textId="77777777" w:rsidR="00A345F4" w:rsidRDefault="005E2D4E">
            <w:pPr>
              <w:pStyle w:val="P68B1DB1-Normal37"/>
              <w:spacing w:after="0" w:line="240" w:lineRule="auto"/>
              <w:jc w:val="both"/>
              <w:rPr>
                <w:rFonts w:eastAsia="Times New Roman"/>
                <w:noProof/>
              </w:rPr>
            </w:pPr>
            <w:r>
              <w:rPr>
                <w:noProof/>
              </w:rPr>
              <w:t>126</w:t>
            </w:r>
          </w:p>
        </w:tc>
        <w:tc>
          <w:tcPr>
            <w:tcW w:w="1895" w:type="dxa"/>
            <w:tcBorders>
              <w:top w:val="single" w:sz="4" w:space="0" w:color="auto"/>
              <w:left w:val="nil"/>
              <w:bottom w:val="single" w:sz="4" w:space="0" w:color="auto"/>
              <w:right w:val="single" w:sz="4" w:space="0" w:color="auto"/>
            </w:tcBorders>
            <w:shd w:val="clear" w:color="auto" w:fill="C6EFCE"/>
            <w:noWrap/>
          </w:tcPr>
          <w:p w14:paraId="71958A61" w14:textId="5451203D" w:rsidR="00A345F4" w:rsidRDefault="005E2D4E">
            <w:pPr>
              <w:pStyle w:val="P68B1DB1-Normal37"/>
              <w:spacing w:after="0" w:line="240" w:lineRule="auto"/>
              <w:jc w:val="both"/>
              <w:rPr>
                <w:rFonts w:eastAsia="Times New Roman"/>
                <w:noProof/>
              </w:rPr>
            </w:pPr>
            <w:r>
              <w:rPr>
                <w:noProof/>
              </w:rPr>
              <w:t xml:space="preserve">Réforme 4. Établir un cadre législatif et réglementaire favorable à l’hydrogène renouvelable </w:t>
            </w:r>
          </w:p>
        </w:tc>
        <w:tc>
          <w:tcPr>
            <w:tcW w:w="1222" w:type="dxa"/>
            <w:tcBorders>
              <w:top w:val="single" w:sz="4" w:space="0" w:color="auto"/>
              <w:left w:val="nil"/>
              <w:bottom w:val="single" w:sz="4" w:space="0" w:color="auto"/>
              <w:right w:val="single" w:sz="4" w:space="0" w:color="auto"/>
            </w:tcBorders>
            <w:shd w:val="clear" w:color="auto" w:fill="C6EFCE"/>
            <w:noWrap/>
            <w:hideMark/>
          </w:tcPr>
          <w:p w14:paraId="10EAAB12" w14:textId="77777777" w:rsidR="00A345F4" w:rsidRDefault="005E2D4E">
            <w:pPr>
              <w:pStyle w:val="P68B1DB1-Normal37"/>
              <w:spacing w:after="0" w:line="240" w:lineRule="auto"/>
              <w:jc w:val="both"/>
              <w:rPr>
                <w:rFonts w:eastAsia="Times New Roman"/>
                <w:noProof/>
              </w:rPr>
            </w:pPr>
            <w:r>
              <w:rPr>
                <w:noProof/>
              </w:rPr>
              <w:t>Étape</w:t>
            </w:r>
          </w:p>
        </w:tc>
        <w:tc>
          <w:tcPr>
            <w:tcW w:w="1759" w:type="dxa"/>
            <w:tcBorders>
              <w:top w:val="single" w:sz="4" w:space="0" w:color="auto"/>
              <w:left w:val="nil"/>
              <w:bottom w:val="single" w:sz="4" w:space="0" w:color="auto"/>
              <w:right w:val="single" w:sz="4" w:space="0" w:color="auto"/>
            </w:tcBorders>
            <w:shd w:val="clear" w:color="auto" w:fill="C6EFCE"/>
            <w:noWrap/>
          </w:tcPr>
          <w:p w14:paraId="15B18086" w14:textId="138B128F" w:rsidR="00A345F4" w:rsidRDefault="005E2D4E">
            <w:pPr>
              <w:pStyle w:val="P68B1DB1-Normal37"/>
              <w:spacing w:after="0" w:line="240" w:lineRule="auto"/>
              <w:jc w:val="both"/>
              <w:rPr>
                <w:rFonts w:eastAsia="Times New Roman"/>
                <w:noProof/>
              </w:rPr>
            </w:pPr>
            <w:r>
              <w:rPr>
                <w:noProof/>
              </w:rPr>
              <w:t xml:space="preserve">Entrée en vigueur des modifications du cadre juridique </w:t>
            </w:r>
          </w:p>
        </w:tc>
        <w:tc>
          <w:tcPr>
            <w:tcW w:w="1625" w:type="dxa"/>
            <w:tcBorders>
              <w:top w:val="single" w:sz="4" w:space="0" w:color="auto"/>
              <w:left w:val="nil"/>
              <w:bottom w:val="single" w:sz="4" w:space="0" w:color="auto"/>
              <w:right w:val="single" w:sz="4" w:space="0" w:color="auto"/>
            </w:tcBorders>
            <w:shd w:val="clear" w:color="auto" w:fill="C6EFCE"/>
            <w:noWrap/>
            <w:hideMark/>
          </w:tcPr>
          <w:p w14:paraId="559C43E2" w14:textId="54D79A29" w:rsidR="00A345F4" w:rsidRDefault="005E2D4E">
            <w:pPr>
              <w:pStyle w:val="P68B1DB1-Normal37"/>
              <w:spacing w:after="0" w:line="240" w:lineRule="auto"/>
              <w:jc w:val="both"/>
              <w:rPr>
                <w:rFonts w:eastAsia="Times New Roman"/>
                <w:noProof/>
              </w:rPr>
            </w:pPr>
            <w:r>
              <w:rPr>
                <w:noProof/>
              </w:rPr>
              <w:t xml:space="preserve">Disposition des actes juridiques indiquant l’entrée en vigueur des modifications du cadre juridique </w:t>
            </w:r>
          </w:p>
        </w:tc>
        <w:tc>
          <w:tcPr>
            <w:tcW w:w="1352" w:type="dxa"/>
            <w:tcBorders>
              <w:top w:val="nil"/>
              <w:left w:val="nil"/>
              <w:bottom w:val="single" w:sz="4" w:space="0" w:color="auto"/>
              <w:right w:val="single" w:sz="4" w:space="0" w:color="auto"/>
            </w:tcBorders>
            <w:shd w:val="clear" w:color="auto" w:fill="C6EFCE"/>
            <w:noWrap/>
            <w:hideMark/>
          </w:tcPr>
          <w:p w14:paraId="66E51F93" w14:textId="77777777" w:rsidR="00A345F4" w:rsidRDefault="005E2D4E">
            <w:pPr>
              <w:pStyle w:val="P68B1DB1-Normal37"/>
              <w:spacing w:after="0" w:line="240" w:lineRule="auto"/>
              <w:jc w:val="both"/>
              <w:rPr>
                <w:rFonts w:eastAsia="Times New Roman"/>
                <w:noProof/>
              </w:rPr>
            </w:pPr>
            <w:r>
              <w:rPr>
                <w:noProof/>
              </w:rPr>
              <w:t xml:space="preserve"> </w:t>
            </w:r>
          </w:p>
        </w:tc>
        <w:tc>
          <w:tcPr>
            <w:tcW w:w="1093" w:type="dxa"/>
            <w:tcBorders>
              <w:top w:val="nil"/>
              <w:left w:val="nil"/>
              <w:bottom w:val="single" w:sz="4" w:space="0" w:color="auto"/>
              <w:right w:val="single" w:sz="4" w:space="0" w:color="auto"/>
            </w:tcBorders>
            <w:shd w:val="clear" w:color="auto" w:fill="C6EFCE"/>
            <w:noWrap/>
          </w:tcPr>
          <w:p w14:paraId="7EF92882" w14:textId="77777777" w:rsidR="00A345F4" w:rsidRDefault="005E2D4E">
            <w:pPr>
              <w:pStyle w:val="P68B1DB1-Normal37"/>
              <w:spacing w:after="0" w:line="240" w:lineRule="auto"/>
              <w:jc w:val="both"/>
              <w:rPr>
                <w:rFonts w:eastAsia="Times New Roman"/>
                <w:noProof/>
              </w:rPr>
            </w:pPr>
            <w:r>
              <w:rPr>
                <w:noProof/>
              </w:rPr>
              <w:t xml:space="preserve"> </w:t>
            </w:r>
          </w:p>
        </w:tc>
        <w:tc>
          <w:tcPr>
            <w:tcW w:w="1004" w:type="dxa"/>
            <w:tcBorders>
              <w:top w:val="nil"/>
              <w:left w:val="nil"/>
              <w:bottom w:val="single" w:sz="4" w:space="0" w:color="auto"/>
              <w:right w:val="single" w:sz="4" w:space="0" w:color="auto"/>
            </w:tcBorders>
            <w:shd w:val="clear" w:color="auto" w:fill="C6EFCE"/>
            <w:noWrap/>
          </w:tcPr>
          <w:p w14:paraId="379408D3" w14:textId="77777777" w:rsidR="00A345F4" w:rsidRDefault="005E2D4E">
            <w:pPr>
              <w:pStyle w:val="P68B1DB1-Normal37"/>
              <w:spacing w:after="0" w:line="240" w:lineRule="auto"/>
              <w:jc w:val="both"/>
              <w:rPr>
                <w:rFonts w:eastAsia="Times New Roman"/>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hideMark/>
          </w:tcPr>
          <w:p w14:paraId="45235B65" w14:textId="77777777" w:rsidR="00A345F4" w:rsidRDefault="005E2D4E">
            <w:pPr>
              <w:pStyle w:val="P68B1DB1-Normal37"/>
              <w:spacing w:after="0" w:line="240" w:lineRule="auto"/>
              <w:jc w:val="both"/>
              <w:rPr>
                <w:rFonts w:eastAsia="Times New Roman"/>
                <w:noProof/>
              </w:rPr>
            </w:pPr>
            <w:r>
              <w:rPr>
                <w:noProof/>
              </w:rPr>
              <w:t>T3</w:t>
            </w:r>
          </w:p>
        </w:tc>
        <w:tc>
          <w:tcPr>
            <w:tcW w:w="851" w:type="dxa"/>
            <w:tcBorders>
              <w:top w:val="nil"/>
              <w:left w:val="nil"/>
              <w:bottom w:val="single" w:sz="4" w:space="0" w:color="auto"/>
              <w:right w:val="single" w:sz="4" w:space="0" w:color="auto"/>
            </w:tcBorders>
            <w:shd w:val="clear" w:color="auto" w:fill="C6EFCE"/>
            <w:noWrap/>
            <w:hideMark/>
          </w:tcPr>
          <w:p w14:paraId="78761C3C" w14:textId="77777777" w:rsidR="00A345F4" w:rsidRDefault="005E2D4E">
            <w:pPr>
              <w:pStyle w:val="P68B1DB1-Normal37"/>
              <w:spacing w:after="0" w:line="240" w:lineRule="auto"/>
              <w:jc w:val="both"/>
              <w:rPr>
                <w:rFonts w:eastAsia="Times New Roman"/>
                <w:noProof/>
              </w:rPr>
            </w:pPr>
            <w:r>
              <w:rPr>
                <w:noProof/>
              </w:rPr>
              <w:t>2026</w:t>
            </w:r>
          </w:p>
        </w:tc>
        <w:tc>
          <w:tcPr>
            <w:tcW w:w="2840" w:type="dxa"/>
            <w:tcBorders>
              <w:top w:val="single" w:sz="4" w:space="0" w:color="auto"/>
              <w:left w:val="nil"/>
              <w:bottom w:val="single" w:sz="4" w:space="0" w:color="auto"/>
              <w:right w:val="single" w:sz="4" w:space="0" w:color="auto"/>
            </w:tcBorders>
            <w:shd w:val="clear" w:color="auto" w:fill="C6EFCE"/>
            <w:noWrap/>
            <w:hideMark/>
          </w:tcPr>
          <w:p w14:paraId="6626353D" w14:textId="579D85D3" w:rsidR="00A345F4" w:rsidRDefault="005E2D4E">
            <w:pPr>
              <w:pStyle w:val="P68B1DB1-Normal37"/>
              <w:spacing w:after="0" w:line="240" w:lineRule="auto"/>
              <w:jc w:val="both"/>
              <w:rPr>
                <w:noProof/>
              </w:rPr>
            </w:pPr>
            <w:r>
              <w:rPr>
                <w:noProof/>
              </w:rPr>
              <w:t>Entrée en vigueur des modifications apportées au cadre juridique sur la base de la stratégie nationale pour l’hydrogène et de son plan d’action. Les modifications:</w:t>
            </w:r>
          </w:p>
          <w:p w14:paraId="62D54059" w14:textId="77777777" w:rsidR="00A345F4" w:rsidRDefault="005E2D4E">
            <w:pPr>
              <w:pStyle w:val="P68B1DB1-Normal37"/>
              <w:spacing w:after="0" w:line="240" w:lineRule="auto"/>
              <w:jc w:val="both"/>
              <w:rPr>
                <w:noProof/>
              </w:rPr>
            </w:pPr>
            <w:r>
              <w:rPr>
                <w:noProof/>
              </w:rPr>
              <w:t xml:space="preserve">- prévoir la suppression des obstacles juridiques à l’adoption sur le marché de l’intégration de l’hydrogène renouvelable et bas carbone dans la production d’hydrogène sur d’autres marchés de l’énergie en réduisant les procédures d’autorisation et d’autorisation pour la mise en service d’installations de production d’hydrogène renouvelable et de capacités d’électrolyse; </w:t>
            </w:r>
          </w:p>
          <w:p w14:paraId="2A127258" w14:textId="7BECFA27" w:rsidR="00A345F4" w:rsidRDefault="005E2D4E">
            <w:pPr>
              <w:pStyle w:val="P68B1DB1-Normal37"/>
              <w:spacing w:after="0" w:line="240" w:lineRule="auto"/>
              <w:jc w:val="both"/>
              <w:rPr>
                <w:noProof/>
              </w:rPr>
            </w:pPr>
            <w:r>
              <w:rPr>
                <w:noProof/>
              </w:rPr>
              <w:t xml:space="preserve">- l’introduction d’un cadre juridique pour les contrats d’écart compensatoire (CdD) pour l’hydrogène renouvelable afin de soutenir le déploiement sur le marché; </w:t>
            </w:r>
          </w:p>
          <w:p w14:paraId="20B975E8" w14:textId="77777777" w:rsidR="00A345F4" w:rsidRDefault="005E2D4E">
            <w:pPr>
              <w:pStyle w:val="P68B1DB1-Normal37"/>
              <w:spacing w:after="0" w:line="240" w:lineRule="auto"/>
              <w:jc w:val="both"/>
              <w:rPr>
                <w:noProof/>
              </w:rPr>
            </w:pPr>
            <w:r>
              <w:rPr>
                <w:noProof/>
              </w:rPr>
              <w:t xml:space="preserve">- prévoir la mise à jour des </w:t>
            </w:r>
          </w:p>
          <w:p w14:paraId="05ED1A41" w14:textId="77777777" w:rsidR="00A345F4" w:rsidRDefault="005E2D4E">
            <w:pPr>
              <w:pStyle w:val="P68B1DB1-Normal37"/>
              <w:spacing w:after="0" w:line="240" w:lineRule="auto"/>
              <w:jc w:val="both"/>
              <w:rPr>
                <w:rFonts w:eastAsia="Times New Roman"/>
                <w:noProof/>
              </w:rPr>
            </w:pPr>
            <w:r>
              <w:rPr>
                <w:noProof/>
              </w:rPr>
              <w:t xml:space="preserve"> les normes de sécurité, les normes techniques et les exigences réglementaires tout au long de la chaîne de valeur de l’hydrogène grâce à l’adoption d’un code ou d’un recueil de règles spécifiques sur l’hydrogène. </w:t>
            </w:r>
          </w:p>
        </w:tc>
      </w:tr>
      <w:tr w:rsidR="00A345F4" w14:paraId="012112AB" w14:textId="77777777" w:rsidTr="00551692">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603BFC52" w14:textId="77777777" w:rsidR="00A345F4" w:rsidRDefault="005E2D4E">
            <w:pPr>
              <w:pStyle w:val="P68B1DB1-Normal37"/>
              <w:spacing w:after="0" w:line="240" w:lineRule="auto"/>
              <w:jc w:val="both"/>
              <w:rPr>
                <w:rFonts w:eastAsia="Times New Roman"/>
                <w:noProof/>
              </w:rPr>
            </w:pPr>
            <w:r>
              <w:rPr>
                <w:noProof/>
              </w:rPr>
              <w:t>127</w:t>
            </w:r>
          </w:p>
        </w:tc>
        <w:tc>
          <w:tcPr>
            <w:tcW w:w="1895" w:type="dxa"/>
            <w:tcBorders>
              <w:top w:val="nil"/>
              <w:left w:val="nil"/>
              <w:bottom w:val="single" w:sz="4" w:space="0" w:color="auto"/>
              <w:right w:val="single" w:sz="4" w:space="0" w:color="auto"/>
            </w:tcBorders>
            <w:shd w:val="clear" w:color="auto" w:fill="C6EFCE"/>
            <w:noWrap/>
          </w:tcPr>
          <w:p w14:paraId="784BB206" w14:textId="77777777" w:rsidR="00A345F4" w:rsidRDefault="005E2D4E">
            <w:pPr>
              <w:pStyle w:val="P68B1DB1-Normal37"/>
              <w:spacing w:after="0" w:line="240" w:lineRule="auto"/>
              <w:jc w:val="both"/>
              <w:rPr>
                <w:rFonts w:eastAsia="Times New Roman"/>
                <w:noProof/>
              </w:rPr>
            </w:pPr>
            <w:r>
              <w:rPr>
                <w:noProof/>
              </w:rPr>
              <w:t xml:space="preserve">Réforme 5. Réduire l'intensité énergétique de l'économie en établissant un mécanisme durable pour stimuler l'efficacité énergétique dans l'industrie. </w:t>
            </w:r>
          </w:p>
        </w:tc>
        <w:tc>
          <w:tcPr>
            <w:tcW w:w="1222" w:type="dxa"/>
            <w:tcBorders>
              <w:top w:val="nil"/>
              <w:left w:val="nil"/>
              <w:bottom w:val="single" w:sz="4" w:space="0" w:color="auto"/>
              <w:right w:val="single" w:sz="4" w:space="0" w:color="auto"/>
            </w:tcBorders>
            <w:shd w:val="clear" w:color="auto" w:fill="C6EFCE"/>
            <w:noWrap/>
            <w:hideMark/>
          </w:tcPr>
          <w:p w14:paraId="0AF98106" w14:textId="77777777" w:rsidR="00A345F4" w:rsidRDefault="005E2D4E">
            <w:pPr>
              <w:pStyle w:val="P68B1DB1-Normal37"/>
              <w:spacing w:after="0" w:line="240" w:lineRule="auto"/>
              <w:jc w:val="both"/>
              <w:rPr>
                <w:rFonts w:eastAsia="Times New Roman"/>
                <w:noProof/>
              </w:rPr>
            </w:pPr>
            <w:r>
              <w:rPr>
                <w:noProof/>
              </w:rPr>
              <w:t>Étape</w:t>
            </w:r>
          </w:p>
        </w:tc>
        <w:tc>
          <w:tcPr>
            <w:tcW w:w="1759" w:type="dxa"/>
            <w:tcBorders>
              <w:top w:val="nil"/>
              <w:left w:val="nil"/>
              <w:bottom w:val="single" w:sz="4" w:space="0" w:color="auto"/>
              <w:right w:val="single" w:sz="4" w:space="0" w:color="auto"/>
            </w:tcBorders>
            <w:shd w:val="clear" w:color="auto" w:fill="C6EFCE"/>
            <w:noWrap/>
          </w:tcPr>
          <w:p w14:paraId="20D78BF0" w14:textId="77777777" w:rsidR="00A345F4" w:rsidRDefault="005E2D4E">
            <w:pPr>
              <w:pStyle w:val="P68B1DB1-Normal37"/>
              <w:spacing w:after="0" w:line="240" w:lineRule="auto"/>
              <w:jc w:val="both"/>
              <w:rPr>
                <w:rFonts w:eastAsia="Times New Roman"/>
                <w:noProof/>
              </w:rPr>
            </w:pPr>
            <w:r>
              <w:rPr>
                <w:noProof/>
              </w:rPr>
              <w:t>Entrée en vigueur du cadre législatif introduisant des mesures visant à faciliter les investissements dans l'efficacité énergétique dans l'industrie</w:t>
            </w:r>
          </w:p>
        </w:tc>
        <w:tc>
          <w:tcPr>
            <w:tcW w:w="1625" w:type="dxa"/>
            <w:tcBorders>
              <w:top w:val="nil"/>
              <w:left w:val="nil"/>
              <w:bottom w:val="single" w:sz="4" w:space="0" w:color="auto"/>
              <w:right w:val="single" w:sz="4" w:space="0" w:color="auto"/>
            </w:tcBorders>
            <w:shd w:val="clear" w:color="auto" w:fill="C6EFCE"/>
            <w:noWrap/>
            <w:hideMark/>
          </w:tcPr>
          <w:p w14:paraId="082037FA" w14:textId="77777777" w:rsidR="00A345F4" w:rsidRDefault="005E2D4E">
            <w:pPr>
              <w:pStyle w:val="P68B1DB1-Normal37"/>
              <w:spacing w:after="0" w:line="240" w:lineRule="auto"/>
              <w:jc w:val="both"/>
              <w:rPr>
                <w:rFonts w:eastAsia="Times New Roman"/>
                <w:noProof/>
              </w:rPr>
            </w:pPr>
            <w:r>
              <w:rPr>
                <w:noProof/>
              </w:rPr>
              <w:t>Disposition de la loi indiquant l’entrée en vigueur de l’acte législatif</w:t>
            </w:r>
          </w:p>
        </w:tc>
        <w:tc>
          <w:tcPr>
            <w:tcW w:w="1352" w:type="dxa"/>
            <w:tcBorders>
              <w:top w:val="nil"/>
              <w:left w:val="nil"/>
              <w:bottom w:val="single" w:sz="4" w:space="0" w:color="auto"/>
              <w:right w:val="single" w:sz="4" w:space="0" w:color="auto"/>
            </w:tcBorders>
            <w:shd w:val="clear" w:color="auto" w:fill="C6EFCE"/>
            <w:noWrap/>
            <w:hideMark/>
          </w:tcPr>
          <w:p w14:paraId="571037BA"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093" w:type="dxa"/>
            <w:tcBorders>
              <w:top w:val="nil"/>
              <w:left w:val="nil"/>
              <w:bottom w:val="single" w:sz="4" w:space="0" w:color="auto"/>
              <w:right w:val="single" w:sz="4" w:space="0" w:color="auto"/>
            </w:tcBorders>
            <w:shd w:val="clear" w:color="auto" w:fill="C6EFCE"/>
            <w:noWrap/>
          </w:tcPr>
          <w:p w14:paraId="2436C678"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004" w:type="dxa"/>
            <w:tcBorders>
              <w:top w:val="nil"/>
              <w:left w:val="nil"/>
              <w:bottom w:val="single" w:sz="4" w:space="0" w:color="auto"/>
              <w:right w:val="single" w:sz="4" w:space="0" w:color="auto"/>
            </w:tcBorders>
            <w:shd w:val="clear" w:color="auto" w:fill="C6EFCE"/>
            <w:noWrap/>
          </w:tcPr>
          <w:p w14:paraId="6468B2A6"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134" w:type="dxa"/>
            <w:tcBorders>
              <w:top w:val="nil"/>
              <w:left w:val="nil"/>
              <w:bottom w:val="single" w:sz="4" w:space="0" w:color="auto"/>
              <w:right w:val="single" w:sz="4" w:space="0" w:color="auto"/>
            </w:tcBorders>
            <w:shd w:val="clear" w:color="auto" w:fill="C6EFCE"/>
            <w:noWrap/>
            <w:hideMark/>
          </w:tcPr>
          <w:p w14:paraId="1F9A67F8" w14:textId="77777777" w:rsidR="00A345F4" w:rsidRDefault="005E2D4E">
            <w:pPr>
              <w:pStyle w:val="P68B1DB1-Normal37"/>
              <w:spacing w:after="0" w:line="240" w:lineRule="auto"/>
              <w:jc w:val="both"/>
              <w:rPr>
                <w:rFonts w:eastAsia="Times New Roman"/>
                <w:noProof/>
              </w:rPr>
            </w:pPr>
            <w:r>
              <w:rPr>
                <w:noProof/>
              </w:rPr>
              <w:t>T4</w:t>
            </w:r>
          </w:p>
        </w:tc>
        <w:tc>
          <w:tcPr>
            <w:tcW w:w="851" w:type="dxa"/>
            <w:tcBorders>
              <w:top w:val="nil"/>
              <w:left w:val="nil"/>
              <w:bottom w:val="single" w:sz="4" w:space="0" w:color="auto"/>
              <w:right w:val="single" w:sz="4" w:space="0" w:color="auto"/>
            </w:tcBorders>
            <w:shd w:val="clear" w:color="auto" w:fill="C6EFCE"/>
            <w:noWrap/>
            <w:hideMark/>
          </w:tcPr>
          <w:p w14:paraId="01934A86" w14:textId="77777777" w:rsidR="00A345F4" w:rsidRDefault="005E2D4E">
            <w:pPr>
              <w:pStyle w:val="P68B1DB1-Normal37"/>
              <w:spacing w:after="0" w:line="240" w:lineRule="auto"/>
              <w:jc w:val="both"/>
              <w:rPr>
                <w:rFonts w:eastAsia="Times New Roman"/>
                <w:noProof/>
              </w:rPr>
            </w:pPr>
            <w:r>
              <w:rPr>
                <w:noProof/>
              </w:rPr>
              <w:t>2022</w:t>
            </w:r>
          </w:p>
        </w:tc>
        <w:tc>
          <w:tcPr>
            <w:tcW w:w="2840" w:type="dxa"/>
            <w:tcBorders>
              <w:top w:val="nil"/>
              <w:left w:val="nil"/>
              <w:bottom w:val="single" w:sz="4" w:space="0" w:color="auto"/>
              <w:right w:val="single" w:sz="4" w:space="0" w:color="auto"/>
            </w:tcBorders>
            <w:shd w:val="clear" w:color="auto" w:fill="C6EFCE"/>
            <w:noWrap/>
            <w:hideMark/>
          </w:tcPr>
          <w:p w14:paraId="0A9E975A" w14:textId="77777777" w:rsidR="00A345F4" w:rsidRDefault="005E2D4E">
            <w:pPr>
              <w:pStyle w:val="P68B1DB1-Normal37"/>
              <w:spacing w:after="0" w:line="240" w:lineRule="auto"/>
              <w:jc w:val="both"/>
              <w:rPr>
                <w:rFonts w:eastAsia="Times New Roman"/>
                <w:noProof/>
              </w:rPr>
            </w:pPr>
            <w:r>
              <w:rPr>
                <w:noProof/>
              </w:rPr>
              <w:t>Entrée en vigueur du cadre législatif introduisant des mesures visant à faciliter les investissements dans l'efficacité énergétique dans l'industrie. La réforme: i) supprimer les obstacles aux contrats de performance énergétique; ii) introduire la surveillance du marché et l'application de normes en matière d'efficacité énergétique afin de garantir la conformité des produits avec les normes d'écoconception, iii) sensibiliser davantage les PME à l'efficacité énergétique; iv) créer un système de suivi de la mise en œuvre des recommandations issues des audits énergétiques dans les secteurs relevant du SEQE; v) introduire de nouvelles normes pour les instruments financiers verts.</w:t>
            </w:r>
          </w:p>
        </w:tc>
      </w:tr>
      <w:tr w:rsidR="00A345F4" w14:paraId="42CF8EA0" w14:textId="77777777" w:rsidTr="00551692">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6CD5E739" w14:textId="77777777" w:rsidR="00A345F4" w:rsidRDefault="005E2D4E">
            <w:pPr>
              <w:pStyle w:val="P68B1DB1-Normal37"/>
              <w:spacing w:after="0" w:line="240" w:lineRule="auto"/>
              <w:jc w:val="both"/>
              <w:rPr>
                <w:rFonts w:eastAsia="Times New Roman"/>
                <w:noProof/>
              </w:rPr>
            </w:pPr>
            <w:r>
              <w:rPr>
                <w:noProof/>
              </w:rPr>
              <w:t>128</w:t>
            </w:r>
          </w:p>
        </w:tc>
        <w:tc>
          <w:tcPr>
            <w:tcW w:w="1895" w:type="dxa"/>
            <w:tcBorders>
              <w:top w:val="nil"/>
              <w:left w:val="nil"/>
              <w:bottom w:val="single" w:sz="4" w:space="0" w:color="auto"/>
              <w:right w:val="single" w:sz="4" w:space="0" w:color="auto"/>
            </w:tcBorders>
            <w:shd w:val="clear" w:color="auto" w:fill="C6EFCE"/>
            <w:noWrap/>
          </w:tcPr>
          <w:p w14:paraId="651467A2" w14:textId="77777777" w:rsidR="00A345F4" w:rsidRDefault="005E2D4E">
            <w:pPr>
              <w:pStyle w:val="P68B1DB1-Normal37"/>
              <w:spacing w:after="0" w:line="240" w:lineRule="auto"/>
              <w:jc w:val="both"/>
              <w:rPr>
                <w:rFonts w:eastAsia="Times New Roman"/>
                <w:noProof/>
              </w:rPr>
            </w:pPr>
            <w:r>
              <w:rPr>
                <w:noProof/>
              </w:rPr>
              <w:t xml:space="preserve">Réforme 6. Décarbonation du secteur du chauffage et du refroidissement </w:t>
            </w:r>
          </w:p>
        </w:tc>
        <w:tc>
          <w:tcPr>
            <w:tcW w:w="1222" w:type="dxa"/>
            <w:tcBorders>
              <w:top w:val="nil"/>
              <w:left w:val="nil"/>
              <w:bottom w:val="single" w:sz="4" w:space="0" w:color="auto"/>
              <w:right w:val="single" w:sz="4" w:space="0" w:color="auto"/>
            </w:tcBorders>
            <w:shd w:val="clear" w:color="auto" w:fill="C6EFCE"/>
            <w:noWrap/>
            <w:hideMark/>
          </w:tcPr>
          <w:p w14:paraId="5AD8B174" w14:textId="77777777" w:rsidR="00A345F4" w:rsidRDefault="005E2D4E">
            <w:pPr>
              <w:pStyle w:val="P68B1DB1-Normal37"/>
              <w:spacing w:after="0" w:line="240" w:lineRule="auto"/>
              <w:jc w:val="both"/>
              <w:rPr>
                <w:rFonts w:eastAsia="Times New Roman"/>
                <w:noProof/>
              </w:rPr>
            </w:pPr>
            <w:r>
              <w:rPr>
                <w:noProof/>
              </w:rPr>
              <w:t>Étape</w:t>
            </w:r>
          </w:p>
        </w:tc>
        <w:tc>
          <w:tcPr>
            <w:tcW w:w="1759" w:type="dxa"/>
            <w:tcBorders>
              <w:top w:val="nil"/>
              <w:left w:val="nil"/>
              <w:bottom w:val="single" w:sz="4" w:space="0" w:color="auto"/>
              <w:right w:val="single" w:sz="4" w:space="0" w:color="auto"/>
            </w:tcBorders>
            <w:shd w:val="clear" w:color="auto" w:fill="C6EFCE"/>
            <w:noWrap/>
          </w:tcPr>
          <w:p w14:paraId="461C95CB" w14:textId="77777777" w:rsidR="00A345F4" w:rsidRDefault="005E2D4E">
            <w:pPr>
              <w:pStyle w:val="P68B1DB1-Normal37"/>
              <w:spacing w:after="0" w:line="240" w:lineRule="auto"/>
              <w:jc w:val="both"/>
              <w:rPr>
                <w:rFonts w:eastAsia="Times New Roman"/>
                <w:noProof/>
              </w:rPr>
            </w:pPr>
            <w:r>
              <w:rPr>
                <w:noProof/>
              </w:rPr>
              <w:t>Entrée en vigueur d’actes juridiques introduisant des mesures visant à décarboner le secteur du chauffage et du refroidissement</w:t>
            </w:r>
          </w:p>
        </w:tc>
        <w:tc>
          <w:tcPr>
            <w:tcW w:w="1625" w:type="dxa"/>
            <w:tcBorders>
              <w:top w:val="nil"/>
              <w:left w:val="nil"/>
              <w:bottom w:val="single" w:sz="4" w:space="0" w:color="auto"/>
              <w:right w:val="single" w:sz="4" w:space="0" w:color="auto"/>
            </w:tcBorders>
            <w:shd w:val="clear" w:color="auto" w:fill="C6EFCE"/>
            <w:noWrap/>
            <w:hideMark/>
          </w:tcPr>
          <w:p w14:paraId="51AB60BD" w14:textId="77777777" w:rsidR="00A345F4" w:rsidRDefault="005E2D4E">
            <w:pPr>
              <w:pStyle w:val="P68B1DB1-Normal37"/>
              <w:spacing w:after="0" w:line="240" w:lineRule="auto"/>
              <w:jc w:val="both"/>
              <w:rPr>
                <w:rFonts w:eastAsia="Times New Roman"/>
                <w:noProof/>
              </w:rPr>
            </w:pPr>
            <w:r>
              <w:rPr>
                <w:noProof/>
              </w:rPr>
              <w:t>Disposition de la loi indiquant l'entrée en vigueur des actes juridiques</w:t>
            </w:r>
          </w:p>
        </w:tc>
        <w:tc>
          <w:tcPr>
            <w:tcW w:w="1352" w:type="dxa"/>
            <w:tcBorders>
              <w:top w:val="nil"/>
              <w:left w:val="nil"/>
              <w:bottom w:val="single" w:sz="4" w:space="0" w:color="auto"/>
              <w:right w:val="single" w:sz="4" w:space="0" w:color="auto"/>
            </w:tcBorders>
            <w:shd w:val="clear" w:color="auto" w:fill="C6EFCE"/>
            <w:noWrap/>
            <w:hideMark/>
          </w:tcPr>
          <w:p w14:paraId="36AB2441"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093" w:type="dxa"/>
            <w:tcBorders>
              <w:top w:val="nil"/>
              <w:left w:val="nil"/>
              <w:bottom w:val="single" w:sz="4" w:space="0" w:color="auto"/>
              <w:right w:val="single" w:sz="4" w:space="0" w:color="auto"/>
            </w:tcBorders>
            <w:shd w:val="clear" w:color="auto" w:fill="C6EFCE"/>
            <w:noWrap/>
          </w:tcPr>
          <w:p w14:paraId="5E9A932D"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004" w:type="dxa"/>
            <w:tcBorders>
              <w:top w:val="nil"/>
              <w:left w:val="nil"/>
              <w:bottom w:val="single" w:sz="4" w:space="0" w:color="auto"/>
              <w:right w:val="single" w:sz="4" w:space="0" w:color="auto"/>
            </w:tcBorders>
            <w:shd w:val="clear" w:color="auto" w:fill="C6EFCE"/>
            <w:noWrap/>
          </w:tcPr>
          <w:p w14:paraId="6B0CFCB6"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134" w:type="dxa"/>
            <w:tcBorders>
              <w:top w:val="nil"/>
              <w:left w:val="nil"/>
              <w:bottom w:val="single" w:sz="4" w:space="0" w:color="auto"/>
              <w:right w:val="single" w:sz="4" w:space="0" w:color="auto"/>
            </w:tcBorders>
            <w:shd w:val="clear" w:color="auto" w:fill="C6EFCE"/>
            <w:noWrap/>
            <w:hideMark/>
          </w:tcPr>
          <w:p w14:paraId="6C47CA60" w14:textId="77777777" w:rsidR="00A345F4" w:rsidRDefault="005E2D4E">
            <w:pPr>
              <w:pStyle w:val="P68B1DB1-Normal37"/>
              <w:spacing w:after="0" w:line="240" w:lineRule="auto"/>
              <w:jc w:val="both"/>
              <w:rPr>
                <w:rFonts w:eastAsia="Times New Roman"/>
                <w:noProof/>
              </w:rPr>
            </w:pPr>
            <w:r>
              <w:rPr>
                <w:noProof/>
              </w:rPr>
              <w:t>T2</w:t>
            </w:r>
          </w:p>
        </w:tc>
        <w:tc>
          <w:tcPr>
            <w:tcW w:w="851" w:type="dxa"/>
            <w:tcBorders>
              <w:top w:val="nil"/>
              <w:left w:val="nil"/>
              <w:bottom w:val="single" w:sz="4" w:space="0" w:color="auto"/>
              <w:right w:val="single" w:sz="4" w:space="0" w:color="auto"/>
            </w:tcBorders>
            <w:shd w:val="clear" w:color="auto" w:fill="C6EFCE"/>
            <w:noWrap/>
            <w:hideMark/>
          </w:tcPr>
          <w:p w14:paraId="192BB33F" w14:textId="77777777" w:rsidR="00A345F4" w:rsidRDefault="005E2D4E">
            <w:pPr>
              <w:pStyle w:val="P68B1DB1-Normal37"/>
              <w:spacing w:after="0" w:line="240" w:lineRule="auto"/>
              <w:jc w:val="both"/>
              <w:rPr>
                <w:rFonts w:eastAsia="Times New Roman"/>
                <w:noProof/>
              </w:rPr>
            </w:pPr>
            <w:r>
              <w:rPr>
                <w:noProof/>
              </w:rPr>
              <w:t>2026</w:t>
            </w:r>
          </w:p>
        </w:tc>
        <w:tc>
          <w:tcPr>
            <w:tcW w:w="2840" w:type="dxa"/>
            <w:tcBorders>
              <w:top w:val="nil"/>
              <w:left w:val="nil"/>
              <w:bottom w:val="single" w:sz="4" w:space="0" w:color="auto"/>
              <w:right w:val="single" w:sz="4" w:space="0" w:color="auto"/>
            </w:tcBorders>
            <w:shd w:val="clear" w:color="auto" w:fill="C6EFCE"/>
            <w:noWrap/>
            <w:hideMark/>
          </w:tcPr>
          <w:p w14:paraId="3C8840CB" w14:textId="6B7FC4CF" w:rsidR="00A345F4" w:rsidRDefault="005E2D4E">
            <w:pPr>
              <w:pStyle w:val="P68B1DB1-Normal37"/>
              <w:spacing w:after="0" w:line="240" w:lineRule="auto"/>
              <w:jc w:val="both"/>
              <w:rPr>
                <w:noProof/>
              </w:rPr>
            </w:pPr>
            <w:r>
              <w:rPr>
                <w:noProof/>
              </w:rPr>
              <w:t xml:space="preserve">Entrée en vigueur d’actes juridiques introduisant des mesures visant à décarboner le secteur du chauffage et du refroidissement. La réforme: i) définir les responsabilités entre les autorités centrales et locales en matière de gestion du secteur du chauffage et du refroidissement et étendre l'application de la loi sur la gouvernance d'entreprise aux fournisseurs de chauffage urbain; ii) revoir le cadre pour assurer la durabilité et la traçabilité de la biomasse, afin de prévenir tout impact négatif de l'utilisation de la bioénergie sur la biodiversité et les forêts; iii) inclure des dispositions pour la diversification du bouquet énergétique en matière de chauffage et de refroidissement en dehors de la biomasse forestière; iv) permettre aux prosommateurs (y compris, mais sans s'y limiter, les immeubles d'appartements et leurs associations </w:t>
            </w:r>
          </w:p>
          <w:p w14:paraId="522A7B78" w14:textId="7225A7EE" w:rsidR="00A345F4" w:rsidRDefault="005E2D4E">
            <w:pPr>
              <w:pStyle w:val="P68B1DB1-Normal40"/>
              <w:spacing w:after="0" w:line="240" w:lineRule="auto"/>
              <w:jc w:val="both"/>
              <w:rPr>
                <w:rFonts w:ascii="Times New Roman" w:eastAsia="Times New Roman" w:hAnsi="Times New Roman" w:cs="Times New Roman"/>
                <w:noProof/>
                <w:kern w:val="2"/>
                <w14:ligatures w14:val="standardContextual"/>
              </w:rPr>
            </w:pPr>
            <w:r>
              <w:rPr>
                <w:rFonts w:ascii="Times New Roman" w:eastAsia="Aptos" w:hAnsi="Times New Roman" w:cs="Times New Roman"/>
                <w:noProof/>
                <w:kern w:val="2"/>
                <w14:ligatures w14:val="standardContextual"/>
              </w:rPr>
              <w:t>des locataires) pour produire et vendre l'énergie solaire et éventuellement éolienne excédentaire sous des formes plus flexibles, et en introduisant des incitations, y compris une compensation quantitative</w:t>
            </w:r>
            <w:r>
              <w:rPr>
                <w:rFonts w:ascii="Times New Roman" w:hAnsi="Times New Roman" w:cs="Times New Roman"/>
                <w:noProof/>
              </w:rPr>
              <w:t xml:space="preserve"> </w:t>
            </w:r>
            <w:r>
              <w:rPr>
                <w:rFonts w:ascii="Times New Roman" w:eastAsia="Aptos" w:hAnsi="Times New Roman" w:cs="Times New Roman"/>
                <w:noProof/>
                <w:kern w:val="2"/>
                <w14:ligatures w14:val="standardContextual"/>
              </w:rPr>
              <w:t xml:space="preserve">pour les unités de production jusqu'à 200 kW. </w:t>
            </w:r>
          </w:p>
        </w:tc>
      </w:tr>
      <w:tr w:rsidR="00A345F4" w14:paraId="62B58849" w14:textId="77777777" w:rsidTr="00551692">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2F9F5669" w14:textId="77777777" w:rsidR="00A345F4" w:rsidRDefault="005E2D4E">
            <w:pPr>
              <w:pStyle w:val="P68B1DB1-Normal37"/>
              <w:spacing w:after="0" w:line="240" w:lineRule="auto"/>
              <w:jc w:val="both"/>
              <w:rPr>
                <w:rFonts w:eastAsia="Times New Roman"/>
                <w:noProof/>
              </w:rPr>
            </w:pPr>
            <w:r>
              <w:rPr>
                <w:noProof/>
              </w:rPr>
              <w:t>129</w:t>
            </w:r>
          </w:p>
        </w:tc>
        <w:tc>
          <w:tcPr>
            <w:tcW w:w="1895" w:type="dxa"/>
            <w:tcBorders>
              <w:top w:val="nil"/>
              <w:left w:val="nil"/>
              <w:bottom w:val="single" w:sz="4" w:space="0" w:color="auto"/>
              <w:right w:val="single" w:sz="4" w:space="0" w:color="auto"/>
            </w:tcBorders>
            <w:shd w:val="clear" w:color="auto" w:fill="C6EFCE"/>
            <w:noWrap/>
          </w:tcPr>
          <w:p w14:paraId="0EC2BC29" w14:textId="77777777" w:rsidR="00A345F4" w:rsidRDefault="005E2D4E">
            <w:pPr>
              <w:pStyle w:val="P68B1DB1-Normal37"/>
              <w:spacing w:after="0" w:line="240" w:lineRule="auto"/>
              <w:jc w:val="both"/>
              <w:rPr>
                <w:rFonts w:eastAsia="Times New Roman"/>
                <w:noProof/>
              </w:rPr>
            </w:pPr>
            <w:r>
              <w:rPr>
                <w:noProof/>
              </w:rPr>
              <w:t xml:space="preserve">Investissement 2. Capacités de production d’hydrogène vert destinées au stockage de l’électricité et/ou à la décarbonation de l’industrie </w:t>
            </w:r>
          </w:p>
        </w:tc>
        <w:tc>
          <w:tcPr>
            <w:tcW w:w="1222" w:type="dxa"/>
            <w:tcBorders>
              <w:top w:val="nil"/>
              <w:left w:val="nil"/>
              <w:bottom w:val="single" w:sz="4" w:space="0" w:color="auto"/>
              <w:right w:val="single" w:sz="4" w:space="0" w:color="auto"/>
            </w:tcBorders>
            <w:shd w:val="clear" w:color="auto" w:fill="C6EFCE"/>
            <w:noWrap/>
            <w:hideMark/>
          </w:tcPr>
          <w:p w14:paraId="5FB92558" w14:textId="77777777" w:rsidR="00A345F4" w:rsidRDefault="005E2D4E">
            <w:pPr>
              <w:pStyle w:val="P68B1DB1-Normal37"/>
              <w:spacing w:after="0" w:line="240" w:lineRule="auto"/>
              <w:jc w:val="both"/>
              <w:rPr>
                <w:rFonts w:eastAsia="Times New Roman"/>
                <w:noProof/>
              </w:rPr>
            </w:pPr>
            <w:r>
              <w:rPr>
                <w:noProof/>
              </w:rPr>
              <w:t xml:space="preserve">Étape </w:t>
            </w:r>
          </w:p>
        </w:tc>
        <w:tc>
          <w:tcPr>
            <w:tcW w:w="1759" w:type="dxa"/>
            <w:tcBorders>
              <w:top w:val="nil"/>
              <w:left w:val="nil"/>
              <w:bottom w:val="single" w:sz="4" w:space="0" w:color="auto"/>
              <w:right w:val="single" w:sz="4" w:space="0" w:color="auto"/>
            </w:tcBorders>
            <w:shd w:val="clear" w:color="auto" w:fill="C6EFCE"/>
            <w:noWrap/>
          </w:tcPr>
          <w:p w14:paraId="5CDA8080" w14:textId="77777777" w:rsidR="00A345F4" w:rsidRDefault="005E2D4E">
            <w:pPr>
              <w:pStyle w:val="P68B1DB1-Normal37"/>
              <w:spacing w:after="0" w:line="240" w:lineRule="auto"/>
              <w:jc w:val="both"/>
              <w:rPr>
                <w:rFonts w:eastAsia="Times New Roman"/>
                <w:noProof/>
              </w:rPr>
            </w:pPr>
            <w:r>
              <w:rPr>
                <w:noProof/>
              </w:rPr>
              <w:t>Signature de contrats pour la construction d'au moins 60 MW</w:t>
            </w:r>
            <w:r>
              <w:rPr>
                <w:noProof/>
                <w:vertAlign w:val="subscript"/>
              </w:rPr>
              <w:t xml:space="preserve"> H2</w:t>
            </w:r>
            <w:r>
              <w:rPr>
                <w:noProof/>
              </w:rPr>
              <w:t xml:space="preserve"> de nouvelle capacité d'électrolyseurs</w:t>
            </w:r>
          </w:p>
        </w:tc>
        <w:tc>
          <w:tcPr>
            <w:tcW w:w="1625" w:type="dxa"/>
            <w:tcBorders>
              <w:top w:val="nil"/>
              <w:left w:val="nil"/>
              <w:bottom w:val="single" w:sz="4" w:space="0" w:color="auto"/>
              <w:right w:val="single" w:sz="4" w:space="0" w:color="auto"/>
            </w:tcBorders>
            <w:shd w:val="clear" w:color="auto" w:fill="C6EFCE"/>
            <w:noWrap/>
            <w:hideMark/>
          </w:tcPr>
          <w:p w14:paraId="45809F0B" w14:textId="77777777" w:rsidR="00A345F4" w:rsidRDefault="005E2D4E">
            <w:pPr>
              <w:pStyle w:val="P68B1DB1-Normal37"/>
              <w:spacing w:after="0" w:line="240" w:lineRule="auto"/>
              <w:jc w:val="both"/>
              <w:rPr>
                <w:rFonts w:eastAsia="Times New Roman"/>
                <w:noProof/>
              </w:rPr>
            </w:pPr>
            <w:r>
              <w:rPr>
                <w:noProof/>
              </w:rPr>
              <w:t>Signature des contrats</w:t>
            </w:r>
          </w:p>
        </w:tc>
        <w:tc>
          <w:tcPr>
            <w:tcW w:w="1352" w:type="dxa"/>
            <w:tcBorders>
              <w:top w:val="nil"/>
              <w:left w:val="nil"/>
              <w:bottom w:val="single" w:sz="4" w:space="0" w:color="auto"/>
              <w:right w:val="single" w:sz="4" w:space="0" w:color="auto"/>
            </w:tcBorders>
            <w:shd w:val="clear" w:color="auto" w:fill="C6EFCE"/>
            <w:noWrap/>
            <w:hideMark/>
          </w:tcPr>
          <w:p w14:paraId="72623C17"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093" w:type="dxa"/>
            <w:tcBorders>
              <w:top w:val="nil"/>
              <w:left w:val="nil"/>
              <w:bottom w:val="single" w:sz="4" w:space="0" w:color="auto"/>
              <w:right w:val="single" w:sz="4" w:space="0" w:color="auto"/>
            </w:tcBorders>
            <w:shd w:val="clear" w:color="auto" w:fill="C6EFCE"/>
            <w:noWrap/>
          </w:tcPr>
          <w:p w14:paraId="3DA8290E"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004" w:type="dxa"/>
            <w:tcBorders>
              <w:top w:val="nil"/>
              <w:left w:val="nil"/>
              <w:bottom w:val="single" w:sz="4" w:space="0" w:color="auto"/>
              <w:right w:val="single" w:sz="4" w:space="0" w:color="auto"/>
            </w:tcBorders>
            <w:shd w:val="clear" w:color="auto" w:fill="C6EFCE"/>
            <w:noWrap/>
          </w:tcPr>
          <w:p w14:paraId="773BCABC"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134" w:type="dxa"/>
            <w:tcBorders>
              <w:top w:val="nil"/>
              <w:left w:val="nil"/>
              <w:bottom w:val="single" w:sz="4" w:space="0" w:color="auto"/>
              <w:right w:val="single" w:sz="4" w:space="0" w:color="auto"/>
            </w:tcBorders>
            <w:shd w:val="clear" w:color="auto" w:fill="C6EFCE"/>
            <w:noWrap/>
            <w:hideMark/>
          </w:tcPr>
          <w:p w14:paraId="4BDD8788" w14:textId="77777777" w:rsidR="00A345F4" w:rsidRDefault="005E2D4E">
            <w:pPr>
              <w:pStyle w:val="P68B1DB1-Normal37"/>
              <w:spacing w:after="0" w:line="240" w:lineRule="auto"/>
              <w:jc w:val="both"/>
              <w:rPr>
                <w:rFonts w:eastAsia="Times New Roman"/>
                <w:noProof/>
              </w:rPr>
            </w:pPr>
            <w:r>
              <w:rPr>
                <w:noProof/>
              </w:rPr>
              <w:t>T2</w:t>
            </w:r>
          </w:p>
        </w:tc>
        <w:tc>
          <w:tcPr>
            <w:tcW w:w="851" w:type="dxa"/>
            <w:tcBorders>
              <w:top w:val="nil"/>
              <w:left w:val="nil"/>
              <w:bottom w:val="single" w:sz="4" w:space="0" w:color="auto"/>
              <w:right w:val="single" w:sz="4" w:space="0" w:color="auto"/>
            </w:tcBorders>
            <w:shd w:val="clear" w:color="auto" w:fill="C6EFCE"/>
            <w:noWrap/>
            <w:hideMark/>
          </w:tcPr>
          <w:p w14:paraId="0CA5425A" w14:textId="77777777" w:rsidR="00A345F4" w:rsidRDefault="005E2D4E">
            <w:pPr>
              <w:pStyle w:val="P68B1DB1-Normal37"/>
              <w:spacing w:after="0" w:line="240" w:lineRule="auto"/>
              <w:jc w:val="both"/>
              <w:rPr>
                <w:rFonts w:eastAsia="Times New Roman"/>
                <w:noProof/>
              </w:rPr>
            </w:pPr>
            <w:r>
              <w:rPr>
                <w:noProof/>
              </w:rPr>
              <w:t>2022</w:t>
            </w:r>
          </w:p>
        </w:tc>
        <w:tc>
          <w:tcPr>
            <w:tcW w:w="2840" w:type="dxa"/>
            <w:tcBorders>
              <w:top w:val="nil"/>
              <w:left w:val="nil"/>
              <w:bottom w:val="single" w:sz="4" w:space="0" w:color="auto"/>
              <w:right w:val="single" w:sz="4" w:space="0" w:color="auto"/>
            </w:tcBorders>
            <w:shd w:val="clear" w:color="auto" w:fill="C6EFCE"/>
            <w:noWrap/>
            <w:hideMark/>
          </w:tcPr>
          <w:p w14:paraId="3AEF3749" w14:textId="77777777" w:rsidR="00A345F4" w:rsidRDefault="005E2D4E">
            <w:pPr>
              <w:pStyle w:val="P68B1DB1-Normal37"/>
              <w:spacing w:after="0" w:line="240" w:lineRule="auto"/>
              <w:jc w:val="both"/>
              <w:rPr>
                <w:rFonts w:eastAsia="Times New Roman"/>
                <w:noProof/>
              </w:rPr>
            </w:pPr>
            <w:r>
              <w:rPr>
                <w:noProof/>
              </w:rPr>
              <w:t>Signature de contrats pour la construction de nouveaux électrolyseurs d’une capacité d’au moins 60 MW</w:t>
            </w:r>
            <w:r>
              <w:rPr>
                <w:noProof/>
                <w:vertAlign w:val="subscript"/>
              </w:rPr>
              <w:t xml:space="preserve"> H2</w:t>
            </w:r>
            <w:r>
              <w:rPr>
                <w:noProof/>
              </w:rPr>
              <w:t>, avec un volume attendu d’au moins 10 000 tonnes d’hydrogène renouvelable.</w:t>
            </w:r>
          </w:p>
          <w:p w14:paraId="0628B507"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r>
      <w:tr w:rsidR="00A345F4" w14:paraId="7CA22DC1" w14:textId="77777777" w:rsidTr="00551692">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693A41F1" w14:textId="77777777" w:rsidR="00A345F4" w:rsidRDefault="005E2D4E">
            <w:pPr>
              <w:pStyle w:val="P68B1DB1-Normal37"/>
              <w:spacing w:after="0" w:line="240" w:lineRule="auto"/>
              <w:jc w:val="both"/>
              <w:rPr>
                <w:rFonts w:eastAsia="Times New Roman"/>
                <w:noProof/>
              </w:rPr>
            </w:pPr>
            <w:r>
              <w:rPr>
                <w:noProof/>
              </w:rPr>
              <w:t>133</w:t>
            </w:r>
          </w:p>
        </w:tc>
        <w:tc>
          <w:tcPr>
            <w:tcW w:w="1895" w:type="dxa"/>
            <w:tcBorders>
              <w:top w:val="nil"/>
              <w:left w:val="nil"/>
              <w:bottom w:val="single" w:sz="4" w:space="0" w:color="auto"/>
              <w:right w:val="single" w:sz="4" w:space="0" w:color="auto"/>
            </w:tcBorders>
            <w:shd w:val="clear" w:color="auto" w:fill="C6EFCE"/>
            <w:noWrap/>
          </w:tcPr>
          <w:p w14:paraId="7B00AA31" w14:textId="77777777" w:rsidR="00A345F4" w:rsidRDefault="005E2D4E">
            <w:pPr>
              <w:pStyle w:val="P68B1DB1-Normal37"/>
              <w:spacing w:after="0" w:line="240" w:lineRule="auto"/>
              <w:jc w:val="both"/>
              <w:rPr>
                <w:noProof/>
              </w:rPr>
            </w:pPr>
            <w:r>
              <w:rPr>
                <w:noProof/>
              </w:rPr>
              <w:t xml:space="preserve">Investissement 3. Construction de systèmes flexibles et très efficaces de production combinée de chaleur et d'électricité (PCCE) au gaz pour le chauffage urbain </w:t>
            </w:r>
          </w:p>
          <w:p w14:paraId="638E0C5D" w14:textId="77777777" w:rsidR="00A345F4" w:rsidRDefault="00A345F4">
            <w:pPr>
              <w:spacing w:after="0" w:line="240" w:lineRule="auto"/>
              <w:jc w:val="both"/>
              <w:rPr>
                <w:rFonts w:ascii="Times New Roman" w:eastAsia="Times New Roman" w:hAnsi="Times New Roman" w:cs="Times New Roman"/>
                <w:noProof/>
                <w:kern w:val="2"/>
                <w:sz w:val="20"/>
                <w:szCs w:val="20"/>
                <w14:ligatures w14:val="standardContextual"/>
              </w:rPr>
            </w:pPr>
          </w:p>
        </w:tc>
        <w:tc>
          <w:tcPr>
            <w:tcW w:w="1222" w:type="dxa"/>
            <w:tcBorders>
              <w:top w:val="nil"/>
              <w:left w:val="nil"/>
              <w:bottom w:val="single" w:sz="4" w:space="0" w:color="auto"/>
              <w:right w:val="single" w:sz="4" w:space="0" w:color="auto"/>
            </w:tcBorders>
            <w:shd w:val="clear" w:color="auto" w:fill="C6EFCE"/>
            <w:noWrap/>
            <w:hideMark/>
          </w:tcPr>
          <w:p w14:paraId="5B7D41A5" w14:textId="77777777" w:rsidR="00A345F4" w:rsidRDefault="005E2D4E">
            <w:pPr>
              <w:pStyle w:val="P68B1DB1-Normal37"/>
              <w:spacing w:after="0" w:line="240" w:lineRule="auto"/>
              <w:jc w:val="both"/>
              <w:rPr>
                <w:rFonts w:eastAsia="Times New Roman"/>
                <w:noProof/>
              </w:rPr>
            </w:pPr>
            <w:r>
              <w:rPr>
                <w:noProof/>
              </w:rPr>
              <w:t>Étape</w:t>
            </w:r>
          </w:p>
        </w:tc>
        <w:tc>
          <w:tcPr>
            <w:tcW w:w="1759" w:type="dxa"/>
            <w:tcBorders>
              <w:top w:val="nil"/>
              <w:left w:val="nil"/>
              <w:bottom w:val="single" w:sz="4" w:space="0" w:color="auto"/>
              <w:right w:val="single" w:sz="4" w:space="0" w:color="auto"/>
            </w:tcBorders>
            <w:shd w:val="clear" w:color="auto" w:fill="C6EFCE"/>
            <w:noWrap/>
          </w:tcPr>
          <w:p w14:paraId="6F4C4C6D" w14:textId="77777777" w:rsidR="00A345F4" w:rsidRDefault="005E2D4E">
            <w:pPr>
              <w:pStyle w:val="P68B1DB1-Normal37"/>
              <w:spacing w:after="0" w:line="240" w:lineRule="auto"/>
              <w:jc w:val="both"/>
              <w:rPr>
                <w:rFonts w:eastAsia="Times New Roman"/>
                <w:noProof/>
              </w:rPr>
            </w:pPr>
            <w:r>
              <w:rPr>
                <w:noProof/>
              </w:rPr>
              <w:t>Signature de contrats pour des projets de cogénération au gaz et de chauffage urbain à haut rendement</w:t>
            </w:r>
          </w:p>
        </w:tc>
        <w:tc>
          <w:tcPr>
            <w:tcW w:w="1625" w:type="dxa"/>
            <w:tcBorders>
              <w:top w:val="nil"/>
              <w:left w:val="nil"/>
              <w:bottom w:val="single" w:sz="4" w:space="0" w:color="auto"/>
              <w:right w:val="single" w:sz="4" w:space="0" w:color="auto"/>
            </w:tcBorders>
            <w:shd w:val="clear" w:color="auto" w:fill="C6EFCE"/>
            <w:noWrap/>
            <w:hideMark/>
          </w:tcPr>
          <w:p w14:paraId="5D1CEA9B" w14:textId="77777777" w:rsidR="00A345F4" w:rsidRDefault="005E2D4E">
            <w:pPr>
              <w:pStyle w:val="P68B1DB1-Normal37"/>
              <w:spacing w:after="0" w:line="240" w:lineRule="auto"/>
              <w:jc w:val="both"/>
              <w:rPr>
                <w:rFonts w:eastAsia="Times New Roman"/>
                <w:noProof/>
              </w:rPr>
            </w:pPr>
            <w:r>
              <w:rPr>
                <w:noProof/>
              </w:rPr>
              <w:t>Signature des contrats</w:t>
            </w:r>
          </w:p>
        </w:tc>
        <w:tc>
          <w:tcPr>
            <w:tcW w:w="1352" w:type="dxa"/>
            <w:tcBorders>
              <w:top w:val="nil"/>
              <w:left w:val="nil"/>
              <w:bottom w:val="single" w:sz="4" w:space="0" w:color="auto"/>
              <w:right w:val="single" w:sz="4" w:space="0" w:color="auto"/>
            </w:tcBorders>
            <w:shd w:val="clear" w:color="auto" w:fill="C6EFCE"/>
            <w:noWrap/>
            <w:hideMark/>
          </w:tcPr>
          <w:p w14:paraId="396123A3" w14:textId="77777777" w:rsidR="00A345F4" w:rsidRDefault="005E2D4E">
            <w:pPr>
              <w:pStyle w:val="P68B1DB1-Normal37"/>
              <w:spacing w:after="0" w:line="240" w:lineRule="auto"/>
              <w:jc w:val="both"/>
              <w:rPr>
                <w:rFonts w:eastAsia="Times New Roman"/>
                <w:noProof/>
              </w:rPr>
            </w:pPr>
            <w:r>
              <w:rPr>
                <w:noProof/>
              </w:rPr>
              <w:t xml:space="preserve"> </w:t>
            </w:r>
          </w:p>
        </w:tc>
        <w:tc>
          <w:tcPr>
            <w:tcW w:w="1093" w:type="dxa"/>
            <w:tcBorders>
              <w:top w:val="nil"/>
              <w:left w:val="nil"/>
              <w:bottom w:val="single" w:sz="4" w:space="0" w:color="auto"/>
              <w:right w:val="single" w:sz="4" w:space="0" w:color="auto"/>
            </w:tcBorders>
            <w:shd w:val="clear" w:color="auto" w:fill="C6EFCE"/>
            <w:noWrap/>
          </w:tcPr>
          <w:p w14:paraId="5EA0EA32" w14:textId="77777777" w:rsidR="00A345F4" w:rsidRDefault="005E2D4E">
            <w:pPr>
              <w:pStyle w:val="P68B1DB1-Normal37"/>
              <w:spacing w:after="0" w:line="240" w:lineRule="auto"/>
              <w:jc w:val="both"/>
              <w:rPr>
                <w:rFonts w:eastAsia="Times New Roman"/>
                <w:noProof/>
              </w:rPr>
            </w:pPr>
            <w:r>
              <w:rPr>
                <w:noProof/>
              </w:rPr>
              <w:t xml:space="preserve"> </w:t>
            </w:r>
          </w:p>
        </w:tc>
        <w:tc>
          <w:tcPr>
            <w:tcW w:w="1004" w:type="dxa"/>
            <w:tcBorders>
              <w:top w:val="nil"/>
              <w:left w:val="nil"/>
              <w:bottom w:val="single" w:sz="4" w:space="0" w:color="auto"/>
              <w:right w:val="single" w:sz="4" w:space="0" w:color="auto"/>
            </w:tcBorders>
            <w:shd w:val="clear" w:color="auto" w:fill="C6EFCE"/>
            <w:noWrap/>
          </w:tcPr>
          <w:p w14:paraId="5E457307" w14:textId="77777777" w:rsidR="00A345F4" w:rsidRDefault="005E2D4E">
            <w:pPr>
              <w:pStyle w:val="P68B1DB1-Normal37"/>
              <w:spacing w:after="0" w:line="240" w:lineRule="auto"/>
              <w:jc w:val="both"/>
              <w:rPr>
                <w:rFonts w:eastAsia="Times New Roman"/>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hideMark/>
          </w:tcPr>
          <w:p w14:paraId="295ABED8" w14:textId="77777777" w:rsidR="00A345F4" w:rsidRDefault="005E2D4E">
            <w:pPr>
              <w:pStyle w:val="P68B1DB1-Normal37"/>
              <w:spacing w:after="0" w:line="240" w:lineRule="auto"/>
              <w:jc w:val="both"/>
              <w:rPr>
                <w:rFonts w:eastAsia="Times New Roman"/>
                <w:noProof/>
              </w:rPr>
            </w:pPr>
            <w:r>
              <w:rPr>
                <w:noProof/>
              </w:rPr>
              <w:t>T2</w:t>
            </w:r>
          </w:p>
        </w:tc>
        <w:tc>
          <w:tcPr>
            <w:tcW w:w="851" w:type="dxa"/>
            <w:tcBorders>
              <w:top w:val="nil"/>
              <w:left w:val="nil"/>
              <w:bottom w:val="single" w:sz="4" w:space="0" w:color="auto"/>
              <w:right w:val="single" w:sz="4" w:space="0" w:color="auto"/>
            </w:tcBorders>
            <w:shd w:val="clear" w:color="auto" w:fill="C6EFCE"/>
            <w:noWrap/>
            <w:hideMark/>
          </w:tcPr>
          <w:p w14:paraId="19581C25" w14:textId="77777777" w:rsidR="00A345F4" w:rsidRDefault="005E2D4E">
            <w:pPr>
              <w:pStyle w:val="P68B1DB1-Normal37"/>
              <w:spacing w:after="0" w:line="240" w:lineRule="auto"/>
              <w:jc w:val="both"/>
              <w:rPr>
                <w:rFonts w:eastAsia="Times New Roman"/>
                <w:noProof/>
              </w:rPr>
            </w:pPr>
            <w:r>
              <w:rPr>
                <w:noProof/>
              </w:rPr>
              <w:t>2022</w:t>
            </w:r>
          </w:p>
        </w:tc>
        <w:tc>
          <w:tcPr>
            <w:tcW w:w="2840" w:type="dxa"/>
            <w:tcBorders>
              <w:top w:val="nil"/>
              <w:left w:val="nil"/>
              <w:bottom w:val="single" w:sz="4" w:space="0" w:color="auto"/>
              <w:right w:val="single" w:sz="4" w:space="0" w:color="auto"/>
            </w:tcBorders>
            <w:shd w:val="clear" w:color="auto" w:fill="C6EFCE"/>
            <w:noWrap/>
            <w:hideMark/>
          </w:tcPr>
          <w:p w14:paraId="643C6957" w14:textId="77777777" w:rsidR="00A345F4" w:rsidRDefault="005E2D4E">
            <w:pPr>
              <w:pStyle w:val="P68B1DB1-Normal37"/>
              <w:spacing w:after="0" w:line="240" w:lineRule="auto"/>
              <w:jc w:val="both"/>
              <w:rPr>
                <w:rFonts w:eastAsia="Times New Roman"/>
                <w:noProof/>
              </w:rPr>
            </w:pPr>
            <w:r>
              <w:rPr>
                <w:noProof/>
              </w:rPr>
              <w:t xml:space="preserve">Signature de contrats pour la construction ou la modernisation de la cogénération au gaz à haut rendement dans le chauffage urbain au sens de la directive 2010/31/UE. Les critères de sélection garantissent le respect des orientations techniques «ne pas causer de préjudice important» (2021/C58/01), en particulier les conditions énoncées à l’annexe III. Les investissements remplacent au moins la même capacité d’une centrale électrique et/ou d’une installation de production de chaleur nettement plus intensive en carbone (comme le charbon, le lignite ou le pétrole), ce qui entraîne une diminution des émissions de gaz à effet de serre. </w:t>
            </w:r>
          </w:p>
        </w:tc>
      </w:tr>
      <w:tr w:rsidR="00A345F4" w14:paraId="15D14C59" w14:textId="77777777" w:rsidTr="00551692">
        <w:trPr>
          <w:trHeight w:val="313"/>
          <w:jc w:val="center"/>
        </w:trPr>
        <w:tc>
          <w:tcPr>
            <w:tcW w:w="818" w:type="dxa"/>
            <w:tcBorders>
              <w:top w:val="single" w:sz="4" w:space="0" w:color="auto"/>
              <w:left w:val="single" w:sz="4" w:space="0" w:color="auto"/>
              <w:right w:val="single" w:sz="4" w:space="0" w:color="auto"/>
            </w:tcBorders>
            <w:shd w:val="clear" w:color="auto" w:fill="C6EFCE"/>
            <w:noWrap/>
            <w:hideMark/>
          </w:tcPr>
          <w:p w14:paraId="74C24EAE" w14:textId="77777777" w:rsidR="00A345F4" w:rsidRDefault="005E2D4E">
            <w:pPr>
              <w:pStyle w:val="P68B1DB1-Normal37"/>
              <w:spacing w:after="0" w:line="240" w:lineRule="auto"/>
              <w:jc w:val="both"/>
              <w:rPr>
                <w:rFonts w:eastAsia="Times New Roman"/>
                <w:noProof/>
              </w:rPr>
            </w:pPr>
            <w:bookmarkStart w:id="9" w:name="_Hlk209012674"/>
            <w:r>
              <w:rPr>
                <w:noProof/>
              </w:rPr>
              <w:t>134</w:t>
            </w:r>
          </w:p>
        </w:tc>
        <w:tc>
          <w:tcPr>
            <w:tcW w:w="1895" w:type="dxa"/>
            <w:tcBorders>
              <w:top w:val="single" w:sz="4" w:space="0" w:color="auto"/>
              <w:left w:val="nil"/>
              <w:right w:val="single" w:sz="4" w:space="0" w:color="auto"/>
            </w:tcBorders>
            <w:shd w:val="clear" w:color="auto" w:fill="C6EFCE"/>
            <w:noWrap/>
          </w:tcPr>
          <w:p w14:paraId="5D5155EE" w14:textId="16EE0D07" w:rsidR="00A345F4" w:rsidRDefault="005E2D4E">
            <w:pPr>
              <w:pStyle w:val="P68B1DB1-Normal37"/>
              <w:spacing w:after="0" w:line="240" w:lineRule="auto"/>
              <w:jc w:val="both"/>
              <w:rPr>
                <w:rFonts w:eastAsia="Times New Roman"/>
                <w:noProof/>
              </w:rPr>
            </w:pPr>
            <w:r>
              <w:rPr>
                <w:noProof/>
              </w:rPr>
              <w:t>Investissement 3. Construction de systèmes flexibles et très efficaces de production combinée de chaleur et d'électricité (PCCE) au gaz pour le chauffage urbain</w:t>
            </w:r>
          </w:p>
        </w:tc>
        <w:tc>
          <w:tcPr>
            <w:tcW w:w="1222" w:type="dxa"/>
            <w:tcBorders>
              <w:top w:val="single" w:sz="4" w:space="0" w:color="auto"/>
              <w:left w:val="nil"/>
              <w:right w:val="single" w:sz="4" w:space="0" w:color="auto"/>
            </w:tcBorders>
            <w:shd w:val="clear" w:color="auto" w:fill="C6EFCE"/>
            <w:noWrap/>
            <w:hideMark/>
          </w:tcPr>
          <w:p w14:paraId="145A7AE2" w14:textId="77777777" w:rsidR="00A345F4" w:rsidRDefault="005E2D4E">
            <w:pPr>
              <w:pStyle w:val="P68B1DB1-Normal37"/>
              <w:spacing w:after="0" w:line="240" w:lineRule="auto"/>
              <w:jc w:val="both"/>
              <w:rPr>
                <w:rFonts w:eastAsia="Times New Roman"/>
                <w:noProof/>
              </w:rPr>
            </w:pPr>
            <w:r>
              <w:rPr>
                <w:noProof/>
              </w:rPr>
              <w:t>Objectif</w:t>
            </w:r>
          </w:p>
        </w:tc>
        <w:tc>
          <w:tcPr>
            <w:tcW w:w="1759" w:type="dxa"/>
            <w:tcBorders>
              <w:top w:val="single" w:sz="4" w:space="0" w:color="auto"/>
              <w:left w:val="nil"/>
              <w:right w:val="single" w:sz="4" w:space="0" w:color="auto"/>
            </w:tcBorders>
            <w:shd w:val="clear" w:color="auto" w:fill="C6EFCE"/>
            <w:noWrap/>
          </w:tcPr>
          <w:p w14:paraId="6E28E765" w14:textId="77777777" w:rsidR="00A345F4" w:rsidRDefault="005E2D4E">
            <w:pPr>
              <w:pStyle w:val="P68B1DB1-Normal37"/>
              <w:spacing w:after="0" w:line="240" w:lineRule="auto"/>
              <w:jc w:val="both"/>
              <w:rPr>
                <w:rFonts w:eastAsia="Times New Roman"/>
                <w:noProof/>
              </w:rPr>
            </w:pPr>
            <w:r>
              <w:rPr>
                <w:noProof/>
              </w:rPr>
              <w:t>Installations de cogénération et chauffage urbain</w:t>
            </w:r>
          </w:p>
        </w:tc>
        <w:tc>
          <w:tcPr>
            <w:tcW w:w="1625" w:type="dxa"/>
            <w:tcBorders>
              <w:top w:val="single" w:sz="4" w:space="0" w:color="auto"/>
              <w:left w:val="nil"/>
              <w:right w:val="single" w:sz="4" w:space="0" w:color="auto"/>
            </w:tcBorders>
            <w:shd w:val="clear" w:color="auto" w:fill="C6EFCE"/>
            <w:noWrap/>
            <w:hideMark/>
          </w:tcPr>
          <w:p w14:paraId="32420FD8" w14:textId="77777777" w:rsidR="00A345F4" w:rsidRDefault="005E2D4E">
            <w:pPr>
              <w:pStyle w:val="P68B1DB1-Normal37"/>
              <w:spacing w:after="0" w:line="240" w:lineRule="auto"/>
              <w:jc w:val="both"/>
              <w:rPr>
                <w:rFonts w:eastAsia="Times New Roman"/>
                <w:noProof/>
              </w:rPr>
            </w:pPr>
            <w:r>
              <w:rPr>
                <w:noProof/>
              </w:rPr>
              <w:t xml:space="preserve"> </w:t>
            </w:r>
          </w:p>
        </w:tc>
        <w:tc>
          <w:tcPr>
            <w:tcW w:w="1352" w:type="dxa"/>
            <w:tcBorders>
              <w:top w:val="single" w:sz="4" w:space="0" w:color="auto"/>
              <w:left w:val="nil"/>
              <w:right w:val="single" w:sz="4" w:space="0" w:color="auto"/>
            </w:tcBorders>
            <w:shd w:val="clear" w:color="auto" w:fill="C6EFCE"/>
            <w:noWrap/>
            <w:hideMark/>
          </w:tcPr>
          <w:p w14:paraId="2B669894" w14:textId="77777777" w:rsidR="00A345F4" w:rsidRDefault="005E2D4E">
            <w:pPr>
              <w:pStyle w:val="P68B1DB1-Normal37"/>
              <w:spacing w:after="0" w:line="240" w:lineRule="auto"/>
              <w:jc w:val="both"/>
              <w:rPr>
                <w:rFonts w:eastAsia="Times New Roman"/>
                <w:noProof/>
              </w:rPr>
            </w:pPr>
            <w:r>
              <w:rPr>
                <w:noProof/>
              </w:rPr>
              <w:t xml:space="preserve">Mégawatts (MWe) </w:t>
            </w:r>
          </w:p>
        </w:tc>
        <w:tc>
          <w:tcPr>
            <w:tcW w:w="1093" w:type="dxa"/>
            <w:tcBorders>
              <w:top w:val="single" w:sz="4" w:space="0" w:color="auto"/>
              <w:left w:val="nil"/>
              <w:right w:val="single" w:sz="4" w:space="0" w:color="auto"/>
            </w:tcBorders>
            <w:shd w:val="clear" w:color="auto" w:fill="C6EFCE"/>
            <w:noWrap/>
          </w:tcPr>
          <w:p w14:paraId="19F827B5" w14:textId="77777777" w:rsidR="00A345F4" w:rsidRDefault="005E2D4E">
            <w:pPr>
              <w:pStyle w:val="P68B1DB1-Normal37"/>
              <w:spacing w:after="0" w:line="240" w:lineRule="auto"/>
              <w:jc w:val="both"/>
              <w:rPr>
                <w:rFonts w:eastAsia="Times New Roman"/>
                <w:noProof/>
              </w:rPr>
            </w:pPr>
            <w:r>
              <w:rPr>
                <w:noProof/>
              </w:rPr>
              <w:t>0</w:t>
            </w:r>
          </w:p>
        </w:tc>
        <w:tc>
          <w:tcPr>
            <w:tcW w:w="1004" w:type="dxa"/>
            <w:tcBorders>
              <w:top w:val="single" w:sz="4" w:space="0" w:color="auto"/>
              <w:left w:val="nil"/>
              <w:right w:val="single" w:sz="4" w:space="0" w:color="auto"/>
            </w:tcBorders>
            <w:shd w:val="clear" w:color="auto" w:fill="C6EFCE"/>
            <w:noWrap/>
          </w:tcPr>
          <w:p w14:paraId="6017F83C" w14:textId="77777777" w:rsidR="00A345F4" w:rsidRDefault="005E2D4E">
            <w:pPr>
              <w:pStyle w:val="P68B1DB1-Normal37"/>
              <w:spacing w:after="0" w:line="240" w:lineRule="auto"/>
              <w:jc w:val="both"/>
              <w:rPr>
                <w:rFonts w:eastAsia="Times New Roman"/>
                <w:noProof/>
              </w:rPr>
            </w:pPr>
            <w:r>
              <w:rPr>
                <w:noProof/>
              </w:rPr>
              <w:t>83</w:t>
            </w:r>
          </w:p>
        </w:tc>
        <w:tc>
          <w:tcPr>
            <w:tcW w:w="1134" w:type="dxa"/>
            <w:tcBorders>
              <w:top w:val="single" w:sz="4" w:space="0" w:color="auto"/>
              <w:left w:val="nil"/>
              <w:right w:val="single" w:sz="4" w:space="0" w:color="auto"/>
            </w:tcBorders>
            <w:shd w:val="clear" w:color="auto" w:fill="C6EFCE"/>
            <w:noWrap/>
            <w:hideMark/>
          </w:tcPr>
          <w:p w14:paraId="129AF974" w14:textId="77777777" w:rsidR="00A345F4" w:rsidRDefault="005E2D4E">
            <w:pPr>
              <w:pStyle w:val="P68B1DB1-Normal37"/>
              <w:spacing w:after="0" w:line="240" w:lineRule="auto"/>
              <w:jc w:val="both"/>
              <w:rPr>
                <w:rFonts w:eastAsia="Times New Roman"/>
                <w:noProof/>
              </w:rPr>
            </w:pPr>
            <w:r>
              <w:rPr>
                <w:noProof/>
              </w:rPr>
              <w:t>T2</w:t>
            </w:r>
          </w:p>
        </w:tc>
        <w:tc>
          <w:tcPr>
            <w:tcW w:w="851" w:type="dxa"/>
            <w:tcBorders>
              <w:top w:val="single" w:sz="4" w:space="0" w:color="auto"/>
              <w:left w:val="nil"/>
              <w:right w:val="single" w:sz="4" w:space="0" w:color="auto"/>
            </w:tcBorders>
            <w:shd w:val="clear" w:color="auto" w:fill="C6EFCE"/>
            <w:noWrap/>
            <w:hideMark/>
          </w:tcPr>
          <w:p w14:paraId="5E60A0F2" w14:textId="77777777" w:rsidR="00A345F4" w:rsidRDefault="005E2D4E">
            <w:pPr>
              <w:pStyle w:val="P68B1DB1-Normal37"/>
              <w:spacing w:after="0" w:line="240" w:lineRule="auto"/>
              <w:jc w:val="both"/>
              <w:rPr>
                <w:rFonts w:eastAsia="Times New Roman"/>
                <w:noProof/>
              </w:rPr>
            </w:pPr>
            <w:r>
              <w:rPr>
                <w:noProof/>
              </w:rPr>
              <w:t>2026</w:t>
            </w:r>
          </w:p>
        </w:tc>
        <w:tc>
          <w:tcPr>
            <w:tcW w:w="2840" w:type="dxa"/>
            <w:tcBorders>
              <w:top w:val="single" w:sz="4" w:space="0" w:color="auto"/>
              <w:left w:val="nil"/>
              <w:right w:val="single" w:sz="4" w:space="0" w:color="auto"/>
            </w:tcBorders>
            <w:shd w:val="clear" w:color="auto" w:fill="C6EFCE"/>
            <w:noWrap/>
            <w:hideMark/>
          </w:tcPr>
          <w:p w14:paraId="3C0B3A88" w14:textId="0D316ABF" w:rsidR="00A345F4" w:rsidRDefault="005E2D4E">
            <w:pPr>
              <w:pStyle w:val="P68B1DB1-Normal37"/>
              <w:spacing w:after="0" w:line="240" w:lineRule="auto"/>
              <w:jc w:val="both"/>
              <w:rPr>
                <w:rFonts w:eastAsia="Times New Roman"/>
                <w:noProof/>
              </w:rPr>
            </w:pPr>
            <w:r>
              <w:rPr>
                <w:noProof/>
              </w:rPr>
              <w:t>Les certificats de réception pour l’achèvement des travaux de construction et d’installation de bâtiments de deux unités de production combinée de chaleur et d’électricité (PCCE) à haut rendement alimentées au gaz dans le secteur du chauffage urbain, d’une capacité totale de 83 MWe, conformément aux orientations techniques «ne pas causer de préjudice important» (2021/C58/01) Notification(s) de mise sous tension (NPT) certifient le raccordement de l’installation au réseau de transport ou de distribution d’électricité.</w:t>
            </w:r>
          </w:p>
        </w:tc>
      </w:tr>
      <w:tr w:rsidR="00A345F4" w14:paraId="029252D6" w14:textId="77777777" w:rsidTr="00551692">
        <w:trPr>
          <w:trHeight w:val="313"/>
          <w:jc w:val="center"/>
        </w:trPr>
        <w:tc>
          <w:tcPr>
            <w:tcW w:w="818" w:type="dxa"/>
            <w:tcBorders>
              <w:top w:val="single" w:sz="4" w:space="0" w:color="auto"/>
              <w:left w:val="single" w:sz="4" w:space="0" w:color="auto"/>
              <w:bottom w:val="single" w:sz="4" w:space="0" w:color="auto"/>
              <w:right w:val="single" w:sz="4" w:space="0" w:color="auto"/>
            </w:tcBorders>
            <w:shd w:val="clear" w:color="auto" w:fill="C6EFCE"/>
            <w:noWrap/>
          </w:tcPr>
          <w:p w14:paraId="196ABD1D" w14:textId="77777777" w:rsidR="00A345F4" w:rsidRDefault="005E2D4E">
            <w:pPr>
              <w:pStyle w:val="P68B1DB1-Normal37"/>
              <w:spacing w:after="0" w:line="240" w:lineRule="auto"/>
              <w:jc w:val="both"/>
              <w:rPr>
                <w:noProof/>
              </w:rPr>
            </w:pPr>
            <w:r>
              <w:rPr>
                <w:noProof/>
              </w:rPr>
              <w:t>140</w:t>
            </w:r>
          </w:p>
        </w:tc>
        <w:tc>
          <w:tcPr>
            <w:tcW w:w="1895" w:type="dxa"/>
            <w:tcBorders>
              <w:top w:val="single" w:sz="4" w:space="0" w:color="auto"/>
              <w:left w:val="nil"/>
              <w:bottom w:val="single" w:sz="4" w:space="0" w:color="auto"/>
              <w:right w:val="single" w:sz="4" w:space="0" w:color="auto"/>
            </w:tcBorders>
            <w:shd w:val="clear" w:color="auto" w:fill="C6EFCE"/>
            <w:noWrap/>
          </w:tcPr>
          <w:p w14:paraId="2EE5BFA7" w14:textId="77777777" w:rsidR="00A345F4" w:rsidRDefault="005E2D4E">
            <w:pPr>
              <w:pStyle w:val="P68B1DB1-Normal37"/>
              <w:spacing w:after="0" w:line="240" w:lineRule="auto"/>
              <w:jc w:val="both"/>
              <w:rPr>
                <w:noProof/>
              </w:rPr>
            </w:pPr>
            <w:r>
              <w:rPr>
                <w:noProof/>
              </w:rPr>
              <w:t>Investissement 5. Assurer l'efficacité énergétique dans le secteur industriel</w:t>
            </w:r>
          </w:p>
        </w:tc>
        <w:tc>
          <w:tcPr>
            <w:tcW w:w="1222" w:type="dxa"/>
            <w:tcBorders>
              <w:top w:val="single" w:sz="4" w:space="0" w:color="auto"/>
              <w:left w:val="nil"/>
              <w:bottom w:val="single" w:sz="4" w:space="0" w:color="auto"/>
              <w:right w:val="single" w:sz="4" w:space="0" w:color="auto"/>
            </w:tcBorders>
            <w:shd w:val="clear" w:color="auto" w:fill="C6EFCE"/>
            <w:noWrap/>
          </w:tcPr>
          <w:p w14:paraId="3EF63366" w14:textId="77777777" w:rsidR="00A345F4" w:rsidRDefault="005E2D4E">
            <w:pPr>
              <w:pStyle w:val="P68B1DB1-Normal37"/>
              <w:spacing w:after="0" w:line="240" w:lineRule="auto"/>
              <w:jc w:val="both"/>
              <w:rPr>
                <w:noProof/>
              </w:rPr>
            </w:pPr>
            <w:r>
              <w:rPr>
                <w:noProof/>
              </w:rPr>
              <w:t>Étape</w:t>
            </w:r>
          </w:p>
        </w:tc>
        <w:tc>
          <w:tcPr>
            <w:tcW w:w="1759" w:type="dxa"/>
            <w:tcBorders>
              <w:top w:val="single" w:sz="4" w:space="0" w:color="auto"/>
              <w:left w:val="nil"/>
              <w:bottom w:val="single" w:sz="4" w:space="0" w:color="auto"/>
              <w:right w:val="single" w:sz="4" w:space="0" w:color="auto"/>
            </w:tcBorders>
            <w:shd w:val="clear" w:color="auto" w:fill="C6EFCE"/>
            <w:noWrap/>
          </w:tcPr>
          <w:p w14:paraId="061E9FB5" w14:textId="77777777" w:rsidR="00A345F4" w:rsidRDefault="005E2D4E">
            <w:pPr>
              <w:pStyle w:val="P68B1DB1-Normal37"/>
              <w:spacing w:after="0" w:line="240" w:lineRule="auto"/>
              <w:jc w:val="both"/>
              <w:rPr>
                <w:noProof/>
              </w:rPr>
            </w:pPr>
            <w:r>
              <w:rPr>
                <w:noProof/>
              </w:rPr>
              <w:t xml:space="preserve">Ouverture d'un appel d'offres pour des investissements dans l'efficacité énergétique de l'industrie </w:t>
            </w:r>
          </w:p>
        </w:tc>
        <w:tc>
          <w:tcPr>
            <w:tcW w:w="1625" w:type="dxa"/>
            <w:tcBorders>
              <w:top w:val="single" w:sz="4" w:space="0" w:color="auto"/>
              <w:left w:val="nil"/>
              <w:bottom w:val="single" w:sz="4" w:space="0" w:color="auto"/>
              <w:right w:val="single" w:sz="4" w:space="0" w:color="auto"/>
            </w:tcBorders>
            <w:shd w:val="clear" w:color="auto" w:fill="C6EFCE"/>
            <w:noWrap/>
          </w:tcPr>
          <w:p w14:paraId="5FE19973" w14:textId="77777777" w:rsidR="00A345F4" w:rsidRDefault="005E2D4E">
            <w:pPr>
              <w:pStyle w:val="P68B1DB1-Normal37"/>
              <w:spacing w:after="0" w:line="240" w:lineRule="auto"/>
              <w:jc w:val="both"/>
              <w:rPr>
                <w:noProof/>
              </w:rPr>
            </w:pPr>
            <w:r>
              <w:rPr>
                <w:noProof/>
              </w:rPr>
              <w:t>Publication du cahier des charges</w:t>
            </w:r>
          </w:p>
        </w:tc>
        <w:tc>
          <w:tcPr>
            <w:tcW w:w="1352" w:type="dxa"/>
            <w:tcBorders>
              <w:top w:val="single" w:sz="4" w:space="0" w:color="auto"/>
              <w:left w:val="nil"/>
              <w:bottom w:val="single" w:sz="4" w:space="0" w:color="auto"/>
              <w:right w:val="single" w:sz="4" w:space="0" w:color="auto"/>
            </w:tcBorders>
            <w:shd w:val="clear" w:color="auto" w:fill="C6EFCE"/>
            <w:noWrap/>
          </w:tcPr>
          <w:p w14:paraId="6CC8C18B" w14:textId="77777777" w:rsidR="00A345F4" w:rsidRDefault="00A345F4">
            <w:pPr>
              <w:spacing w:after="0" w:line="240" w:lineRule="auto"/>
              <w:jc w:val="both"/>
              <w:rPr>
                <w:rFonts w:ascii="Times New Roman" w:eastAsia="Aptos" w:hAnsi="Times New Roman" w:cs="Times New Roman"/>
                <w:noProof/>
                <w:kern w:val="2"/>
                <w:sz w:val="20"/>
                <w:szCs w:val="20"/>
                <w14:ligatures w14:val="standardContextual"/>
              </w:rPr>
            </w:pPr>
          </w:p>
        </w:tc>
        <w:tc>
          <w:tcPr>
            <w:tcW w:w="1093" w:type="dxa"/>
            <w:tcBorders>
              <w:top w:val="single" w:sz="4" w:space="0" w:color="auto"/>
              <w:left w:val="nil"/>
              <w:bottom w:val="single" w:sz="4" w:space="0" w:color="auto"/>
              <w:right w:val="single" w:sz="4" w:space="0" w:color="auto"/>
            </w:tcBorders>
            <w:shd w:val="clear" w:color="auto" w:fill="C6EFCE"/>
            <w:noWrap/>
          </w:tcPr>
          <w:p w14:paraId="6CB5D97F" w14:textId="77777777" w:rsidR="00A345F4" w:rsidRDefault="00A345F4">
            <w:pPr>
              <w:spacing w:after="0" w:line="240" w:lineRule="auto"/>
              <w:jc w:val="both"/>
              <w:rPr>
                <w:rFonts w:ascii="Times New Roman" w:eastAsia="Aptos" w:hAnsi="Times New Roman" w:cs="Times New Roman"/>
                <w:noProof/>
                <w:kern w:val="2"/>
                <w:sz w:val="20"/>
                <w:szCs w:val="20"/>
                <w14:ligatures w14:val="standardContextual"/>
              </w:rPr>
            </w:pPr>
          </w:p>
        </w:tc>
        <w:tc>
          <w:tcPr>
            <w:tcW w:w="1004" w:type="dxa"/>
            <w:tcBorders>
              <w:top w:val="single" w:sz="4" w:space="0" w:color="auto"/>
              <w:left w:val="nil"/>
              <w:bottom w:val="single" w:sz="4" w:space="0" w:color="auto"/>
              <w:right w:val="single" w:sz="4" w:space="0" w:color="auto"/>
            </w:tcBorders>
            <w:shd w:val="clear" w:color="auto" w:fill="C6EFCE"/>
            <w:noWrap/>
          </w:tcPr>
          <w:p w14:paraId="1765BB79" w14:textId="77777777" w:rsidR="00A345F4" w:rsidRDefault="00A345F4">
            <w:pPr>
              <w:spacing w:after="0" w:line="240" w:lineRule="auto"/>
              <w:jc w:val="both"/>
              <w:rPr>
                <w:rFonts w:ascii="Times New Roman" w:eastAsia="Aptos" w:hAnsi="Times New Roman" w:cs="Times New Roman"/>
                <w:noProof/>
                <w:kern w:val="2"/>
                <w:sz w:val="20"/>
                <w:szCs w:val="20"/>
                <w14:ligatures w14:val="standardContextual"/>
              </w:rPr>
            </w:pPr>
          </w:p>
        </w:tc>
        <w:tc>
          <w:tcPr>
            <w:tcW w:w="1134" w:type="dxa"/>
            <w:tcBorders>
              <w:top w:val="single" w:sz="4" w:space="0" w:color="auto"/>
              <w:left w:val="nil"/>
              <w:bottom w:val="single" w:sz="4" w:space="0" w:color="auto"/>
              <w:right w:val="single" w:sz="4" w:space="0" w:color="auto"/>
            </w:tcBorders>
            <w:shd w:val="clear" w:color="auto" w:fill="C6EFCE"/>
            <w:noWrap/>
          </w:tcPr>
          <w:p w14:paraId="34D5DECF" w14:textId="77777777" w:rsidR="00A345F4" w:rsidRDefault="005E2D4E">
            <w:pPr>
              <w:pStyle w:val="P68B1DB1-Normal37"/>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0BD17A7A" w14:textId="77777777" w:rsidR="00A345F4" w:rsidRDefault="005E2D4E">
            <w:pPr>
              <w:pStyle w:val="P68B1DB1-Normal37"/>
              <w:spacing w:after="0" w:line="240" w:lineRule="auto"/>
              <w:jc w:val="both"/>
              <w:rPr>
                <w:noProof/>
              </w:rPr>
            </w:pPr>
            <w:r>
              <w:rPr>
                <w:noProof/>
              </w:rPr>
              <w:t>2022</w:t>
            </w:r>
          </w:p>
        </w:tc>
        <w:tc>
          <w:tcPr>
            <w:tcW w:w="2840" w:type="dxa"/>
            <w:tcBorders>
              <w:top w:val="single" w:sz="4" w:space="0" w:color="auto"/>
              <w:left w:val="nil"/>
              <w:bottom w:val="single" w:sz="4" w:space="0" w:color="auto"/>
              <w:right w:val="single" w:sz="4" w:space="0" w:color="auto"/>
            </w:tcBorders>
            <w:shd w:val="clear" w:color="auto" w:fill="C6EFCE"/>
            <w:noWrap/>
          </w:tcPr>
          <w:p w14:paraId="7E545489" w14:textId="77777777" w:rsidR="00A345F4" w:rsidRDefault="005E2D4E">
            <w:pPr>
              <w:pStyle w:val="P68B1DB1-Normal37"/>
              <w:spacing w:after="0" w:line="240" w:lineRule="auto"/>
              <w:jc w:val="both"/>
              <w:rPr>
                <w:rFonts w:eastAsia="Times New Roman"/>
                <w:noProof/>
              </w:rPr>
            </w:pPr>
            <w:r>
              <w:rPr>
                <w:noProof/>
              </w:rPr>
              <w:t xml:space="preserve">Lancement d'un appel pour la sélection de projets d'efficacité énergétique dans l'industrie. Les critères de sélection exigent: </w:t>
            </w:r>
          </w:p>
          <w:p w14:paraId="043C1125" w14:textId="77777777" w:rsidR="00A345F4" w:rsidRDefault="005E2D4E">
            <w:pPr>
              <w:pStyle w:val="P68B1DB1-Normal37"/>
              <w:spacing w:after="0" w:line="240" w:lineRule="auto"/>
              <w:jc w:val="both"/>
              <w:rPr>
                <w:rFonts w:eastAsia="Times New Roman"/>
                <w:noProof/>
              </w:rPr>
            </w:pPr>
            <w:r>
              <w:rPr>
                <w:noProof/>
              </w:rPr>
              <w:t>- la réalisation d’une réduction d’au moins 30 % des émissions indirectes et directes de GES par rapport aux émissions ex ante, à surveiller au moyen d’une plateforme informatique permettant de centraliser et d’analyser la consommation d’énergie nationale;</w:t>
            </w:r>
          </w:p>
          <w:p w14:paraId="0F6A7835" w14:textId="77777777" w:rsidR="00A345F4" w:rsidRDefault="005E2D4E">
            <w:pPr>
              <w:pStyle w:val="P68B1DB1-Normal37"/>
              <w:spacing w:after="0" w:line="240" w:lineRule="auto"/>
              <w:jc w:val="both"/>
              <w:rPr>
                <w:noProof/>
              </w:rPr>
            </w:pPr>
            <w:r>
              <w:rPr>
                <w:noProof/>
              </w:rPr>
              <w:t>- le respect des orientations techniques «Ne pas causer de préjudice important» (2021/C58/01) par l’utilisation d’une liste d’exclusion et l’exigence de conformité avec la législation environnementale pertinente de l’UE et des États membres.</w:t>
            </w:r>
          </w:p>
        </w:tc>
      </w:tr>
      <w:bookmarkEnd w:id="9"/>
    </w:tbl>
    <w:p w14:paraId="42809D74" w14:textId="77777777" w:rsidR="00A345F4" w:rsidRDefault="00A345F4">
      <w:pPr>
        <w:spacing w:line="259" w:lineRule="auto"/>
        <w:rPr>
          <w:rFonts w:ascii="Times New Roman" w:eastAsia="Aptos" w:hAnsi="Times New Roman" w:cs="Times New Roman"/>
          <w:noProof/>
          <w:kern w:val="2"/>
          <w:sz w:val="22"/>
          <w:szCs w:val="22"/>
          <w14:ligatures w14:val="standardContextual"/>
        </w:rPr>
      </w:pPr>
    </w:p>
    <w:p w14:paraId="5B255072" w14:textId="77777777" w:rsidR="00A345F4" w:rsidRDefault="00A345F4">
      <w:pPr>
        <w:spacing w:line="259" w:lineRule="auto"/>
        <w:rPr>
          <w:rFonts w:ascii="Times New Roman" w:eastAsia="Aptos" w:hAnsi="Times New Roman" w:cs="Times New Roman"/>
          <w:noProof/>
          <w:kern w:val="2"/>
          <w:sz w:val="22"/>
          <w:szCs w:val="22"/>
          <w14:ligatures w14:val="standardContextual"/>
        </w:rPr>
        <w:sectPr w:rsidR="00A345F4" w:rsidSect="00145434">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08"/>
          <w:docGrid w:linePitch="360"/>
        </w:sectPr>
      </w:pPr>
    </w:p>
    <w:p w14:paraId="32867924" w14:textId="71E177FE" w:rsidR="00A345F4" w:rsidRDefault="005E2D4E">
      <w:pPr>
        <w:pStyle w:val="P68B1DB1-Normal1"/>
        <w:keepNext/>
        <w:numPr>
          <w:ilvl w:val="0"/>
          <w:numId w:val="1"/>
        </w:numPr>
        <w:tabs>
          <w:tab w:val="left" w:pos="850"/>
        </w:tabs>
        <w:spacing w:before="360" w:after="120" w:line="240" w:lineRule="auto"/>
        <w:jc w:val="both"/>
        <w:outlineLvl w:val="0"/>
        <w:rPr>
          <w:noProof/>
        </w:rPr>
      </w:pPr>
      <w:r>
        <w:rPr>
          <w:noProof/>
        </w:rPr>
        <w:t>Élément 7: Transformation numérique</w:t>
      </w:r>
    </w:p>
    <w:p w14:paraId="6BE216EB" w14:textId="77777777" w:rsidR="00A345F4" w:rsidRDefault="005E2D4E">
      <w:pPr>
        <w:pStyle w:val="P68B1DB1-Normal4"/>
        <w:spacing w:before="120" w:after="120" w:line="240" w:lineRule="auto"/>
        <w:jc w:val="both"/>
        <w:rPr>
          <w:noProof/>
        </w:rPr>
      </w:pPr>
      <w:r>
        <w:rPr>
          <w:noProof/>
        </w:rPr>
        <w:t>Ce volet du plan pour la reprise et la résilience répond aux défis de la numérisation liés à l’administration publique, tels que la fragmentation, l’interopérabilité en tant qu’obstacle majeur au développement de services numériques centrés sur l’utilisateur final, les obstacles bureaucratiques à l’obtention des permis de construire nécessaires à la construction de réseaux, les faibles compétences numériques de base et avancées et l’exposition aux cyberrisques. Dans ce contexte, l’objectif de ce volet est de relever tous ces défis et de parvenir à une infrastructure numérique cohérente et intégrée au profit des citoyens et des entreprises, tout en fournissant les outils nécessaires (tels que la connectivité, le développement des compétences ou la cybersécurité) à la transition vers une économie et une société numérisées. En particulier, le volet comprend les réformes nécessaires pour mettre en place le nuage gouvernemental et garantir l’interopérabilité, améliorer la connectivité, accroître la protection et la cybersécurité des entités publiques et privées et accroître les compétences numériques du secteur public. Les investissements qui sous-tendent les réformes vont du développement du nuage gouvernemental à la numérisation de la santé, du système judiciaire, de l’environnement, de l’emploi et de la protection sociale, des marchés publics, des organisations non gouvernementales, de la connectivité pour les zones blanches, de la garantie de la cybersécurité pour différentes structures et du renforcement des compétences tant en matière de cybersécurité que pour les fonctionnaires et la population dans son ensemble. Un investissement clé concerne le déploiement de la carte d'identité électronique pour les citoyens roumains.</w:t>
      </w:r>
    </w:p>
    <w:p w14:paraId="5B962217" w14:textId="59C07B2F" w:rsidR="00A345F4" w:rsidRDefault="005E2D4E">
      <w:pPr>
        <w:pStyle w:val="P68B1DB1-Normal4"/>
        <w:spacing w:before="120" w:after="120" w:line="240" w:lineRule="auto"/>
        <w:jc w:val="both"/>
        <w:rPr>
          <w:noProof/>
        </w:rPr>
      </w:pPr>
      <w:r>
        <w:rPr>
          <w:noProof/>
        </w:rPr>
        <w:t xml:space="preserve">Ce volet est structuré en 4 réformes et 19 investissements. Ces investissements et réformes contribueront à donner suite aux recommandations par pays de la Roumanie des deux dernières années visant à «améliorer les compétences, y compris numériques» (recommandation par pays no 3, 2019) et à «renforcer les compétences et l’apprentissage numérique» et à «axer les investissements sur la transition écologique et numérique, […], les infrastructures de services numériques» (recommandations par pays no 2 et no 3, 2020). </w:t>
      </w:r>
    </w:p>
    <w:p w14:paraId="29A6BBC7" w14:textId="77777777" w:rsidR="00A345F4" w:rsidRDefault="005E2D4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C7E7896" w14:textId="42D9F99E" w:rsidR="00A345F4" w:rsidRDefault="005E2D4E">
      <w:pPr>
        <w:pStyle w:val="P68B1DB1-Normal5"/>
        <w:keepNext/>
        <w:spacing w:before="120" w:after="120" w:line="240" w:lineRule="auto"/>
        <w:jc w:val="both"/>
        <w:outlineLvl w:val="1"/>
        <w:rPr>
          <w:rFonts w:eastAsiaTheme="majorEastAsia"/>
          <w:bCs/>
          <w:noProof/>
        </w:rPr>
      </w:pPr>
      <w:r>
        <w:rPr>
          <w:noProof/>
        </w:rPr>
        <w:t>G.1. Description des réformes et des investissements pour le soutien financier non remboursable </w:t>
      </w:r>
    </w:p>
    <w:p w14:paraId="1AE514A5"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Réforme 1. Développement d'un cadre unitaire pour définir l'architecture d'un système cloud gouvernemental</w:t>
      </w:r>
    </w:p>
    <w:p w14:paraId="6155C50C" w14:textId="77777777" w:rsidR="00A345F4" w:rsidRDefault="005E2D4E">
      <w:pPr>
        <w:pStyle w:val="P68B1DB1-Normal4"/>
        <w:spacing w:before="120" w:after="0" w:line="240" w:lineRule="auto"/>
        <w:jc w:val="both"/>
        <w:textAlignment w:val="baseline"/>
        <w:rPr>
          <w:rFonts w:eastAsia="Times New Roman"/>
          <w:noProof/>
        </w:rPr>
      </w:pPr>
      <w:r>
        <w:rPr>
          <w:noProof/>
        </w:rPr>
        <w:t>L’objectif de cette réforme est de moderniser l’administration publique en adoptant des technologies de pointe et en mettant l’accent sur les besoins des citoyens et des entreprises, tout en garantissant les conditions préalables à l’élaboration de politiques fondées sur les données et en renforçant l’interopérabilité des technologies numériques existantes. En outre, la réforme soutient le développement d’une architecture intégrée des services numériques publics.</w:t>
      </w:r>
    </w:p>
    <w:p w14:paraId="327545A9" w14:textId="77777777" w:rsidR="00A345F4" w:rsidRDefault="005E2D4E">
      <w:pPr>
        <w:pStyle w:val="P68B1DB1-Normal4"/>
        <w:spacing w:before="120" w:after="0" w:line="240" w:lineRule="auto"/>
        <w:jc w:val="both"/>
        <w:textAlignment w:val="baseline"/>
        <w:rPr>
          <w:rFonts w:eastAsia="Times New Roman"/>
          <w:noProof/>
        </w:rPr>
      </w:pPr>
      <w:r>
        <w:rPr>
          <w:noProof/>
        </w:rPr>
        <w:t xml:space="preserve">La mise en œuvre de cette réforme s'articule autour de deux axes d'action. Premièrement, l’entrée en vigueur de la loi sur l’interopérabilité des systèmes d’information devrait détailler l’ensemble uniforme de normes et de règles que les entités publiques doivent appliquer pour le développement d’applications dans un environnement sûr et durable, tout en s’alignant sur le cadre d’interopérabilité européen. Deuxièmement, l’entrée en vigueur de la loi gouvernementale sur l’informatique en nuage devrait définir les responsabilités et les tâches relatives à la conception, à la mise en œuvre, au développement et à la gestion de l’infrastructure, des technologies et des services d’informatique en nuage. La cybersécurité est assurée à la fois pour la protection externe et interne du nuage, en appliquant les solutions de cybersécurité les plus avancées et les plus efficaces sur le plan économique. </w:t>
      </w:r>
    </w:p>
    <w:p w14:paraId="57FE383D" w14:textId="77777777" w:rsidR="00A345F4" w:rsidRDefault="005E2D4E">
      <w:pPr>
        <w:pStyle w:val="P68B1DB1-Normal4"/>
        <w:spacing w:before="120" w:after="0" w:line="240" w:lineRule="auto"/>
        <w:jc w:val="both"/>
        <w:textAlignment w:val="baseline"/>
        <w:rPr>
          <w:noProof/>
        </w:rPr>
      </w:pPr>
      <w:r>
        <w:rPr>
          <w:noProof/>
        </w:rPr>
        <w:t>Une task force temporaire formée de spécialistes devrait être mise en place pour le suivi et la mise en œuvre de toutes les mesures liées au numérique dans le plan roumain pour la reprise et la résilience.</w:t>
      </w:r>
    </w:p>
    <w:p w14:paraId="16FC43B4" w14:textId="77777777" w:rsidR="00A345F4" w:rsidRDefault="00A345F4">
      <w:pPr>
        <w:spacing w:before="120" w:after="0" w:line="240" w:lineRule="auto"/>
        <w:jc w:val="both"/>
        <w:textAlignment w:val="baseline"/>
        <w:rPr>
          <w:rFonts w:ascii="Times New Roman" w:hAnsi="Times New Roman" w:cs="Times New Roman"/>
          <w:noProof/>
        </w:rPr>
      </w:pPr>
    </w:p>
    <w:p w14:paraId="226AD00A" w14:textId="77777777" w:rsidR="00A345F4" w:rsidRDefault="00A345F4">
      <w:pPr>
        <w:spacing w:before="120" w:after="0" w:line="240" w:lineRule="auto"/>
        <w:jc w:val="both"/>
        <w:textAlignment w:val="baseline"/>
        <w:rPr>
          <w:rFonts w:ascii="Times New Roman" w:eastAsia="Times New Roman" w:hAnsi="Times New Roman" w:cs="Times New Roman"/>
          <w:noProof/>
        </w:rPr>
      </w:pPr>
    </w:p>
    <w:p w14:paraId="4EC05FD0" w14:textId="77777777" w:rsidR="00A345F4" w:rsidRDefault="005E2D4E">
      <w:pPr>
        <w:pStyle w:val="P68B1DB1-Normal18"/>
        <w:suppressAutoHyphens/>
        <w:autoSpaceDN w:val="0"/>
        <w:spacing w:before="120" w:after="0" w:line="240" w:lineRule="auto"/>
        <w:jc w:val="both"/>
        <w:textAlignment w:val="baseline"/>
        <w:rPr>
          <w:rFonts w:eastAsiaTheme="majorEastAsia"/>
          <w:noProof/>
          <w:kern w:val="3"/>
        </w:rPr>
      </w:pPr>
      <w:r>
        <w:rPr>
          <w:noProof/>
        </w:rPr>
        <w:t xml:space="preserve">Réforme 2. Transition vers les objectifs de connectivité de l’UE à l’horizon 2025 et stimulation des investissements privés pour le déploiement de réseaux à très haute capacité </w:t>
      </w:r>
    </w:p>
    <w:p w14:paraId="45289EBB" w14:textId="77777777" w:rsidR="00A345F4" w:rsidRDefault="005E2D4E">
      <w:pPr>
        <w:pStyle w:val="P68B1DB1-Normal4"/>
        <w:spacing w:before="120" w:after="0" w:line="240" w:lineRule="auto"/>
        <w:jc w:val="both"/>
        <w:textAlignment w:val="baseline"/>
        <w:rPr>
          <w:rFonts w:eastAsia="Times New Roman"/>
          <w:noProof/>
        </w:rPr>
      </w:pPr>
      <w:r>
        <w:rPr>
          <w:noProof/>
        </w:rPr>
        <w:t>L’objectif de cette réforme est d’accélérer le déploiement national des réseaux 5G, conformément aux réglementations en matière de sécurité, et de fournir une couverture à haut débit pour les zones blanches (petites municipalités rurales, localités isolées, zones habitées défavorisées), de lutter contre la fracture numérique entre zones rurales et urbaines, de réduire la charge administrative et de rationaliser les procédures et les frais, en créant les conditions préalables à l’égalité d’accès aux services numériques et à l’accès à l’internet.</w:t>
      </w:r>
    </w:p>
    <w:p w14:paraId="425E428D" w14:textId="77777777" w:rsidR="00A345F4" w:rsidRDefault="005E2D4E">
      <w:pPr>
        <w:pStyle w:val="P68B1DB1-Normal4"/>
        <w:spacing w:before="120" w:after="0" w:line="240" w:lineRule="auto"/>
        <w:jc w:val="both"/>
        <w:textAlignment w:val="baseline"/>
        <w:rPr>
          <w:rFonts w:eastAsia="Times New Roman"/>
          <w:noProof/>
        </w:rPr>
      </w:pPr>
      <w:r>
        <w:rPr>
          <w:noProof/>
        </w:rPr>
        <w:t>La réforme comprend plusieurs actions:</w:t>
      </w:r>
    </w:p>
    <w:p w14:paraId="352BF42A" w14:textId="77777777" w:rsidR="00A345F4" w:rsidRDefault="005E2D4E">
      <w:pPr>
        <w:pStyle w:val="P68B1DB1-Normal17"/>
        <w:numPr>
          <w:ilvl w:val="0"/>
          <w:numId w:val="2"/>
        </w:numPr>
        <w:spacing w:before="120" w:after="120" w:line="240" w:lineRule="auto"/>
        <w:ind w:left="360"/>
        <w:jc w:val="both"/>
        <w:rPr>
          <w:noProof/>
        </w:rPr>
      </w:pPr>
      <w:r>
        <w:rPr>
          <w:noProof/>
        </w:rPr>
        <w:t>la mise en œuvre de la feuille de route de la Roumanie concernant l’application de la boîte à outils pour la connectivité.</w:t>
      </w:r>
      <w:r w:rsidRPr="00E75F9B">
        <w:rPr>
          <w:noProof/>
          <w:vertAlign w:val="superscript"/>
        </w:rPr>
        <w:footnoteReference w:id="1"/>
      </w:r>
      <w:r>
        <w:rPr>
          <w:noProof/>
        </w:rPr>
        <w:t xml:space="preserve"> La Roumanie devrait mettre en œuvre 12 des 39 recommandations figurant dans la boîte à outils au niveau de l’UE.</w:t>
      </w:r>
    </w:p>
    <w:p w14:paraId="7242BA09" w14:textId="77777777" w:rsidR="00A345F4" w:rsidRDefault="005E2D4E">
      <w:pPr>
        <w:pStyle w:val="P68B1DB1-Normal17"/>
        <w:numPr>
          <w:ilvl w:val="0"/>
          <w:numId w:val="2"/>
        </w:numPr>
        <w:spacing w:before="120" w:after="120" w:line="240" w:lineRule="auto"/>
        <w:ind w:left="360"/>
        <w:jc w:val="both"/>
        <w:rPr>
          <w:noProof/>
        </w:rPr>
      </w:pPr>
      <w:r>
        <w:rPr>
          <w:noProof/>
        </w:rPr>
        <w:t>L’entrée en vigueur de la loi sur la sécurité des réseaux 5G, qui prévoit que les fournisseurs de services de communication ne peuvent utiliser des technologies, des équipements et des logiciels dans les réseaux 5G que de la part de fabricants préalablement autorisés par décision du Premier ministre, sur la base de l’avis du Conseil suprême de la défense nationale. Chaque fabricant d’équipements et de logiciels 5G doit demander cette autorisation, qui est soumise au ministère chargé des communications.</w:t>
      </w:r>
    </w:p>
    <w:p w14:paraId="04E7CFC1" w14:textId="77777777" w:rsidR="00A345F4" w:rsidRDefault="005E2D4E">
      <w:pPr>
        <w:pStyle w:val="P68B1DB1-Normal17"/>
        <w:numPr>
          <w:ilvl w:val="0"/>
          <w:numId w:val="2"/>
        </w:numPr>
        <w:spacing w:before="120" w:after="120" w:line="240" w:lineRule="auto"/>
        <w:ind w:left="360"/>
        <w:jc w:val="both"/>
        <w:rPr>
          <w:noProof/>
        </w:rPr>
      </w:pPr>
      <w:r>
        <w:rPr>
          <w:noProof/>
        </w:rPr>
        <w:t>(enchère pour) l’octroi des «licences 5G» (c’est-à-dire dans les bandes 700 MHz, 1500 MHz et 3,4 à 3,8 GHz). Des licences à long terme sont envisagées conformément aux critères du code des communications électroniques européen afin de stimuler efficacement la 5G, de promouvoir la concurrence et les droits des utilisateurs finaux.</w:t>
      </w:r>
    </w:p>
    <w:p w14:paraId="4C19C28E" w14:textId="77777777" w:rsidR="00A345F4" w:rsidRDefault="005E2D4E">
      <w:pPr>
        <w:pStyle w:val="P68B1DB1-Normal18"/>
        <w:suppressAutoHyphens/>
        <w:autoSpaceDN w:val="0"/>
        <w:spacing w:before="120" w:after="0" w:line="240" w:lineRule="auto"/>
        <w:jc w:val="both"/>
        <w:textAlignment w:val="baseline"/>
        <w:rPr>
          <w:rFonts w:eastAsiaTheme="majorEastAsia"/>
          <w:noProof/>
          <w:kern w:val="3"/>
        </w:rPr>
      </w:pPr>
      <w:r>
        <w:rPr>
          <w:noProof/>
        </w:rPr>
        <w:t>Réforme 3. Garantir la cybersécurité des entités publiques et privées possédant des infrastructures de valeur critique</w:t>
      </w:r>
    </w:p>
    <w:p w14:paraId="13499835" w14:textId="77777777" w:rsidR="00A345F4" w:rsidRDefault="005E2D4E">
      <w:pPr>
        <w:pStyle w:val="P68B1DB1-Normal4"/>
        <w:spacing w:before="120" w:after="0" w:line="240" w:lineRule="auto"/>
        <w:jc w:val="both"/>
        <w:textAlignment w:val="baseline"/>
        <w:rPr>
          <w:rFonts w:eastAsia="Times New Roman"/>
          <w:noProof/>
        </w:rPr>
      </w:pPr>
      <w:r>
        <w:rPr>
          <w:noProof/>
        </w:rPr>
        <w:t xml:space="preserve">L’objectif de cette réforme est de poursuivre le processus de renforcement de la résilience des entités publiques et privées propriétaires d’infrastructures critiques face aux cyberrisques. </w:t>
      </w:r>
    </w:p>
    <w:p w14:paraId="0960DBD6" w14:textId="77777777" w:rsidR="00A345F4" w:rsidRDefault="005E2D4E">
      <w:pPr>
        <w:pStyle w:val="P68B1DB1-Normal4"/>
        <w:spacing w:before="120" w:after="0" w:line="240" w:lineRule="auto"/>
        <w:jc w:val="both"/>
        <w:textAlignment w:val="baseline"/>
        <w:rPr>
          <w:rFonts w:eastAsia="Times New Roman"/>
          <w:noProof/>
        </w:rPr>
      </w:pPr>
      <w:r>
        <w:rPr>
          <w:noProof/>
        </w:rPr>
        <w:t>La mise en œuvre de cette réforme établit le cadre juridique et institutionnel pour l’organisation et la conduite d’activités dans les domaines de la cybersécurité et de la cyberdéfense, les mécanismes de coopération et les responsabilités des institutions dans ces domaines par la finalisation et l’entrée en vigueur de la loi sur la défense et la cybersécurité. En outre, le centre national Cyberint coordonne l’élaboration de la stratégie nationale de cybersécurité 2021-2026, qui comprend des dispositions concernant des évaluations et des mises à jour régulières du cadre réglementaire et institutionnel en matière de cybersécurité visant à renforcer le partenariat public-privé-universitaire afin d’accroître la cyberrésilience de la société dans son ensemble, de développer la capacité de réaction aux cyberattaques et la résilience des systèmes, réseaux et services et de consolider le rôle de la Roumanie dans l’architecture de cybersécurité au niveau international.</w:t>
      </w:r>
    </w:p>
    <w:p w14:paraId="63DE4528" w14:textId="77777777" w:rsidR="00A345F4" w:rsidRDefault="005E2D4E">
      <w:pPr>
        <w:pStyle w:val="P68B1DB1-Normal18"/>
        <w:suppressAutoHyphens/>
        <w:autoSpaceDN w:val="0"/>
        <w:spacing w:before="120" w:after="0" w:line="240" w:lineRule="auto"/>
        <w:jc w:val="both"/>
        <w:textAlignment w:val="baseline"/>
        <w:rPr>
          <w:rFonts w:eastAsiaTheme="majorEastAsia"/>
          <w:noProof/>
          <w:kern w:val="3"/>
        </w:rPr>
      </w:pPr>
      <w:r>
        <w:rPr>
          <w:noProof/>
        </w:rPr>
        <w:t>Réforme 4. Accroître les compétences numériques pour le service public et l’éducation numérique tout au long de la vie des citoyens</w:t>
      </w:r>
    </w:p>
    <w:p w14:paraId="610FF402" w14:textId="77777777" w:rsidR="00A345F4" w:rsidRDefault="005E2D4E">
      <w:pPr>
        <w:pStyle w:val="P68B1DB1-Normal4"/>
        <w:spacing w:before="120" w:after="0" w:line="240" w:lineRule="auto"/>
        <w:jc w:val="both"/>
        <w:textAlignment w:val="baseline"/>
        <w:rPr>
          <w:rFonts w:eastAsia="Times New Roman"/>
          <w:noProof/>
        </w:rPr>
      </w:pPr>
      <w:r>
        <w:rPr>
          <w:noProof/>
        </w:rPr>
        <w:t>L’objectif de cette réforme est de soutenir la numérisation de l’économie et la transition vers l’industrie 4.0 et d’aligner le marché du travail sur les dernières évolutions dans ce secteur.</w:t>
      </w:r>
    </w:p>
    <w:p w14:paraId="3C10E0D2" w14:textId="77777777" w:rsidR="00A345F4" w:rsidRDefault="005E2D4E">
      <w:pPr>
        <w:pStyle w:val="P68B1DB1-Normal4"/>
        <w:spacing w:before="120" w:after="0" w:line="240" w:lineRule="auto"/>
        <w:jc w:val="both"/>
        <w:textAlignment w:val="baseline"/>
        <w:rPr>
          <w:rFonts w:eastAsia="Times New Roman"/>
          <w:noProof/>
        </w:rPr>
      </w:pPr>
      <w:r>
        <w:rPr>
          <w:noProof/>
        </w:rPr>
        <w:t>La réforme sera mise en œuvre par l’entrée en vigueur de la modification du code des classifications des professions, y compris la définition de nouvelles professions numériques, équivalentes à celles d’autres pays de l’UE. Une analyse est effectuée ainsi que des consultations avec les universités et les autres parties prenantes concernées.</w:t>
      </w:r>
    </w:p>
    <w:p w14:paraId="6E8DA7EF" w14:textId="4AED6F37" w:rsidR="00A345F4" w:rsidRDefault="005E2D4E">
      <w:pPr>
        <w:pStyle w:val="P68B1DB1-Normal18"/>
        <w:suppressAutoHyphens/>
        <w:autoSpaceDN w:val="0"/>
        <w:spacing w:before="120" w:after="0" w:line="240" w:lineRule="auto"/>
        <w:jc w:val="both"/>
        <w:textAlignment w:val="baseline"/>
        <w:rPr>
          <w:rFonts w:eastAsiaTheme="majorEastAsia"/>
          <w:noProof/>
          <w:kern w:val="3"/>
        </w:rPr>
      </w:pPr>
      <w:r>
        <w:rPr>
          <w:noProof/>
        </w:rPr>
        <w:t>Investissement 1. Déploiement de l'infrastructure d'informatique en nuage du gouvernement</w:t>
      </w:r>
    </w:p>
    <w:p w14:paraId="4B707F40" w14:textId="77777777" w:rsidR="00A345F4" w:rsidRDefault="005E2D4E">
      <w:pPr>
        <w:pStyle w:val="P68B1DB1-Normal4"/>
        <w:spacing w:before="120" w:after="0" w:line="240" w:lineRule="auto"/>
        <w:jc w:val="both"/>
        <w:textAlignment w:val="baseline"/>
        <w:rPr>
          <w:noProof/>
        </w:rPr>
      </w:pPr>
      <w:r>
        <w:rPr>
          <w:noProof/>
        </w:rPr>
        <w:t>L'objectif de cet investissement est de mettre en service l'infrastructure d'informatique en nuage du gouvernement, en utilisant des technologies sécurisées et économes en énergie pour garantir le caractère sûr, interopérable et standard des données publiques. </w:t>
      </w:r>
    </w:p>
    <w:p w14:paraId="35CE84CE" w14:textId="77777777" w:rsidR="00A345F4" w:rsidRDefault="005E2D4E">
      <w:pPr>
        <w:pStyle w:val="P68B1DB1-Normal4"/>
        <w:spacing w:before="120" w:after="0" w:line="240" w:lineRule="auto"/>
        <w:jc w:val="both"/>
        <w:textAlignment w:val="baseline"/>
        <w:rPr>
          <w:rFonts w:eastAsia="Times New Roman"/>
          <w:noProof/>
        </w:rPr>
      </w:pPr>
      <w:r>
        <w:rPr>
          <w:noProof/>
        </w:rPr>
        <w:t>La mesure consiste en i) la construction de centres de données de niveau IV dès la conception pour les deux principaux centres de données et de niveau III dès la conception pour les centres secondaires, ii) la mise à disposition d’infrastructures spécifiques en matière de technologies de l’information et de la communication, iii) l’expansion de l’infrastructure de soutien (électricité, mesures de sécurité physique), iv) la mise à disposition d’infrastructures IT&amp;C évolutives et à haute disponibilité dans chaque centre de données. « Les centres de données sont conformes à</w:t>
      </w:r>
      <w:r w:rsidRPr="00E75F9B">
        <w:rPr>
          <w:noProof/>
          <w:vertAlign w:val="superscript"/>
        </w:rPr>
        <w:footnoteReference w:id="2"/>
      </w:r>
      <w:r>
        <w:rPr>
          <w:noProof/>
        </w:rPr>
        <w:t xml:space="preserve"> ￼. </w:t>
      </w:r>
    </w:p>
    <w:p w14:paraId="4EC9A269" w14:textId="77777777" w:rsidR="00A345F4" w:rsidRDefault="005E2D4E">
      <w:pPr>
        <w:pStyle w:val="P68B1DB1-Normal12"/>
        <w:suppressAutoHyphens/>
        <w:autoSpaceDN w:val="0"/>
        <w:spacing w:before="240" w:after="0" w:line="240" w:lineRule="auto"/>
        <w:jc w:val="both"/>
        <w:textAlignment w:val="baseline"/>
        <w:rPr>
          <w:noProof/>
        </w:rPr>
      </w:pPr>
      <w:bookmarkStart w:id="10" w:name="_Hlk207792724"/>
      <w:r>
        <w:rPr>
          <w:noProof/>
        </w:rPr>
        <w:t>Investissement 2. Développement et migration vers le cloud</w:t>
      </w:r>
    </w:p>
    <w:p w14:paraId="28686C3D" w14:textId="77777777" w:rsidR="00A345F4" w:rsidRDefault="005E2D4E">
      <w:pPr>
        <w:pStyle w:val="P68B1DB1-Normal41"/>
        <w:spacing w:before="120" w:after="0" w:line="240" w:lineRule="auto"/>
        <w:jc w:val="both"/>
        <w:rPr>
          <w:noProof/>
        </w:rPr>
      </w:pPr>
      <w:r>
        <w:rPr>
          <w:noProof/>
          <w:color w:val="000000" w:themeColor="text1"/>
        </w:rPr>
        <w:t>L'objectif de cet investissement est</w:t>
      </w:r>
      <w:r>
        <w:rPr>
          <w:noProof/>
        </w:rPr>
        <w:t xml:space="preserve"> de mettre à niveau les technologies utilisées dans les institutions publiques afin qu'elles deviennent prêtes pour le cloud, tout en développant de nouvelles applications natives du cloud pour la migration vers le cloud. </w:t>
      </w:r>
    </w:p>
    <w:p w14:paraId="490D2EAF" w14:textId="02CFD547" w:rsidR="00A345F4" w:rsidRDefault="005E2D4E">
      <w:pPr>
        <w:pStyle w:val="P68B1DB1-Normal41"/>
        <w:spacing w:before="120" w:after="0" w:line="240" w:lineRule="auto"/>
        <w:jc w:val="both"/>
        <w:textAlignment w:val="baseline"/>
        <w:rPr>
          <w:noProof/>
        </w:rPr>
      </w:pPr>
      <w:r>
        <w:rPr>
          <w:noProof/>
        </w:rPr>
        <w:t xml:space="preserve">La mesure consiste en le développement ou la migration de 30 applications gouvernementales de services numériques natives ou prêtes pour le cloud dans Platform-as-a-Service (PaaS) ou Infrastructure-as-a-Service (IaaS). </w:t>
      </w:r>
    </w:p>
    <w:p w14:paraId="19C4D734" w14:textId="77777777" w:rsidR="00A345F4" w:rsidRDefault="005E2D4E">
      <w:pPr>
        <w:pStyle w:val="P68B1DB1-Normal42"/>
        <w:suppressAutoHyphens/>
        <w:autoSpaceDN w:val="0"/>
        <w:spacing w:before="240" w:after="0" w:line="240" w:lineRule="auto"/>
        <w:jc w:val="both"/>
        <w:textAlignment w:val="baseline"/>
        <w:rPr>
          <w:noProof/>
          <w:highlight w:val="yellow"/>
        </w:rPr>
      </w:pPr>
      <w:bookmarkStart w:id="11" w:name="_Hlk207792790"/>
      <w:bookmarkEnd w:id="10"/>
      <w:r>
        <w:rPr>
          <w:noProof/>
        </w:rPr>
        <w:t xml:space="preserve">Investissement 3. Mise en place de la santé en ligne </w:t>
      </w:r>
    </w:p>
    <w:p w14:paraId="2F80A163" w14:textId="7852D31A" w:rsidR="00A345F4" w:rsidRDefault="005E2D4E">
      <w:pPr>
        <w:pStyle w:val="P68B1DB1-Normal34"/>
        <w:suppressAutoHyphens/>
        <w:autoSpaceDN w:val="0"/>
        <w:spacing w:before="240" w:after="0" w:line="240" w:lineRule="auto"/>
        <w:jc w:val="both"/>
        <w:textAlignment w:val="baseline"/>
        <w:rPr>
          <w:noProof/>
        </w:rPr>
      </w:pPr>
      <w:r>
        <w:rPr>
          <w:noProof/>
        </w:rPr>
        <w:t xml:space="preserve">L’objectif de cet investissement est de redimensionner, de normaliser et de moderniser la plateforme informatique d’assurance maladie (PIA) obsolète afin de garantir des services de santé numériques sûrs et interopérables qui répondent aux exigences actuelles en matière d’interopérabilité technologique et au niveau de l’UE. </w:t>
      </w:r>
    </w:p>
    <w:p w14:paraId="74BC0EFB" w14:textId="77777777" w:rsidR="00A345F4" w:rsidRDefault="005E2D4E">
      <w:pPr>
        <w:pStyle w:val="P68B1DB1-Normal41"/>
        <w:spacing w:before="240" w:after="0" w:line="240" w:lineRule="auto"/>
        <w:jc w:val="both"/>
        <w:rPr>
          <w:noProof/>
        </w:rPr>
      </w:pPr>
      <w:r>
        <w:rPr>
          <w:noProof/>
        </w:rPr>
        <w:t>L’investissement soutient la numérisation des établissements du ministère de la santé et des hôpitaux publics en modernisant le PIA et en développant des systèmes informatiques intégrés qui améliorent la gouvernance des données et permettent des décisions fondées sur les données.</w:t>
      </w:r>
    </w:p>
    <w:p w14:paraId="6D979FFA" w14:textId="77777777" w:rsidR="00A345F4" w:rsidRDefault="005E2D4E">
      <w:pPr>
        <w:pStyle w:val="P68B1DB1-Normal43"/>
        <w:suppressAutoHyphens/>
        <w:autoSpaceDN w:val="0"/>
        <w:spacing w:before="240" w:after="0" w:line="240" w:lineRule="auto"/>
        <w:jc w:val="both"/>
        <w:textAlignment w:val="baseline"/>
        <w:rPr>
          <w:noProof/>
          <w:kern w:val="3"/>
        </w:rPr>
      </w:pPr>
      <w:r>
        <w:rPr>
          <w:noProof/>
        </w:rPr>
        <w:t>Investissement 4. Numérisation du système judiciaire</w:t>
      </w:r>
    </w:p>
    <w:p w14:paraId="6CE13021" w14:textId="77777777" w:rsidR="00A345F4" w:rsidRDefault="005E2D4E">
      <w:pPr>
        <w:pStyle w:val="P68B1DB1-Normal4"/>
        <w:spacing w:before="120" w:after="0" w:line="240" w:lineRule="auto"/>
        <w:jc w:val="both"/>
        <w:textAlignment w:val="baseline"/>
        <w:rPr>
          <w:rFonts w:eastAsia="Times New Roman"/>
          <w:noProof/>
        </w:rPr>
      </w:pPr>
      <w:r>
        <w:rPr>
          <w:noProof/>
        </w:rPr>
        <w:t xml:space="preserve">L’objectif de cet investissement est de soutenir la transition du système judiciaire roumain vers un système électronique centralisé de gestion des affaires. </w:t>
      </w:r>
    </w:p>
    <w:p w14:paraId="16005B00" w14:textId="77777777" w:rsidR="00A345F4" w:rsidRDefault="005E2D4E">
      <w:pPr>
        <w:pStyle w:val="P68B1DB1-Normal4"/>
        <w:spacing w:before="120" w:after="0" w:line="240" w:lineRule="auto"/>
        <w:jc w:val="both"/>
        <w:textAlignment w:val="baseline"/>
        <w:rPr>
          <w:noProof/>
        </w:rPr>
      </w:pPr>
      <w:r>
        <w:rPr>
          <w:noProof/>
        </w:rPr>
        <w:t>L'investissement consiste en:</w:t>
      </w:r>
    </w:p>
    <w:p w14:paraId="26AFCFF7" w14:textId="77777777" w:rsidR="00A345F4" w:rsidRDefault="005E2D4E">
      <w:pPr>
        <w:pStyle w:val="P68B1DB1-Normal4"/>
        <w:numPr>
          <w:ilvl w:val="0"/>
          <w:numId w:val="2"/>
        </w:numPr>
        <w:spacing w:before="120" w:after="120" w:line="240" w:lineRule="auto"/>
        <w:ind w:left="360"/>
        <w:contextualSpacing/>
        <w:jc w:val="both"/>
        <w:rPr>
          <w:noProof/>
          <w:bdr w:val="none" w:sz="0" w:space="0" w:color="auto" w:frame="1"/>
        </w:rPr>
      </w:pPr>
      <w:r>
        <w:rPr>
          <w:noProof/>
        </w:rPr>
        <w:t>la transition technique des serveurs centraux locaux vers des serveurs centraux partagés avec accès électronique aux dossiers («dossier électronique»).</w:t>
      </w:r>
    </w:p>
    <w:p w14:paraId="41C9FCB7" w14:textId="7D2F9865" w:rsidR="00A345F4" w:rsidRDefault="005E2D4E">
      <w:pPr>
        <w:pStyle w:val="P68B1DB1-Normal4"/>
        <w:numPr>
          <w:ilvl w:val="0"/>
          <w:numId w:val="2"/>
        </w:numPr>
        <w:spacing w:before="120" w:after="120" w:line="240" w:lineRule="auto"/>
        <w:ind w:left="360"/>
        <w:contextualSpacing/>
        <w:jc w:val="both"/>
        <w:rPr>
          <w:noProof/>
          <w:bdr w:val="none" w:sz="0" w:space="0" w:color="auto" w:frame="1"/>
        </w:rPr>
      </w:pPr>
      <w:r>
        <w:rPr>
          <w:noProof/>
        </w:rPr>
        <w:t xml:space="preserve">soutenir la finalisation du système ECRIS V, qui est l’élément central de la transformation numérique du système judiciaire en Roumanie. </w:t>
      </w:r>
    </w:p>
    <w:p w14:paraId="7CF0C4FB" w14:textId="77777777" w:rsidR="00A345F4" w:rsidRDefault="005E2D4E">
      <w:pPr>
        <w:pStyle w:val="P68B1DB1-Normal4"/>
        <w:numPr>
          <w:ilvl w:val="0"/>
          <w:numId w:val="2"/>
        </w:numPr>
        <w:spacing w:before="120" w:after="120" w:line="240" w:lineRule="auto"/>
        <w:ind w:left="360"/>
        <w:contextualSpacing/>
        <w:jc w:val="both"/>
        <w:rPr>
          <w:noProof/>
          <w:bdr w:val="none" w:sz="0" w:space="0" w:color="auto" w:frame="1"/>
        </w:rPr>
      </w:pPr>
      <w:r>
        <w:rPr>
          <w:noProof/>
        </w:rPr>
        <w:t xml:space="preserve">la mise en place du centre de données pour le pouvoir judiciaire hébergeant l'ECRIS V et d'autres systèmes informatiques, </w:t>
      </w:r>
    </w:p>
    <w:p w14:paraId="3BC1BC7B" w14:textId="1CC1428D" w:rsidR="00A345F4" w:rsidRDefault="005E2D4E">
      <w:pPr>
        <w:pStyle w:val="P68B1DB1-Normal4"/>
        <w:numPr>
          <w:ilvl w:val="0"/>
          <w:numId w:val="2"/>
        </w:numPr>
        <w:spacing w:before="120" w:after="120" w:line="240" w:lineRule="auto"/>
        <w:ind w:left="360"/>
        <w:contextualSpacing/>
        <w:jc w:val="both"/>
        <w:rPr>
          <w:noProof/>
          <w:bdr w:val="none" w:sz="0" w:space="0" w:color="auto" w:frame="1"/>
        </w:rPr>
      </w:pPr>
      <w:r>
        <w:rPr>
          <w:noProof/>
        </w:rPr>
        <w:t xml:space="preserve">l’acquisition d’équipements, de logiciels et de services dans le domaine des technologies de l’information et de la communication (IT&amp;C) pour soutenir la transformation numérique dans le secteur judiciaire. </w:t>
      </w:r>
    </w:p>
    <w:bookmarkEnd w:id="11"/>
    <w:p w14:paraId="126898B9"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Investissement 5. Numérisation dans le domaine de l’environnement</w:t>
      </w:r>
    </w:p>
    <w:p w14:paraId="51B7A31C" w14:textId="77777777" w:rsidR="00A345F4" w:rsidRDefault="005E2D4E">
      <w:pPr>
        <w:pStyle w:val="P68B1DB1-Normal4"/>
        <w:spacing w:before="120" w:after="0" w:line="240" w:lineRule="auto"/>
        <w:jc w:val="both"/>
        <w:textAlignment w:val="baseline"/>
        <w:rPr>
          <w:noProof/>
        </w:rPr>
      </w:pPr>
      <w:r>
        <w:rPr>
          <w:noProof/>
        </w:rPr>
        <w:t xml:space="preserve">L’objectif de cet investissement est de mettre en place un système informatique intégré pour lutter contre l’exploitation illégale des forêts et une plateforme pour les services publics environnementaux. </w:t>
      </w:r>
    </w:p>
    <w:p w14:paraId="0CF941F7" w14:textId="77777777" w:rsidR="00A345F4" w:rsidRDefault="005E2D4E">
      <w:pPr>
        <w:pStyle w:val="P68B1DB1-Normal4"/>
        <w:spacing w:before="120" w:after="120" w:line="240" w:lineRule="auto"/>
        <w:jc w:val="both"/>
        <w:rPr>
          <w:noProof/>
        </w:rPr>
      </w:pPr>
      <w:r>
        <w:rPr>
          <w:noProof/>
        </w:rPr>
        <w:t xml:space="preserve">L'investissement consiste en: </w:t>
      </w:r>
    </w:p>
    <w:p w14:paraId="51645D92" w14:textId="3F8A20DA" w:rsidR="00A345F4" w:rsidRDefault="005E2D4E">
      <w:pPr>
        <w:pStyle w:val="P68B1DB1-Normal4"/>
        <w:numPr>
          <w:ilvl w:val="0"/>
          <w:numId w:val="2"/>
        </w:numPr>
        <w:spacing w:line="259" w:lineRule="auto"/>
        <w:ind w:left="360"/>
        <w:rPr>
          <w:noProof/>
        </w:rPr>
      </w:pPr>
      <w:r>
        <w:rPr>
          <w:noProof/>
        </w:rPr>
        <w:t xml:space="preserve">la mise en place des infrastructures nécessaires à la surveillance, à la gestion, au contrôle et à l'assurance de l'intégrité des forêts et du transport du bois, </w:t>
      </w:r>
    </w:p>
    <w:p w14:paraId="126696C3" w14:textId="77777777" w:rsidR="00A345F4" w:rsidRDefault="005E2D4E">
      <w:pPr>
        <w:pStyle w:val="P68B1DB1-Normal4"/>
        <w:numPr>
          <w:ilvl w:val="0"/>
          <w:numId w:val="2"/>
        </w:numPr>
        <w:spacing w:before="240" w:line="259" w:lineRule="auto"/>
        <w:ind w:left="360"/>
        <w:contextualSpacing/>
        <w:rPr>
          <w:rFonts w:eastAsia="lib"/>
          <w:noProof/>
          <w:u w:val="single"/>
        </w:rPr>
      </w:pPr>
      <w:r>
        <w:rPr>
          <w:noProof/>
        </w:rPr>
        <w:t>la numérisation des services publics environnementaux.</w:t>
      </w:r>
    </w:p>
    <w:p w14:paraId="04B27FD3" w14:textId="77777777" w:rsidR="00A345F4" w:rsidRDefault="005E2D4E">
      <w:pPr>
        <w:pStyle w:val="P68B1DB1-Normal12"/>
        <w:spacing w:before="240"/>
        <w:rPr>
          <w:noProof/>
        </w:rPr>
      </w:pPr>
      <w:r>
        <w:rPr>
          <w:noProof/>
        </w:rPr>
        <w:t>Investissement 6. Numérisation dans le domaine de l’emploi et de la protection sociale</w:t>
      </w:r>
    </w:p>
    <w:p w14:paraId="4EDE71FB" w14:textId="77777777" w:rsidR="00A345F4" w:rsidRDefault="005E2D4E">
      <w:pPr>
        <w:pStyle w:val="P68B1DB1-Normal4"/>
        <w:spacing w:before="120" w:after="0" w:line="240" w:lineRule="auto"/>
        <w:jc w:val="both"/>
        <w:textAlignment w:val="baseline"/>
        <w:rPr>
          <w:noProof/>
        </w:rPr>
      </w:pPr>
      <w:r>
        <w:rPr>
          <w:noProof/>
        </w:rPr>
        <w:t xml:space="preserve">L’objectif de cet investissement est d’accroître le niveau de numérisation de plusieurs services dans le domaine du travail et de la protection sociale. </w:t>
      </w:r>
    </w:p>
    <w:p w14:paraId="46C78A17" w14:textId="77777777" w:rsidR="00A345F4" w:rsidRDefault="005E2D4E">
      <w:pPr>
        <w:pStyle w:val="P68B1DB1-Normal4"/>
        <w:spacing w:before="120" w:after="0" w:line="240" w:lineRule="auto"/>
        <w:jc w:val="both"/>
        <w:rPr>
          <w:noProof/>
        </w:rPr>
      </w:pPr>
      <w:r>
        <w:rPr>
          <w:noProof/>
        </w:rPr>
        <w:t xml:space="preserve">L’investissement consiste à mettre en place des systèmes numériques et à dispenser des formations sur les compétences numériques aux salariés </w:t>
      </w:r>
      <w:bookmarkStart w:id="12" w:name="_Hlk208396728"/>
      <w:r>
        <w:rPr>
          <w:noProof/>
        </w:rPr>
        <w:t>pour l’Agence nationale pour l’emploi (ANOFM), l’inspection du travail (IM), l’Agence nationale pour les paiements et l’inspection sociale (ANPIS).</w:t>
      </w:r>
      <w:bookmarkEnd w:id="12"/>
    </w:p>
    <w:p w14:paraId="70098160" w14:textId="77777777" w:rsidR="00A345F4" w:rsidRDefault="005E2D4E">
      <w:pPr>
        <w:pStyle w:val="P68B1DB1-Normal12"/>
        <w:suppressAutoHyphens/>
        <w:autoSpaceDN w:val="0"/>
        <w:spacing w:before="240" w:after="0" w:line="240" w:lineRule="auto"/>
        <w:jc w:val="both"/>
        <w:textAlignment w:val="baseline"/>
        <w:rPr>
          <w:rFonts w:eastAsia="Times New Roman"/>
          <w:i/>
          <w:iCs/>
          <w:noProof/>
        </w:rPr>
      </w:pPr>
      <w:r>
        <w:rPr>
          <w:noProof/>
        </w:rPr>
        <w:t>Investissement 7. Introduction de formulaires électroniques (eForms) dans le domaine des marchés publics</w:t>
      </w:r>
    </w:p>
    <w:p w14:paraId="37B524BB" w14:textId="77777777" w:rsidR="00A345F4" w:rsidRDefault="005E2D4E">
      <w:pPr>
        <w:pStyle w:val="P68B1DB1-Normal4"/>
        <w:spacing w:before="120" w:after="0" w:line="240" w:lineRule="auto"/>
        <w:textAlignment w:val="baseline"/>
        <w:rPr>
          <w:noProof/>
        </w:rPr>
      </w:pPr>
      <w:r>
        <w:rPr>
          <w:noProof/>
        </w:rPr>
        <w:t xml:space="preserve">L’objectif de cet investissement est d’introduire des formulaires électroniques standard pour la publication des avis de marchés publics. </w:t>
      </w:r>
    </w:p>
    <w:p w14:paraId="3B4EE04B" w14:textId="77777777" w:rsidR="00A345F4" w:rsidRDefault="005E2D4E">
      <w:pPr>
        <w:pStyle w:val="P68B1DB1-Normal4"/>
        <w:spacing w:before="120" w:after="0" w:line="240" w:lineRule="auto"/>
        <w:textAlignment w:val="baseline"/>
        <w:rPr>
          <w:noProof/>
        </w:rPr>
      </w:pPr>
      <w:r>
        <w:rPr>
          <w:noProof/>
        </w:rPr>
        <w:t xml:space="preserve">L’investissement consiste à analyser les normes établies pour introduire des formulaires électroniques standard dans le domaine des marchés publics. </w:t>
      </w:r>
    </w:p>
    <w:p w14:paraId="5BFF663A" w14:textId="77777777" w:rsidR="00A345F4" w:rsidRDefault="005E2D4E">
      <w:pPr>
        <w:pStyle w:val="P68B1DB1-Normal44"/>
        <w:spacing w:before="120" w:after="0" w:line="240" w:lineRule="auto"/>
        <w:textAlignment w:val="baseline"/>
        <w:rPr>
          <w:noProof/>
        </w:rPr>
      </w:pPr>
      <w:r>
        <w:rPr>
          <w:noProof/>
        </w:rPr>
        <w:t>Investissement 8. Carte d'identité électronique et signature numérique</w:t>
      </w:r>
    </w:p>
    <w:p w14:paraId="700195C2" w14:textId="77777777" w:rsidR="00A345F4" w:rsidRDefault="005E2D4E">
      <w:pPr>
        <w:pStyle w:val="P68B1DB1-Normal34"/>
        <w:spacing w:before="120" w:after="0" w:line="240" w:lineRule="auto"/>
        <w:textAlignment w:val="baseline"/>
        <w:rPr>
          <w:noProof/>
        </w:rPr>
      </w:pPr>
      <w:r>
        <w:rPr>
          <w:noProof/>
        </w:rPr>
        <w:t xml:space="preserve">L’objectif de cet investissement est de soutenir l’adoption de cartes d’identité électroniques (cartes d’identité électroniques) par les citoyens roumains. </w:t>
      </w:r>
    </w:p>
    <w:p w14:paraId="07DB39C0" w14:textId="77777777" w:rsidR="00A345F4" w:rsidRDefault="005E2D4E">
      <w:pPr>
        <w:pStyle w:val="P68B1DB1-Normal41"/>
        <w:spacing w:before="120" w:after="0" w:line="240" w:lineRule="auto"/>
        <w:textAlignment w:val="baseline"/>
        <w:rPr>
          <w:noProof/>
          <w:highlight w:val="yellow"/>
          <w:u w:val="single"/>
        </w:rPr>
      </w:pPr>
      <w:r>
        <w:rPr>
          <w:noProof/>
          <w:kern w:val="3"/>
        </w:rPr>
        <w:t>Cet investissement</w:t>
      </w:r>
      <w:r>
        <w:rPr>
          <w:noProof/>
        </w:rPr>
        <w:t xml:space="preserve"> consiste à fournir des cartes d’identité électroniques et à fournir des services publics en ligne accessibles au moyen des cartes d’identité électroniques.</w:t>
      </w:r>
    </w:p>
    <w:p w14:paraId="00434169" w14:textId="77777777" w:rsidR="00A345F4" w:rsidRDefault="005E2D4E">
      <w:pPr>
        <w:pStyle w:val="P68B1DB1-Normal45"/>
        <w:spacing w:before="120" w:after="0" w:line="240" w:lineRule="auto"/>
        <w:textAlignment w:val="baseline"/>
        <w:rPr>
          <w:noProof/>
        </w:rPr>
      </w:pPr>
      <w:r>
        <w:rPr>
          <w:noProof/>
        </w:rPr>
        <w:t>Investissement 9. Numérisation du secteur des organisations non gouvernementales</w:t>
      </w:r>
    </w:p>
    <w:p w14:paraId="2F3117A3" w14:textId="77777777" w:rsidR="00A345F4" w:rsidRDefault="005E2D4E">
      <w:pPr>
        <w:pStyle w:val="P68B1DB1-Normal41"/>
        <w:spacing w:before="120" w:after="0" w:line="240" w:lineRule="auto"/>
        <w:textAlignment w:val="baseline"/>
        <w:rPr>
          <w:noProof/>
        </w:rPr>
      </w:pPr>
      <w:r>
        <w:rPr>
          <w:noProof/>
        </w:rPr>
        <w:t>L’objectif de cet investissement est de soutenir la transformation numérique des organisations non gouvernementales (ONG) et d’accroître le niveau d’habileté numérique des employés.</w:t>
      </w:r>
    </w:p>
    <w:p w14:paraId="09648E6E" w14:textId="77777777" w:rsidR="00A345F4" w:rsidRDefault="005E2D4E">
      <w:pPr>
        <w:pStyle w:val="P68B1DB1-Normal41"/>
        <w:spacing w:before="120" w:after="0" w:line="240" w:lineRule="auto"/>
        <w:textAlignment w:val="baseline"/>
        <w:rPr>
          <w:noProof/>
        </w:rPr>
      </w:pPr>
      <w:r>
        <w:rPr>
          <w:noProof/>
        </w:rPr>
        <w:t>L'investissement consiste en un appel à projets et la signature de conventions de financement à des ONG pour des investissements dans les infrastructures numériques, les compétences numériques du personnel et des bénévoles, le développement de plateformes de gestion de la relation client et l'achat d'équipements.</w:t>
      </w:r>
    </w:p>
    <w:p w14:paraId="71B8B506"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 xml:space="preserve">Investissement 10. Transformation numérique dans la gestion de la fonction publique </w:t>
      </w:r>
    </w:p>
    <w:p w14:paraId="5605A7AE" w14:textId="77777777" w:rsidR="00A345F4" w:rsidRDefault="005E2D4E">
      <w:pPr>
        <w:pStyle w:val="P68B1DB1-Normal4"/>
        <w:spacing w:before="120" w:after="0" w:line="240" w:lineRule="auto"/>
        <w:jc w:val="both"/>
        <w:textAlignment w:val="baseline"/>
        <w:rPr>
          <w:rFonts w:eastAsia="Times New Roman"/>
          <w:noProof/>
        </w:rPr>
      </w:pPr>
      <w:r>
        <w:rPr>
          <w:noProof/>
        </w:rPr>
        <w:t xml:space="preserve">L'objectif de cet investissement est de soutenir la gestion de la fonction publique. </w:t>
      </w:r>
    </w:p>
    <w:p w14:paraId="31FEABD5" w14:textId="77777777" w:rsidR="00A345F4" w:rsidRDefault="005E2D4E">
      <w:pPr>
        <w:pStyle w:val="P68B1DB1-Normal4"/>
        <w:spacing w:before="120" w:after="0" w:line="240" w:lineRule="auto"/>
        <w:jc w:val="both"/>
        <w:rPr>
          <w:noProof/>
        </w:rPr>
      </w:pPr>
      <w:r>
        <w:rPr>
          <w:noProof/>
        </w:rPr>
        <w:t xml:space="preserve">L'investissement consiste à mettre en place deux plateformes interopérables, e-ANFP et SIMRU. </w:t>
      </w:r>
    </w:p>
    <w:p w14:paraId="1212DA41" w14:textId="787FC66A" w:rsidR="00A345F4" w:rsidRDefault="005E2D4E">
      <w:pPr>
        <w:pStyle w:val="P68B1DB1-Normal18"/>
        <w:suppressAutoHyphens/>
        <w:autoSpaceDN w:val="0"/>
        <w:spacing w:before="240" w:after="0" w:line="240" w:lineRule="auto"/>
        <w:jc w:val="both"/>
        <w:textAlignment w:val="baseline"/>
        <w:rPr>
          <w:rFonts w:eastAsiaTheme="majorEastAsia"/>
          <w:noProof/>
          <w:kern w:val="3"/>
        </w:rPr>
      </w:pPr>
      <w:r>
        <w:rPr>
          <w:noProof/>
          <w:kern w:val="3"/>
        </w:rPr>
        <w:t xml:space="preserve">Investissement 11. </w:t>
      </w:r>
      <w:r>
        <w:rPr>
          <w:noProof/>
        </w:rPr>
        <w:t>Soutien à l'utilisation des services de communication dans les zones blanches</w:t>
      </w:r>
    </w:p>
    <w:p w14:paraId="784BBB36" w14:textId="77777777" w:rsidR="00A345F4" w:rsidRDefault="005E2D4E">
      <w:pPr>
        <w:pStyle w:val="P68B1DB1-Normal21"/>
        <w:suppressAutoHyphens/>
        <w:autoSpaceDN w:val="0"/>
        <w:spacing w:before="240" w:after="0" w:line="240" w:lineRule="auto"/>
        <w:jc w:val="both"/>
        <w:textAlignment w:val="baseline"/>
        <w:rPr>
          <w:noProof/>
        </w:rPr>
      </w:pPr>
      <w:r>
        <w:rPr>
          <w:noProof/>
        </w:rPr>
        <w:t>L'objectif de cet investissement est de fournir une couverture d'accès Internet à très haut débit aux villages des zones blanches où le marché ne peut pas fournir de services.</w:t>
      </w:r>
    </w:p>
    <w:p w14:paraId="0C5A1163" w14:textId="77777777" w:rsidR="00A345F4" w:rsidRDefault="005E2D4E">
      <w:pPr>
        <w:pStyle w:val="P68B1DB1-Normal20"/>
        <w:suppressAutoHyphens/>
        <w:autoSpaceDN w:val="0"/>
        <w:spacing w:before="240" w:after="0" w:line="240" w:lineRule="auto"/>
        <w:jc w:val="both"/>
        <w:textAlignment w:val="baseline"/>
        <w:rPr>
          <w:rFonts w:eastAsiaTheme="majorEastAsia"/>
          <w:noProof/>
          <w:kern w:val="3"/>
          <w:u w:val="single"/>
        </w:rPr>
      </w:pPr>
      <w:r>
        <w:rPr>
          <w:noProof/>
          <w:kern w:val="3"/>
        </w:rPr>
        <w:t>L’investissement consiste à fournir une couverture</w:t>
      </w:r>
      <w:r>
        <w:rPr>
          <w:noProof/>
        </w:rPr>
        <w:t xml:space="preserve"> aux villages en donnant la priorité, d’une part, aux municipalités totalement blanches qui ne sont pas desservies par des réseaux fixes, mais où il existe une demande latente ou des facteurs socio-économiques, et, d’autre part, aux municipalités mal desservies où la vitesse ne peut être soutenue par les forces du marché.</w:t>
      </w:r>
    </w:p>
    <w:p w14:paraId="7659C5B9" w14:textId="67E99C5A" w:rsidR="00A345F4" w:rsidRDefault="005E2D4E">
      <w:pPr>
        <w:pStyle w:val="P68B1DB1-Normal12"/>
        <w:suppressAutoHyphens/>
        <w:autoSpaceDN w:val="0"/>
        <w:spacing w:before="240" w:after="0" w:line="240" w:lineRule="auto"/>
        <w:jc w:val="both"/>
        <w:textAlignment w:val="baseline"/>
        <w:rPr>
          <w:noProof/>
        </w:rPr>
      </w:pPr>
      <w:r>
        <w:rPr>
          <w:noProof/>
        </w:rPr>
        <w:t>Investissement 12. Assurer la protection de la cybersécurité pour les infrastructures informatiques publiques et privées &amp; C importantes pour la sécurité nationale</w:t>
      </w:r>
    </w:p>
    <w:p w14:paraId="6D034456" w14:textId="77777777" w:rsidR="00A345F4" w:rsidRDefault="005E2D4E">
      <w:pPr>
        <w:pStyle w:val="P68B1DB1-Normal4"/>
        <w:suppressAutoHyphens/>
        <w:autoSpaceDN w:val="0"/>
        <w:spacing w:before="240" w:after="0" w:line="240" w:lineRule="auto"/>
        <w:jc w:val="both"/>
        <w:textAlignment w:val="baseline"/>
        <w:rPr>
          <w:noProof/>
        </w:rPr>
      </w:pPr>
      <w:r>
        <w:rPr>
          <w:noProof/>
        </w:rPr>
        <w:t>L’objectif de cet investissement est d’améliorer la cybersécurité et de protéger les infrastructures critiques.</w:t>
      </w:r>
    </w:p>
    <w:p w14:paraId="31619A71" w14:textId="77777777" w:rsidR="00A345F4" w:rsidRDefault="005E2D4E">
      <w:pPr>
        <w:pStyle w:val="P68B1DB1-Normal4"/>
        <w:suppressAutoHyphens/>
        <w:autoSpaceDN w:val="0"/>
        <w:spacing w:before="240" w:after="0" w:line="240" w:lineRule="auto"/>
        <w:jc w:val="both"/>
        <w:textAlignment w:val="baseline"/>
        <w:rPr>
          <w:noProof/>
        </w:rPr>
      </w:pPr>
      <w:r>
        <w:rPr>
          <w:noProof/>
        </w:rPr>
        <w:t>L'investissement consiste à accroître la capacité du Centre national Cyberint et à assurer la cybersécurité des infrastructures des entités publiques et privées.</w:t>
      </w:r>
    </w:p>
    <w:p w14:paraId="086EBCFE" w14:textId="77777777" w:rsidR="00A345F4" w:rsidRDefault="005E2D4E">
      <w:pPr>
        <w:pStyle w:val="P68B1DB1-Normal18"/>
        <w:suppressAutoHyphens/>
        <w:autoSpaceDN w:val="0"/>
        <w:spacing w:before="240" w:after="0" w:line="240" w:lineRule="auto"/>
        <w:jc w:val="both"/>
        <w:textAlignment w:val="baseline"/>
        <w:rPr>
          <w:rFonts w:eastAsiaTheme="majorEastAsia"/>
          <w:noProof/>
          <w:kern w:val="3"/>
        </w:rPr>
      </w:pPr>
      <w:r>
        <w:rPr>
          <w:noProof/>
        </w:rPr>
        <w:t>Investissement 13. Développement de systèmes de sécurité pour la protection du spectre gouvernemental</w:t>
      </w:r>
    </w:p>
    <w:p w14:paraId="1B550AE2" w14:textId="77777777" w:rsidR="00A345F4" w:rsidRDefault="005E2D4E">
      <w:pPr>
        <w:pStyle w:val="P68B1DB1-Normal4"/>
        <w:spacing w:before="120" w:after="0" w:line="240" w:lineRule="auto"/>
        <w:jc w:val="both"/>
        <w:textAlignment w:val="baseline"/>
        <w:rPr>
          <w:noProof/>
        </w:rPr>
      </w:pPr>
      <w:r>
        <w:rPr>
          <w:noProof/>
        </w:rPr>
        <w:t xml:space="preserve">L'objectif de cet investissement est d'accroître le niveau de protection et la disponibilité des services de communication. </w:t>
      </w:r>
    </w:p>
    <w:p w14:paraId="288F32D4" w14:textId="77777777" w:rsidR="00A345F4" w:rsidRDefault="005E2D4E">
      <w:pPr>
        <w:pStyle w:val="P68B1DB1-Normal4"/>
        <w:spacing w:before="120" w:after="0" w:line="240" w:lineRule="auto"/>
        <w:jc w:val="both"/>
        <w:textAlignment w:val="baseline"/>
        <w:rPr>
          <w:rFonts w:eastAsia="Times New Roman"/>
          <w:noProof/>
        </w:rPr>
      </w:pPr>
      <w:r>
        <w:rPr>
          <w:noProof/>
        </w:rPr>
        <w:t xml:space="preserve">L’investissement consiste en un nouveau réseau de capteurs distribués au niveau national et placés sur des sites de réception afin de détecter et d’alerter automatiquement en cas de perturbations du spectre radioélectrique gouvernemental. </w:t>
      </w:r>
    </w:p>
    <w:p w14:paraId="189DC7BC" w14:textId="77777777" w:rsidR="00A345F4" w:rsidRDefault="005E2D4E">
      <w:pPr>
        <w:pStyle w:val="P68B1DB1-Normal12"/>
        <w:suppressAutoHyphens/>
        <w:autoSpaceDN w:val="0"/>
        <w:spacing w:before="120" w:after="0" w:line="240" w:lineRule="auto"/>
        <w:textAlignment w:val="baseline"/>
        <w:rPr>
          <w:noProof/>
        </w:rPr>
      </w:pPr>
      <w:r>
        <w:rPr>
          <w:noProof/>
        </w:rPr>
        <w:t>Investissement 14. Renforcement de la résilience et de la cybersécurité des services d’infrastructure des fournisseurs de services internet fournis aux autorités publiques en Roumanie</w:t>
      </w:r>
    </w:p>
    <w:p w14:paraId="78042D2B" w14:textId="77777777" w:rsidR="00A345F4" w:rsidRDefault="005E2D4E">
      <w:pPr>
        <w:pStyle w:val="P68B1DB1-Normal4"/>
        <w:spacing w:before="120" w:after="0" w:line="240" w:lineRule="auto"/>
        <w:jc w:val="both"/>
        <w:textAlignment w:val="baseline"/>
        <w:rPr>
          <w:rFonts w:eastAsia="Times New Roman"/>
          <w:noProof/>
        </w:rPr>
      </w:pPr>
      <w:r>
        <w:rPr>
          <w:noProof/>
        </w:rPr>
        <w:t>L’objectif de cet investissement est d’accroître la résilience de l’infrastructure des fournisseurs de services internet (FAI) pour les pouvoirs publics, tout en garantissant leur cybersécurité.</w:t>
      </w:r>
    </w:p>
    <w:p w14:paraId="5345BB76" w14:textId="77777777" w:rsidR="00A345F4" w:rsidRDefault="005E2D4E">
      <w:pPr>
        <w:pStyle w:val="P68B1DB1-Normal4"/>
        <w:spacing w:before="120" w:after="0" w:line="240" w:lineRule="auto"/>
        <w:jc w:val="both"/>
        <w:textAlignment w:val="baseline"/>
        <w:rPr>
          <w:noProof/>
        </w:rPr>
      </w:pPr>
      <w:r>
        <w:rPr>
          <w:noProof/>
        </w:rPr>
        <w:t xml:space="preserve">L’investissement consiste à mettre à jour et à étendre le réseau d’accès à l’internet gigabit pour l’administration publique, à moderniser les capacités de cybersécurité et à sécuriser les services des FAI (DNS, web, courrier électronique, hébergement). </w:t>
      </w:r>
    </w:p>
    <w:p w14:paraId="35358CFD" w14:textId="4F72AEEA" w:rsidR="00A345F4" w:rsidRDefault="005E2D4E">
      <w:pPr>
        <w:pStyle w:val="P68B1DB1-Normal18"/>
        <w:suppressAutoHyphens/>
        <w:autoSpaceDN w:val="0"/>
        <w:spacing w:before="120" w:after="0" w:line="240" w:lineRule="auto"/>
        <w:jc w:val="both"/>
        <w:textAlignment w:val="baseline"/>
        <w:rPr>
          <w:noProof/>
          <w:kern w:val="3"/>
        </w:rPr>
      </w:pPr>
      <w:r>
        <w:rPr>
          <w:noProof/>
        </w:rPr>
        <w:t xml:space="preserve">Investissement 15. Compétences en matière de cybersécurité pour les entités identifiées </w:t>
      </w:r>
    </w:p>
    <w:p w14:paraId="626E87B2" w14:textId="77777777" w:rsidR="00A345F4" w:rsidRDefault="005E2D4E">
      <w:pPr>
        <w:pStyle w:val="P68B1DB1-Normal4"/>
        <w:spacing w:before="120" w:after="0" w:line="240" w:lineRule="auto"/>
        <w:jc w:val="both"/>
        <w:textAlignment w:val="baseline"/>
        <w:rPr>
          <w:noProof/>
        </w:rPr>
      </w:pPr>
      <w:r>
        <w:rPr>
          <w:noProof/>
        </w:rPr>
        <w:t xml:space="preserve">L’objectif de cet investissement est de soutenir l’amélioration des compétences en matière de cybersécurité pour les entités identifiées. </w:t>
      </w:r>
    </w:p>
    <w:p w14:paraId="4558A3EF" w14:textId="77777777" w:rsidR="00A345F4" w:rsidRDefault="005E2D4E">
      <w:pPr>
        <w:pStyle w:val="P68B1DB1-Normal4"/>
        <w:spacing w:before="120" w:after="0" w:line="240" w:lineRule="auto"/>
        <w:jc w:val="both"/>
        <w:rPr>
          <w:noProof/>
        </w:rPr>
      </w:pPr>
      <w:r>
        <w:rPr>
          <w:noProof/>
        </w:rPr>
        <w:t>L’investissement consiste en la création et la fourniture d’une boîte à outils gouvernementale en matière de cybersécurité.</w:t>
      </w:r>
    </w:p>
    <w:p w14:paraId="7495F3B8" w14:textId="77777777" w:rsidR="00A345F4" w:rsidRDefault="005E2D4E">
      <w:pPr>
        <w:pStyle w:val="P68B1DB1-Normal12"/>
        <w:suppressAutoHyphens/>
        <w:autoSpaceDN w:val="0"/>
        <w:spacing w:before="240" w:after="0" w:line="240" w:lineRule="auto"/>
        <w:jc w:val="both"/>
        <w:textAlignment w:val="baseline"/>
        <w:rPr>
          <w:rFonts w:eastAsia="Times New Roman"/>
          <w:i/>
          <w:iCs/>
          <w:noProof/>
        </w:rPr>
      </w:pPr>
      <w:r>
        <w:rPr>
          <w:noProof/>
        </w:rPr>
        <w:t>Investissement 16. Programme de formation des fonctionnaires aux compétences numériques</w:t>
      </w:r>
    </w:p>
    <w:p w14:paraId="37B3C943" w14:textId="77777777" w:rsidR="00A345F4" w:rsidRDefault="005E2D4E">
      <w:pPr>
        <w:pStyle w:val="P68B1DB1-Normal4"/>
        <w:spacing w:before="120" w:after="120" w:line="240" w:lineRule="auto"/>
        <w:jc w:val="both"/>
        <w:rPr>
          <w:noProof/>
        </w:rPr>
      </w:pPr>
      <w:r>
        <w:rPr>
          <w:noProof/>
        </w:rPr>
        <w:t>L’objectif de cet investissement est d’accroître les compétences numériques avancées des fonctionnaires, dans le but de soutenir la numérisation des services publics en augmentant la disponibilité d’une main-d’œuvre qualifiée pour les opérations internes IT&amp;C.</w:t>
      </w:r>
    </w:p>
    <w:p w14:paraId="073CED14" w14:textId="77777777" w:rsidR="00A345F4" w:rsidRDefault="005E2D4E">
      <w:pPr>
        <w:pStyle w:val="P68B1DB1-Normal4"/>
        <w:spacing w:before="120" w:after="0" w:line="240" w:lineRule="auto"/>
        <w:jc w:val="both"/>
        <w:rPr>
          <w:rFonts w:eastAsiaTheme="majorEastAsia"/>
          <w:noProof/>
          <w:u w:val="single"/>
        </w:rPr>
      </w:pPr>
      <w:r>
        <w:rPr>
          <w:noProof/>
        </w:rPr>
        <w:t xml:space="preserve">L’investissement consiste en des formations aux compétences numériques avancées destinées aux fonctionnaires. </w:t>
      </w:r>
    </w:p>
    <w:p w14:paraId="475FD4A8" w14:textId="7722475F" w:rsidR="00A345F4" w:rsidRDefault="005E2D4E">
      <w:pPr>
        <w:pStyle w:val="P68B1DB1-Normal18"/>
        <w:spacing w:before="120" w:after="0" w:line="240" w:lineRule="auto"/>
        <w:jc w:val="both"/>
        <w:rPr>
          <w:noProof/>
          <w:kern w:val="3"/>
        </w:rPr>
      </w:pPr>
      <w:r>
        <w:rPr>
          <w:noProof/>
          <w:kern w:val="3"/>
        </w:rPr>
        <w:t xml:space="preserve">Investissement 17. </w:t>
      </w:r>
      <w:r>
        <w:rPr>
          <w:noProof/>
        </w:rPr>
        <w:t>Numérisation des bibliothèques</w:t>
      </w:r>
    </w:p>
    <w:p w14:paraId="426E1A4E" w14:textId="77777777" w:rsidR="00A345F4" w:rsidRDefault="005E2D4E">
      <w:pPr>
        <w:pStyle w:val="P68B1DB1-Normal4"/>
        <w:suppressAutoHyphens/>
        <w:autoSpaceDN w:val="0"/>
        <w:spacing w:before="240" w:after="0" w:line="240" w:lineRule="auto"/>
        <w:jc w:val="both"/>
        <w:textAlignment w:val="baseline"/>
        <w:rPr>
          <w:noProof/>
        </w:rPr>
      </w:pPr>
      <w:r>
        <w:rPr>
          <w:noProof/>
        </w:rPr>
        <w:t xml:space="preserve">L’objectif de cet investissement est de renforcer les compétences numériques de base des communautés ayant un accès limité à la formation numérique. </w:t>
      </w:r>
    </w:p>
    <w:p w14:paraId="14F4040C" w14:textId="77777777" w:rsidR="00A345F4" w:rsidRDefault="005E2D4E">
      <w:pPr>
        <w:pStyle w:val="P68B1DB1-Normal4"/>
        <w:suppressAutoHyphens/>
        <w:autoSpaceDN w:val="0"/>
        <w:spacing w:after="0" w:line="240" w:lineRule="auto"/>
        <w:jc w:val="both"/>
        <w:textAlignment w:val="baseline"/>
        <w:rPr>
          <w:noProof/>
        </w:rPr>
      </w:pPr>
      <w:r>
        <w:rPr>
          <w:noProof/>
        </w:rPr>
        <w:t xml:space="preserve">Les investissements consistent en: </w:t>
      </w:r>
    </w:p>
    <w:p w14:paraId="704BEE70" w14:textId="4C12D5AD" w:rsidR="00A345F4" w:rsidRDefault="005E2D4E">
      <w:pPr>
        <w:pStyle w:val="P68B1DB1-Normal4"/>
        <w:numPr>
          <w:ilvl w:val="0"/>
          <w:numId w:val="2"/>
        </w:numPr>
        <w:suppressAutoHyphens/>
        <w:autoSpaceDN w:val="0"/>
        <w:spacing w:after="0" w:line="240" w:lineRule="auto"/>
        <w:ind w:left="360"/>
        <w:jc w:val="both"/>
        <w:textAlignment w:val="baseline"/>
        <w:rPr>
          <w:noProof/>
        </w:rPr>
      </w:pPr>
      <w:r>
        <w:rPr>
          <w:noProof/>
        </w:rPr>
        <w:t xml:space="preserve">la reconversion, y compris les travaux de rénovation, des bibliothèques en pôles de développement des compétences numériques, </w:t>
      </w:r>
    </w:p>
    <w:p w14:paraId="2C0733BA" w14:textId="77777777" w:rsidR="00A345F4" w:rsidRDefault="005E2D4E">
      <w:pPr>
        <w:pStyle w:val="P68B1DB1-Normal4"/>
        <w:numPr>
          <w:ilvl w:val="0"/>
          <w:numId w:val="2"/>
        </w:numPr>
        <w:suppressAutoHyphens/>
        <w:autoSpaceDN w:val="0"/>
        <w:spacing w:after="0" w:line="240" w:lineRule="auto"/>
        <w:ind w:left="360"/>
        <w:jc w:val="both"/>
        <w:textAlignment w:val="baseline"/>
        <w:rPr>
          <w:noProof/>
        </w:rPr>
      </w:pPr>
      <w:r>
        <w:rPr>
          <w:noProof/>
        </w:rPr>
        <w:t>la mise à niveau des équipements informatiques pour les librairies, et</w:t>
      </w:r>
    </w:p>
    <w:p w14:paraId="2B5835EC" w14:textId="77777777" w:rsidR="00A345F4" w:rsidRDefault="005E2D4E">
      <w:pPr>
        <w:pStyle w:val="P68B1DB1-Normal4"/>
        <w:numPr>
          <w:ilvl w:val="0"/>
          <w:numId w:val="2"/>
        </w:numPr>
        <w:suppressAutoHyphens/>
        <w:autoSpaceDN w:val="0"/>
        <w:spacing w:after="0" w:line="240" w:lineRule="auto"/>
        <w:ind w:left="360"/>
        <w:jc w:val="both"/>
        <w:textAlignment w:val="baseline"/>
        <w:rPr>
          <w:rFonts w:eastAsia="NSimSun"/>
          <w:noProof/>
          <w:kern w:val="3"/>
        </w:rPr>
      </w:pPr>
      <w:r>
        <w:rPr>
          <w:noProof/>
        </w:rPr>
        <w:t>la fourniture de formations aux citoyens issus de communautés défavorisées afin de développer des compétences numériques de base.</w:t>
      </w:r>
    </w:p>
    <w:p w14:paraId="72195FEB" w14:textId="77777777" w:rsidR="00A345F4" w:rsidRDefault="005E2D4E">
      <w:pPr>
        <w:pStyle w:val="P68B1DB1-Normal18"/>
        <w:suppressAutoHyphens/>
        <w:autoSpaceDN w:val="0"/>
        <w:spacing w:before="120" w:after="0" w:line="240" w:lineRule="auto"/>
        <w:jc w:val="both"/>
        <w:textAlignment w:val="baseline"/>
        <w:rPr>
          <w:noProof/>
          <w:kern w:val="3"/>
        </w:rPr>
      </w:pPr>
      <w:r>
        <w:rPr>
          <w:noProof/>
          <w:kern w:val="3"/>
        </w:rPr>
        <w:t xml:space="preserve">Investissement 19.a. Perfectionnement/requalification des </w:t>
      </w:r>
      <w:r>
        <w:rPr>
          <w:noProof/>
        </w:rPr>
        <w:t>salariés dans les entreprises</w:t>
      </w:r>
    </w:p>
    <w:p w14:paraId="5281BB9F" w14:textId="77777777" w:rsidR="00A345F4" w:rsidRDefault="005E2D4E">
      <w:pPr>
        <w:pStyle w:val="P68B1DB1-Normal4"/>
        <w:spacing w:before="120" w:after="120" w:line="240" w:lineRule="auto"/>
        <w:jc w:val="both"/>
        <w:textAlignment w:val="baseline"/>
        <w:rPr>
          <w:noProof/>
        </w:rPr>
      </w:pPr>
      <w:r>
        <w:rPr>
          <w:noProof/>
        </w:rPr>
        <w:t xml:space="preserve">L'objectif de cet investissement est de soutenir la transformation numérique des petites et moyennes entreprises en augmentant les compétences numériques de leurs employés. </w:t>
      </w:r>
    </w:p>
    <w:p w14:paraId="5607A956" w14:textId="147F2899" w:rsidR="00A345F4" w:rsidRDefault="005E2D4E">
      <w:pPr>
        <w:pStyle w:val="P68B1DB1-Normal4"/>
        <w:spacing w:before="120" w:after="120" w:line="240" w:lineRule="auto"/>
        <w:jc w:val="both"/>
        <w:textAlignment w:val="baseline"/>
        <w:rPr>
          <w:rFonts w:eastAsia="Times New Roman"/>
          <w:noProof/>
        </w:rPr>
      </w:pPr>
      <w:r>
        <w:rPr>
          <w:noProof/>
        </w:rPr>
        <w:t xml:space="preserve">L’investissement consiste à soutenir la formation aux compétences numériques des salariés des PME. </w:t>
      </w:r>
    </w:p>
    <w:p w14:paraId="7EF83BA1" w14:textId="77777777" w:rsidR="00A345F4" w:rsidRDefault="00A345F4">
      <w:pPr>
        <w:spacing w:before="120" w:after="0" w:line="240" w:lineRule="auto"/>
        <w:jc w:val="both"/>
        <w:textAlignment w:val="baseline"/>
        <w:rPr>
          <w:rFonts w:ascii="Times New Roman" w:eastAsia="Times New Roman" w:hAnsi="Times New Roman" w:cs="Times New Roman"/>
          <w:noProof/>
        </w:rPr>
        <w:sectPr w:rsidR="00A345F4" w:rsidSect="00A437C8">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08"/>
          <w:docGrid w:linePitch="360"/>
        </w:sectPr>
      </w:pPr>
    </w:p>
    <w:p w14:paraId="14148534"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G.2. </w:t>
      </w:r>
      <w:r>
        <w:rPr>
          <w:noProof/>
        </w:rPr>
        <w:t xml:space="preserve"> </w:t>
      </w:r>
      <w:r>
        <w:rPr>
          <w:b/>
          <w:noProof/>
        </w:rPr>
        <w:t>Étapes, cibles, indicateurs et calendrier pour le suivi et la mise en œuvre du soutien financier non remboursable</w:t>
      </w:r>
    </w:p>
    <w:tbl>
      <w:tblPr>
        <w:tblW w:w="14923" w:type="dxa"/>
        <w:jc w:val="center"/>
        <w:tblLayout w:type="fixed"/>
        <w:tblCellMar>
          <w:left w:w="28" w:type="dxa"/>
          <w:right w:w="28" w:type="dxa"/>
        </w:tblCellMar>
        <w:tblLook w:val="04A0" w:firstRow="1" w:lastRow="0" w:firstColumn="1" w:lastColumn="0" w:noHBand="0" w:noVBand="1"/>
      </w:tblPr>
      <w:tblGrid>
        <w:gridCol w:w="715"/>
        <w:gridCol w:w="2101"/>
        <w:gridCol w:w="1226"/>
        <w:gridCol w:w="1590"/>
        <w:gridCol w:w="1734"/>
        <w:gridCol w:w="970"/>
        <w:gridCol w:w="1225"/>
        <w:gridCol w:w="782"/>
        <w:gridCol w:w="992"/>
        <w:gridCol w:w="851"/>
        <w:gridCol w:w="2737"/>
      </w:tblGrid>
      <w:tr w:rsidR="00A345F4" w14:paraId="7E2729A6" w14:textId="77777777" w:rsidTr="00E44183">
        <w:trPr>
          <w:trHeight w:val="309"/>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246DD27" w14:textId="77777777" w:rsidR="00A345F4" w:rsidRDefault="005E2D4E">
            <w:pPr>
              <w:pStyle w:val="P68B1DB1-Normal13"/>
              <w:spacing w:after="0" w:line="240" w:lineRule="auto"/>
              <w:jc w:val="center"/>
              <w:rPr>
                <w:noProof/>
              </w:rPr>
            </w:pPr>
            <w:r>
              <w:rPr>
                <w:noProof/>
              </w:rPr>
              <w:t>Seq Num</w:t>
            </w:r>
          </w:p>
        </w:tc>
        <w:tc>
          <w:tcPr>
            <w:tcW w:w="2101"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239F0307" w14:textId="77777777" w:rsidR="00A345F4" w:rsidRDefault="005E2D4E">
            <w:pPr>
              <w:pStyle w:val="P68B1DB1-Normal13"/>
              <w:spacing w:after="0" w:line="240" w:lineRule="auto"/>
              <w:jc w:val="center"/>
              <w:rPr>
                <w:noProof/>
              </w:rPr>
            </w:pPr>
            <w:r>
              <w:rPr>
                <w:noProof/>
              </w:rPr>
              <w:t>Mesure connexe (réforme ou investissement)</w:t>
            </w:r>
          </w:p>
        </w:tc>
        <w:tc>
          <w:tcPr>
            <w:tcW w:w="1226"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2643DFB6" w14:textId="77777777" w:rsidR="00A345F4" w:rsidRDefault="005E2D4E">
            <w:pPr>
              <w:pStyle w:val="P68B1DB1-Normal13"/>
              <w:spacing w:after="0" w:line="240" w:lineRule="auto"/>
              <w:jc w:val="center"/>
              <w:rPr>
                <w:rFonts w:eastAsia="Times New Roman"/>
                <w:noProof/>
              </w:rPr>
            </w:pPr>
            <w:r>
              <w:rPr>
                <w:noProof/>
              </w:rPr>
              <w:t>Étape/cible</w:t>
            </w:r>
          </w:p>
        </w:tc>
        <w:tc>
          <w:tcPr>
            <w:tcW w:w="1590"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14EA1D7D" w14:textId="77777777" w:rsidR="00A345F4" w:rsidRDefault="005E2D4E">
            <w:pPr>
              <w:pStyle w:val="P68B1DB1-Normal13"/>
              <w:spacing w:after="0" w:line="240" w:lineRule="auto"/>
              <w:jc w:val="center"/>
              <w:rPr>
                <w:rFonts w:eastAsia="Times New Roman"/>
                <w:noProof/>
              </w:rPr>
            </w:pPr>
            <w:r>
              <w:rPr>
                <w:noProof/>
              </w:rPr>
              <w:t>Nom</w:t>
            </w:r>
          </w:p>
        </w:tc>
        <w:tc>
          <w:tcPr>
            <w:tcW w:w="173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47A0C1D"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noWrap/>
            <w:vAlign w:val="center"/>
          </w:tcPr>
          <w:p w14:paraId="092FAE39"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843" w:type="dxa"/>
            <w:gridSpan w:val="2"/>
            <w:tcBorders>
              <w:top w:val="single" w:sz="4" w:space="0" w:color="auto"/>
              <w:left w:val="nil"/>
              <w:bottom w:val="single" w:sz="4" w:space="0" w:color="auto"/>
              <w:right w:val="single" w:sz="4" w:space="0" w:color="auto"/>
            </w:tcBorders>
            <w:shd w:val="clear" w:color="auto" w:fill="BDD7EE"/>
            <w:noWrap/>
            <w:vAlign w:val="center"/>
          </w:tcPr>
          <w:p w14:paraId="053B7396" w14:textId="77777777" w:rsidR="00A345F4" w:rsidRDefault="005E2D4E">
            <w:pPr>
              <w:pStyle w:val="P68B1DB1-Normal13"/>
              <w:spacing w:after="0" w:line="240" w:lineRule="auto"/>
              <w:jc w:val="center"/>
              <w:rPr>
                <w:rFonts w:eastAsia="Times New Roman"/>
                <w:noProof/>
              </w:rPr>
            </w:pPr>
            <w:r>
              <w:rPr>
                <w:noProof/>
              </w:rPr>
              <w:t>Calendrier indicatif d'achèvement</w:t>
            </w:r>
          </w:p>
        </w:tc>
        <w:tc>
          <w:tcPr>
            <w:tcW w:w="2737" w:type="dxa"/>
            <w:vMerge w:val="restart"/>
            <w:tcBorders>
              <w:top w:val="single" w:sz="4" w:space="0" w:color="auto"/>
              <w:left w:val="nil"/>
              <w:bottom w:val="single" w:sz="4" w:space="0" w:color="auto"/>
              <w:right w:val="single" w:sz="4" w:space="0" w:color="auto"/>
            </w:tcBorders>
            <w:shd w:val="clear" w:color="auto" w:fill="BDD7EE"/>
            <w:noWrap/>
            <w:vAlign w:val="center"/>
          </w:tcPr>
          <w:p w14:paraId="54CE01C8"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056663D9" w14:textId="77777777" w:rsidTr="00E44183">
        <w:trPr>
          <w:trHeight w:val="309"/>
          <w:tblHeader/>
          <w:jc w:val="center"/>
        </w:trPr>
        <w:tc>
          <w:tcPr>
            <w:tcW w:w="715" w:type="dxa"/>
            <w:vMerge/>
            <w:tcBorders>
              <w:top w:val="single" w:sz="4" w:space="0" w:color="auto"/>
              <w:left w:val="single" w:sz="4" w:space="0" w:color="auto"/>
              <w:bottom w:val="single" w:sz="4" w:space="0" w:color="auto"/>
              <w:right w:val="single" w:sz="4" w:space="0" w:color="auto"/>
            </w:tcBorders>
            <w:noWrap/>
            <w:vAlign w:val="center"/>
          </w:tcPr>
          <w:p w14:paraId="3F75B6E5"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2101" w:type="dxa"/>
            <w:vMerge/>
            <w:tcBorders>
              <w:top w:val="single" w:sz="4" w:space="0" w:color="auto"/>
              <w:left w:val="single" w:sz="4" w:space="0" w:color="auto"/>
              <w:bottom w:val="single" w:sz="4" w:space="0" w:color="auto"/>
              <w:right w:val="single" w:sz="4" w:space="0" w:color="auto"/>
            </w:tcBorders>
            <w:noWrap/>
            <w:vAlign w:val="center"/>
          </w:tcPr>
          <w:p w14:paraId="21F6571E"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226" w:type="dxa"/>
            <w:vMerge/>
            <w:tcBorders>
              <w:top w:val="single" w:sz="4" w:space="0" w:color="auto"/>
              <w:left w:val="single" w:sz="4" w:space="0" w:color="auto"/>
              <w:bottom w:val="single" w:sz="4" w:space="0" w:color="auto"/>
              <w:right w:val="single" w:sz="4" w:space="0" w:color="auto"/>
            </w:tcBorders>
            <w:noWrap/>
            <w:vAlign w:val="center"/>
          </w:tcPr>
          <w:p w14:paraId="0278F145"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590" w:type="dxa"/>
            <w:vMerge/>
            <w:tcBorders>
              <w:top w:val="single" w:sz="4" w:space="0" w:color="auto"/>
              <w:left w:val="single" w:sz="4" w:space="0" w:color="auto"/>
              <w:bottom w:val="single" w:sz="4" w:space="0" w:color="auto"/>
              <w:right w:val="single" w:sz="4" w:space="0" w:color="auto"/>
            </w:tcBorders>
            <w:noWrap/>
            <w:vAlign w:val="center"/>
          </w:tcPr>
          <w:p w14:paraId="74CC8F99"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734" w:type="dxa"/>
            <w:vMerge/>
            <w:tcBorders>
              <w:top w:val="single" w:sz="4" w:space="0" w:color="auto"/>
              <w:left w:val="single" w:sz="4" w:space="0" w:color="auto"/>
              <w:bottom w:val="single" w:sz="4" w:space="0" w:color="auto"/>
              <w:right w:val="single" w:sz="4" w:space="0" w:color="auto"/>
            </w:tcBorders>
            <w:noWrap/>
            <w:vAlign w:val="center"/>
          </w:tcPr>
          <w:p w14:paraId="66ADCEE0"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970"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34E666AE" w14:textId="77777777" w:rsidR="00A345F4" w:rsidRDefault="005E2D4E">
            <w:pPr>
              <w:pStyle w:val="P68B1DB1-Normal13"/>
              <w:spacing w:after="0" w:line="240" w:lineRule="auto"/>
              <w:jc w:val="center"/>
              <w:rPr>
                <w:rFonts w:eastAsia="Times New Roman"/>
                <w:noProof/>
              </w:rPr>
            </w:pPr>
            <w:r>
              <w:rPr>
                <w:noProof/>
              </w:rPr>
              <w:t>Unité de mesure</w:t>
            </w:r>
          </w:p>
        </w:tc>
        <w:tc>
          <w:tcPr>
            <w:tcW w:w="1225"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05FDEBFE" w14:textId="77777777" w:rsidR="00A345F4" w:rsidRDefault="005E2D4E">
            <w:pPr>
              <w:pStyle w:val="P68B1DB1-Normal13"/>
              <w:spacing w:after="0" w:line="240" w:lineRule="auto"/>
              <w:jc w:val="center"/>
              <w:rPr>
                <w:rFonts w:eastAsia="Times New Roman"/>
                <w:noProof/>
              </w:rPr>
            </w:pPr>
            <w:r>
              <w:rPr>
                <w:noProof/>
              </w:rPr>
              <w:t>Données de référence</w:t>
            </w:r>
          </w:p>
        </w:tc>
        <w:tc>
          <w:tcPr>
            <w:tcW w:w="782"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79532D63" w14:textId="77777777" w:rsidR="00A345F4" w:rsidRDefault="005E2D4E">
            <w:pPr>
              <w:pStyle w:val="P68B1DB1-Normal13"/>
              <w:spacing w:after="0" w:line="240" w:lineRule="auto"/>
              <w:jc w:val="center"/>
              <w:rPr>
                <w:rFonts w:eastAsia="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07011F10" w14:textId="77777777" w:rsidR="00A345F4" w:rsidRDefault="005E2D4E">
            <w:pPr>
              <w:pStyle w:val="P68B1DB1-Normal13"/>
              <w:spacing w:after="0" w:line="240" w:lineRule="auto"/>
              <w:jc w:val="center"/>
              <w:rPr>
                <w:rFonts w:eastAsia="Times New Roman"/>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51115219" w14:textId="77777777" w:rsidR="00A345F4" w:rsidRDefault="005E2D4E">
            <w:pPr>
              <w:pStyle w:val="P68B1DB1-Normal13"/>
              <w:spacing w:after="0" w:line="240" w:lineRule="auto"/>
              <w:jc w:val="center"/>
              <w:rPr>
                <w:rFonts w:eastAsia="Times New Roman"/>
                <w:noProof/>
              </w:rPr>
            </w:pPr>
            <w:r>
              <w:rPr>
                <w:noProof/>
              </w:rPr>
              <w:t>Année</w:t>
            </w:r>
          </w:p>
        </w:tc>
        <w:tc>
          <w:tcPr>
            <w:tcW w:w="2737" w:type="dxa"/>
            <w:vMerge/>
            <w:tcBorders>
              <w:top w:val="single" w:sz="4" w:space="0" w:color="auto"/>
              <w:bottom w:val="single" w:sz="4" w:space="0" w:color="auto"/>
              <w:right w:val="single" w:sz="4" w:space="0" w:color="auto"/>
            </w:tcBorders>
            <w:noWrap/>
          </w:tcPr>
          <w:p w14:paraId="20876625" w14:textId="77777777" w:rsidR="00A345F4" w:rsidRDefault="00A345F4">
            <w:pPr>
              <w:spacing w:after="0" w:line="240" w:lineRule="auto"/>
              <w:jc w:val="both"/>
              <w:rPr>
                <w:rFonts w:ascii="Times New Roman" w:eastAsia="Times New Roman" w:hAnsi="Times New Roman" w:cs="Times New Roman"/>
                <w:noProof/>
                <w:sz w:val="20"/>
                <w:szCs w:val="20"/>
              </w:rPr>
            </w:pPr>
          </w:p>
        </w:tc>
      </w:tr>
      <w:tr w:rsidR="00A345F4" w14:paraId="08B1C44D"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4113D78" w14:textId="77777777" w:rsidR="00A345F4" w:rsidRDefault="005E2D4E">
            <w:pPr>
              <w:pStyle w:val="P68B1DB1-Normal14"/>
              <w:spacing w:after="0" w:line="240" w:lineRule="auto"/>
              <w:jc w:val="center"/>
              <w:rPr>
                <w:rFonts w:eastAsia="Times New Roman"/>
                <w:noProof/>
              </w:rPr>
            </w:pPr>
            <w:r>
              <w:rPr>
                <w:noProof/>
              </w:rPr>
              <w:t>142</w:t>
            </w:r>
          </w:p>
        </w:tc>
        <w:tc>
          <w:tcPr>
            <w:tcW w:w="2101" w:type="dxa"/>
            <w:tcBorders>
              <w:top w:val="single" w:sz="4" w:space="0" w:color="auto"/>
              <w:left w:val="nil"/>
              <w:bottom w:val="single" w:sz="4" w:space="0" w:color="auto"/>
              <w:right w:val="single" w:sz="4" w:space="0" w:color="auto"/>
            </w:tcBorders>
            <w:shd w:val="clear" w:color="auto" w:fill="C6EFCE"/>
            <w:noWrap/>
          </w:tcPr>
          <w:p w14:paraId="647002ED" w14:textId="77777777" w:rsidR="00A345F4" w:rsidRDefault="005E2D4E">
            <w:pPr>
              <w:pStyle w:val="P68B1DB1-Normal14"/>
              <w:spacing w:after="0" w:line="240" w:lineRule="auto"/>
              <w:jc w:val="both"/>
              <w:rPr>
                <w:rFonts w:eastAsia="Times New Roman"/>
                <w:noProof/>
              </w:rPr>
            </w:pPr>
            <w:r>
              <w:rPr>
                <w:noProof/>
              </w:rPr>
              <w:t xml:space="preserve">Réforme 1. Développement d'un cadre unitaire pour définir l'architecture d'un système cloud gouvernemental </w:t>
            </w:r>
          </w:p>
          <w:p w14:paraId="382D323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38ED1677"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7A83B7EE" w14:textId="77777777" w:rsidR="00A345F4" w:rsidRDefault="005E2D4E">
            <w:pPr>
              <w:pStyle w:val="P68B1DB1-Normal14"/>
              <w:spacing w:after="0" w:line="240" w:lineRule="auto"/>
              <w:jc w:val="both"/>
              <w:rPr>
                <w:rFonts w:eastAsia="Times New Roman"/>
                <w:noProof/>
              </w:rPr>
            </w:pPr>
            <w:r>
              <w:rPr>
                <w:noProof/>
              </w:rPr>
              <w:t>Mise en place et fonctionnement d’une task-force chargée de mettre en œuvre et de suivre les réformes et les investissements en matière de transformation numérique</w:t>
            </w:r>
          </w:p>
        </w:tc>
        <w:tc>
          <w:tcPr>
            <w:tcW w:w="1734" w:type="dxa"/>
            <w:tcBorders>
              <w:top w:val="single" w:sz="4" w:space="0" w:color="auto"/>
              <w:left w:val="nil"/>
              <w:bottom w:val="single" w:sz="4" w:space="0" w:color="auto"/>
              <w:right w:val="single" w:sz="4" w:space="0" w:color="auto"/>
            </w:tcBorders>
            <w:shd w:val="clear" w:color="auto" w:fill="C6EFCE"/>
            <w:noWrap/>
          </w:tcPr>
          <w:p w14:paraId="2A342A76" w14:textId="77777777" w:rsidR="00A345F4" w:rsidRDefault="005E2D4E">
            <w:pPr>
              <w:pStyle w:val="P68B1DB1-Normal14"/>
              <w:spacing w:after="0" w:line="240" w:lineRule="auto"/>
              <w:jc w:val="both"/>
              <w:rPr>
                <w:rFonts w:eastAsia="Times New Roman"/>
                <w:noProof/>
              </w:rPr>
            </w:pPr>
            <w:r>
              <w:rPr>
                <w:noProof/>
              </w:rPr>
              <w:t>Entrée en vigueur de l'arrêté ministériel portant création de la task force</w:t>
            </w:r>
          </w:p>
        </w:tc>
        <w:tc>
          <w:tcPr>
            <w:tcW w:w="970" w:type="dxa"/>
            <w:tcBorders>
              <w:top w:val="single" w:sz="4" w:space="0" w:color="auto"/>
              <w:left w:val="nil"/>
              <w:bottom w:val="single" w:sz="4" w:space="0" w:color="auto"/>
              <w:right w:val="single" w:sz="4" w:space="0" w:color="auto"/>
            </w:tcBorders>
            <w:shd w:val="clear" w:color="auto" w:fill="C6EFCE"/>
            <w:noWrap/>
          </w:tcPr>
          <w:p w14:paraId="2E4DB43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7607FA3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2B173EC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35D09C62" w14:textId="77777777" w:rsidR="00A345F4" w:rsidRDefault="005E2D4E">
            <w:pPr>
              <w:pStyle w:val="P68B1DB1-Normal14"/>
              <w:spacing w:after="0" w:line="240" w:lineRule="auto"/>
              <w:jc w:val="both"/>
              <w:rPr>
                <w:rFonts w:eastAsia="Times New Roman"/>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1F0C1CA4" w14:textId="77777777" w:rsidR="00A345F4" w:rsidRDefault="005E2D4E">
            <w:pPr>
              <w:pStyle w:val="P68B1DB1-Normal14"/>
              <w:spacing w:after="0" w:line="240" w:lineRule="auto"/>
              <w:jc w:val="both"/>
              <w:rPr>
                <w:rFonts w:eastAsia="Times New Roman"/>
                <w:noProof/>
              </w:rPr>
            </w:pPr>
            <w:r>
              <w:rPr>
                <w:noProof/>
              </w:rPr>
              <w:t>2021</w:t>
            </w:r>
          </w:p>
        </w:tc>
        <w:tc>
          <w:tcPr>
            <w:tcW w:w="2737" w:type="dxa"/>
            <w:tcBorders>
              <w:top w:val="single" w:sz="4" w:space="0" w:color="auto"/>
              <w:left w:val="nil"/>
              <w:bottom w:val="single" w:sz="4" w:space="0" w:color="auto"/>
              <w:right w:val="single" w:sz="4" w:space="0" w:color="auto"/>
            </w:tcBorders>
            <w:shd w:val="clear" w:color="auto" w:fill="C6EFCE"/>
            <w:noWrap/>
          </w:tcPr>
          <w:p w14:paraId="2EB38C88" w14:textId="77777777" w:rsidR="00A345F4" w:rsidRDefault="005E2D4E">
            <w:pPr>
              <w:pStyle w:val="P68B1DB1-Normal14"/>
              <w:spacing w:after="0" w:line="240" w:lineRule="auto"/>
              <w:jc w:val="both"/>
              <w:rPr>
                <w:rFonts w:eastAsia="Times New Roman"/>
                <w:noProof/>
              </w:rPr>
            </w:pPr>
            <w:r>
              <w:rPr>
                <w:noProof/>
              </w:rPr>
              <w:t>la mise en œuvre d’une task force temporaire sur la transformation numérique qui emploiera, pendant la période de mise en œuvre du plan pour la reprise et la résilience, 17 postes contractuels hautement spécialisés dans le domaine des technologies numériques et des spécialistes de la gestion de projets. Les principales tâches de cette unité sont les suivantes:</w:t>
            </w:r>
          </w:p>
          <w:p w14:paraId="392305CA" w14:textId="77777777" w:rsidR="00A345F4" w:rsidRDefault="005E2D4E">
            <w:pPr>
              <w:pStyle w:val="P68B1DB1-Normal14"/>
              <w:numPr>
                <w:ilvl w:val="0"/>
                <w:numId w:val="39"/>
              </w:numPr>
              <w:spacing w:after="0" w:line="240" w:lineRule="auto"/>
              <w:ind w:left="259" w:hanging="218"/>
              <w:contextualSpacing/>
              <w:jc w:val="both"/>
              <w:rPr>
                <w:rFonts w:eastAsia="Times New Roman"/>
                <w:noProof/>
              </w:rPr>
            </w:pPr>
            <w:r>
              <w:rPr>
                <w:noProof/>
              </w:rPr>
              <w:t>l’élaboration et la mise en œuvre des composantes sectorielles du plan national pour la reprise et la résilience;</w:t>
            </w:r>
          </w:p>
          <w:p w14:paraId="0FA1DBB2"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suivre la mise en œuvre des réformes et des investissements liés au numérique dans le cadre du plan national pour la reprise et la résilience, en mettant l’accent sur les projets clés, et proposer des mesures correctives immédiates pour les blocs critiques en étroite collaboration avec les autres institutions concernées;</w:t>
            </w:r>
          </w:p>
          <w:p w14:paraId="4F75EFD0"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le développement de systèmes de gestion de la performance des projets couvrant des objectifs spécifiques du pilier numérique;</w:t>
            </w:r>
          </w:p>
          <w:p w14:paraId="7A7DE895"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l'élaboration et la réglementation du cadre réglementaire, méthodologique et des procédures fonctionnelles, opérationnelles et financières dans son domaine d'activité;</w:t>
            </w:r>
          </w:p>
          <w:p w14:paraId="4B509D28"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le développement d’outils pour la mise en œuvre des politiques liées au numérique;</w:t>
            </w:r>
          </w:p>
          <w:p w14:paraId="6EA9D947"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la gestion de projet et l’établissement de rapports sur toutes les étapes de la réalisation des objectifs fixés dans le cadre des mesures liées au numérique dans le plan national pour la reprise et la résilience;</w:t>
            </w:r>
          </w:p>
          <w:p w14:paraId="05015928"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la réalisation de tout autre attribut nécessaire pour couvrir la mise en œuvre des réformes et des investissements liés au numérique dans le cadre du plan national pour la reprise et la résilience.</w:t>
            </w:r>
          </w:p>
          <w:p w14:paraId="1FC5F76D" w14:textId="77777777" w:rsidR="00A345F4" w:rsidRDefault="005E2D4E">
            <w:pPr>
              <w:pStyle w:val="P68B1DB1-Normal14"/>
              <w:spacing w:after="0" w:line="240" w:lineRule="auto"/>
              <w:jc w:val="both"/>
              <w:rPr>
                <w:rFonts w:eastAsia="Times New Roman"/>
                <w:noProof/>
              </w:rPr>
            </w:pPr>
            <w:r>
              <w:rPr>
                <w:noProof/>
              </w:rPr>
              <w:t>La task force est placée sous la coordination d’un directeur, subordonné au ministre qui détient le portefeuille de la numérisation.</w:t>
            </w:r>
          </w:p>
        </w:tc>
      </w:tr>
      <w:tr w:rsidR="00A345F4" w14:paraId="0B185DE6"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6C47E30" w14:textId="77777777" w:rsidR="00A345F4" w:rsidRDefault="005E2D4E">
            <w:pPr>
              <w:pStyle w:val="P68B1DB1-Normal14"/>
              <w:spacing w:after="0" w:line="240" w:lineRule="auto"/>
              <w:jc w:val="center"/>
              <w:rPr>
                <w:rFonts w:eastAsia="Times New Roman"/>
                <w:noProof/>
              </w:rPr>
            </w:pPr>
            <w:r>
              <w:rPr>
                <w:noProof/>
              </w:rPr>
              <w:t>143</w:t>
            </w:r>
          </w:p>
        </w:tc>
        <w:tc>
          <w:tcPr>
            <w:tcW w:w="2101" w:type="dxa"/>
            <w:tcBorders>
              <w:top w:val="single" w:sz="4" w:space="0" w:color="auto"/>
              <w:left w:val="nil"/>
              <w:bottom w:val="single" w:sz="4" w:space="0" w:color="auto"/>
              <w:right w:val="single" w:sz="4" w:space="0" w:color="auto"/>
            </w:tcBorders>
            <w:shd w:val="clear" w:color="auto" w:fill="C6EFCE"/>
            <w:noWrap/>
          </w:tcPr>
          <w:p w14:paraId="5B29C476" w14:textId="77777777" w:rsidR="00A345F4" w:rsidRDefault="005E2D4E">
            <w:pPr>
              <w:pStyle w:val="P68B1DB1-Normal14"/>
              <w:spacing w:after="0" w:line="240" w:lineRule="auto"/>
              <w:jc w:val="both"/>
              <w:rPr>
                <w:rFonts w:eastAsia="Times New Roman"/>
                <w:noProof/>
              </w:rPr>
            </w:pPr>
            <w:r>
              <w:rPr>
                <w:noProof/>
              </w:rPr>
              <w:t xml:space="preserve">Réforme 1. Développement d'un cadre unitaire pour définir l'architecture d'un système cloud gouvernemental </w:t>
            </w:r>
          </w:p>
          <w:p w14:paraId="6C62D894"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271B8D52"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67093776" w14:textId="77777777" w:rsidR="00A345F4" w:rsidRDefault="005E2D4E">
            <w:pPr>
              <w:pStyle w:val="P68B1DB1-Normal14"/>
              <w:spacing w:after="0" w:line="240" w:lineRule="auto"/>
              <w:jc w:val="both"/>
              <w:rPr>
                <w:rFonts w:eastAsia="Times New Roman"/>
                <w:noProof/>
              </w:rPr>
            </w:pPr>
            <w:r>
              <w:rPr>
                <w:noProof/>
              </w:rPr>
              <w:t xml:space="preserve">Analyse terminée des options pour l'architecture cloud du gouvernement </w:t>
            </w:r>
          </w:p>
          <w:p w14:paraId="67A19E4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734" w:type="dxa"/>
            <w:tcBorders>
              <w:top w:val="single" w:sz="4" w:space="0" w:color="auto"/>
              <w:left w:val="nil"/>
              <w:bottom w:val="single" w:sz="4" w:space="0" w:color="auto"/>
              <w:right w:val="single" w:sz="4" w:space="0" w:color="auto"/>
            </w:tcBorders>
            <w:shd w:val="clear" w:color="auto" w:fill="C6EFCE"/>
            <w:noWrap/>
          </w:tcPr>
          <w:p w14:paraId="3E42FA84" w14:textId="77777777" w:rsidR="00A345F4" w:rsidRDefault="005E2D4E">
            <w:pPr>
              <w:pStyle w:val="P68B1DB1-Normal14"/>
              <w:spacing w:after="0" w:line="240" w:lineRule="auto"/>
              <w:jc w:val="both"/>
              <w:rPr>
                <w:rFonts w:eastAsia="Times New Roman"/>
                <w:noProof/>
              </w:rPr>
            </w:pPr>
            <w:r>
              <w:rPr>
                <w:noProof/>
              </w:rPr>
              <w:t>Rapport sur les résultats, avec évaluation et recommandations présentées</w:t>
            </w:r>
          </w:p>
          <w:p w14:paraId="2A916E2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70" w:type="dxa"/>
            <w:tcBorders>
              <w:top w:val="single" w:sz="4" w:space="0" w:color="auto"/>
              <w:left w:val="nil"/>
              <w:bottom w:val="single" w:sz="4" w:space="0" w:color="auto"/>
              <w:right w:val="single" w:sz="4" w:space="0" w:color="auto"/>
            </w:tcBorders>
            <w:shd w:val="clear" w:color="auto" w:fill="C6EFCE"/>
            <w:noWrap/>
          </w:tcPr>
          <w:p w14:paraId="283C6E1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31595076"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4A70975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5C6B6BC1" w14:textId="77777777" w:rsidR="00A345F4" w:rsidRDefault="005E2D4E">
            <w:pPr>
              <w:pStyle w:val="P68B1DB1-Normal14"/>
              <w:spacing w:after="0" w:line="240" w:lineRule="auto"/>
              <w:jc w:val="both"/>
              <w:rPr>
                <w:rFonts w:eastAsia="Times New Roman"/>
                <w:noProof/>
              </w:rPr>
            </w:pPr>
            <w:r>
              <w:rPr>
                <w:noProof/>
              </w:rPr>
              <w:t>T1</w:t>
            </w:r>
          </w:p>
        </w:tc>
        <w:tc>
          <w:tcPr>
            <w:tcW w:w="851" w:type="dxa"/>
            <w:tcBorders>
              <w:top w:val="single" w:sz="4" w:space="0" w:color="auto"/>
              <w:left w:val="nil"/>
              <w:bottom w:val="single" w:sz="4" w:space="0" w:color="auto"/>
              <w:right w:val="single" w:sz="4" w:space="0" w:color="auto"/>
            </w:tcBorders>
            <w:shd w:val="clear" w:color="auto" w:fill="C6EFCE"/>
            <w:noWrap/>
          </w:tcPr>
          <w:p w14:paraId="2011A1F5" w14:textId="77777777" w:rsidR="00A345F4" w:rsidRDefault="005E2D4E">
            <w:pPr>
              <w:pStyle w:val="P68B1DB1-Normal14"/>
              <w:spacing w:after="0" w:line="240" w:lineRule="auto"/>
              <w:jc w:val="both"/>
              <w:rPr>
                <w:rFonts w:eastAsia="Times New Roman"/>
                <w:noProof/>
              </w:rPr>
            </w:pPr>
            <w:r>
              <w:rPr>
                <w:noProof/>
              </w:rPr>
              <w:t>2022</w:t>
            </w:r>
          </w:p>
        </w:tc>
        <w:tc>
          <w:tcPr>
            <w:tcW w:w="2737" w:type="dxa"/>
            <w:tcBorders>
              <w:top w:val="single" w:sz="4" w:space="0" w:color="auto"/>
              <w:left w:val="nil"/>
              <w:bottom w:val="single" w:sz="4" w:space="0" w:color="auto"/>
              <w:right w:val="single" w:sz="4" w:space="0" w:color="auto"/>
            </w:tcBorders>
            <w:shd w:val="clear" w:color="auto" w:fill="C6EFCE"/>
            <w:noWrap/>
          </w:tcPr>
          <w:p w14:paraId="5F7EFB7C" w14:textId="77777777" w:rsidR="00A345F4" w:rsidRDefault="005E2D4E">
            <w:pPr>
              <w:pStyle w:val="P68B1DB1-Normal14"/>
              <w:spacing w:after="0" w:line="240" w:lineRule="auto"/>
              <w:jc w:val="both"/>
              <w:rPr>
                <w:rFonts w:eastAsia="Times New Roman"/>
                <w:noProof/>
              </w:rPr>
            </w:pPr>
            <w:r>
              <w:rPr>
                <w:noProof/>
              </w:rPr>
              <w:t xml:space="preserve">L'analyse doit présenter: </w:t>
            </w:r>
          </w:p>
          <w:p w14:paraId="2582A8D4"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les options stratégiques et technologiques et le train de mesures législatives et réglementaires visant à déterminer la réalisation du nuage gouvernemental, y compris les règles d’interopérabilité et le modèle de gouvernance des données gouvernementales;</w:t>
            </w:r>
          </w:p>
          <w:p w14:paraId="20938C42"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 xml:space="preserve">les possibilités de construction, de livraison, d'installation et d'exploitation d'infrastructures civiles et technologiques conformément aux délais fixés dans le plan; </w:t>
            </w:r>
          </w:p>
          <w:p w14:paraId="57787F24"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 xml:space="preserve">cartographie des applications/services numériques publics actuellement proposés par les autorités de l’État, conception des processus et procédures mis en œuvre au stade de la production et/ou de la mise en œuvre; </w:t>
            </w:r>
          </w:p>
          <w:p w14:paraId="44B266A3"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le plan de développement/migration cloud des applications cartographiées.</w:t>
            </w:r>
          </w:p>
        </w:tc>
      </w:tr>
      <w:tr w:rsidR="00A345F4" w14:paraId="02F896E8"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0D6FC7F" w14:textId="77777777" w:rsidR="00A345F4" w:rsidRDefault="005E2D4E">
            <w:pPr>
              <w:pStyle w:val="P68B1DB1-Normal14"/>
              <w:spacing w:after="0" w:line="240" w:lineRule="auto"/>
              <w:jc w:val="center"/>
              <w:rPr>
                <w:rFonts w:eastAsia="Times New Roman"/>
                <w:noProof/>
              </w:rPr>
            </w:pPr>
            <w:r>
              <w:rPr>
                <w:noProof/>
              </w:rPr>
              <w:t>144</w:t>
            </w:r>
          </w:p>
        </w:tc>
        <w:tc>
          <w:tcPr>
            <w:tcW w:w="2101" w:type="dxa"/>
            <w:tcBorders>
              <w:top w:val="single" w:sz="4" w:space="0" w:color="auto"/>
              <w:left w:val="nil"/>
              <w:bottom w:val="single" w:sz="4" w:space="0" w:color="auto"/>
              <w:right w:val="single" w:sz="4" w:space="0" w:color="auto"/>
            </w:tcBorders>
            <w:shd w:val="clear" w:color="auto" w:fill="C6EFCE"/>
            <w:noWrap/>
          </w:tcPr>
          <w:p w14:paraId="12A179F8" w14:textId="77777777" w:rsidR="00A345F4" w:rsidRDefault="005E2D4E">
            <w:pPr>
              <w:pStyle w:val="P68B1DB1-Normal14"/>
              <w:spacing w:after="0" w:line="240" w:lineRule="auto"/>
              <w:jc w:val="both"/>
              <w:rPr>
                <w:rFonts w:eastAsia="Times New Roman"/>
                <w:noProof/>
              </w:rPr>
            </w:pPr>
            <w:r>
              <w:rPr>
                <w:noProof/>
              </w:rPr>
              <w:t xml:space="preserve">Réforme 1. Développement d'un cadre unitaire pour définir l'architecture d'un système cloud gouvernemental </w:t>
            </w:r>
          </w:p>
          <w:p w14:paraId="57D0CCC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004DA6AC"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3DFFD1ED" w14:textId="77777777" w:rsidR="00A345F4" w:rsidRDefault="005E2D4E">
            <w:pPr>
              <w:pStyle w:val="P68B1DB1-Normal14"/>
              <w:spacing w:after="0" w:line="240" w:lineRule="auto"/>
              <w:jc w:val="both"/>
              <w:rPr>
                <w:rFonts w:eastAsia="Times New Roman"/>
                <w:noProof/>
              </w:rPr>
            </w:pPr>
            <w:r>
              <w:rPr>
                <w:noProof/>
              </w:rPr>
              <w:t>Entrée en vigueur de la loi sur la gouvernance des services en nuage pour le secteur public</w:t>
            </w:r>
          </w:p>
        </w:tc>
        <w:tc>
          <w:tcPr>
            <w:tcW w:w="1734" w:type="dxa"/>
            <w:tcBorders>
              <w:top w:val="single" w:sz="4" w:space="0" w:color="auto"/>
              <w:left w:val="nil"/>
              <w:bottom w:val="single" w:sz="4" w:space="0" w:color="auto"/>
              <w:right w:val="single" w:sz="4" w:space="0" w:color="auto"/>
            </w:tcBorders>
            <w:shd w:val="clear" w:color="auto" w:fill="C6EFCE"/>
            <w:noWrap/>
          </w:tcPr>
          <w:p w14:paraId="1A2548D8"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 loi sur la gouvernance des services en nuage</w:t>
            </w:r>
          </w:p>
        </w:tc>
        <w:tc>
          <w:tcPr>
            <w:tcW w:w="970" w:type="dxa"/>
            <w:tcBorders>
              <w:top w:val="single" w:sz="4" w:space="0" w:color="auto"/>
              <w:left w:val="nil"/>
              <w:bottom w:val="single" w:sz="4" w:space="0" w:color="auto"/>
              <w:right w:val="single" w:sz="4" w:space="0" w:color="auto"/>
            </w:tcBorders>
            <w:shd w:val="clear" w:color="auto" w:fill="C6EFCE"/>
            <w:noWrap/>
          </w:tcPr>
          <w:p w14:paraId="23683CD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70F3E58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57B9D79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0F91A53D"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617CCAA8" w14:textId="77777777" w:rsidR="00A345F4" w:rsidRDefault="005E2D4E">
            <w:pPr>
              <w:pStyle w:val="P68B1DB1-Normal14"/>
              <w:spacing w:after="0" w:line="240" w:lineRule="auto"/>
              <w:jc w:val="both"/>
              <w:rPr>
                <w:rFonts w:eastAsia="Times New Roman"/>
                <w:noProof/>
              </w:rPr>
            </w:pPr>
            <w:r>
              <w:rPr>
                <w:noProof/>
              </w:rPr>
              <w:t>2022</w:t>
            </w:r>
          </w:p>
        </w:tc>
        <w:tc>
          <w:tcPr>
            <w:tcW w:w="2737" w:type="dxa"/>
            <w:tcBorders>
              <w:top w:val="single" w:sz="4" w:space="0" w:color="auto"/>
              <w:left w:val="nil"/>
              <w:bottom w:val="single" w:sz="4" w:space="0" w:color="auto"/>
              <w:right w:val="single" w:sz="4" w:space="0" w:color="auto"/>
            </w:tcBorders>
            <w:shd w:val="clear" w:color="auto" w:fill="C6EFCE"/>
            <w:noWrap/>
          </w:tcPr>
          <w:p w14:paraId="0B778366" w14:textId="77777777" w:rsidR="00A345F4" w:rsidRDefault="005E2D4E">
            <w:pPr>
              <w:pStyle w:val="P68B1DB1-Normal14"/>
              <w:spacing w:after="0" w:line="240" w:lineRule="auto"/>
              <w:jc w:val="both"/>
              <w:rPr>
                <w:rFonts w:eastAsia="Times New Roman"/>
                <w:noProof/>
              </w:rPr>
            </w:pPr>
            <w:r>
              <w:rPr>
                <w:noProof/>
              </w:rPr>
              <w:t xml:space="preserve">La nouvelle loi établit un cadre général pour le développement et la gestion d’une infrastructure en nuage, composée d’un ensemble de ressources et de services en matière de technologies de l’information, de communications et de cybersécurité, partagé par le secteur public conformément à la stratégie européenne en matière d’informatique en nuage et aligné sur le cadre national d’interopérabilité. </w:t>
            </w:r>
          </w:p>
        </w:tc>
      </w:tr>
      <w:tr w:rsidR="00A345F4" w14:paraId="68CB2B8C"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5C1F443" w14:textId="77777777" w:rsidR="00A345F4" w:rsidRDefault="005E2D4E">
            <w:pPr>
              <w:pStyle w:val="P68B1DB1-Normal14"/>
              <w:spacing w:after="0" w:line="240" w:lineRule="auto"/>
              <w:jc w:val="center"/>
              <w:rPr>
                <w:rFonts w:eastAsia="Times New Roman"/>
                <w:noProof/>
              </w:rPr>
            </w:pPr>
            <w:r>
              <w:rPr>
                <w:noProof/>
              </w:rPr>
              <w:t>145</w:t>
            </w:r>
          </w:p>
        </w:tc>
        <w:tc>
          <w:tcPr>
            <w:tcW w:w="2101" w:type="dxa"/>
            <w:tcBorders>
              <w:top w:val="single" w:sz="4" w:space="0" w:color="auto"/>
              <w:left w:val="nil"/>
              <w:bottom w:val="single" w:sz="4" w:space="0" w:color="auto"/>
              <w:right w:val="single" w:sz="4" w:space="0" w:color="auto"/>
            </w:tcBorders>
            <w:shd w:val="clear" w:color="auto" w:fill="C6EFCE"/>
            <w:noWrap/>
          </w:tcPr>
          <w:p w14:paraId="4CC467BD" w14:textId="77777777" w:rsidR="00A345F4" w:rsidRDefault="005E2D4E">
            <w:pPr>
              <w:pStyle w:val="P68B1DB1-Normal14"/>
              <w:spacing w:after="0" w:line="240" w:lineRule="auto"/>
              <w:jc w:val="both"/>
              <w:rPr>
                <w:rFonts w:eastAsia="Times New Roman"/>
                <w:noProof/>
              </w:rPr>
            </w:pPr>
            <w:r>
              <w:rPr>
                <w:noProof/>
              </w:rPr>
              <w:t xml:space="preserve">Réforme 1. Développement d'un cadre unitaire pour définir l'architecture d'un système cloud gouvernemental </w:t>
            </w:r>
          </w:p>
          <w:p w14:paraId="25CC8D6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3358CCA2"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70AF2922" w14:textId="77777777" w:rsidR="00A345F4" w:rsidRDefault="005E2D4E">
            <w:pPr>
              <w:pStyle w:val="P68B1DB1-Normal14"/>
              <w:spacing w:after="0" w:line="240" w:lineRule="auto"/>
              <w:jc w:val="both"/>
              <w:rPr>
                <w:rFonts w:eastAsia="Times New Roman"/>
                <w:noProof/>
              </w:rPr>
            </w:pPr>
            <w:r>
              <w:rPr>
                <w:noProof/>
              </w:rPr>
              <w:t>Entrée en vigueur de la loi sur l'interopérabilité</w:t>
            </w:r>
          </w:p>
        </w:tc>
        <w:tc>
          <w:tcPr>
            <w:tcW w:w="1734" w:type="dxa"/>
            <w:tcBorders>
              <w:top w:val="single" w:sz="4" w:space="0" w:color="auto"/>
              <w:left w:val="nil"/>
              <w:bottom w:val="single" w:sz="4" w:space="0" w:color="auto"/>
              <w:right w:val="single" w:sz="4" w:space="0" w:color="auto"/>
            </w:tcBorders>
            <w:shd w:val="clear" w:color="auto" w:fill="C6EFCE"/>
            <w:noWrap/>
          </w:tcPr>
          <w:p w14:paraId="0AC9E5BB" w14:textId="77777777" w:rsidR="00A345F4" w:rsidRDefault="005E2D4E">
            <w:pPr>
              <w:pStyle w:val="P68B1DB1-Normal14"/>
              <w:spacing w:after="0" w:line="240" w:lineRule="auto"/>
              <w:rPr>
                <w:rFonts w:eastAsia="Times New Roman"/>
                <w:noProof/>
              </w:rPr>
            </w:pPr>
            <w:r>
              <w:rPr>
                <w:noProof/>
              </w:rPr>
              <w:t>Disposition de la loi indiquant l'entrée en vigueur de la loi sur l'interopérabilité</w:t>
            </w:r>
          </w:p>
        </w:tc>
        <w:tc>
          <w:tcPr>
            <w:tcW w:w="970" w:type="dxa"/>
            <w:tcBorders>
              <w:top w:val="single" w:sz="4" w:space="0" w:color="auto"/>
              <w:left w:val="nil"/>
              <w:bottom w:val="single" w:sz="4" w:space="0" w:color="auto"/>
              <w:right w:val="single" w:sz="4" w:space="0" w:color="auto"/>
            </w:tcBorders>
            <w:shd w:val="clear" w:color="auto" w:fill="C6EFCE"/>
            <w:noWrap/>
          </w:tcPr>
          <w:p w14:paraId="7E7EEB74"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661BCE0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53BAE8C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44813A7D" w14:textId="77777777" w:rsidR="00A345F4" w:rsidRDefault="005E2D4E">
            <w:pPr>
              <w:pStyle w:val="P68B1DB1-Normal14"/>
              <w:spacing w:after="0" w:line="240" w:lineRule="auto"/>
              <w:jc w:val="both"/>
              <w:rPr>
                <w:rFonts w:eastAsia="Times New Roman"/>
                <w:noProof/>
              </w:rPr>
            </w:pPr>
            <w:r>
              <w:rPr>
                <w:noProof/>
              </w:rPr>
              <w:t>T2</w:t>
            </w:r>
          </w:p>
          <w:p w14:paraId="2CADB49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1EF5BCE7" w14:textId="77777777" w:rsidR="00A345F4" w:rsidRDefault="005E2D4E">
            <w:pPr>
              <w:pStyle w:val="P68B1DB1-Normal14"/>
              <w:spacing w:after="0" w:line="240" w:lineRule="auto"/>
              <w:jc w:val="both"/>
              <w:rPr>
                <w:rFonts w:eastAsia="Times New Roman"/>
                <w:noProof/>
              </w:rPr>
            </w:pPr>
            <w:r>
              <w:rPr>
                <w:noProof/>
              </w:rPr>
              <w:t>2022</w:t>
            </w:r>
          </w:p>
          <w:p w14:paraId="545CBEA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2737" w:type="dxa"/>
            <w:tcBorders>
              <w:top w:val="single" w:sz="4" w:space="0" w:color="auto"/>
              <w:left w:val="nil"/>
              <w:bottom w:val="single" w:sz="4" w:space="0" w:color="auto"/>
              <w:right w:val="single" w:sz="4" w:space="0" w:color="auto"/>
            </w:tcBorders>
            <w:shd w:val="clear" w:color="auto" w:fill="C6EFCE"/>
            <w:noWrap/>
          </w:tcPr>
          <w:p w14:paraId="050B43F2" w14:textId="77777777" w:rsidR="00A345F4" w:rsidRDefault="005E2D4E">
            <w:pPr>
              <w:pStyle w:val="P68B1DB1-Normal14"/>
              <w:tabs>
                <w:tab w:val="left" w:pos="207"/>
              </w:tabs>
              <w:spacing w:after="0" w:line="240" w:lineRule="auto"/>
              <w:jc w:val="both"/>
              <w:rPr>
                <w:rFonts w:eastAsia="Times New Roman"/>
                <w:noProof/>
              </w:rPr>
            </w:pPr>
            <w:r>
              <w:rPr>
                <w:noProof/>
              </w:rPr>
              <w:t>La nouvelle loi:</w:t>
            </w:r>
          </w:p>
          <w:p w14:paraId="1C3A59A2"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 xml:space="preserve">être alignés sur les dispositions du cadre d’interopérabilité européen; </w:t>
            </w:r>
            <w:r w:rsidRPr="00E75F9B">
              <w:rPr>
                <w:noProof/>
                <w:vertAlign w:val="superscript"/>
              </w:rPr>
              <w:footnoteReference w:id="3"/>
            </w:r>
          </w:p>
          <w:p w14:paraId="058D509B"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mettre en place un cadre/une gouvernance pour soutenir la sélection de normes et de règles pertinentes pour le développement d’applications et de services par le secteur public dans un environnement sûr et durable;</w:t>
            </w:r>
          </w:p>
          <w:p w14:paraId="1959F8FE"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opérationnaliser la migration et l’intégration des données dans les structures de données existantes, tout en garantissant l’interopérabilité;</w:t>
            </w:r>
          </w:p>
          <w:p w14:paraId="2BB1E1F8"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veiller à ce que la mise en œuvre des fonctionnalités implique l’alignement des infrastructures nationales d’identification et d’autorisation sur les États membres de l’UE dans le cadre d’un système transnational, conformément aux règles européennes énoncées dans le règlement (UE) 2014/910 eIDAS sur l’identification électronique et les services de confiance pour les transactions électroniques au sein du marché intérieur;</w:t>
            </w:r>
          </w:p>
          <w:p w14:paraId="6236BBB0"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tenir compte du principe «une fois pour toutes» inscrit dans le règlement (UE) 2018/1724 sur le portail numérique unique.</w:t>
            </w:r>
          </w:p>
        </w:tc>
      </w:tr>
      <w:tr w:rsidR="00A345F4" w14:paraId="2B8594F4"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552872E" w14:textId="77777777" w:rsidR="00A345F4" w:rsidRDefault="005E2D4E">
            <w:pPr>
              <w:pStyle w:val="P68B1DB1-Normal14"/>
              <w:spacing w:after="0" w:line="240" w:lineRule="auto"/>
              <w:jc w:val="center"/>
              <w:rPr>
                <w:rFonts w:eastAsia="Times New Roman"/>
                <w:noProof/>
              </w:rPr>
            </w:pPr>
            <w:r>
              <w:rPr>
                <w:noProof/>
              </w:rPr>
              <w:t>146</w:t>
            </w:r>
          </w:p>
        </w:tc>
        <w:tc>
          <w:tcPr>
            <w:tcW w:w="2101" w:type="dxa"/>
            <w:tcBorders>
              <w:top w:val="single" w:sz="4" w:space="0" w:color="auto"/>
              <w:left w:val="nil"/>
              <w:bottom w:val="single" w:sz="4" w:space="0" w:color="auto"/>
              <w:right w:val="single" w:sz="4" w:space="0" w:color="auto"/>
            </w:tcBorders>
            <w:shd w:val="clear" w:color="auto" w:fill="C6EFCE"/>
            <w:noWrap/>
          </w:tcPr>
          <w:p w14:paraId="5A18CA13" w14:textId="77777777" w:rsidR="00A345F4" w:rsidRDefault="005E2D4E">
            <w:pPr>
              <w:pStyle w:val="P68B1DB1-Normal14"/>
              <w:spacing w:after="0" w:line="240" w:lineRule="auto"/>
              <w:jc w:val="both"/>
              <w:rPr>
                <w:rFonts w:eastAsia="Times New Roman"/>
                <w:noProof/>
              </w:rPr>
            </w:pPr>
            <w:r>
              <w:rPr>
                <w:noProof/>
              </w:rPr>
              <w:t>Réforme 2.</w:t>
            </w:r>
          </w:p>
          <w:p w14:paraId="040D16FE" w14:textId="77777777" w:rsidR="00A345F4" w:rsidRDefault="005E2D4E">
            <w:pPr>
              <w:pStyle w:val="P68B1DB1-Normal14"/>
              <w:spacing w:after="0" w:line="240" w:lineRule="auto"/>
              <w:jc w:val="both"/>
              <w:rPr>
                <w:rFonts w:eastAsia="Times New Roman"/>
                <w:noProof/>
              </w:rPr>
            </w:pPr>
            <w:r>
              <w:rPr>
                <w:noProof/>
              </w:rPr>
              <w:t xml:space="preserve">Transition vers les objectifs de connectivité de l’UE à l’horizon 2025 et stimulation des investissements privés pour le déploiement de réseaux à très haute capacité </w:t>
            </w:r>
          </w:p>
        </w:tc>
        <w:tc>
          <w:tcPr>
            <w:tcW w:w="1226" w:type="dxa"/>
            <w:tcBorders>
              <w:top w:val="single" w:sz="4" w:space="0" w:color="auto"/>
              <w:left w:val="nil"/>
              <w:bottom w:val="single" w:sz="4" w:space="0" w:color="auto"/>
              <w:right w:val="single" w:sz="4" w:space="0" w:color="auto"/>
            </w:tcBorders>
            <w:shd w:val="clear" w:color="auto" w:fill="C6EFCE"/>
            <w:noWrap/>
          </w:tcPr>
          <w:p w14:paraId="0537CAD2"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486C84C6" w14:textId="77777777" w:rsidR="00A345F4" w:rsidRDefault="005E2D4E">
            <w:pPr>
              <w:pStyle w:val="P68B1DB1-Normal14"/>
              <w:spacing w:after="0" w:line="240" w:lineRule="auto"/>
              <w:jc w:val="both"/>
              <w:rPr>
                <w:rFonts w:eastAsia="Times New Roman"/>
                <w:noProof/>
              </w:rPr>
            </w:pPr>
            <w:r>
              <w:rPr>
                <w:noProof/>
              </w:rPr>
              <w:t xml:space="preserve">Entrée en vigueur de la loi sur la sécurité des réseaux 5G </w:t>
            </w:r>
          </w:p>
        </w:tc>
        <w:tc>
          <w:tcPr>
            <w:tcW w:w="1734" w:type="dxa"/>
            <w:tcBorders>
              <w:top w:val="single" w:sz="4" w:space="0" w:color="auto"/>
              <w:left w:val="nil"/>
              <w:bottom w:val="single" w:sz="4" w:space="0" w:color="auto"/>
              <w:right w:val="single" w:sz="4" w:space="0" w:color="auto"/>
            </w:tcBorders>
            <w:shd w:val="clear" w:color="auto" w:fill="C6EFCE"/>
            <w:noWrap/>
          </w:tcPr>
          <w:p w14:paraId="062E7966"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 loi sur la sécurité de la 5G</w:t>
            </w:r>
          </w:p>
        </w:tc>
        <w:tc>
          <w:tcPr>
            <w:tcW w:w="970" w:type="dxa"/>
            <w:tcBorders>
              <w:top w:val="single" w:sz="4" w:space="0" w:color="auto"/>
              <w:left w:val="nil"/>
              <w:bottom w:val="single" w:sz="4" w:space="0" w:color="auto"/>
              <w:right w:val="single" w:sz="4" w:space="0" w:color="auto"/>
            </w:tcBorders>
            <w:shd w:val="clear" w:color="auto" w:fill="C6EFCE"/>
            <w:noWrap/>
          </w:tcPr>
          <w:p w14:paraId="3FF3ECE3" w14:textId="77777777" w:rsidR="00A345F4" w:rsidRDefault="005E2D4E">
            <w:pPr>
              <w:pStyle w:val="P68B1DB1-Normal14"/>
              <w:spacing w:after="0" w:line="240" w:lineRule="auto"/>
              <w:jc w:val="both"/>
              <w:rPr>
                <w:rFonts w:eastAsia="Times New Roman"/>
                <w:noProof/>
              </w:rPr>
            </w:pPr>
            <w:r>
              <w:rPr>
                <w:noProof/>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0BD3881A" w14:textId="77777777" w:rsidR="00A345F4" w:rsidRDefault="005E2D4E">
            <w:pPr>
              <w:pStyle w:val="P68B1DB1-Normal14"/>
              <w:spacing w:after="0" w:line="240" w:lineRule="auto"/>
              <w:jc w:val="both"/>
              <w:rPr>
                <w:rFonts w:eastAsia="Times New Roman"/>
                <w:noProof/>
              </w:rPr>
            </w:pPr>
            <w:r>
              <w:rPr>
                <w:noProof/>
              </w:rPr>
              <w:t xml:space="preserve"> </w:t>
            </w:r>
          </w:p>
        </w:tc>
        <w:tc>
          <w:tcPr>
            <w:tcW w:w="782" w:type="dxa"/>
            <w:tcBorders>
              <w:top w:val="single" w:sz="4" w:space="0" w:color="auto"/>
              <w:left w:val="nil"/>
              <w:bottom w:val="single" w:sz="4" w:space="0" w:color="auto"/>
              <w:right w:val="single" w:sz="4" w:space="0" w:color="auto"/>
            </w:tcBorders>
            <w:shd w:val="clear" w:color="auto" w:fill="C6EFCE"/>
            <w:noWrap/>
          </w:tcPr>
          <w:p w14:paraId="4D18F36F" w14:textId="77777777" w:rsidR="00A345F4" w:rsidRDefault="005E2D4E">
            <w:pPr>
              <w:pStyle w:val="P68B1DB1-Normal14"/>
              <w:spacing w:after="0" w:line="240" w:lineRule="auto"/>
              <w:jc w:val="both"/>
              <w:rPr>
                <w:rFonts w:eastAsia="Times New Roman"/>
                <w:noProof/>
              </w:rPr>
            </w:pPr>
            <w:r>
              <w:rPr>
                <w:noProof/>
              </w:rPr>
              <w:t xml:space="preserve"> </w:t>
            </w:r>
          </w:p>
        </w:tc>
        <w:tc>
          <w:tcPr>
            <w:tcW w:w="992" w:type="dxa"/>
            <w:tcBorders>
              <w:top w:val="single" w:sz="4" w:space="0" w:color="auto"/>
              <w:left w:val="nil"/>
              <w:bottom w:val="single" w:sz="4" w:space="0" w:color="auto"/>
              <w:right w:val="single" w:sz="4" w:space="0" w:color="auto"/>
            </w:tcBorders>
            <w:shd w:val="clear" w:color="auto" w:fill="C6EFCE"/>
            <w:noWrap/>
          </w:tcPr>
          <w:p w14:paraId="513FC6AF"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16B60DDB" w14:textId="77777777" w:rsidR="00A345F4" w:rsidRDefault="005E2D4E">
            <w:pPr>
              <w:pStyle w:val="P68B1DB1-Normal14"/>
              <w:spacing w:after="0" w:line="240" w:lineRule="auto"/>
              <w:jc w:val="both"/>
              <w:rPr>
                <w:rFonts w:eastAsia="Times New Roman"/>
                <w:noProof/>
              </w:rPr>
            </w:pPr>
            <w:r>
              <w:rPr>
                <w:noProof/>
              </w:rPr>
              <w:t>2021</w:t>
            </w:r>
          </w:p>
        </w:tc>
        <w:tc>
          <w:tcPr>
            <w:tcW w:w="2737" w:type="dxa"/>
            <w:tcBorders>
              <w:top w:val="single" w:sz="4" w:space="0" w:color="auto"/>
              <w:left w:val="nil"/>
              <w:bottom w:val="single" w:sz="4" w:space="0" w:color="auto"/>
              <w:right w:val="single" w:sz="4" w:space="0" w:color="auto"/>
            </w:tcBorders>
            <w:shd w:val="clear" w:color="auto" w:fill="C6EFCE"/>
            <w:noWrap/>
          </w:tcPr>
          <w:p w14:paraId="613E3BB6" w14:textId="77777777" w:rsidR="00A345F4" w:rsidRDefault="005E2D4E">
            <w:pPr>
              <w:pStyle w:val="P68B1DB1-Normal14"/>
              <w:spacing w:after="0" w:line="240" w:lineRule="auto"/>
              <w:contextualSpacing/>
              <w:jc w:val="both"/>
              <w:rPr>
                <w:rFonts w:eastAsia="Times New Roman"/>
                <w:noProof/>
              </w:rPr>
            </w:pPr>
            <w:r>
              <w:rPr>
                <w:noProof/>
              </w:rPr>
              <w:t>Entrée en vigueur de la loi sur la sécurité des réseaux 5G. Les principales dispositions ciblent les fournisseurs de communications qui ne peuvent utiliser des technologies, des équipements et des logiciels dans les réseaux 5G que de la part de fabricants préalablement autorisés par décision du Premier ministre, sur la base de l’avis du Conseil suprême de la défense nationale. Chaque fabricant d’équipements et de logiciels 5G doit demander cette autorisation, qui est soumise au ministère chargé des communications.</w:t>
            </w:r>
          </w:p>
        </w:tc>
      </w:tr>
      <w:tr w:rsidR="00A345F4" w14:paraId="5672559C"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EB01455" w14:textId="77777777" w:rsidR="00A345F4" w:rsidRDefault="005E2D4E">
            <w:pPr>
              <w:pStyle w:val="P68B1DB1-Normal14"/>
              <w:spacing w:after="0" w:line="240" w:lineRule="auto"/>
              <w:jc w:val="center"/>
              <w:rPr>
                <w:rFonts w:eastAsia="Times New Roman"/>
                <w:noProof/>
              </w:rPr>
            </w:pPr>
            <w:r>
              <w:rPr>
                <w:noProof/>
              </w:rPr>
              <w:t>147</w:t>
            </w:r>
          </w:p>
        </w:tc>
        <w:tc>
          <w:tcPr>
            <w:tcW w:w="2101" w:type="dxa"/>
            <w:tcBorders>
              <w:top w:val="single" w:sz="4" w:space="0" w:color="auto"/>
              <w:left w:val="nil"/>
              <w:bottom w:val="single" w:sz="4" w:space="0" w:color="auto"/>
              <w:right w:val="single" w:sz="4" w:space="0" w:color="auto"/>
            </w:tcBorders>
            <w:shd w:val="clear" w:color="auto" w:fill="C6EFCE"/>
            <w:noWrap/>
          </w:tcPr>
          <w:p w14:paraId="0408C37F" w14:textId="77777777" w:rsidR="00A345F4" w:rsidRDefault="005E2D4E">
            <w:pPr>
              <w:pStyle w:val="P68B1DB1-Normal14"/>
              <w:spacing w:after="0" w:line="240" w:lineRule="auto"/>
              <w:jc w:val="both"/>
              <w:rPr>
                <w:rFonts w:eastAsia="Times New Roman"/>
                <w:noProof/>
              </w:rPr>
            </w:pPr>
            <w:r>
              <w:rPr>
                <w:noProof/>
              </w:rPr>
              <w:t>Réforme 2.</w:t>
            </w:r>
          </w:p>
          <w:p w14:paraId="5F407E9B" w14:textId="77777777" w:rsidR="00A345F4" w:rsidRDefault="005E2D4E">
            <w:pPr>
              <w:pStyle w:val="P68B1DB1-Normal14"/>
              <w:spacing w:after="0" w:line="240" w:lineRule="auto"/>
              <w:jc w:val="both"/>
              <w:rPr>
                <w:rFonts w:eastAsia="Times New Roman"/>
                <w:noProof/>
              </w:rPr>
            </w:pPr>
            <w:r>
              <w:rPr>
                <w:noProof/>
              </w:rPr>
              <w:t xml:space="preserve">Transition vers les objectifs de connectivité de l’UE à l’horizon 2025 et stimulation des investissements privés pour le déploiement de réseaux à très haute capacité </w:t>
            </w:r>
          </w:p>
        </w:tc>
        <w:tc>
          <w:tcPr>
            <w:tcW w:w="1226" w:type="dxa"/>
            <w:tcBorders>
              <w:top w:val="single" w:sz="4" w:space="0" w:color="auto"/>
              <w:left w:val="nil"/>
              <w:bottom w:val="single" w:sz="4" w:space="0" w:color="auto"/>
              <w:right w:val="single" w:sz="4" w:space="0" w:color="auto"/>
            </w:tcBorders>
            <w:shd w:val="clear" w:color="auto" w:fill="C6EFCE"/>
            <w:noWrap/>
          </w:tcPr>
          <w:p w14:paraId="4845E53D"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3C782256" w14:textId="77777777" w:rsidR="00A345F4" w:rsidRDefault="005E2D4E">
            <w:pPr>
              <w:pStyle w:val="P68B1DB1-Normal14"/>
              <w:spacing w:after="0" w:line="240" w:lineRule="auto"/>
              <w:jc w:val="both"/>
              <w:rPr>
                <w:rFonts w:eastAsia="Times New Roman"/>
                <w:noProof/>
              </w:rPr>
            </w:pPr>
            <w:r>
              <w:rPr>
                <w:noProof/>
              </w:rPr>
              <w:t xml:space="preserve">Publication de l’appel d’offres pour l’autorisation des opérateurs de télécommunications d’octroyer des licences 5G </w:t>
            </w:r>
          </w:p>
        </w:tc>
        <w:tc>
          <w:tcPr>
            <w:tcW w:w="1734" w:type="dxa"/>
            <w:tcBorders>
              <w:top w:val="single" w:sz="4" w:space="0" w:color="auto"/>
              <w:left w:val="nil"/>
              <w:bottom w:val="single" w:sz="4" w:space="0" w:color="auto"/>
              <w:right w:val="single" w:sz="4" w:space="0" w:color="auto"/>
            </w:tcBorders>
            <w:shd w:val="clear" w:color="auto" w:fill="C6EFCE"/>
            <w:noWrap/>
          </w:tcPr>
          <w:p w14:paraId="67CA1A87" w14:textId="77777777" w:rsidR="00A345F4" w:rsidRDefault="005E2D4E">
            <w:pPr>
              <w:pStyle w:val="P68B1DB1-Normal14"/>
              <w:spacing w:after="0" w:line="240" w:lineRule="auto"/>
              <w:jc w:val="both"/>
              <w:rPr>
                <w:rFonts w:eastAsia="Times New Roman"/>
                <w:noProof/>
              </w:rPr>
            </w:pPr>
            <w:r>
              <w:rPr>
                <w:noProof/>
              </w:rPr>
              <w:t xml:space="preserve">L’appel d’offres est publié sur le site web de l’ANCOM </w:t>
            </w:r>
          </w:p>
        </w:tc>
        <w:tc>
          <w:tcPr>
            <w:tcW w:w="970" w:type="dxa"/>
            <w:tcBorders>
              <w:top w:val="single" w:sz="4" w:space="0" w:color="auto"/>
              <w:left w:val="nil"/>
              <w:bottom w:val="single" w:sz="4" w:space="0" w:color="auto"/>
              <w:right w:val="single" w:sz="4" w:space="0" w:color="auto"/>
            </w:tcBorders>
            <w:shd w:val="clear" w:color="auto" w:fill="C6EFCE"/>
            <w:noWrap/>
          </w:tcPr>
          <w:p w14:paraId="4F688C5A" w14:textId="77777777" w:rsidR="00A345F4" w:rsidRDefault="005E2D4E">
            <w:pPr>
              <w:pStyle w:val="P68B1DB1-Normal14"/>
              <w:spacing w:after="0" w:line="240" w:lineRule="auto"/>
              <w:jc w:val="both"/>
              <w:rPr>
                <w:rFonts w:eastAsia="Times New Roman"/>
                <w:noProof/>
              </w:rPr>
            </w:pPr>
            <w:r>
              <w:rPr>
                <w:noProof/>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78DD3454" w14:textId="77777777" w:rsidR="00A345F4" w:rsidRDefault="005E2D4E">
            <w:pPr>
              <w:pStyle w:val="P68B1DB1-Normal14"/>
              <w:spacing w:after="0" w:line="240" w:lineRule="auto"/>
              <w:jc w:val="both"/>
              <w:rPr>
                <w:rFonts w:eastAsia="Times New Roman"/>
                <w:noProof/>
              </w:rPr>
            </w:pPr>
            <w:r>
              <w:rPr>
                <w:noProof/>
              </w:rPr>
              <w:t xml:space="preserve"> </w:t>
            </w:r>
          </w:p>
        </w:tc>
        <w:tc>
          <w:tcPr>
            <w:tcW w:w="782" w:type="dxa"/>
            <w:tcBorders>
              <w:top w:val="single" w:sz="4" w:space="0" w:color="auto"/>
              <w:left w:val="nil"/>
              <w:bottom w:val="single" w:sz="4" w:space="0" w:color="auto"/>
              <w:right w:val="single" w:sz="4" w:space="0" w:color="auto"/>
            </w:tcBorders>
            <w:shd w:val="clear" w:color="auto" w:fill="C6EFCE"/>
            <w:noWrap/>
          </w:tcPr>
          <w:p w14:paraId="592D8056" w14:textId="77777777" w:rsidR="00A345F4" w:rsidRDefault="005E2D4E">
            <w:pPr>
              <w:pStyle w:val="P68B1DB1-Normal14"/>
              <w:spacing w:after="0" w:line="240" w:lineRule="auto"/>
              <w:jc w:val="both"/>
              <w:rPr>
                <w:rFonts w:eastAsia="Times New Roman"/>
                <w:noProof/>
              </w:rPr>
            </w:pPr>
            <w:r>
              <w:rPr>
                <w:noProof/>
              </w:rPr>
              <w:t xml:space="preserve"> </w:t>
            </w:r>
          </w:p>
        </w:tc>
        <w:tc>
          <w:tcPr>
            <w:tcW w:w="992" w:type="dxa"/>
            <w:tcBorders>
              <w:top w:val="single" w:sz="4" w:space="0" w:color="auto"/>
              <w:left w:val="nil"/>
              <w:bottom w:val="single" w:sz="4" w:space="0" w:color="auto"/>
              <w:right w:val="single" w:sz="4" w:space="0" w:color="auto"/>
            </w:tcBorders>
            <w:shd w:val="clear" w:color="auto" w:fill="C6EFCE"/>
            <w:noWrap/>
          </w:tcPr>
          <w:p w14:paraId="41A14CF7"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641284E2" w14:textId="77777777" w:rsidR="00A345F4" w:rsidRDefault="005E2D4E">
            <w:pPr>
              <w:pStyle w:val="P68B1DB1-Normal14"/>
              <w:spacing w:after="0" w:line="240" w:lineRule="auto"/>
              <w:jc w:val="both"/>
              <w:rPr>
                <w:rFonts w:eastAsia="Times New Roman"/>
                <w:noProof/>
              </w:rPr>
            </w:pPr>
            <w:r>
              <w:rPr>
                <w:noProof/>
              </w:rPr>
              <w:t>2022</w:t>
            </w:r>
          </w:p>
        </w:tc>
        <w:tc>
          <w:tcPr>
            <w:tcW w:w="2737" w:type="dxa"/>
            <w:tcBorders>
              <w:top w:val="single" w:sz="4" w:space="0" w:color="auto"/>
              <w:left w:val="nil"/>
              <w:bottom w:val="single" w:sz="4" w:space="0" w:color="auto"/>
              <w:right w:val="single" w:sz="4" w:space="0" w:color="auto"/>
            </w:tcBorders>
            <w:shd w:val="clear" w:color="auto" w:fill="C6EFCE"/>
            <w:noWrap/>
          </w:tcPr>
          <w:p w14:paraId="3580B42F" w14:textId="77777777" w:rsidR="00A345F4" w:rsidRDefault="005E2D4E">
            <w:pPr>
              <w:pStyle w:val="P68B1DB1-Normal14"/>
              <w:spacing w:after="0" w:line="240" w:lineRule="auto"/>
              <w:jc w:val="both"/>
              <w:rPr>
                <w:rFonts w:eastAsia="Times New Roman"/>
                <w:noProof/>
              </w:rPr>
            </w:pPr>
            <w:r>
              <w:rPr>
                <w:noProof/>
              </w:rPr>
              <w:t xml:space="preserve">Publication et organisation d’une procédure de sélection concurrentielle (enchères) pour l’octroi des «licences 5G» (c’est-à-dire dans les bandes 700 MHz, 1500 MHz et 3,4 à 3,8 GHz). </w:t>
            </w:r>
          </w:p>
          <w:p w14:paraId="258D4000" w14:textId="77777777" w:rsidR="00A345F4" w:rsidRDefault="005E2D4E">
            <w:pPr>
              <w:pStyle w:val="P68B1DB1-Normal14"/>
              <w:spacing w:after="0" w:line="240" w:lineRule="auto"/>
              <w:jc w:val="both"/>
              <w:rPr>
                <w:rFonts w:eastAsia="Times New Roman"/>
                <w:noProof/>
              </w:rPr>
            </w:pPr>
            <w:r>
              <w:rPr>
                <w:noProof/>
              </w:rPr>
              <w:t>Des licences à long terme sont envisagées conformément aux critères du code des communications électroniques européen, afin de stimuler efficacement la 5G, de promouvoir la concurrence et les droits des utilisateurs finaux.</w:t>
            </w:r>
          </w:p>
          <w:p w14:paraId="36DCFA12" w14:textId="77777777" w:rsidR="00A345F4" w:rsidRDefault="005E2D4E">
            <w:pPr>
              <w:pStyle w:val="P68B1DB1-Normal14"/>
              <w:spacing w:after="0" w:line="240" w:lineRule="auto"/>
              <w:jc w:val="both"/>
              <w:rPr>
                <w:rFonts w:eastAsia="Times New Roman"/>
                <w:noProof/>
              </w:rPr>
            </w:pPr>
            <w:r>
              <w:rPr>
                <w:noProof/>
              </w:rPr>
              <w:t xml:space="preserve">La procédure d'enchères s'appuie sur l'expérience acquise avec les précédentes enchères du spectre en Roumanie (2012 et 2015) et avec des procédures similaires récentes dans l'UE, et intègre des garanties concurrentielles, des mécanismes de formation du marché et des conditions attachées aux licences, qui sont tous adaptés aux spécificités et à la dynamique du marché roumain. </w:t>
            </w:r>
          </w:p>
        </w:tc>
      </w:tr>
      <w:tr w:rsidR="00A345F4" w14:paraId="2DE541BF"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B4B300A" w14:textId="77777777" w:rsidR="00A345F4" w:rsidRDefault="005E2D4E">
            <w:pPr>
              <w:pStyle w:val="P68B1DB1-Normal14"/>
              <w:spacing w:after="0" w:line="240" w:lineRule="auto"/>
              <w:jc w:val="center"/>
              <w:rPr>
                <w:rFonts w:eastAsia="Times New Roman"/>
                <w:noProof/>
              </w:rPr>
            </w:pPr>
            <w:r>
              <w:rPr>
                <w:noProof/>
              </w:rPr>
              <w:t>148</w:t>
            </w:r>
          </w:p>
        </w:tc>
        <w:tc>
          <w:tcPr>
            <w:tcW w:w="2101" w:type="dxa"/>
            <w:tcBorders>
              <w:top w:val="single" w:sz="4" w:space="0" w:color="auto"/>
              <w:left w:val="nil"/>
              <w:bottom w:val="single" w:sz="4" w:space="0" w:color="auto"/>
              <w:right w:val="single" w:sz="4" w:space="0" w:color="auto"/>
            </w:tcBorders>
            <w:shd w:val="clear" w:color="auto" w:fill="C6EFCE"/>
            <w:noWrap/>
          </w:tcPr>
          <w:p w14:paraId="0E7EDED4" w14:textId="77777777" w:rsidR="00A345F4" w:rsidRDefault="005E2D4E">
            <w:pPr>
              <w:pStyle w:val="P68B1DB1-Normal14"/>
              <w:spacing w:after="0" w:line="240" w:lineRule="auto"/>
              <w:jc w:val="both"/>
              <w:rPr>
                <w:rFonts w:eastAsia="Times New Roman"/>
                <w:noProof/>
              </w:rPr>
            </w:pPr>
            <w:r>
              <w:rPr>
                <w:noProof/>
              </w:rPr>
              <w:t>Réforme 2.</w:t>
            </w:r>
          </w:p>
          <w:p w14:paraId="343733C6" w14:textId="77777777" w:rsidR="00A345F4" w:rsidRDefault="005E2D4E">
            <w:pPr>
              <w:pStyle w:val="P68B1DB1-Normal14"/>
              <w:spacing w:after="0" w:line="240" w:lineRule="auto"/>
              <w:jc w:val="both"/>
              <w:rPr>
                <w:rFonts w:eastAsia="Times New Roman"/>
                <w:noProof/>
              </w:rPr>
            </w:pPr>
            <w:r>
              <w:rPr>
                <w:noProof/>
              </w:rPr>
              <w:t xml:space="preserve">Transition vers les objectifs de connectivité de l’UE à l’horizon 2025 et stimulation des investissements privés pour le déploiement de réseaux à très haute capacité </w:t>
            </w:r>
          </w:p>
        </w:tc>
        <w:tc>
          <w:tcPr>
            <w:tcW w:w="1226" w:type="dxa"/>
            <w:tcBorders>
              <w:top w:val="single" w:sz="4" w:space="0" w:color="auto"/>
              <w:left w:val="nil"/>
              <w:bottom w:val="single" w:sz="4" w:space="0" w:color="auto"/>
              <w:right w:val="single" w:sz="4" w:space="0" w:color="auto"/>
            </w:tcBorders>
            <w:shd w:val="clear" w:color="auto" w:fill="C6EFCE"/>
            <w:noWrap/>
          </w:tcPr>
          <w:p w14:paraId="44C9F4B7"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12BDFCC1" w14:textId="77777777" w:rsidR="00A345F4" w:rsidRDefault="005E2D4E">
            <w:pPr>
              <w:pStyle w:val="P68B1DB1-Normal14"/>
              <w:spacing w:after="0" w:line="240" w:lineRule="auto"/>
              <w:jc w:val="both"/>
              <w:rPr>
                <w:rFonts w:eastAsia="Times New Roman"/>
                <w:noProof/>
              </w:rPr>
            </w:pPr>
            <w:r>
              <w:rPr>
                <w:noProof/>
              </w:rPr>
              <w:t>Mise en œuvre des recommandations de la boîte à outils de l’UE en matière de connectivité</w:t>
            </w:r>
          </w:p>
        </w:tc>
        <w:tc>
          <w:tcPr>
            <w:tcW w:w="1734" w:type="dxa"/>
            <w:tcBorders>
              <w:top w:val="single" w:sz="4" w:space="0" w:color="auto"/>
              <w:left w:val="nil"/>
              <w:bottom w:val="single" w:sz="4" w:space="0" w:color="auto"/>
              <w:right w:val="single" w:sz="4" w:space="0" w:color="auto"/>
            </w:tcBorders>
            <w:shd w:val="clear" w:color="auto" w:fill="C6EFCE"/>
            <w:noWrap/>
          </w:tcPr>
          <w:p w14:paraId="1D963DA6"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70" w:type="dxa"/>
            <w:tcBorders>
              <w:top w:val="single" w:sz="4" w:space="0" w:color="auto"/>
              <w:left w:val="nil"/>
              <w:bottom w:val="single" w:sz="4" w:space="0" w:color="auto"/>
              <w:right w:val="single" w:sz="4" w:space="0" w:color="auto"/>
            </w:tcBorders>
            <w:shd w:val="clear" w:color="auto" w:fill="C6EFCE"/>
            <w:noWrap/>
          </w:tcPr>
          <w:p w14:paraId="27C7D25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37DDF11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58768E6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574265E7" w14:textId="77777777" w:rsidR="00A345F4" w:rsidRDefault="005E2D4E">
            <w:pPr>
              <w:pStyle w:val="P68B1DB1-Normal14"/>
              <w:spacing w:after="0" w:line="240" w:lineRule="auto"/>
              <w:jc w:val="both"/>
              <w:rPr>
                <w:rFonts w:eastAsia="Times New Roman"/>
                <w:noProof/>
              </w:rPr>
            </w:pPr>
            <w:r>
              <w:rPr>
                <w:noProof/>
              </w:rPr>
              <w:t>T3</w:t>
            </w:r>
          </w:p>
        </w:tc>
        <w:tc>
          <w:tcPr>
            <w:tcW w:w="851" w:type="dxa"/>
            <w:tcBorders>
              <w:top w:val="single" w:sz="4" w:space="0" w:color="auto"/>
              <w:left w:val="nil"/>
              <w:bottom w:val="single" w:sz="4" w:space="0" w:color="auto"/>
              <w:right w:val="single" w:sz="4" w:space="0" w:color="auto"/>
            </w:tcBorders>
            <w:shd w:val="clear" w:color="auto" w:fill="C6EFCE"/>
            <w:noWrap/>
          </w:tcPr>
          <w:p w14:paraId="294C3040" w14:textId="77777777" w:rsidR="00A345F4" w:rsidRDefault="005E2D4E">
            <w:pPr>
              <w:pStyle w:val="P68B1DB1-Normal14"/>
              <w:spacing w:after="0" w:line="240" w:lineRule="auto"/>
              <w:jc w:val="both"/>
              <w:rPr>
                <w:rFonts w:eastAsia="Times New Roman"/>
                <w:noProof/>
              </w:rPr>
            </w:pPr>
            <w:r>
              <w:rPr>
                <w:noProof/>
              </w:rPr>
              <w:t>2022</w:t>
            </w:r>
          </w:p>
        </w:tc>
        <w:tc>
          <w:tcPr>
            <w:tcW w:w="2737" w:type="dxa"/>
            <w:tcBorders>
              <w:top w:val="single" w:sz="4" w:space="0" w:color="auto"/>
              <w:left w:val="nil"/>
              <w:bottom w:val="single" w:sz="4" w:space="0" w:color="auto"/>
              <w:right w:val="single" w:sz="4" w:space="0" w:color="auto"/>
            </w:tcBorders>
            <w:shd w:val="clear" w:color="auto" w:fill="C6EFCE"/>
            <w:noWrap/>
          </w:tcPr>
          <w:p w14:paraId="6AE3DF37" w14:textId="77777777" w:rsidR="00A345F4" w:rsidRDefault="005E2D4E">
            <w:pPr>
              <w:pStyle w:val="P68B1DB1-Normal14"/>
              <w:spacing w:after="0" w:line="240" w:lineRule="auto"/>
              <w:jc w:val="both"/>
              <w:rPr>
                <w:rFonts w:eastAsia="Times New Roman"/>
                <w:noProof/>
              </w:rPr>
            </w:pPr>
            <w:r>
              <w:rPr>
                <w:noProof/>
              </w:rPr>
              <w:t>La mise en œuvre de la feuille de route de la Roumanie en application de la boîte à outils pour</w:t>
            </w:r>
            <w:r w:rsidRPr="00E75F9B">
              <w:rPr>
                <w:noProof/>
                <w:vertAlign w:val="superscript"/>
              </w:rPr>
              <w:footnoteReference w:id="4"/>
            </w:r>
            <w:r>
              <w:rPr>
                <w:noProof/>
              </w:rPr>
              <w:t xml:space="preserve"> la connectivité est un effort conjoint multipartite.</w:t>
            </w:r>
          </w:p>
          <w:p w14:paraId="42F72443" w14:textId="77777777" w:rsidR="00A345F4" w:rsidRDefault="005E2D4E">
            <w:pPr>
              <w:pStyle w:val="P68B1DB1-Normal14"/>
              <w:spacing w:after="0" w:line="240" w:lineRule="auto"/>
              <w:jc w:val="both"/>
              <w:rPr>
                <w:rFonts w:eastAsia="Times New Roman"/>
                <w:noProof/>
              </w:rPr>
            </w:pPr>
            <w:r>
              <w:rPr>
                <w:noProof/>
              </w:rPr>
              <w:t>Conformément au projet de feuille de route actuellement en cours d’analyse entre les ministères concernés, la Roumanie met en œuvre 12 des 39 recommandations suivantes:</w:t>
            </w:r>
          </w:p>
          <w:p w14:paraId="1E36EBBE" w14:textId="77777777" w:rsidR="00A345F4" w:rsidRDefault="005E2D4E">
            <w:pPr>
              <w:pStyle w:val="P68B1DB1-Normal14"/>
              <w:spacing w:after="0" w:line="240" w:lineRule="auto"/>
              <w:jc w:val="both"/>
              <w:rPr>
                <w:rFonts w:eastAsia="Times New Roman"/>
                <w:noProof/>
              </w:rPr>
            </w:pPr>
            <w:r>
              <w:rPr>
                <w:noProof/>
              </w:rPr>
              <w:t>24 – Promouvoir des prix de réserve adéquats</w:t>
            </w:r>
          </w:p>
          <w:p w14:paraId="3BFEA3DA" w14:textId="77777777" w:rsidR="00A345F4" w:rsidRDefault="005E2D4E">
            <w:pPr>
              <w:pStyle w:val="P68B1DB1-Normal14"/>
              <w:spacing w:after="0" w:line="240" w:lineRule="auto"/>
              <w:jc w:val="both"/>
              <w:rPr>
                <w:rFonts w:eastAsia="Times New Roman"/>
                <w:noProof/>
              </w:rPr>
            </w:pPr>
            <w:r>
              <w:rPr>
                <w:noProof/>
              </w:rPr>
              <w:t>25 – Disponibilité en temps utile des bandes harmonisées 5G</w:t>
            </w:r>
          </w:p>
          <w:p w14:paraId="32E0B524" w14:textId="77777777" w:rsidR="00A345F4" w:rsidRDefault="005E2D4E">
            <w:pPr>
              <w:pStyle w:val="P68B1DB1-Normal14"/>
              <w:spacing w:after="0" w:line="240" w:lineRule="auto"/>
              <w:jc w:val="both"/>
              <w:rPr>
                <w:rFonts w:eastAsia="Times New Roman"/>
                <w:noProof/>
              </w:rPr>
            </w:pPr>
            <w:r>
              <w:rPr>
                <w:noProof/>
              </w:rPr>
              <w:t>28 – Régime d’autorisation individuelle pour la bande de fréquences 24,25-27,5 GHz</w:t>
            </w:r>
          </w:p>
          <w:p w14:paraId="719202D6" w14:textId="77777777" w:rsidR="00A345F4" w:rsidRDefault="005E2D4E">
            <w:pPr>
              <w:pStyle w:val="P68B1DB1-Normal14"/>
              <w:spacing w:after="0" w:line="240" w:lineRule="auto"/>
              <w:jc w:val="both"/>
              <w:rPr>
                <w:rFonts w:eastAsia="Times New Roman"/>
                <w:noProof/>
              </w:rPr>
            </w:pPr>
            <w:r>
              <w:rPr>
                <w:noProof/>
              </w:rPr>
              <w:t>31 – Structure des redevances récurrentes du spectre pour encourager le déploiement</w:t>
            </w:r>
          </w:p>
          <w:p w14:paraId="0983C701" w14:textId="77777777" w:rsidR="00A345F4" w:rsidRDefault="005E2D4E">
            <w:pPr>
              <w:pStyle w:val="P68B1DB1-Normal14"/>
              <w:spacing w:after="0" w:line="240" w:lineRule="auto"/>
              <w:jc w:val="both"/>
              <w:rPr>
                <w:rFonts w:eastAsia="Times New Roman"/>
                <w:noProof/>
              </w:rPr>
            </w:pPr>
            <w:r>
              <w:rPr>
                <w:noProof/>
              </w:rPr>
              <w:t>38 – Communication coordonnée et ciblée pour informer et éduquer sur la mise en œuvre de la 5G</w:t>
            </w:r>
          </w:p>
          <w:p w14:paraId="1F761D33" w14:textId="77777777" w:rsidR="00A345F4" w:rsidRDefault="005E2D4E">
            <w:pPr>
              <w:pStyle w:val="P68B1DB1-Normal14"/>
              <w:spacing w:after="0" w:line="240" w:lineRule="auto"/>
              <w:jc w:val="both"/>
              <w:rPr>
                <w:rFonts w:eastAsia="Times New Roman"/>
                <w:noProof/>
              </w:rPr>
            </w:pPr>
            <w:r>
              <w:rPr>
                <w:noProof/>
              </w:rPr>
              <w:t>39 – Informer le public de la conformité des installations des stations de radio de base avec les limites de sécurité applicables des champs électromagnétiques.</w:t>
            </w:r>
          </w:p>
          <w:p w14:paraId="114AEAF9" w14:textId="77777777" w:rsidR="00A345F4" w:rsidRDefault="005E2D4E">
            <w:pPr>
              <w:pStyle w:val="P68B1DB1-Normal14"/>
              <w:spacing w:after="0" w:line="240" w:lineRule="auto"/>
              <w:jc w:val="both"/>
              <w:rPr>
                <w:rFonts w:eastAsia="Times New Roman"/>
                <w:noProof/>
              </w:rPr>
            </w:pPr>
            <w:r>
              <w:rPr>
                <w:noProof/>
              </w:rPr>
              <w:t>Toutes ces recommandations devraient être finalisées d’ici 2021, tandis que</w:t>
            </w:r>
          </w:p>
          <w:p w14:paraId="022503D7" w14:textId="77777777" w:rsidR="00A345F4" w:rsidRDefault="005E2D4E">
            <w:pPr>
              <w:pStyle w:val="P68B1DB1-Normal14"/>
              <w:spacing w:after="0" w:line="240" w:lineRule="auto"/>
              <w:jc w:val="both"/>
              <w:rPr>
                <w:rFonts w:eastAsia="Times New Roman"/>
                <w:noProof/>
              </w:rPr>
            </w:pPr>
            <w:r>
              <w:rPr>
                <w:noProof/>
              </w:rPr>
              <w:t>2 – Fournir des règlements types sur le déploiement des réseaux de communications électroniques</w:t>
            </w:r>
          </w:p>
          <w:p w14:paraId="6110F71E" w14:textId="77777777" w:rsidR="00A345F4" w:rsidRDefault="005E2D4E">
            <w:pPr>
              <w:pStyle w:val="P68B1DB1-Normal14"/>
              <w:spacing w:after="0" w:line="240" w:lineRule="auto"/>
              <w:jc w:val="both"/>
              <w:rPr>
                <w:rFonts w:eastAsia="Times New Roman"/>
                <w:noProof/>
              </w:rPr>
            </w:pPr>
            <w:r>
              <w:rPr>
                <w:noProof/>
              </w:rPr>
              <w:t>3 – Fourniture de matériel d’information et d’ateliers à l’intention des municipalités et des autres autorités compétentes</w:t>
            </w:r>
          </w:p>
          <w:p w14:paraId="62E51397" w14:textId="77777777" w:rsidR="00A345F4" w:rsidRDefault="005E2D4E">
            <w:pPr>
              <w:pStyle w:val="P68B1DB1-Normal14"/>
              <w:spacing w:after="0" w:line="240" w:lineRule="auto"/>
              <w:jc w:val="both"/>
              <w:rPr>
                <w:rFonts w:eastAsia="Times New Roman"/>
                <w:noProof/>
              </w:rPr>
            </w:pPr>
            <w:r>
              <w:rPr>
                <w:noProof/>
              </w:rPr>
              <w:t>11 – Garantir la disponibilité d’informations provenant de différentes sources et améliorer la transparence des travaux de génie civil prévus</w:t>
            </w:r>
          </w:p>
          <w:p w14:paraId="092D6299" w14:textId="77777777" w:rsidR="00A345F4" w:rsidRDefault="005E2D4E">
            <w:pPr>
              <w:pStyle w:val="P68B1DB1-Normal14"/>
              <w:spacing w:after="0" w:line="240" w:lineRule="auto"/>
              <w:jc w:val="both"/>
              <w:rPr>
                <w:rFonts w:eastAsia="Times New Roman"/>
                <w:noProof/>
              </w:rPr>
            </w:pPr>
            <w:r>
              <w:rPr>
                <w:noProof/>
              </w:rPr>
              <w:t>26 – Réviser régulièrement les plans nationaux en matière de spectre</w:t>
            </w:r>
          </w:p>
          <w:p w14:paraId="2D2C39C9" w14:textId="77777777" w:rsidR="00A345F4" w:rsidRDefault="005E2D4E">
            <w:pPr>
              <w:pStyle w:val="P68B1DB1-Normal14"/>
              <w:spacing w:after="0" w:line="240" w:lineRule="auto"/>
              <w:jc w:val="both"/>
              <w:rPr>
                <w:rFonts w:eastAsia="Times New Roman"/>
                <w:noProof/>
              </w:rPr>
            </w:pPr>
            <w:r>
              <w:rPr>
                <w:noProof/>
              </w:rPr>
              <w:t>32 – Utiliser l’aide financière comme complément pour encourager les investissements</w:t>
            </w:r>
          </w:p>
          <w:p w14:paraId="14B1A253" w14:textId="77777777" w:rsidR="00A345F4" w:rsidRDefault="005E2D4E">
            <w:pPr>
              <w:pStyle w:val="P68B1DB1-Normal14"/>
              <w:spacing w:after="0" w:line="240" w:lineRule="auto"/>
              <w:jc w:val="both"/>
              <w:rPr>
                <w:rFonts w:eastAsia="Times New Roman"/>
                <w:noProof/>
              </w:rPr>
            </w:pPr>
            <w:r>
              <w:rPr>
                <w:noProof/>
              </w:rPr>
              <w:t>35 – Utiliser les conditions techniques harmonisées élaborées par la Conférence européenne des administrations des postes et des télécommunications (CEPT)/Comité des communications électroniques (CCE), si des plages de fréquences communes dédiées sont jugées nécessaires</w:t>
            </w:r>
          </w:p>
          <w:p w14:paraId="7DACF682" w14:textId="77777777" w:rsidR="00A345F4" w:rsidRDefault="005E2D4E">
            <w:pPr>
              <w:pStyle w:val="P68B1DB1-Normal14"/>
              <w:spacing w:after="0"/>
              <w:contextualSpacing/>
              <w:jc w:val="both"/>
              <w:rPr>
                <w:noProof/>
              </w:rPr>
            </w:pPr>
            <w:r>
              <w:rPr>
                <w:noProof/>
              </w:rPr>
              <w:t>Tous ces travaux seront achevés en 2022.</w:t>
            </w:r>
          </w:p>
          <w:p w14:paraId="6F79C772" w14:textId="77777777" w:rsidR="00A345F4" w:rsidRDefault="00A345F4">
            <w:pPr>
              <w:spacing w:after="0"/>
              <w:contextualSpacing/>
              <w:jc w:val="both"/>
              <w:rPr>
                <w:rFonts w:ascii="Times New Roman" w:eastAsia="Times New Roman" w:hAnsi="Times New Roman" w:cs="Times New Roman"/>
                <w:noProof/>
                <w:sz w:val="20"/>
                <w:szCs w:val="20"/>
              </w:rPr>
            </w:pPr>
          </w:p>
        </w:tc>
      </w:tr>
      <w:tr w:rsidR="00A345F4" w14:paraId="7BFC4A84"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F18146D" w14:textId="77777777" w:rsidR="00A345F4" w:rsidRDefault="005E2D4E">
            <w:pPr>
              <w:pStyle w:val="P68B1DB1-Normal14"/>
              <w:spacing w:after="0" w:line="240" w:lineRule="auto"/>
              <w:jc w:val="center"/>
              <w:rPr>
                <w:rFonts w:eastAsia="Times New Roman"/>
                <w:noProof/>
              </w:rPr>
            </w:pPr>
            <w:r>
              <w:rPr>
                <w:noProof/>
              </w:rPr>
              <w:t>149</w:t>
            </w:r>
          </w:p>
        </w:tc>
        <w:tc>
          <w:tcPr>
            <w:tcW w:w="2101" w:type="dxa"/>
            <w:tcBorders>
              <w:top w:val="single" w:sz="4" w:space="0" w:color="auto"/>
              <w:left w:val="nil"/>
              <w:bottom w:val="single" w:sz="4" w:space="0" w:color="auto"/>
              <w:right w:val="single" w:sz="4" w:space="0" w:color="auto"/>
            </w:tcBorders>
            <w:shd w:val="clear" w:color="auto" w:fill="C6EFCE"/>
            <w:noWrap/>
          </w:tcPr>
          <w:p w14:paraId="69D483D8" w14:textId="77777777" w:rsidR="00A345F4" w:rsidRDefault="005E2D4E">
            <w:pPr>
              <w:pStyle w:val="P68B1DB1-Normal14"/>
              <w:spacing w:after="0" w:line="240" w:lineRule="auto"/>
              <w:jc w:val="both"/>
              <w:rPr>
                <w:rFonts w:eastAsia="Times New Roman"/>
                <w:noProof/>
                <w:highlight w:val="yellow"/>
              </w:rPr>
            </w:pPr>
            <w:r>
              <w:rPr>
                <w:noProof/>
              </w:rPr>
              <w:t>Réforme 2.</w:t>
            </w:r>
          </w:p>
          <w:p w14:paraId="18D2E50A" w14:textId="77777777" w:rsidR="00A345F4" w:rsidRDefault="005E2D4E">
            <w:pPr>
              <w:pStyle w:val="P68B1DB1-Normal14"/>
              <w:spacing w:after="0" w:line="240" w:lineRule="auto"/>
              <w:jc w:val="both"/>
              <w:rPr>
                <w:rFonts w:eastAsia="Times New Roman"/>
                <w:noProof/>
                <w:highlight w:val="yellow"/>
              </w:rPr>
            </w:pPr>
            <w:r>
              <w:rPr>
                <w:noProof/>
              </w:rPr>
              <w:t xml:space="preserve">Transition vers les objectifs de connectivité de l’UE à l’horizon 2025 et stimulation des investissements privés pour le déploiement de réseaux à très haute capacité </w:t>
            </w:r>
          </w:p>
        </w:tc>
        <w:tc>
          <w:tcPr>
            <w:tcW w:w="1226" w:type="dxa"/>
            <w:tcBorders>
              <w:top w:val="single" w:sz="4" w:space="0" w:color="auto"/>
              <w:left w:val="nil"/>
              <w:bottom w:val="single" w:sz="4" w:space="0" w:color="auto"/>
              <w:right w:val="single" w:sz="4" w:space="0" w:color="auto"/>
            </w:tcBorders>
            <w:shd w:val="clear" w:color="auto" w:fill="C6EFCE"/>
            <w:noWrap/>
          </w:tcPr>
          <w:p w14:paraId="6DA975DD"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191B9932" w14:textId="77777777" w:rsidR="00A345F4" w:rsidRDefault="005E2D4E">
            <w:pPr>
              <w:pStyle w:val="P68B1DB1-Normal14"/>
              <w:spacing w:after="0" w:line="240" w:lineRule="auto"/>
              <w:jc w:val="both"/>
              <w:rPr>
                <w:rFonts w:eastAsia="Times New Roman"/>
                <w:noProof/>
              </w:rPr>
            </w:pPr>
            <w:r>
              <w:rPr>
                <w:noProof/>
              </w:rPr>
              <w:t>Attribution des droits d'utilisation du spectre radioélectrique</w:t>
            </w:r>
          </w:p>
        </w:tc>
        <w:tc>
          <w:tcPr>
            <w:tcW w:w="1734" w:type="dxa"/>
            <w:tcBorders>
              <w:top w:val="single" w:sz="4" w:space="0" w:color="auto"/>
              <w:left w:val="nil"/>
              <w:bottom w:val="single" w:sz="4" w:space="0" w:color="auto"/>
              <w:right w:val="single" w:sz="4" w:space="0" w:color="auto"/>
            </w:tcBorders>
            <w:shd w:val="clear" w:color="auto" w:fill="C6EFCE"/>
            <w:noWrap/>
          </w:tcPr>
          <w:p w14:paraId="52D0DB05" w14:textId="77777777" w:rsidR="00A345F4" w:rsidRDefault="005E2D4E">
            <w:pPr>
              <w:pStyle w:val="P68B1DB1-Normal14"/>
              <w:spacing w:after="0" w:line="240" w:lineRule="auto"/>
              <w:jc w:val="both"/>
              <w:rPr>
                <w:rFonts w:eastAsia="Times New Roman"/>
                <w:noProof/>
              </w:rPr>
            </w:pPr>
            <w:r>
              <w:rPr>
                <w:noProof/>
              </w:rPr>
              <w:t>Droits d'utilisation cédés</w:t>
            </w:r>
          </w:p>
        </w:tc>
        <w:tc>
          <w:tcPr>
            <w:tcW w:w="970" w:type="dxa"/>
            <w:tcBorders>
              <w:top w:val="single" w:sz="4" w:space="0" w:color="auto"/>
              <w:left w:val="nil"/>
              <w:bottom w:val="single" w:sz="4" w:space="0" w:color="auto"/>
              <w:right w:val="single" w:sz="4" w:space="0" w:color="auto"/>
            </w:tcBorders>
            <w:shd w:val="clear" w:color="auto" w:fill="C6EFCE"/>
            <w:noWrap/>
          </w:tcPr>
          <w:p w14:paraId="316F3013" w14:textId="77777777" w:rsidR="00A345F4" w:rsidRDefault="005E2D4E">
            <w:pPr>
              <w:pStyle w:val="P68B1DB1-Normal14"/>
              <w:spacing w:after="0" w:line="240" w:lineRule="auto"/>
              <w:jc w:val="both"/>
              <w:rPr>
                <w:rFonts w:eastAsia="Times New Roman"/>
                <w:noProof/>
              </w:rPr>
            </w:pPr>
            <w:r>
              <w:rPr>
                <w:noProof/>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119419E7" w14:textId="77777777" w:rsidR="00A345F4" w:rsidRDefault="005E2D4E">
            <w:pPr>
              <w:pStyle w:val="P68B1DB1-Normal14"/>
              <w:spacing w:after="0" w:line="240" w:lineRule="auto"/>
              <w:jc w:val="both"/>
              <w:rPr>
                <w:rFonts w:eastAsia="Times New Roman"/>
                <w:noProof/>
              </w:rPr>
            </w:pPr>
            <w:r>
              <w:rPr>
                <w:noProof/>
              </w:rPr>
              <w:t xml:space="preserve"> </w:t>
            </w:r>
          </w:p>
        </w:tc>
        <w:tc>
          <w:tcPr>
            <w:tcW w:w="782" w:type="dxa"/>
            <w:tcBorders>
              <w:top w:val="single" w:sz="4" w:space="0" w:color="auto"/>
              <w:left w:val="nil"/>
              <w:bottom w:val="single" w:sz="4" w:space="0" w:color="auto"/>
              <w:right w:val="single" w:sz="4" w:space="0" w:color="auto"/>
            </w:tcBorders>
            <w:shd w:val="clear" w:color="auto" w:fill="C6EFCE"/>
            <w:noWrap/>
          </w:tcPr>
          <w:p w14:paraId="79B273F4" w14:textId="77777777" w:rsidR="00A345F4" w:rsidRDefault="005E2D4E">
            <w:pPr>
              <w:pStyle w:val="P68B1DB1-Normal14"/>
              <w:spacing w:after="0" w:line="240" w:lineRule="auto"/>
              <w:jc w:val="both"/>
              <w:rPr>
                <w:rFonts w:eastAsia="Times New Roman"/>
                <w:noProof/>
              </w:rPr>
            </w:pPr>
            <w:r>
              <w:rPr>
                <w:noProof/>
              </w:rPr>
              <w:t xml:space="preserve"> </w:t>
            </w:r>
          </w:p>
        </w:tc>
        <w:tc>
          <w:tcPr>
            <w:tcW w:w="992" w:type="dxa"/>
            <w:tcBorders>
              <w:top w:val="single" w:sz="4" w:space="0" w:color="auto"/>
              <w:left w:val="nil"/>
              <w:bottom w:val="single" w:sz="4" w:space="0" w:color="auto"/>
              <w:right w:val="single" w:sz="4" w:space="0" w:color="auto"/>
            </w:tcBorders>
            <w:shd w:val="clear" w:color="auto" w:fill="C6EFCE"/>
            <w:noWrap/>
          </w:tcPr>
          <w:p w14:paraId="4E174AF4" w14:textId="77777777" w:rsidR="00A345F4" w:rsidRDefault="005E2D4E">
            <w:pPr>
              <w:pStyle w:val="P68B1DB1-Normal14"/>
              <w:spacing w:after="0" w:line="240" w:lineRule="auto"/>
              <w:jc w:val="both"/>
              <w:rPr>
                <w:rFonts w:eastAsia="Times New Roman"/>
                <w:noProof/>
              </w:rPr>
            </w:pPr>
            <w:r>
              <w:rPr>
                <w:noProof/>
              </w:rPr>
              <w:t>T3</w:t>
            </w:r>
          </w:p>
        </w:tc>
        <w:tc>
          <w:tcPr>
            <w:tcW w:w="851" w:type="dxa"/>
            <w:tcBorders>
              <w:top w:val="single" w:sz="4" w:space="0" w:color="auto"/>
              <w:left w:val="nil"/>
              <w:bottom w:val="single" w:sz="4" w:space="0" w:color="auto"/>
              <w:right w:val="single" w:sz="4" w:space="0" w:color="auto"/>
            </w:tcBorders>
            <w:shd w:val="clear" w:color="auto" w:fill="C6EFCE"/>
            <w:noWrap/>
          </w:tcPr>
          <w:p w14:paraId="6EA36175" w14:textId="77777777" w:rsidR="00A345F4" w:rsidRDefault="005E2D4E">
            <w:pPr>
              <w:pStyle w:val="P68B1DB1-Normal14"/>
              <w:spacing w:after="0" w:line="240" w:lineRule="auto"/>
              <w:jc w:val="both"/>
              <w:rPr>
                <w:rFonts w:eastAsia="Times New Roman"/>
                <w:noProof/>
              </w:rPr>
            </w:pPr>
            <w:r>
              <w:rPr>
                <w:noProof/>
              </w:rPr>
              <w:t>2022</w:t>
            </w:r>
          </w:p>
        </w:tc>
        <w:tc>
          <w:tcPr>
            <w:tcW w:w="2737" w:type="dxa"/>
            <w:tcBorders>
              <w:top w:val="single" w:sz="4" w:space="0" w:color="auto"/>
              <w:left w:val="nil"/>
              <w:bottom w:val="single" w:sz="4" w:space="0" w:color="auto"/>
              <w:right w:val="single" w:sz="4" w:space="0" w:color="auto"/>
            </w:tcBorders>
            <w:shd w:val="clear" w:color="auto" w:fill="C6EFCE"/>
            <w:noWrap/>
          </w:tcPr>
          <w:p w14:paraId="0CDEB826" w14:textId="77777777" w:rsidR="00A345F4" w:rsidRDefault="005E2D4E">
            <w:pPr>
              <w:pStyle w:val="P68B1DB1-Normal14"/>
              <w:spacing w:after="0" w:line="240" w:lineRule="auto"/>
              <w:jc w:val="both"/>
              <w:rPr>
                <w:rFonts w:eastAsia="Times New Roman"/>
                <w:noProof/>
              </w:rPr>
            </w:pPr>
            <w:r>
              <w:rPr>
                <w:noProof/>
              </w:rPr>
              <w:t>Les licences de radiofréquences «5G» sont attribuées sur la base des résultats de la procédure de sélection/de l’enchère concurrentielle du jalon 147.</w:t>
            </w:r>
          </w:p>
          <w:p w14:paraId="574B39FC" w14:textId="77777777" w:rsidR="00A345F4" w:rsidRDefault="00A345F4">
            <w:pPr>
              <w:spacing w:after="0" w:line="240" w:lineRule="auto"/>
              <w:ind w:left="282"/>
              <w:contextualSpacing/>
              <w:jc w:val="both"/>
              <w:rPr>
                <w:rFonts w:ascii="Times New Roman" w:eastAsia="Times New Roman" w:hAnsi="Times New Roman" w:cs="Times New Roman"/>
                <w:noProof/>
                <w:sz w:val="20"/>
                <w:szCs w:val="20"/>
              </w:rPr>
            </w:pPr>
          </w:p>
        </w:tc>
      </w:tr>
      <w:tr w:rsidR="00A345F4" w14:paraId="50B8C58E"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8C39F38" w14:textId="77777777" w:rsidR="00A345F4" w:rsidRDefault="005E2D4E">
            <w:pPr>
              <w:pStyle w:val="P68B1DB1-Normal14"/>
              <w:spacing w:after="0" w:line="240" w:lineRule="auto"/>
              <w:jc w:val="center"/>
              <w:rPr>
                <w:rFonts w:eastAsia="Times New Roman"/>
                <w:noProof/>
              </w:rPr>
            </w:pPr>
            <w:r>
              <w:rPr>
                <w:noProof/>
              </w:rPr>
              <w:t>150</w:t>
            </w:r>
          </w:p>
        </w:tc>
        <w:tc>
          <w:tcPr>
            <w:tcW w:w="2101" w:type="dxa"/>
            <w:tcBorders>
              <w:top w:val="single" w:sz="4" w:space="0" w:color="auto"/>
              <w:left w:val="nil"/>
              <w:bottom w:val="single" w:sz="4" w:space="0" w:color="auto"/>
              <w:right w:val="single" w:sz="4" w:space="0" w:color="auto"/>
            </w:tcBorders>
            <w:shd w:val="clear" w:color="auto" w:fill="C6EFCE"/>
            <w:noWrap/>
          </w:tcPr>
          <w:p w14:paraId="23BFE529" w14:textId="77777777" w:rsidR="00A345F4" w:rsidRDefault="005E2D4E">
            <w:pPr>
              <w:pStyle w:val="P68B1DB1-Normal14"/>
              <w:spacing w:after="0" w:line="240" w:lineRule="auto"/>
              <w:jc w:val="both"/>
              <w:rPr>
                <w:rFonts w:eastAsia="Times New Roman"/>
                <w:noProof/>
              </w:rPr>
            </w:pPr>
            <w:r>
              <w:rPr>
                <w:noProof/>
              </w:rPr>
              <w:t xml:space="preserve">Réforme 3. Garantir la cybersécurité des entités publiques et privées possédant des infrastructures de valeur critique </w:t>
            </w:r>
          </w:p>
        </w:tc>
        <w:tc>
          <w:tcPr>
            <w:tcW w:w="1226" w:type="dxa"/>
            <w:tcBorders>
              <w:top w:val="single" w:sz="4" w:space="0" w:color="auto"/>
              <w:left w:val="nil"/>
              <w:bottom w:val="single" w:sz="4" w:space="0" w:color="auto"/>
              <w:right w:val="single" w:sz="4" w:space="0" w:color="auto"/>
            </w:tcBorders>
            <w:shd w:val="clear" w:color="auto" w:fill="C6EFCE"/>
            <w:noWrap/>
          </w:tcPr>
          <w:p w14:paraId="13C72A1E"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5AA77AAB" w14:textId="77777777" w:rsidR="00A345F4" w:rsidRDefault="005E2D4E">
            <w:pPr>
              <w:pStyle w:val="P68B1DB1-Normal14"/>
              <w:spacing w:after="0" w:line="240" w:lineRule="auto"/>
              <w:jc w:val="both"/>
              <w:rPr>
                <w:rFonts w:eastAsia="Times New Roman"/>
                <w:noProof/>
              </w:rPr>
            </w:pPr>
            <w:r>
              <w:rPr>
                <w:noProof/>
              </w:rPr>
              <w:t>Adoption de la stratégie nationale de cybersécurité 2021-2026</w:t>
            </w:r>
          </w:p>
        </w:tc>
        <w:tc>
          <w:tcPr>
            <w:tcW w:w="1734" w:type="dxa"/>
            <w:tcBorders>
              <w:top w:val="single" w:sz="4" w:space="0" w:color="auto"/>
              <w:left w:val="nil"/>
              <w:bottom w:val="single" w:sz="4" w:space="0" w:color="auto"/>
              <w:right w:val="single" w:sz="4" w:space="0" w:color="auto"/>
            </w:tcBorders>
            <w:shd w:val="clear" w:color="auto" w:fill="C6EFCE"/>
            <w:noWrap/>
          </w:tcPr>
          <w:p w14:paraId="6619CDAE" w14:textId="77777777" w:rsidR="00A345F4" w:rsidRDefault="005E2D4E">
            <w:pPr>
              <w:pStyle w:val="P68B1DB1-Normal14"/>
              <w:spacing w:after="0" w:line="240" w:lineRule="auto"/>
              <w:jc w:val="both"/>
              <w:rPr>
                <w:rFonts w:eastAsia="Times New Roman"/>
                <w:noProof/>
              </w:rPr>
            </w:pPr>
            <w:r>
              <w:rPr>
                <w:noProof/>
              </w:rPr>
              <w:t>Adoption de la stratégie nationale de cybersécurité 2021-2026 par le gouvernement</w:t>
            </w:r>
          </w:p>
        </w:tc>
        <w:tc>
          <w:tcPr>
            <w:tcW w:w="970" w:type="dxa"/>
            <w:tcBorders>
              <w:top w:val="single" w:sz="4" w:space="0" w:color="auto"/>
              <w:left w:val="nil"/>
              <w:bottom w:val="single" w:sz="4" w:space="0" w:color="auto"/>
              <w:right w:val="single" w:sz="4" w:space="0" w:color="auto"/>
            </w:tcBorders>
            <w:shd w:val="clear" w:color="auto" w:fill="C6EFCE"/>
            <w:noWrap/>
          </w:tcPr>
          <w:p w14:paraId="06F48B1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6E87D28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6BA39C1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7EA72618" w14:textId="77777777" w:rsidR="00A345F4" w:rsidRDefault="005E2D4E">
            <w:pPr>
              <w:pStyle w:val="P68B1DB1-Normal14"/>
              <w:spacing w:after="0" w:line="240" w:lineRule="auto"/>
              <w:jc w:val="both"/>
              <w:rPr>
                <w:rFonts w:eastAsia="Times New Roman"/>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6D6D528A" w14:textId="77777777" w:rsidR="00A345F4" w:rsidRDefault="005E2D4E">
            <w:pPr>
              <w:pStyle w:val="P68B1DB1-Normal14"/>
              <w:spacing w:after="0" w:line="240" w:lineRule="auto"/>
              <w:jc w:val="both"/>
              <w:rPr>
                <w:rFonts w:eastAsia="Times New Roman"/>
                <w:noProof/>
              </w:rPr>
            </w:pPr>
            <w:r>
              <w:rPr>
                <w:noProof/>
              </w:rPr>
              <w:t>2021</w:t>
            </w:r>
          </w:p>
        </w:tc>
        <w:tc>
          <w:tcPr>
            <w:tcW w:w="2737" w:type="dxa"/>
            <w:tcBorders>
              <w:top w:val="single" w:sz="4" w:space="0" w:color="auto"/>
              <w:left w:val="nil"/>
              <w:bottom w:val="single" w:sz="4" w:space="0" w:color="auto"/>
              <w:right w:val="single" w:sz="4" w:space="0" w:color="auto"/>
            </w:tcBorders>
            <w:shd w:val="clear" w:color="auto" w:fill="C6EFCE"/>
            <w:noWrap/>
          </w:tcPr>
          <w:p w14:paraId="160460A9" w14:textId="77777777" w:rsidR="00A345F4" w:rsidRDefault="005E2D4E">
            <w:pPr>
              <w:pStyle w:val="P68B1DB1-Normal14"/>
              <w:spacing w:after="0" w:line="240" w:lineRule="auto"/>
              <w:jc w:val="both"/>
              <w:rPr>
                <w:rFonts w:eastAsia="Times New Roman"/>
                <w:noProof/>
              </w:rPr>
            </w:pPr>
            <w:r>
              <w:rPr>
                <w:noProof/>
              </w:rPr>
              <w:t>La stratégie nationale de cybersécurité 2021-2026 est adoptée et comprend des dispositions concernant:</w:t>
            </w:r>
          </w:p>
          <w:p w14:paraId="40FCF5DB"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 xml:space="preserve">des évaluations et des mises à jour régulières du cadre réglementaire et institutionnel en matière de cybersécurité, </w:t>
            </w:r>
          </w:p>
          <w:p w14:paraId="4370B0D2"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 xml:space="preserve">renforcer le partenariat public-privé-universitaire afin d’accroître la cyberrésilience de la société dans son ensemble, </w:t>
            </w:r>
          </w:p>
          <w:p w14:paraId="553C2F18"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 xml:space="preserve">le développement de la capacité de réaction aux cyberattaques et la résilience des systèmes, des réseaux et des services; </w:t>
            </w:r>
          </w:p>
          <w:p w14:paraId="00E79E83"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consolidation du rôle de la Roumanie dans l’architecture de cybersécurité au niveau international.</w:t>
            </w:r>
          </w:p>
        </w:tc>
      </w:tr>
      <w:tr w:rsidR="00A345F4" w14:paraId="67931842"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B7FBABE" w14:textId="77777777" w:rsidR="00A345F4" w:rsidRDefault="005E2D4E">
            <w:pPr>
              <w:pStyle w:val="P68B1DB1-Normal14"/>
              <w:spacing w:after="0" w:line="240" w:lineRule="auto"/>
              <w:jc w:val="center"/>
              <w:rPr>
                <w:rFonts w:eastAsia="Times New Roman"/>
                <w:noProof/>
              </w:rPr>
            </w:pPr>
            <w:r>
              <w:rPr>
                <w:noProof/>
              </w:rPr>
              <w:t>151</w:t>
            </w:r>
          </w:p>
        </w:tc>
        <w:tc>
          <w:tcPr>
            <w:tcW w:w="2101" w:type="dxa"/>
            <w:tcBorders>
              <w:top w:val="single" w:sz="4" w:space="0" w:color="auto"/>
              <w:left w:val="nil"/>
              <w:bottom w:val="single" w:sz="4" w:space="0" w:color="auto"/>
              <w:right w:val="single" w:sz="4" w:space="0" w:color="auto"/>
            </w:tcBorders>
            <w:shd w:val="clear" w:color="auto" w:fill="C6EFCE"/>
            <w:noWrap/>
          </w:tcPr>
          <w:p w14:paraId="4E2BEE61" w14:textId="77777777" w:rsidR="00A345F4" w:rsidRDefault="005E2D4E">
            <w:pPr>
              <w:pStyle w:val="P68B1DB1-Normal14"/>
              <w:spacing w:after="0" w:line="240" w:lineRule="auto"/>
              <w:jc w:val="both"/>
              <w:rPr>
                <w:rFonts w:eastAsia="Times New Roman"/>
                <w:noProof/>
              </w:rPr>
            </w:pPr>
            <w:r>
              <w:rPr>
                <w:noProof/>
              </w:rPr>
              <w:t>Réforme 3. Garantir la cybersécurité des entités publiques et privées possédant des infrastructures de valeur critique</w:t>
            </w:r>
          </w:p>
        </w:tc>
        <w:tc>
          <w:tcPr>
            <w:tcW w:w="1226" w:type="dxa"/>
            <w:tcBorders>
              <w:top w:val="single" w:sz="4" w:space="0" w:color="auto"/>
              <w:left w:val="nil"/>
              <w:bottom w:val="single" w:sz="4" w:space="0" w:color="auto"/>
              <w:right w:val="single" w:sz="4" w:space="0" w:color="auto"/>
            </w:tcBorders>
            <w:shd w:val="clear" w:color="auto" w:fill="C6EFCE"/>
            <w:noWrap/>
          </w:tcPr>
          <w:p w14:paraId="0664D389"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6513EF81" w14:textId="77777777" w:rsidR="00A345F4" w:rsidRDefault="005E2D4E">
            <w:pPr>
              <w:pStyle w:val="P68B1DB1-Normal14"/>
              <w:spacing w:after="0" w:line="240" w:lineRule="auto"/>
              <w:jc w:val="both"/>
              <w:rPr>
                <w:rFonts w:eastAsia="Times New Roman"/>
                <w:noProof/>
              </w:rPr>
            </w:pPr>
            <w:r>
              <w:rPr>
                <w:noProof/>
              </w:rPr>
              <w:t>Entrée en vigueur de la loi roumaine sur la défense et la cybersécurité</w:t>
            </w:r>
          </w:p>
        </w:tc>
        <w:tc>
          <w:tcPr>
            <w:tcW w:w="1734" w:type="dxa"/>
            <w:tcBorders>
              <w:top w:val="single" w:sz="4" w:space="0" w:color="auto"/>
              <w:left w:val="nil"/>
              <w:bottom w:val="single" w:sz="4" w:space="0" w:color="auto"/>
              <w:right w:val="single" w:sz="4" w:space="0" w:color="auto"/>
            </w:tcBorders>
            <w:shd w:val="clear" w:color="auto" w:fill="C6EFCE"/>
            <w:noWrap/>
          </w:tcPr>
          <w:p w14:paraId="48D825AB"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 loi sur la défense et la cybersécurité de la Roumanie</w:t>
            </w:r>
          </w:p>
        </w:tc>
        <w:tc>
          <w:tcPr>
            <w:tcW w:w="970" w:type="dxa"/>
            <w:tcBorders>
              <w:top w:val="single" w:sz="4" w:space="0" w:color="auto"/>
              <w:left w:val="nil"/>
              <w:bottom w:val="single" w:sz="4" w:space="0" w:color="auto"/>
              <w:right w:val="single" w:sz="4" w:space="0" w:color="auto"/>
            </w:tcBorders>
            <w:shd w:val="clear" w:color="auto" w:fill="C6EFCE"/>
            <w:noWrap/>
          </w:tcPr>
          <w:p w14:paraId="2729E9F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0E0252B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0A2C4572"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5F70EFC4" w14:textId="77777777" w:rsidR="00A345F4" w:rsidRDefault="005E2D4E">
            <w:pPr>
              <w:pStyle w:val="P68B1DB1-Normal14"/>
              <w:spacing w:after="0" w:line="240" w:lineRule="auto"/>
              <w:jc w:val="both"/>
              <w:rPr>
                <w:rFonts w:eastAsia="Times New Roman"/>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0AAB2BBE" w14:textId="77777777" w:rsidR="00A345F4" w:rsidRDefault="005E2D4E">
            <w:pPr>
              <w:pStyle w:val="P68B1DB1-Normal14"/>
              <w:spacing w:after="0" w:line="240" w:lineRule="auto"/>
              <w:jc w:val="both"/>
              <w:rPr>
                <w:rFonts w:eastAsia="Times New Roman"/>
                <w:noProof/>
              </w:rPr>
            </w:pPr>
            <w:r>
              <w:rPr>
                <w:noProof/>
              </w:rPr>
              <w:t>2022</w:t>
            </w:r>
          </w:p>
        </w:tc>
        <w:tc>
          <w:tcPr>
            <w:tcW w:w="2737" w:type="dxa"/>
            <w:tcBorders>
              <w:top w:val="single" w:sz="4" w:space="0" w:color="auto"/>
              <w:left w:val="nil"/>
              <w:bottom w:val="single" w:sz="4" w:space="0" w:color="auto"/>
              <w:right w:val="single" w:sz="4" w:space="0" w:color="auto"/>
            </w:tcBorders>
            <w:shd w:val="clear" w:color="auto" w:fill="C6EFCE"/>
            <w:noWrap/>
          </w:tcPr>
          <w:p w14:paraId="63B9BCF6" w14:textId="77777777" w:rsidR="00A345F4" w:rsidRDefault="005E2D4E">
            <w:pPr>
              <w:pStyle w:val="P68B1DB1-Normal14"/>
              <w:spacing w:after="0" w:line="240" w:lineRule="auto"/>
              <w:jc w:val="both"/>
              <w:rPr>
                <w:rFonts w:eastAsia="Times New Roman"/>
                <w:noProof/>
              </w:rPr>
            </w:pPr>
            <w:r>
              <w:rPr>
                <w:noProof/>
              </w:rPr>
              <w:t>La loi sur la défense et la cybersécurité de la Roumanie établit le cadre juridique et institutionnel pour l’organisation et la conduite d’activités dans les domaines de la cybersécurité et de la cyberdéfense, les mécanismes de coopération et les réponses des institutions dans les domaines concernés.</w:t>
            </w:r>
          </w:p>
        </w:tc>
      </w:tr>
      <w:tr w:rsidR="00A345F4" w14:paraId="3E2CF734"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1169597" w14:textId="77777777" w:rsidR="00A345F4" w:rsidRDefault="005E2D4E">
            <w:pPr>
              <w:pStyle w:val="P68B1DB1-Normal14"/>
              <w:spacing w:after="0" w:line="240" w:lineRule="auto"/>
              <w:jc w:val="center"/>
              <w:rPr>
                <w:rFonts w:eastAsia="Times New Roman"/>
                <w:noProof/>
              </w:rPr>
            </w:pPr>
            <w:r>
              <w:rPr>
                <w:noProof/>
              </w:rPr>
              <w:t>152</w:t>
            </w:r>
          </w:p>
        </w:tc>
        <w:tc>
          <w:tcPr>
            <w:tcW w:w="2101" w:type="dxa"/>
            <w:tcBorders>
              <w:top w:val="single" w:sz="4" w:space="0" w:color="auto"/>
              <w:left w:val="nil"/>
              <w:bottom w:val="single" w:sz="4" w:space="0" w:color="auto"/>
              <w:right w:val="single" w:sz="4" w:space="0" w:color="auto"/>
            </w:tcBorders>
            <w:shd w:val="clear" w:color="auto" w:fill="C6EFCE"/>
            <w:noWrap/>
          </w:tcPr>
          <w:p w14:paraId="2A756DC4" w14:textId="77777777" w:rsidR="00A345F4" w:rsidRDefault="005E2D4E">
            <w:pPr>
              <w:pStyle w:val="P68B1DB1-Normal14"/>
              <w:spacing w:after="0" w:line="240" w:lineRule="auto"/>
              <w:jc w:val="both"/>
              <w:rPr>
                <w:rFonts w:eastAsia="Times New Roman"/>
                <w:noProof/>
              </w:rPr>
            </w:pPr>
            <w:r>
              <w:rPr>
                <w:noProof/>
              </w:rPr>
              <w:t>Réforme 4.</w:t>
            </w:r>
          </w:p>
          <w:p w14:paraId="7600BC9C" w14:textId="77777777" w:rsidR="00A345F4" w:rsidRDefault="005E2D4E">
            <w:pPr>
              <w:pStyle w:val="P68B1DB1-Normal14"/>
              <w:spacing w:after="0" w:line="240" w:lineRule="auto"/>
              <w:jc w:val="both"/>
              <w:rPr>
                <w:rFonts w:eastAsia="Times New Roman"/>
                <w:noProof/>
              </w:rPr>
            </w:pPr>
            <w:r>
              <w:rPr>
                <w:noProof/>
              </w:rPr>
              <w:t>Accroître les compétences numériques pour le service public et l’éducation numérique tout au long de la vie pour les citoyens</w:t>
            </w:r>
          </w:p>
        </w:tc>
        <w:tc>
          <w:tcPr>
            <w:tcW w:w="1226" w:type="dxa"/>
            <w:tcBorders>
              <w:top w:val="single" w:sz="4" w:space="0" w:color="auto"/>
              <w:left w:val="nil"/>
              <w:bottom w:val="single" w:sz="4" w:space="0" w:color="auto"/>
              <w:right w:val="single" w:sz="4" w:space="0" w:color="auto"/>
            </w:tcBorders>
            <w:shd w:val="clear" w:color="auto" w:fill="C6EFCE"/>
            <w:noWrap/>
          </w:tcPr>
          <w:p w14:paraId="1550A6A8"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521649C8" w14:textId="77777777" w:rsidR="00A345F4" w:rsidRDefault="005E2D4E">
            <w:pPr>
              <w:pStyle w:val="P68B1DB1-Normal14"/>
              <w:spacing w:after="0" w:line="240" w:lineRule="auto"/>
              <w:jc w:val="both"/>
              <w:rPr>
                <w:rFonts w:eastAsia="Times New Roman"/>
                <w:noProof/>
              </w:rPr>
            </w:pPr>
            <w:r>
              <w:rPr>
                <w:noProof/>
              </w:rPr>
              <w:t xml:space="preserve">Entrée en vigueur de l’arrêté ministériel du ministre du travail et du président de l’Institut national de la statistique pour la définition des nouvelles professions numériques dans la classification des professions (COR) </w:t>
            </w:r>
          </w:p>
          <w:p w14:paraId="3C1953D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734" w:type="dxa"/>
            <w:tcBorders>
              <w:top w:val="single" w:sz="4" w:space="0" w:color="auto"/>
              <w:left w:val="nil"/>
              <w:bottom w:val="single" w:sz="4" w:space="0" w:color="auto"/>
              <w:right w:val="single" w:sz="4" w:space="0" w:color="auto"/>
            </w:tcBorders>
            <w:shd w:val="clear" w:color="auto" w:fill="C6EFCE"/>
            <w:noWrap/>
          </w:tcPr>
          <w:p w14:paraId="32B19B26" w14:textId="77777777" w:rsidR="00A345F4" w:rsidRDefault="005E2D4E">
            <w:pPr>
              <w:pStyle w:val="P68B1DB1-Normal14"/>
              <w:spacing w:after="0" w:line="240" w:lineRule="auto"/>
              <w:jc w:val="both"/>
              <w:rPr>
                <w:rFonts w:eastAsia="Times New Roman"/>
                <w:noProof/>
              </w:rPr>
            </w:pPr>
            <w:r>
              <w:rPr>
                <w:noProof/>
              </w:rPr>
              <w:t>Disposition dans l’ordre du ministre du travail et du président de l’Institut national de la statistique indiquant l’entrée en vigueur de l’amendement définissant les nouvelles professions numériques au sein du CdR.</w:t>
            </w:r>
          </w:p>
        </w:tc>
        <w:tc>
          <w:tcPr>
            <w:tcW w:w="970" w:type="dxa"/>
            <w:tcBorders>
              <w:top w:val="single" w:sz="4" w:space="0" w:color="auto"/>
              <w:left w:val="nil"/>
              <w:bottom w:val="single" w:sz="4" w:space="0" w:color="auto"/>
              <w:right w:val="single" w:sz="4" w:space="0" w:color="auto"/>
            </w:tcBorders>
            <w:shd w:val="clear" w:color="auto" w:fill="C6EFCE"/>
            <w:noWrap/>
          </w:tcPr>
          <w:p w14:paraId="6299BDF2" w14:textId="77777777" w:rsidR="00A345F4" w:rsidRDefault="005E2D4E">
            <w:pPr>
              <w:pStyle w:val="P68B1DB1-Normal14"/>
              <w:spacing w:after="0" w:line="240" w:lineRule="auto"/>
              <w:jc w:val="both"/>
              <w:rPr>
                <w:rFonts w:eastAsia="Times New Roman"/>
                <w:noProof/>
              </w:rPr>
            </w:pPr>
            <w:r>
              <w:rPr>
                <w:noProof/>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3F18CF25" w14:textId="77777777" w:rsidR="00A345F4" w:rsidRDefault="005E2D4E">
            <w:pPr>
              <w:pStyle w:val="P68B1DB1-Normal14"/>
              <w:spacing w:after="0" w:line="240" w:lineRule="auto"/>
              <w:jc w:val="both"/>
              <w:rPr>
                <w:rFonts w:eastAsia="Times New Roman"/>
                <w:noProof/>
              </w:rPr>
            </w:pPr>
            <w:r>
              <w:rPr>
                <w:noProof/>
              </w:rPr>
              <w:t xml:space="preserve"> </w:t>
            </w:r>
          </w:p>
        </w:tc>
        <w:tc>
          <w:tcPr>
            <w:tcW w:w="782" w:type="dxa"/>
            <w:tcBorders>
              <w:top w:val="single" w:sz="4" w:space="0" w:color="auto"/>
              <w:left w:val="nil"/>
              <w:bottom w:val="single" w:sz="4" w:space="0" w:color="auto"/>
              <w:right w:val="single" w:sz="4" w:space="0" w:color="auto"/>
            </w:tcBorders>
            <w:shd w:val="clear" w:color="auto" w:fill="C6EFCE"/>
            <w:noWrap/>
          </w:tcPr>
          <w:p w14:paraId="35CF9D4D" w14:textId="77777777" w:rsidR="00A345F4" w:rsidRDefault="005E2D4E">
            <w:pPr>
              <w:pStyle w:val="P68B1DB1-Normal14"/>
              <w:spacing w:after="0" w:line="240" w:lineRule="auto"/>
              <w:jc w:val="both"/>
              <w:rPr>
                <w:rFonts w:eastAsia="Times New Roman"/>
                <w:noProof/>
              </w:rPr>
            </w:pPr>
            <w:r>
              <w:rPr>
                <w:noProof/>
              </w:rPr>
              <w:t xml:space="preserve"> </w:t>
            </w:r>
          </w:p>
        </w:tc>
        <w:tc>
          <w:tcPr>
            <w:tcW w:w="992" w:type="dxa"/>
            <w:tcBorders>
              <w:top w:val="single" w:sz="4" w:space="0" w:color="auto"/>
              <w:left w:val="nil"/>
              <w:bottom w:val="single" w:sz="4" w:space="0" w:color="auto"/>
              <w:right w:val="single" w:sz="4" w:space="0" w:color="auto"/>
            </w:tcBorders>
            <w:shd w:val="clear" w:color="auto" w:fill="C6EFCE"/>
            <w:noWrap/>
          </w:tcPr>
          <w:p w14:paraId="78D26B29" w14:textId="77777777" w:rsidR="00A345F4" w:rsidRDefault="005E2D4E">
            <w:pPr>
              <w:pStyle w:val="P68B1DB1-Normal14"/>
              <w:spacing w:after="0" w:line="240" w:lineRule="auto"/>
              <w:jc w:val="both"/>
              <w:rPr>
                <w:rFonts w:eastAsia="Times New Roman"/>
                <w:noProof/>
              </w:rPr>
            </w:pPr>
            <w:r>
              <w:rPr>
                <w:noProof/>
              </w:rPr>
              <w:t>T3</w:t>
            </w:r>
          </w:p>
        </w:tc>
        <w:tc>
          <w:tcPr>
            <w:tcW w:w="851" w:type="dxa"/>
            <w:tcBorders>
              <w:top w:val="single" w:sz="4" w:space="0" w:color="auto"/>
              <w:left w:val="nil"/>
              <w:bottom w:val="single" w:sz="4" w:space="0" w:color="auto"/>
              <w:right w:val="single" w:sz="4" w:space="0" w:color="auto"/>
            </w:tcBorders>
            <w:shd w:val="clear" w:color="auto" w:fill="C6EFCE"/>
            <w:noWrap/>
          </w:tcPr>
          <w:p w14:paraId="3B65FC15" w14:textId="77777777" w:rsidR="00A345F4" w:rsidRDefault="005E2D4E">
            <w:pPr>
              <w:pStyle w:val="P68B1DB1-Normal14"/>
              <w:spacing w:after="0" w:line="240" w:lineRule="auto"/>
              <w:jc w:val="both"/>
              <w:rPr>
                <w:rFonts w:eastAsia="Times New Roman"/>
                <w:noProof/>
              </w:rPr>
            </w:pPr>
            <w:r>
              <w:rPr>
                <w:noProof/>
              </w:rPr>
              <w:t>2022</w:t>
            </w:r>
          </w:p>
        </w:tc>
        <w:tc>
          <w:tcPr>
            <w:tcW w:w="2737" w:type="dxa"/>
            <w:tcBorders>
              <w:top w:val="single" w:sz="4" w:space="0" w:color="auto"/>
              <w:left w:val="nil"/>
              <w:bottom w:val="single" w:sz="4" w:space="0" w:color="auto"/>
              <w:right w:val="single" w:sz="4" w:space="0" w:color="auto"/>
            </w:tcBorders>
            <w:shd w:val="clear" w:color="auto" w:fill="C6EFCE"/>
            <w:noWrap/>
          </w:tcPr>
          <w:p w14:paraId="52847297" w14:textId="77777777" w:rsidR="00A345F4" w:rsidRDefault="005E2D4E">
            <w:pPr>
              <w:pStyle w:val="P68B1DB1-Normal14"/>
              <w:spacing w:after="0" w:line="240" w:lineRule="auto"/>
              <w:jc w:val="both"/>
              <w:rPr>
                <w:rFonts w:eastAsia="Times New Roman"/>
                <w:noProof/>
              </w:rPr>
            </w:pPr>
            <w:r>
              <w:rPr>
                <w:noProof/>
              </w:rPr>
              <w:t>L’arrêté ministériel du ministre du travail et du président de l’Institut national de la statistique définit les nouvelles professions numériques au niveau de la classification roumaine des professions (COR), équivalentes à celles existant dans les pays de l’Union européenne dotés de bonnes pratiques en matière de numérisation. Une étude/analyse de diagnostic est réalisée afin de fournir une prévision pour les cinq prochaines années des besoins en main-d’œuvre dans le contexte de la transformation numérique de l’économie et de la transition vers l’industrie 4.0, y compris des recommandations pour la définition de nouvelles professions numériques dans la classification officielle des professions.</w:t>
            </w:r>
          </w:p>
        </w:tc>
      </w:tr>
      <w:tr w:rsidR="00A345F4" w14:paraId="253482A6"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E145264" w14:textId="77777777" w:rsidR="00A345F4" w:rsidRDefault="005E2D4E">
            <w:pPr>
              <w:pStyle w:val="P68B1DB1-Normal14"/>
              <w:spacing w:after="0" w:line="240" w:lineRule="auto"/>
              <w:jc w:val="center"/>
              <w:rPr>
                <w:rFonts w:eastAsia="Times New Roman"/>
                <w:noProof/>
              </w:rPr>
            </w:pPr>
            <w:r>
              <w:rPr>
                <w:noProof/>
              </w:rPr>
              <w:t>153</w:t>
            </w:r>
          </w:p>
        </w:tc>
        <w:tc>
          <w:tcPr>
            <w:tcW w:w="2101" w:type="dxa"/>
            <w:tcBorders>
              <w:top w:val="single" w:sz="4" w:space="0" w:color="auto"/>
              <w:left w:val="nil"/>
              <w:bottom w:val="single" w:sz="4" w:space="0" w:color="auto"/>
              <w:right w:val="single" w:sz="4" w:space="0" w:color="auto"/>
            </w:tcBorders>
            <w:shd w:val="clear" w:color="auto" w:fill="C6EFCE"/>
            <w:noWrap/>
          </w:tcPr>
          <w:p w14:paraId="4CA9B1A0" w14:textId="77777777" w:rsidR="00A345F4" w:rsidRDefault="005E2D4E">
            <w:pPr>
              <w:pStyle w:val="P68B1DB1-Normal14"/>
              <w:spacing w:after="0" w:line="240" w:lineRule="auto"/>
              <w:jc w:val="both"/>
              <w:rPr>
                <w:rFonts w:eastAsia="Times New Roman"/>
                <w:noProof/>
              </w:rPr>
            </w:pPr>
            <w:r>
              <w:rPr>
                <w:noProof/>
              </w:rPr>
              <w:t>Investissement 1.</w:t>
            </w:r>
          </w:p>
          <w:p w14:paraId="25102529" w14:textId="77777777" w:rsidR="00A345F4" w:rsidRDefault="005E2D4E">
            <w:pPr>
              <w:pStyle w:val="P68B1DB1-Normal14"/>
              <w:spacing w:after="0" w:line="240" w:lineRule="auto"/>
              <w:jc w:val="both"/>
              <w:rPr>
                <w:rFonts w:eastAsia="Times New Roman"/>
                <w:noProof/>
              </w:rPr>
            </w:pPr>
            <w:r>
              <w:rPr>
                <w:noProof/>
              </w:rPr>
              <w:t xml:space="preserve">Déploiement de l'infrastructure d'informatique en nuage du gouvernement </w:t>
            </w:r>
          </w:p>
          <w:p w14:paraId="776E6E2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6284F3AF"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218563DB" w14:textId="77777777" w:rsidR="00A345F4" w:rsidRDefault="005E2D4E">
            <w:pPr>
              <w:pStyle w:val="P68B1DB1-Normal14"/>
              <w:spacing w:after="0" w:line="240" w:lineRule="auto"/>
              <w:jc w:val="both"/>
              <w:rPr>
                <w:rFonts w:eastAsia="Times New Roman"/>
                <w:noProof/>
              </w:rPr>
            </w:pPr>
            <w:r>
              <w:rPr>
                <w:noProof/>
              </w:rPr>
              <w:t>Signature du contrat de mise en œuvre de l’investissement sur la base de la procédure d’appel d’offres pour la mise en œuvre de l’investissement</w:t>
            </w:r>
          </w:p>
        </w:tc>
        <w:tc>
          <w:tcPr>
            <w:tcW w:w="1734" w:type="dxa"/>
            <w:tcBorders>
              <w:top w:val="single" w:sz="4" w:space="0" w:color="auto"/>
              <w:left w:val="nil"/>
              <w:bottom w:val="single" w:sz="4" w:space="0" w:color="auto"/>
              <w:right w:val="single" w:sz="4" w:space="0" w:color="auto"/>
            </w:tcBorders>
            <w:shd w:val="clear" w:color="auto" w:fill="C6EFCE"/>
            <w:noWrap/>
          </w:tcPr>
          <w:p w14:paraId="155495E3" w14:textId="77777777" w:rsidR="00A345F4" w:rsidRDefault="005E2D4E">
            <w:pPr>
              <w:pStyle w:val="P68B1DB1-Normal14"/>
              <w:spacing w:after="0" w:line="240" w:lineRule="auto"/>
              <w:jc w:val="both"/>
              <w:rPr>
                <w:rFonts w:eastAsia="Times New Roman"/>
                <w:noProof/>
              </w:rPr>
            </w:pPr>
            <w:r>
              <w:rPr>
                <w:noProof/>
              </w:rPr>
              <w:t>Signature du contrat</w:t>
            </w:r>
          </w:p>
        </w:tc>
        <w:tc>
          <w:tcPr>
            <w:tcW w:w="970" w:type="dxa"/>
            <w:tcBorders>
              <w:top w:val="single" w:sz="4" w:space="0" w:color="auto"/>
              <w:left w:val="nil"/>
              <w:bottom w:val="single" w:sz="4" w:space="0" w:color="auto"/>
              <w:right w:val="single" w:sz="4" w:space="0" w:color="auto"/>
            </w:tcBorders>
            <w:shd w:val="clear" w:color="auto" w:fill="C6EFCE"/>
            <w:noWrap/>
          </w:tcPr>
          <w:p w14:paraId="6906EA52"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4958493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5AFDC5B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54976F59"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5097900F" w14:textId="77777777" w:rsidR="00A345F4" w:rsidRDefault="005E2D4E">
            <w:pPr>
              <w:pStyle w:val="P68B1DB1-Normal14"/>
              <w:spacing w:after="0" w:line="240" w:lineRule="auto"/>
              <w:jc w:val="both"/>
              <w:rPr>
                <w:rFonts w:eastAsia="Times New Roman"/>
                <w:noProof/>
              </w:rPr>
            </w:pPr>
            <w:r>
              <w:rPr>
                <w:noProof/>
              </w:rPr>
              <w:t>2022</w:t>
            </w:r>
          </w:p>
        </w:tc>
        <w:tc>
          <w:tcPr>
            <w:tcW w:w="2737" w:type="dxa"/>
            <w:tcBorders>
              <w:top w:val="single" w:sz="4" w:space="0" w:color="auto"/>
              <w:left w:val="nil"/>
              <w:bottom w:val="single" w:sz="4" w:space="0" w:color="auto"/>
              <w:right w:val="single" w:sz="4" w:space="0" w:color="auto"/>
            </w:tcBorders>
            <w:shd w:val="clear" w:color="auto" w:fill="C6EFCE"/>
            <w:noWrap/>
          </w:tcPr>
          <w:p w14:paraId="617E6A69" w14:textId="77777777" w:rsidR="00A345F4" w:rsidRDefault="005E2D4E">
            <w:pPr>
              <w:pStyle w:val="P68B1DB1-Normal14"/>
              <w:spacing w:after="0" w:line="240" w:lineRule="auto"/>
              <w:contextualSpacing/>
              <w:jc w:val="both"/>
              <w:rPr>
                <w:rFonts w:eastAsia="Times New Roman"/>
                <w:noProof/>
              </w:rPr>
            </w:pPr>
            <w:r>
              <w:rPr>
                <w:noProof/>
              </w:rPr>
              <w:t>Signature du contrat pour la mise en œuvre de l'infrastructure cloud gouvernementale.</w:t>
            </w:r>
          </w:p>
          <w:p w14:paraId="49C52B9D" w14:textId="77777777" w:rsidR="00A345F4" w:rsidRDefault="005E2D4E">
            <w:pPr>
              <w:pStyle w:val="P68B1DB1-Normal14"/>
              <w:spacing w:after="0" w:line="240" w:lineRule="auto"/>
              <w:contextualSpacing/>
              <w:jc w:val="both"/>
              <w:rPr>
                <w:rFonts w:eastAsia="Times New Roman"/>
                <w:noProof/>
              </w:rPr>
            </w:pPr>
            <w:r>
              <w:rPr>
                <w:noProof/>
              </w:rPr>
              <w:t>Les institutions responsables de l'appel d'offres et de la mise en œuvre de cet investissement sont les Services spéciaux de télécommunications et l'Autorité de numérisation de la Roumanie.</w:t>
            </w:r>
          </w:p>
          <w:p w14:paraId="2C270E56" w14:textId="77777777" w:rsidR="00A345F4" w:rsidRDefault="005E2D4E">
            <w:pPr>
              <w:pStyle w:val="P68B1DB1-Normal14"/>
              <w:spacing w:after="0" w:line="240" w:lineRule="auto"/>
              <w:jc w:val="both"/>
              <w:rPr>
                <w:rFonts w:eastAsia="Times New Roman"/>
                <w:noProof/>
              </w:rPr>
            </w:pPr>
            <w:r>
              <w:rPr>
                <w:noProof/>
              </w:rPr>
              <w:t>La mise en œuvre du nuage gouvernemental comprend au moins les étapes suivantes:</w:t>
            </w:r>
          </w:p>
          <w:p w14:paraId="715DCD16"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construction de centres de données de niveau IV par conception pour les deux centres principaux et de niveau III par conception pour les centres secondaires;</w:t>
            </w:r>
          </w:p>
          <w:p w14:paraId="3691A8A6"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la fourniture d’infrastructures de communication et de technologies de l’information spécifiques (câbles à fibres optiques et équipements de communication à haute capacité);</w:t>
            </w:r>
          </w:p>
          <w:p w14:paraId="0CFFB243"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le développement/l’expansion du réseau d’approvisionnement en électricité pour chaque centre de données afin de garantir la redondance et la demande d’électricité;</w:t>
            </w:r>
          </w:p>
          <w:p w14:paraId="48667288"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mettre en place une infrastructure de climatisation évolutive et redondante, économe en énergie pour chaque centre de données;</w:t>
            </w:r>
          </w:p>
          <w:p w14:paraId="1D449C1B"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installation du système de détection et d'extinction d'incendie à gaz inerte pour assurer la protection de l'ensemble de l'infrastructure de chaque centre de données;</w:t>
            </w:r>
          </w:p>
          <w:p w14:paraId="6C258355"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mise en œuvre du système de sécurité physique (contrôle d'accès, vidéosurveillance, anti-effraction) pour l'infrastructure développée;</w:t>
            </w:r>
          </w:p>
          <w:p w14:paraId="762C57AD"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la mise en œuvre du réseau de surveillance et de gestion de l'infrastructure au sein de l'installation réalisée;</w:t>
            </w:r>
          </w:p>
          <w:p w14:paraId="1E2C752C"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réalisation d'une infrastructure IT&amp;C évolutive et à haute disponibilité (équipements de traitement, stockage, communications, logiciels de virtualisation) au sein de chaque centre de données;</w:t>
            </w:r>
          </w:p>
          <w:p w14:paraId="2A97CD10"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 xml:space="preserve">l'acquisition des licences nécessaires et des équipements spécialisés pour le périmètre de cybersécurité. </w:t>
            </w:r>
          </w:p>
          <w:p w14:paraId="1CA29B82" w14:textId="77777777" w:rsidR="00A345F4" w:rsidRDefault="005E2D4E">
            <w:pPr>
              <w:pStyle w:val="P68B1DB1-Normal14"/>
              <w:numPr>
                <w:ilvl w:val="1"/>
                <w:numId w:val="40"/>
              </w:numPr>
              <w:spacing w:after="0" w:line="240" w:lineRule="auto"/>
              <w:ind w:left="259" w:hanging="218"/>
              <w:contextualSpacing/>
              <w:jc w:val="both"/>
              <w:rPr>
                <w:rFonts w:eastAsia="Times New Roman"/>
                <w:noProof/>
              </w:rPr>
            </w:pPr>
            <w:r>
              <w:rPr>
                <w:noProof/>
              </w:rPr>
              <w:t>La sécurité est assurée par l’administrateur de l’infrastructure en nuage du gouvernement.</w:t>
            </w:r>
          </w:p>
        </w:tc>
      </w:tr>
      <w:tr w:rsidR="00A345F4" w14:paraId="46DB9DD0"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A84EB86" w14:textId="77777777" w:rsidR="00A345F4" w:rsidRDefault="005E2D4E">
            <w:pPr>
              <w:pStyle w:val="P68B1DB1-Normal14"/>
              <w:spacing w:after="0" w:line="240" w:lineRule="auto"/>
              <w:jc w:val="center"/>
              <w:rPr>
                <w:rFonts w:eastAsia="Times New Roman"/>
                <w:noProof/>
              </w:rPr>
            </w:pPr>
            <w:r>
              <w:rPr>
                <w:noProof/>
              </w:rPr>
              <w:t>154</w:t>
            </w:r>
          </w:p>
        </w:tc>
        <w:tc>
          <w:tcPr>
            <w:tcW w:w="2101" w:type="dxa"/>
            <w:tcBorders>
              <w:top w:val="single" w:sz="4" w:space="0" w:color="auto"/>
              <w:left w:val="nil"/>
              <w:bottom w:val="single" w:sz="4" w:space="0" w:color="auto"/>
              <w:right w:val="single" w:sz="4" w:space="0" w:color="auto"/>
            </w:tcBorders>
            <w:shd w:val="clear" w:color="auto" w:fill="C6EFCE"/>
            <w:noWrap/>
          </w:tcPr>
          <w:p w14:paraId="084C6FFD" w14:textId="77777777" w:rsidR="00A345F4" w:rsidRDefault="005E2D4E">
            <w:pPr>
              <w:pStyle w:val="P68B1DB1-Normal14"/>
              <w:spacing w:after="0" w:line="240" w:lineRule="auto"/>
              <w:jc w:val="both"/>
              <w:rPr>
                <w:rFonts w:eastAsia="Times New Roman"/>
                <w:noProof/>
              </w:rPr>
            </w:pPr>
            <w:r>
              <w:rPr>
                <w:noProof/>
              </w:rPr>
              <w:t>Investissement 1.</w:t>
            </w:r>
          </w:p>
          <w:p w14:paraId="7770FD7F" w14:textId="77777777" w:rsidR="00A345F4" w:rsidRDefault="005E2D4E">
            <w:pPr>
              <w:pStyle w:val="P68B1DB1-Normal14"/>
              <w:spacing w:after="0" w:line="240" w:lineRule="auto"/>
              <w:jc w:val="both"/>
              <w:rPr>
                <w:rFonts w:eastAsia="Times New Roman"/>
                <w:noProof/>
              </w:rPr>
            </w:pPr>
            <w:r>
              <w:rPr>
                <w:noProof/>
              </w:rPr>
              <w:t xml:space="preserve">Déploiement de l'infrastructure d'informatique en nuage du gouvernement </w:t>
            </w:r>
          </w:p>
          <w:p w14:paraId="44B9E10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29F9C48C" w14:textId="77777777" w:rsidR="00A345F4" w:rsidRDefault="005E2D4E">
            <w:pPr>
              <w:pStyle w:val="P68B1DB1-Normal14"/>
              <w:spacing w:after="0" w:line="240" w:lineRule="auto"/>
              <w:jc w:val="both"/>
              <w:rPr>
                <w:rFonts w:eastAsia="Times New Roman"/>
                <w:noProof/>
              </w:rPr>
            </w:pPr>
            <w:r>
              <w:rPr>
                <w:noProof/>
              </w:rPr>
              <w:t>Objectif</w:t>
            </w:r>
          </w:p>
        </w:tc>
        <w:tc>
          <w:tcPr>
            <w:tcW w:w="1590" w:type="dxa"/>
            <w:tcBorders>
              <w:top w:val="single" w:sz="4" w:space="0" w:color="auto"/>
              <w:left w:val="nil"/>
              <w:bottom w:val="single" w:sz="4" w:space="0" w:color="auto"/>
              <w:right w:val="single" w:sz="4" w:space="0" w:color="auto"/>
            </w:tcBorders>
            <w:shd w:val="clear" w:color="auto" w:fill="C6EFCE"/>
            <w:noWrap/>
          </w:tcPr>
          <w:p w14:paraId="6DF5F8E3" w14:textId="77777777" w:rsidR="00A345F4" w:rsidRDefault="005E2D4E">
            <w:pPr>
              <w:pStyle w:val="P68B1DB1-Normal14"/>
              <w:spacing w:after="0" w:line="240" w:lineRule="auto"/>
              <w:jc w:val="both"/>
              <w:rPr>
                <w:rFonts w:eastAsia="Times New Roman"/>
                <w:noProof/>
              </w:rPr>
            </w:pPr>
            <w:r>
              <w:rPr>
                <w:noProof/>
              </w:rPr>
              <w:t>Institutions publiques connectées via le cloud gouvernemental</w:t>
            </w:r>
          </w:p>
        </w:tc>
        <w:tc>
          <w:tcPr>
            <w:tcW w:w="1734" w:type="dxa"/>
            <w:tcBorders>
              <w:top w:val="single" w:sz="4" w:space="0" w:color="auto"/>
              <w:left w:val="nil"/>
              <w:bottom w:val="single" w:sz="4" w:space="0" w:color="auto"/>
              <w:right w:val="single" w:sz="4" w:space="0" w:color="auto"/>
            </w:tcBorders>
            <w:shd w:val="clear" w:color="auto" w:fill="C6EFCE"/>
            <w:noWrap/>
          </w:tcPr>
          <w:p w14:paraId="105A07F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70" w:type="dxa"/>
            <w:tcBorders>
              <w:top w:val="single" w:sz="4" w:space="0" w:color="auto"/>
              <w:left w:val="nil"/>
              <w:bottom w:val="single" w:sz="4" w:space="0" w:color="auto"/>
              <w:right w:val="single" w:sz="4" w:space="0" w:color="auto"/>
            </w:tcBorders>
            <w:shd w:val="clear" w:color="auto" w:fill="C6EFCE"/>
            <w:noWrap/>
          </w:tcPr>
          <w:p w14:paraId="68F1418F" w14:textId="77777777" w:rsidR="00A345F4" w:rsidRDefault="005E2D4E">
            <w:pPr>
              <w:pStyle w:val="P68B1DB1-Normal14"/>
              <w:spacing w:after="0" w:line="240" w:lineRule="auto"/>
              <w:jc w:val="both"/>
              <w:rPr>
                <w:rFonts w:eastAsia="Times New Roman"/>
                <w:noProof/>
              </w:rPr>
            </w:pPr>
            <w:r>
              <w:rPr>
                <w:noProof/>
              </w:rPr>
              <w:t>Numéro</w:t>
            </w:r>
          </w:p>
        </w:tc>
        <w:tc>
          <w:tcPr>
            <w:tcW w:w="1225" w:type="dxa"/>
            <w:tcBorders>
              <w:top w:val="single" w:sz="4" w:space="0" w:color="auto"/>
              <w:left w:val="nil"/>
              <w:bottom w:val="single" w:sz="4" w:space="0" w:color="auto"/>
              <w:right w:val="single" w:sz="4" w:space="0" w:color="auto"/>
            </w:tcBorders>
            <w:shd w:val="clear" w:color="auto" w:fill="C6EFCE"/>
            <w:noWrap/>
          </w:tcPr>
          <w:p w14:paraId="0A6D0430" w14:textId="77777777" w:rsidR="00A345F4" w:rsidRDefault="005E2D4E">
            <w:pPr>
              <w:pStyle w:val="P68B1DB1-Normal14"/>
              <w:spacing w:after="0" w:line="240" w:lineRule="auto"/>
              <w:jc w:val="both"/>
              <w:rPr>
                <w:rFonts w:eastAsia="Times New Roman"/>
                <w:noProof/>
              </w:rPr>
            </w:pPr>
            <w:r>
              <w:rPr>
                <w:noProof/>
              </w:rPr>
              <w:t>0</w:t>
            </w:r>
          </w:p>
        </w:tc>
        <w:tc>
          <w:tcPr>
            <w:tcW w:w="782" w:type="dxa"/>
            <w:tcBorders>
              <w:top w:val="single" w:sz="4" w:space="0" w:color="auto"/>
              <w:left w:val="nil"/>
              <w:bottom w:val="single" w:sz="4" w:space="0" w:color="auto"/>
              <w:right w:val="single" w:sz="4" w:space="0" w:color="auto"/>
            </w:tcBorders>
            <w:shd w:val="clear" w:color="auto" w:fill="C6EFCE"/>
            <w:noWrap/>
          </w:tcPr>
          <w:p w14:paraId="134654DF" w14:textId="77777777" w:rsidR="00A345F4" w:rsidRDefault="005E2D4E">
            <w:pPr>
              <w:pStyle w:val="P68B1DB1-Normal14"/>
              <w:spacing w:after="0" w:line="240" w:lineRule="auto"/>
              <w:jc w:val="both"/>
              <w:rPr>
                <w:rFonts w:eastAsia="Times New Roman"/>
                <w:noProof/>
              </w:rPr>
            </w:pPr>
            <w:r>
              <w:rPr>
                <w:noProof/>
              </w:rPr>
              <w:t>30</w:t>
            </w:r>
          </w:p>
        </w:tc>
        <w:tc>
          <w:tcPr>
            <w:tcW w:w="992" w:type="dxa"/>
            <w:tcBorders>
              <w:top w:val="single" w:sz="4" w:space="0" w:color="auto"/>
              <w:left w:val="nil"/>
              <w:bottom w:val="single" w:sz="4" w:space="0" w:color="auto"/>
              <w:right w:val="single" w:sz="4" w:space="0" w:color="auto"/>
            </w:tcBorders>
            <w:shd w:val="clear" w:color="auto" w:fill="C6EFCE"/>
            <w:noWrap/>
          </w:tcPr>
          <w:p w14:paraId="0C32A1AB" w14:textId="77777777" w:rsidR="00A345F4" w:rsidRDefault="005E2D4E">
            <w:pPr>
              <w:pStyle w:val="P68B1DB1-Normal14"/>
              <w:spacing w:after="0" w:line="240" w:lineRule="auto"/>
              <w:jc w:val="both"/>
              <w:rPr>
                <w:rFonts w:eastAsia="Times New Roman"/>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0D70C882" w14:textId="77777777" w:rsidR="00A345F4" w:rsidRDefault="005E2D4E">
            <w:pPr>
              <w:pStyle w:val="P68B1DB1-Normal14"/>
              <w:spacing w:after="0" w:line="240" w:lineRule="auto"/>
              <w:jc w:val="both"/>
              <w:rPr>
                <w:rFonts w:eastAsia="Times New Roman"/>
                <w:noProof/>
              </w:rPr>
            </w:pPr>
            <w:r>
              <w:rPr>
                <w:noProof/>
              </w:rPr>
              <w:t>2024</w:t>
            </w:r>
          </w:p>
        </w:tc>
        <w:tc>
          <w:tcPr>
            <w:tcW w:w="2737" w:type="dxa"/>
            <w:tcBorders>
              <w:top w:val="single" w:sz="4" w:space="0" w:color="auto"/>
              <w:left w:val="nil"/>
              <w:bottom w:val="single" w:sz="4" w:space="0" w:color="auto"/>
              <w:right w:val="single" w:sz="4" w:space="0" w:color="auto"/>
            </w:tcBorders>
            <w:shd w:val="clear" w:color="auto" w:fill="C6EFCE"/>
            <w:noWrap/>
          </w:tcPr>
          <w:p w14:paraId="3AC8DD39" w14:textId="77777777" w:rsidR="00A345F4" w:rsidRDefault="005E2D4E">
            <w:pPr>
              <w:pStyle w:val="P68B1DB1-Normal14"/>
              <w:spacing w:after="0" w:line="240" w:lineRule="auto"/>
              <w:jc w:val="both"/>
              <w:rPr>
                <w:rFonts w:eastAsia="Times New Roman"/>
                <w:noProof/>
              </w:rPr>
            </w:pPr>
            <w:r>
              <w:rPr>
                <w:noProof/>
              </w:rPr>
              <w:t>Au moins 30 institutions publiques sont connectées au Government Cloud et l'utilisent, avec la possibilité pour elles d'échanger des données les unes avec les autres via l'infrastructure du Government Cloud.</w:t>
            </w:r>
          </w:p>
        </w:tc>
      </w:tr>
      <w:tr w:rsidR="00A345F4" w14:paraId="610A3ED2"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24200B0" w14:textId="77777777" w:rsidR="00A345F4" w:rsidRDefault="005E2D4E">
            <w:pPr>
              <w:pStyle w:val="P68B1DB1-Normal14"/>
              <w:spacing w:after="0" w:line="240" w:lineRule="auto"/>
              <w:jc w:val="center"/>
              <w:rPr>
                <w:rFonts w:eastAsia="Times New Roman"/>
                <w:noProof/>
              </w:rPr>
            </w:pPr>
            <w:r>
              <w:rPr>
                <w:noProof/>
              </w:rPr>
              <w:t>155</w:t>
            </w:r>
          </w:p>
        </w:tc>
        <w:tc>
          <w:tcPr>
            <w:tcW w:w="2101" w:type="dxa"/>
            <w:tcBorders>
              <w:top w:val="single" w:sz="4" w:space="0" w:color="auto"/>
              <w:left w:val="nil"/>
              <w:bottom w:val="single" w:sz="4" w:space="0" w:color="auto"/>
              <w:right w:val="single" w:sz="4" w:space="0" w:color="auto"/>
            </w:tcBorders>
            <w:shd w:val="clear" w:color="auto" w:fill="C6EFCE"/>
            <w:noWrap/>
          </w:tcPr>
          <w:p w14:paraId="69214EC1" w14:textId="77777777" w:rsidR="00A345F4" w:rsidRDefault="005E2D4E">
            <w:pPr>
              <w:pStyle w:val="P68B1DB1-Normal14"/>
              <w:spacing w:after="0" w:line="240" w:lineRule="auto"/>
              <w:jc w:val="both"/>
              <w:rPr>
                <w:rFonts w:eastAsia="Times New Roman"/>
                <w:noProof/>
              </w:rPr>
            </w:pPr>
            <w:r>
              <w:rPr>
                <w:noProof/>
              </w:rPr>
              <w:t xml:space="preserve">Investissement 1. </w:t>
            </w:r>
          </w:p>
          <w:p w14:paraId="3DD734D4" w14:textId="51101625" w:rsidR="00A345F4" w:rsidRDefault="005E2D4E">
            <w:pPr>
              <w:pStyle w:val="P68B1DB1-Normal14"/>
              <w:spacing w:after="0" w:line="240" w:lineRule="auto"/>
              <w:jc w:val="both"/>
              <w:rPr>
                <w:rFonts w:eastAsia="Times New Roman"/>
                <w:noProof/>
              </w:rPr>
            </w:pPr>
            <w:r>
              <w:rPr>
                <w:noProof/>
              </w:rPr>
              <w:t xml:space="preserve">Déploiement de l'infrastructure d'informatique en nuage du gouvernement </w:t>
            </w:r>
          </w:p>
          <w:p w14:paraId="0412866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55B9F727" w14:textId="77777777" w:rsidR="00A345F4" w:rsidRDefault="005E2D4E">
            <w:pPr>
              <w:pStyle w:val="P68B1DB1-Normal14"/>
              <w:spacing w:after="0" w:line="240" w:lineRule="auto"/>
              <w:jc w:val="both"/>
              <w:rPr>
                <w:rFonts w:eastAsia="Times New Roman"/>
                <w:noProof/>
              </w:rPr>
            </w:pPr>
            <w:r>
              <w:rPr>
                <w:noProof/>
              </w:rPr>
              <w:t>Objectif</w:t>
            </w:r>
          </w:p>
        </w:tc>
        <w:tc>
          <w:tcPr>
            <w:tcW w:w="1590" w:type="dxa"/>
            <w:tcBorders>
              <w:top w:val="single" w:sz="4" w:space="0" w:color="auto"/>
              <w:left w:val="nil"/>
              <w:bottom w:val="single" w:sz="4" w:space="0" w:color="auto"/>
              <w:right w:val="single" w:sz="4" w:space="0" w:color="auto"/>
            </w:tcBorders>
            <w:shd w:val="clear" w:color="auto" w:fill="C6EFCE"/>
            <w:noWrap/>
          </w:tcPr>
          <w:p w14:paraId="5A4B6AAF" w14:textId="77777777" w:rsidR="00A345F4" w:rsidRDefault="005E2D4E">
            <w:pPr>
              <w:pStyle w:val="P68B1DB1-Normal14"/>
              <w:spacing w:after="0" w:line="240" w:lineRule="auto"/>
              <w:jc w:val="both"/>
              <w:rPr>
                <w:rFonts w:eastAsia="Times New Roman"/>
                <w:noProof/>
              </w:rPr>
            </w:pPr>
            <w:r>
              <w:rPr>
                <w:noProof/>
              </w:rPr>
              <w:t xml:space="preserve">Centres de données de niveau III et de niveau IV fonctionnels </w:t>
            </w:r>
          </w:p>
        </w:tc>
        <w:tc>
          <w:tcPr>
            <w:tcW w:w="1734" w:type="dxa"/>
            <w:tcBorders>
              <w:top w:val="single" w:sz="4" w:space="0" w:color="auto"/>
              <w:left w:val="nil"/>
              <w:bottom w:val="single" w:sz="4" w:space="0" w:color="auto"/>
              <w:right w:val="single" w:sz="4" w:space="0" w:color="auto"/>
            </w:tcBorders>
            <w:shd w:val="clear" w:color="auto" w:fill="C6EFCE"/>
            <w:noWrap/>
          </w:tcPr>
          <w:p w14:paraId="1A489B69" w14:textId="77777777" w:rsidR="00A345F4" w:rsidRDefault="005E2D4E">
            <w:pPr>
              <w:pStyle w:val="P68B1DB1-Normal14"/>
              <w:spacing w:after="0" w:line="240" w:lineRule="auto"/>
              <w:jc w:val="both"/>
              <w:rPr>
                <w:rFonts w:eastAsia="Times New Roman"/>
                <w:noProof/>
              </w:rPr>
            </w:pPr>
            <w:r>
              <w:rPr>
                <w:noProof/>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6E7ECAD5" w14:textId="77777777" w:rsidR="00A345F4" w:rsidRDefault="005E2D4E">
            <w:pPr>
              <w:pStyle w:val="P68B1DB1-Normal14"/>
              <w:spacing w:after="0" w:line="240" w:lineRule="auto"/>
              <w:jc w:val="both"/>
              <w:rPr>
                <w:rFonts w:eastAsia="Times New Roman"/>
                <w:noProof/>
              </w:rPr>
            </w:pPr>
            <w:r>
              <w:rPr>
                <w:noProof/>
              </w:rPr>
              <w:t>Numéro</w:t>
            </w:r>
          </w:p>
        </w:tc>
        <w:tc>
          <w:tcPr>
            <w:tcW w:w="1225" w:type="dxa"/>
            <w:tcBorders>
              <w:top w:val="single" w:sz="4" w:space="0" w:color="auto"/>
              <w:left w:val="nil"/>
              <w:bottom w:val="single" w:sz="4" w:space="0" w:color="auto"/>
              <w:right w:val="single" w:sz="4" w:space="0" w:color="auto"/>
            </w:tcBorders>
            <w:shd w:val="clear" w:color="auto" w:fill="C6EFCE"/>
            <w:noWrap/>
          </w:tcPr>
          <w:p w14:paraId="1138365B" w14:textId="77777777" w:rsidR="00A345F4" w:rsidRDefault="005E2D4E">
            <w:pPr>
              <w:pStyle w:val="P68B1DB1-Normal14"/>
              <w:spacing w:after="0" w:line="240" w:lineRule="auto"/>
              <w:jc w:val="both"/>
              <w:rPr>
                <w:rFonts w:eastAsia="Times New Roman"/>
                <w:noProof/>
              </w:rPr>
            </w:pPr>
            <w:r>
              <w:rPr>
                <w:noProof/>
              </w:rPr>
              <w:t>0</w:t>
            </w:r>
          </w:p>
        </w:tc>
        <w:tc>
          <w:tcPr>
            <w:tcW w:w="782" w:type="dxa"/>
            <w:tcBorders>
              <w:top w:val="single" w:sz="4" w:space="0" w:color="auto"/>
              <w:left w:val="nil"/>
              <w:bottom w:val="single" w:sz="4" w:space="0" w:color="auto"/>
              <w:right w:val="single" w:sz="4" w:space="0" w:color="auto"/>
            </w:tcBorders>
            <w:shd w:val="clear" w:color="auto" w:fill="C6EFCE"/>
            <w:noWrap/>
          </w:tcPr>
          <w:p w14:paraId="348A06F8" w14:textId="77777777" w:rsidR="00A345F4" w:rsidRDefault="005E2D4E">
            <w:pPr>
              <w:pStyle w:val="P68B1DB1-Normal14"/>
              <w:spacing w:after="0" w:line="240" w:lineRule="auto"/>
              <w:jc w:val="both"/>
              <w:rPr>
                <w:rFonts w:eastAsia="Times New Roman"/>
                <w:noProof/>
              </w:rPr>
            </w:pPr>
            <w:r>
              <w:rPr>
                <w:noProof/>
              </w:rPr>
              <w:t>4</w:t>
            </w:r>
          </w:p>
        </w:tc>
        <w:tc>
          <w:tcPr>
            <w:tcW w:w="992" w:type="dxa"/>
            <w:tcBorders>
              <w:top w:val="single" w:sz="4" w:space="0" w:color="auto"/>
              <w:left w:val="nil"/>
              <w:bottom w:val="single" w:sz="4" w:space="0" w:color="auto"/>
              <w:right w:val="single" w:sz="4" w:space="0" w:color="auto"/>
            </w:tcBorders>
            <w:shd w:val="clear" w:color="auto" w:fill="C6EFCE"/>
            <w:noWrap/>
          </w:tcPr>
          <w:p w14:paraId="2E3A1DA1" w14:textId="77777777" w:rsidR="00A345F4" w:rsidRDefault="005E2D4E">
            <w:pPr>
              <w:pStyle w:val="P68B1DB1-Normal14"/>
              <w:spacing w:after="0" w:line="240" w:lineRule="auto"/>
              <w:jc w:val="both"/>
              <w:rPr>
                <w:rFonts w:eastAsia="Times New Roman"/>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068F728C" w14:textId="77777777" w:rsidR="00A345F4" w:rsidRDefault="005E2D4E">
            <w:pPr>
              <w:pStyle w:val="P68B1DB1-Normal14"/>
              <w:spacing w:after="0" w:line="240" w:lineRule="auto"/>
              <w:jc w:val="both"/>
              <w:rPr>
                <w:rFonts w:eastAsia="Times New Roman"/>
                <w:noProof/>
              </w:rPr>
            </w:pPr>
            <w:r>
              <w:rPr>
                <w:noProof/>
              </w:rPr>
              <w:t>2025</w:t>
            </w:r>
          </w:p>
        </w:tc>
        <w:tc>
          <w:tcPr>
            <w:tcW w:w="2737" w:type="dxa"/>
            <w:tcBorders>
              <w:top w:val="single" w:sz="4" w:space="0" w:color="auto"/>
              <w:left w:val="nil"/>
              <w:bottom w:val="single" w:sz="4" w:space="0" w:color="auto"/>
              <w:right w:val="single" w:sz="4" w:space="0" w:color="auto"/>
            </w:tcBorders>
            <w:shd w:val="clear" w:color="auto" w:fill="C6EFCE"/>
            <w:noWrap/>
          </w:tcPr>
          <w:p w14:paraId="482A1C28" w14:textId="77777777" w:rsidR="00A345F4" w:rsidRDefault="005E2D4E">
            <w:pPr>
              <w:pStyle w:val="P68B1DB1-Normal14"/>
              <w:spacing w:after="0" w:line="240" w:lineRule="auto"/>
              <w:jc w:val="both"/>
              <w:rPr>
                <w:rFonts w:eastAsia="Times New Roman"/>
                <w:noProof/>
              </w:rPr>
            </w:pPr>
            <w:r>
              <w:rPr>
                <w:noProof/>
              </w:rPr>
              <w:t>Deux centres de données de niveau III et deux centres de données de niveau IV conçus avec des capacités de cloud matériel et logiciel, fournissant des services IaaS, PaaS et SaaS (Infrastructure-as-a-Service - IaaS/Platform-as-a-Service - PaaS/Software-as-a Service - SaaS) fonctionnels, conformément aux dispositions du jalon 153.</w:t>
            </w:r>
          </w:p>
          <w:p w14:paraId="12870652" w14:textId="4F92E7EB" w:rsidR="00A345F4" w:rsidRDefault="005E2D4E">
            <w:pPr>
              <w:pStyle w:val="P68B1DB1-Normal14"/>
              <w:spacing w:after="0" w:line="240" w:lineRule="auto"/>
              <w:jc w:val="both"/>
              <w:rPr>
                <w:rFonts w:eastAsia="Times New Roman"/>
                <w:noProof/>
              </w:rPr>
            </w:pPr>
            <w:r>
              <w:rPr>
                <w:noProof/>
              </w:rPr>
              <w:t>Les centres de données respectent le «code de conduite européen sur l’efficacité énergétique des centres de données».</w:t>
            </w:r>
          </w:p>
        </w:tc>
      </w:tr>
      <w:tr w:rsidR="00A345F4" w14:paraId="567E7B00"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118DF9F" w14:textId="77777777" w:rsidR="00A345F4" w:rsidRDefault="005E2D4E">
            <w:pPr>
              <w:pStyle w:val="P68B1DB1-Normal14"/>
              <w:spacing w:after="0" w:line="240" w:lineRule="auto"/>
              <w:jc w:val="center"/>
              <w:rPr>
                <w:rFonts w:eastAsia="Times New Roman"/>
                <w:noProof/>
              </w:rPr>
            </w:pPr>
            <w:r>
              <w:rPr>
                <w:noProof/>
              </w:rPr>
              <w:t>157</w:t>
            </w:r>
          </w:p>
        </w:tc>
        <w:tc>
          <w:tcPr>
            <w:tcW w:w="2101" w:type="dxa"/>
            <w:tcBorders>
              <w:top w:val="single" w:sz="4" w:space="0" w:color="auto"/>
              <w:left w:val="nil"/>
              <w:bottom w:val="single" w:sz="4" w:space="0" w:color="auto"/>
              <w:right w:val="single" w:sz="4" w:space="0" w:color="auto"/>
            </w:tcBorders>
            <w:shd w:val="clear" w:color="auto" w:fill="C6EFCE"/>
            <w:noWrap/>
          </w:tcPr>
          <w:p w14:paraId="1247AEBB" w14:textId="77777777" w:rsidR="00A345F4" w:rsidRDefault="005E2D4E">
            <w:pPr>
              <w:pStyle w:val="P68B1DB1-Normal14"/>
              <w:spacing w:after="0" w:line="240" w:lineRule="auto"/>
              <w:jc w:val="both"/>
              <w:rPr>
                <w:rFonts w:eastAsia="Times New Roman"/>
                <w:noProof/>
              </w:rPr>
            </w:pPr>
            <w:r>
              <w:rPr>
                <w:noProof/>
              </w:rPr>
              <w:t>Investissement 2.</w:t>
            </w:r>
          </w:p>
          <w:p w14:paraId="6306F8D9" w14:textId="77777777" w:rsidR="00A345F4" w:rsidRDefault="005E2D4E">
            <w:pPr>
              <w:pStyle w:val="P68B1DB1-Normal14"/>
              <w:spacing w:after="0" w:line="240" w:lineRule="auto"/>
              <w:jc w:val="both"/>
              <w:rPr>
                <w:rFonts w:eastAsia="Times New Roman"/>
                <w:noProof/>
              </w:rPr>
            </w:pPr>
            <w:r>
              <w:rPr>
                <w:noProof/>
              </w:rPr>
              <w:t xml:space="preserve">Développement et migration vers le cloud </w:t>
            </w:r>
          </w:p>
          <w:p w14:paraId="1D859086" w14:textId="77777777" w:rsidR="00A345F4" w:rsidRDefault="005E2D4E">
            <w:pPr>
              <w:pStyle w:val="P68B1DB1-Normal14"/>
              <w:spacing w:after="0" w:line="240" w:lineRule="auto"/>
              <w:jc w:val="both"/>
              <w:rPr>
                <w:rFonts w:eastAsia="Times New Roman"/>
                <w:noProof/>
              </w:rPr>
            </w:pPr>
            <w:r>
              <w:rPr>
                <w:noProof/>
              </w:rPr>
              <w:t xml:space="preserve"> </w:t>
            </w:r>
          </w:p>
          <w:p w14:paraId="2806298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0F746A34" w14:textId="77777777" w:rsidR="00A345F4" w:rsidRDefault="005E2D4E">
            <w:pPr>
              <w:pStyle w:val="P68B1DB1-Normal14"/>
              <w:spacing w:after="0" w:line="240" w:lineRule="auto"/>
              <w:jc w:val="both"/>
              <w:rPr>
                <w:rFonts w:eastAsia="Times New Roman"/>
                <w:noProof/>
              </w:rPr>
            </w:pPr>
            <w:r>
              <w:rPr>
                <w:noProof/>
              </w:rPr>
              <w:t>Objectif</w:t>
            </w:r>
          </w:p>
        </w:tc>
        <w:tc>
          <w:tcPr>
            <w:tcW w:w="1590" w:type="dxa"/>
            <w:tcBorders>
              <w:top w:val="single" w:sz="4" w:space="0" w:color="auto"/>
              <w:left w:val="nil"/>
              <w:bottom w:val="single" w:sz="4" w:space="0" w:color="auto"/>
              <w:right w:val="single" w:sz="4" w:space="0" w:color="auto"/>
            </w:tcBorders>
            <w:shd w:val="clear" w:color="auto" w:fill="C6EFCE"/>
            <w:noWrap/>
          </w:tcPr>
          <w:p w14:paraId="001B02EB" w14:textId="09B6E4D1" w:rsidR="00A345F4" w:rsidRDefault="005E2D4E">
            <w:pPr>
              <w:pStyle w:val="P68B1DB1-Normal19"/>
              <w:spacing w:after="0" w:line="240" w:lineRule="auto"/>
              <w:jc w:val="both"/>
              <w:rPr>
                <w:noProof/>
              </w:rPr>
            </w:pPr>
            <w:r>
              <w:rPr>
                <w:noProof/>
              </w:rPr>
              <w:t>Applications de services numériques gouvernementales natives ou prêtes pour le cloud développées ou migrées dans Platform-as-a-Service (PaaS) ou Infrastructure-as-a-Service (IaaS)</w:t>
            </w:r>
          </w:p>
        </w:tc>
        <w:tc>
          <w:tcPr>
            <w:tcW w:w="1734" w:type="dxa"/>
            <w:tcBorders>
              <w:top w:val="single" w:sz="4" w:space="0" w:color="auto"/>
              <w:left w:val="nil"/>
              <w:bottom w:val="single" w:sz="4" w:space="0" w:color="auto"/>
              <w:right w:val="single" w:sz="4" w:space="0" w:color="auto"/>
            </w:tcBorders>
            <w:shd w:val="clear" w:color="auto" w:fill="C6EFCE"/>
            <w:noWrap/>
          </w:tcPr>
          <w:p w14:paraId="274BA36D" w14:textId="77777777" w:rsidR="00A345F4" w:rsidRDefault="005E2D4E">
            <w:pPr>
              <w:pStyle w:val="P68B1DB1-Normal14"/>
              <w:spacing w:after="0" w:line="240" w:lineRule="auto"/>
              <w:jc w:val="both"/>
              <w:rPr>
                <w:rFonts w:eastAsia="Times New Roman"/>
                <w:noProof/>
              </w:rPr>
            </w:pPr>
            <w:r>
              <w:rPr>
                <w:noProof/>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1BC94CF7" w14:textId="77777777" w:rsidR="00A345F4" w:rsidRDefault="005E2D4E">
            <w:pPr>
              <w:pStyle w:val="P68B1DB1-Normal14"/>
              <w:spacing w:after="0" w:line="240" w:lineRule="auto"/>
              <w:jc w:val="both"/>
              <w:rPr>
                <w:rFonts w:eastAsia="Times New Roman"/>
                <w:noProof/>
              </w:rPr>
            </w:pPr>
            <w:r>
              <w:rPr>
                <w:noProof/>
              </w:rPr>
              <w:t>Numéro</w:t>
            </w:r>
          </w:p>
        </w:tc>
        <w:tc>
          <w:tcPr>
            <w:tcW w:w="1225" w:type="dxa"/>
            <w:tcBorders>
              <w:top w:val="single" w:sz="4" w:space="0" w:color="auto"/>
              <w:left w:val="nil"/>
              <w:bottom w:val="single" w:sz="4" w:space="0" w:color="auto"/>
              <w:right w:val="single" w:sz="4" w:space="0" w:color="auto"/>
            </w:tcBorders>
            <w:shd w:val="clear" w:color="auto" w:fill="C6EFCE"/>
            <w:noWrap/>
          </w:tcPr>
          <w:p w14:paraId="149A62B8" w14:textId="77777777" w:rsidR="00A345F4" w:rsidRDefault="005E2D4E">
            <w:pPr>
              <w:pStyle w:val="P68B1DB1-Normal14"/>
              <w:spacing w:after="0" w:line="240" w:lineRule="auto"/>
              <w:jc w:val="both"/>
              <w:rPr>
                <w:noProof/>
              </w:rPr>
            </w:pPr>
            <w:r>
              <w:rPr>
                <w:noProof/>
              </w:rPr>
              <w:t>0</w:t>
            </w:r>
          </w:p>
        </w:tc>
        <w:tc>
          <w:tcPr>
            <w:tcW w:w="782" w:type="dxa"/>
            <w:tcBorders>
              <w:top w:val="single" w:sz="4" w:space="0" w:color="auto"/>
              <w:left w:val="nil"/>
              <w:bottom w:val="single" w:sz="4" w:space="0" w:color="auto"/>
              <w:right w:val="single" w:sz="4" w:space="0" w:color="auto"/>
            </w:tcBorders>
            <w:shd w:val="clear" w:color="auto" w:fill="C6EFCE"/>
            <w:noWrap/>
          </w:tcPr>
          <w:p w14:paraId="01C9EF29" w14:textId="77777777" w:rsidR="00A345F4" w:rsidRDefault="005E2D4E">
            <w:pPr>
              <w:pStyle w:val="P68B1DB1-Normal14"/>
              <w:spacing w:after="0" w:line="240" w:lineRule="auto"/>
              <w:jc w:val="both"/>
              <w:rPr>
                <w:rFonts w:eastAsia="Times New Roman"/>
                <w:noProof/>
              </w:rPr>
            </w:pPr>
            <w:r>
              <w:rPr>
                <w:noProof/>
              </w:rPr>
              <w:t>30</w:t>
            </w:r>
          </w:p>
        </w:tc>
        <w:tc>
          <w:tcPr>
            <w:tcW w:w="992" w:type="dxa"/>
            <w:tcBorders>
              <w:top w:val="single" w:sz="4" w:space="0" w:color="auto"/>
              <w:left w:val="nil"/>
              <w:bottom w:val="single" w:sz="4" w:space="0" w:color="auto"/>
              <w:right w:val="single" w:sz="4" w:space="0" w:color="auto"/>
            </w:tcBorders>
            <w:shd w:val="clear" w:color="auto" w:fill="C6EFCE"/>
            <w:noWrap/>
          </w:tcPr>
          <w:p w14:paraId="3AE8A1DB"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09961D9D" w14:textId="77777777" w:rsidR="00A345F4" w:rsidRDefault="005E2D4E">
            <w:pPr>
              <w:pStyle w:val="P68B1DB1-Normal14"/>
              <w:spacing w:after="0" w:line="240" w:lineRule="auto"/>
              <w:jc w:val="both"/>
              <w:rPr>
                <w:rFonts w:eastAsia="Times New Roman"/>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5EFACC5A" w14:textId="644448B0" w:rsidR="00A345F4" w:rsidRDefault="005E2D4E">
            <w:pPr>
              <w:pStyle w:val="P68B1DB1-Normal19"/>
              <w:spacing w:after="0" w:line="240" w:lineRule="auto"/>
              <w:jc w:val="both"/>
              <w:rPr>
                <w:noProof/>
              </w:rPr>
            </w:pPr>
            <w:r>
              <w:rPr>
                <w:noProof/>
              </w:rPr>
              <w:t xml:space="preserve">Nombre d'applications de services numériques gouvernementales cloud-native ou cloud-ready construites ou transitionnées dans Platform-as-a-Service (PaaS) ou Infrastructure-as-a-Service (IaaS) sur la base de l'analyse menée pour soutenir la mise en place du cloud gouvernemental. </w:t>
            </w:r>
          </w:p>
        </w:tc>
      </w:tr>
      <w:tr w:rsidR="00A345F4" w14:paraId="439BB258" w14:textId="77777777" w:rsidTr="00E44183">
        <w:trPr>
          <w:trHeight w:val="6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D4194D4" w14:textId="77777777" w:rsidR="00A345F4" w:rsidRDefault="005E2D4E">
            <w:pPr>
              <w:pStyle w:val="P68B1DB1-Normal14"/>
              <w:spacing w:line="240" w:lineRule="auto"/>
              <w:jc w:val="center"/>
              <w:rPr>
                <w:noProof/>
              </w:rPr>
            </w:pPr>
            <w:r>
              <w:rPr>
                <w:noProof/>
              </w:rPr>
              <w:t>158</w:t>
            </w:r>
          </w:p>
        </w:tc>
        <w:tc>
          <w:tcPr>
            <w:tcW w:w="2101" w:type="dxa"/>
            <w:tcBorders>
              <w:top w:val="single" w:sz="4" w:space="0" w:color="auto"/>
              <w:left w:val="nil"/>
              <w:bottom w:val="single" w:sz="4" w:space="0" w:color="auto"/>
              <w:right w:val="single" w:sz="4" w:space="0" w:color="auto"/>
            </w:tcBorders>
            <w:shd w:val="clear" w:color="auto" w:fill="C6EFCE"/>
            <w:noWrap/>
          </w:tcPr>
          <w:p w14:paraId="67F75D15" w14:textId="77777777" w:rsidR="00A345F4" w:rsidRDefault="005E2D4E">
            <w:pPr>
              <w:pStyle w:val="P68B1DB1-Normal14"/>
              <w:spacing w:after="120" w:line="240" w:lineRule="auto"/>
              <w:jc w:val="both"/>
              <w:rPr>
                <w:noProof/>
              </w:rPr>
            </w:pPr>
            <w:r>
              <w:rPr>
                <w:noProof/>
              </w:rPr>
              <w:t>Investissement 3. Mise en place de la santé en ligne</w:t>
            </w:r>
          </w:p>
        </w:tc>
        <w:tc>
          <w:tcPr>
            <w:tcW w:w="1226" w:type="dxa"/>
            <w:tcBorders>
              <w:top w:val="single" w:sz="4" w:space="0" w:color="auto"/>
              <w:left w:val="nil"/>
              <w:bottom w:val="single" w:sz="4" w:space="0" w:color="auto"/>
              <w:right w:val="single" w:sz="4" w:space="0" w:color="auto"/>
            </w:tcBorders>
            <w:shd w:val="clear" w:color="auto" w:fill="C6EFCE"/>
            <w:noWrap/>
          </w:tcPr>
          <w:p w14:paraId="17BAE731" w14:textId="77777777" w:rsidR="00A345F4" w:rsidRDefault="005E2D4E">
            <w:pPr>
              <w:pStyle w:val="P68B1DB1-Normal14"/>
              <w:spacing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7844003D" w14:textId="77777777" w:rsidR="00A345F4" w:rsidRDefault="005E2D4E">
            <w:pPr>
              <w:pStyle w:val="P68B1DB1-Normal14"/>
              <w:spacing w:line="240" w:lineRule="auto"/>
              <w:jc w:val="both"/>
              <w:rPr>
                <w:rFonts w:eastAsia="Calibri"/>
                <w:noProof/>
              </w:rPr>
            </w:pPr>
            <w:r>
              <w:rPr>
                <w:noProof/>
              </w:rPr>
              <w:t>Les établissements de santé publique ont reçu un financement pour la numérisation</w:t>
            </w:r>
          </w:p>
        </w:tc>
        <w:tc>
          <w:tcPr>
            <w:tcW w:w="1734" w:type="dxa"/>
            <w:tcBorders>
              <w:top w:val="single" w:sz="4" w:space="0" w:color="auto"/>
              <w:left w:val="nil"/>
              <w:bottom w:val="single" w:sz="4" w:space="0" w:color="auto"/>
              <w:right w:val="single" w:sz="4" w:space="0" w:color="auto"/>
            </w:tcBorders>
            <w:shd w:val="clear" w:color="auto" w:fill="C6EFCE"/>
            <w:noWrap/>
          </w:tcPr>
          <w:p w14:paraId="63CA2243" w14:textId="77777777" w:rsidR="00A345F4" w:rsidRDefault="005E2D4E">
            <w:pPr>
              <w:pStyle w:val="P68B1DB1-Normal14"/>
              <w:spacing w:line="240" w:lineRule="auto"/>
              <w:jc w:val="both"/>
              <w:rPr>
                <w:noProof/>
              </w:rPr>
            </w:pPr>
            <w:r>
              <w:rPr>
                <w:noProof/>
              </w:rPr>
              <w:t>Financement des institutions</w:t>
            </w:r>
          </w:p>
        </w:tc>
        <w:tc>
          <w:tcPr>
            <w:tcW w:w="970" w:type="dxa"/>
            <w:tcBorders>
              <w:top w:val="single" w:sz="4" w:space="0" w:color="auto"/>
              <w:left w:val="nil"/>
              <w:bottom w:val="single" w:sz="4" w:space="0" w:color="auto"/>
              <w:right w:val="single" w:sz="4" w:space="0" w:color="auto"/>
            </w:tcBorders>
            <w:shd w:val="clear" w:color="auto" w:fill="C6EFCE"/>
            <w:noWrap/>
          </w:tcPr>
          <w:p w14:paraId="5C915927" w14:textId="77777777" w:rsidR="00A345F4" w:rsidRDefault="00A345F4">
            <w:pPr>
              <w:spacing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4F160DD3" w14:textId="77777777" w:rsidR="00A345F4" w:rsidRDefault="00A345F4">
            <w:pPr>
              <w:spacing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1C1D3DA2" w14:textId="77777777" w:rsidR="00A345F4" w:rsidRDefault="00A345F4">
            <w:pPr>
              <w:spacing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28D22B7F" w14:textId="77777777" w:rsidR="00A345F4" w:rsidRDefault="005E2D4E">
            <w:pPr>
              <w:pStyle w:val="P68B1DB1-Normal14"/>
              <w:spacing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21DB7118" w14:textId="77777777" w:rsidR="00A345F4" w:rsidRDefault="005E2D4E">
            <w:pPr>
              <w:pStyle w:val="P68B1DB1-Normal14"/>
              <w:spacing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7A8E63E8" w14:textId="263A5A3E" w:rsidR="00A345F4" w:rsidRDefault="005E2D4E">
            <w:pPr>
              <w:pStyle w:val="P68B1DB1-Normal14"/>
              <w:spacing w:after="0" w:line="240" w:lineRule="auto"/>
              <w:jc w:val="both"/>
              <w:rPr>
                <w:noProof/>
              </w:rPr>
            </w:pPr>
            <w:r>
              <w:rPr>
                <w:noProof/>
              </w:rPr>
              <w:t xml:space="preserve">Paiements effectués pour au moins 60 projets de numérisation d'institutions ayant des responsabilités dans le domaine de la santé subordonnées au ministère de la Santé pour financer l'installation de matériel, la création de solutions logicielles, l'interconnexion et l'interopérabilité des systèmes/applications informatiques. </w:t>
            </w:r>
            <w:r>
              <w:rPr>
                <w:noProof/>
              </w:rPr>
              <w:br/>
            </w:r>
          </w:p>
        </w:tc>
      </w:tr>
      <w:tr w:rsidR="00A345F4" w14:paraId="2281FD97" w14:textId="77777777" w:rsidTr="00E44183">
        <w:trPr>
          <w:trHeight w:val="225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715A592" w14:textId="77777777" w:rsidR="00A345F4" w:rsidRDefault="005E2D4E">
            <w:pPr>
              <w:pStyle w:val="P68B1DB1-Normal14"/>
              <w:spacing w:line="240" w:lineRule="auto"/>
              <w:jc w:val="center"/>
              <w:rPr>
                <w:noProof/>
              </w:rPr>
            </w:pPr>
            <w:r>
              <w:rPr>
                <w:noProof/>
              </w:rPr>
              <w:t>160</w:t>
            </w:r>
          </w:p>
        </w:tc>
        <w:tc>
          <w:tcPr>
            <w:tcW w:w="2101" w:type="dxa"/>
            <w:tcBorders>
              <w:top w:val="single" w:sz="4" w:space="0" w:color="auto"/>
              <w:left w:val="nil"/>
              <w:bottom w:val="single" w:sz="4" w:space="0" w:color="auto"/>
              <w:right w:val="single" w:sz="4" w:space="0" w:color="auto"/>
            </w:tcBorders>
            <w:shd w:val="clear" w:color="auto" w:fill="C6EFCE"/>
            <w:noWrap/>
          </w:tcPr>
          <w:p w14:paraId="247DB672" w14:textId="77777777" w:rsidR="00A345F4" w:rsidRDefault="005E2D4E">
            <w:pPr>
              <w:pStyle w:val="P68B1DB1-Normal14"/>
              <w:spacing w:after="0" w:line="240" w:lineRule="auto"/>
              <w:jc w:val="both"/>
              <w:rPr>
                <w:rFonts w:eastAsia="Times New Roman"/>
                <w:noProof/>
              </w:rPr>
            </w:pPr>
            <w:r>
              <w:rPr>
                <w:noProof/>
              </w:rPr>
              <w:t>Investissement 3.</w:t>
            </w:r>
          </w:p>
          <w:p w14:paraId="05CCF62E" w14:textId="77777777" w:rsidR="00A345F4" w:rsidRDefault="005E2D4E">
            <w:pPr>
              <w:pStyle w:val="P68B1DB1-Normal14"/>
              <w:spacing w:after="120" w:line="240" w:lineRule="auto"/>
              <w:jc w:val="both"/>
              <w:rPr>
                <w:noProof/>
              </w:rPr>
            </w:pPr>
            <w:r>
              <w:rPr>
                <w:noProof/>
              </w:rPr>
              <w:t>Mise en place de la santé en ligne</w:t>
            </w:r>
          </w:p>
        </w:tc>
        <w:tc>
          <w:tcPr>
            <w:tcW w:w="1226" w:type="dxa"/>
            <w:tcBorders>
              <w:top w:val="single" w:sz="4" w:space="0" w:color="auto"/>
              <w:left w:val="nil"/>
              <w:bottom w:val="single" w:sz="4" w:space="0" w:color="auto"/>
              <w:right w:val="single" w:sz="4" w:space="0" w:color="auto"/>
            </w:tcBorders>
            <w:shd w:val="clear" w:color="auto" w:fill="C6EFCE"/>
            <w:noWrap/>
          </w:tcPr>
          <w:p w14:paraId="230CF01F" w14:textId="77777777" w:rsidR="00A345F4" w:rsidRDefault="005E2D4E">
            <w:pPr>
              <w:pStyle w:val="P68B1DB1-Normal14"/>
              <w:spacing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42648B96" w14:textId="77777777" w:rsidR="00A345F4" w:rsidRDefault="005E2D4E">
            <w:pPr>
              <w:pStyle w:val="P68B1DB1-Normal14"/>
              <w:spacing w:line="240" w:lineRule="auto"/>
              <w:jc w:val="both"/>
              <w:rPr>
                <w:noProof/>
              </w:rPr>
            </w:pPr>
            <w:r>
              <w:rPr>
                <w:noProof/>
              </w:rPr>
              <w:t>La nouvelle PIA (plateforme informatique d'assurance maladie) est fonctionnelle</w:t>
            </w:r>
          </w:p>
        </w:tc>
        <w:tc>
          <w:tcPr>
            <w:tcW w:w="1734" w:type="dxa"/>
            <w:tcBorders>
              <w:top w:val="single" w:sz="4" w:space="0" w:color="auto"/>
              <w:left w:val="nil"/>
              <w:bottom w:val="single" w:sz="4" w:space="0" w:color="auto"/>
              <w:right w:val="single" w:sz="4" w:space="0" w:color="auto"/>
            </w:tcBorders>
            <w:shd w:val="clear" w:color="auto" w:fill="C6EFCE"/>
            <w:noWrap/>
          </w:tcPr>
          <w:p w14:paraId="264BC76B" w14:textId="77777777" w:rsidR="00A345F4" w:rsidRDefault="005E2D4E">
            <w:pPr>
              <w:pStyle w:val="P68B1DB1-Normal14"/>
              <w:spacing w:line="240" w:lineRule="auto"/>
              <w:jc w:val="both"/>
              <w:rPr>
                <w:noProof/>
              </w:rPr>
            </w:pPr>
            <w:r>
              <w:rPr>
                <w:noProof/>
              </w:rPr>
              <w:t xml:space="preserve">PIA (Plateforme informatique d'assurance maladie fonctionnelle </w:t>
            </w:r>
          </w:p>
        </w:tc>
        <w:tc>
          <w:tcPr>
            <w:tcW w:w="970" w:type="dxa"/>
            <w:tcBorders>
              <w:top w:val="single" w:sz="4" w:space="0" w:color="auto"/>
              <w:left w:val="nil"/>
              <w:bottom w:val="single" w:sz="4" w:space="0" w:color="auto"/>
              <w:right w:val="single" w:sz="4" w:space="0" w:color="auto"/>
            </w:tcBorders>
            <w:shd w:val="clear" w:color="auto" w:fill="C6EFCE"/>
            <w:noWrap/>
          </w:tcPr>
          <w:p w14:paraId="442E2A1D" w14:textId="77777777" w:rsidR="00A345F4" w:rsidRDefault="00A345F4">
            <w:pPr>
              <w:spacing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3A1276FF" w14:textId="77777777" w:rsidR="00A345F4" w:rsidRDefault="00A345F4">
            <w:pPr>
              <w:spacing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716BF405" w14:textId="77777777" w:rsidR="00A345F4" w:rsidRDefault="00A345F4">
            <w:pPr>
              <w:spacing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557D466C" w14:textId="77777777" w:rsidR="00A345F4" w:rsidRDefault="005E2D4E">
            <w:pPr>
              <w:pStyle w:val="P68B1DB1-Normal14"/>
              <w:spacing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42037892" w14:textId="77777777" w:rsidR="00A345F4" w:rsidRDefault="005E2D4E">
            <w:pPr>
              <w:pStyle w:val="P68B1DB1-Normal14"/>
              <w:spacing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1A3562FE" w14:textId="7650E707" w:rsidR="00A345F4" w:rsidRDefault="005E2D4E">
            <w:pPr>
              <w:pStyle w:val="P68B1DB1-Normal14"/>
              <w:spacing w:after="0" w:line="240" w:lineRule="auto"/>
              <w:jc w:val="both"/>
              <w:rPr>
                <w:noProof/>
              </w:rPr>
            </w:pPr>
            <w:r>
              <w:rPr>
                <w:noProof/>
              </w:rPr>
              <w:t>La nouvelle PIA (plateforme informatique de l’assurance maladie):</w:t>
            </w:r>
          </w:p>
          <w:p w14:paraId="0D23579C" w14:textId="77777777" w:rsidR="00A345F4" w:rsidRDefault="005E2D4E">
            <w:pPr>
              <w:pStyle w:val="P68B1DB1-Normal14"/>
              <w:numPr>
                <w:ilvl w:val="0"/>
                <w:numId w:val="41"/>
              </w:numPr>
              <w:spacing w:after="0" w:line="240" w:lineRule="auto"/>
              <w:ind w:left="259" w:hanging="218"/>
              <w:jc w:val="both"/>
              <w:rPr>
                <w:rFonts w:eastAsia="Times New Roman"/>
                <w:noProof/>
              </w:rPr>
            </w:pPr>
            <w:r>
              <w:rPr>
                <w:noProof/>
              </w:rPr>
              <w:t xml:space="preserve">soutenir l'interconnexion et l'interopérabilité; </w:t>
            </w:r>
          </w:p>
          <w:p w14:paraId="1FE4AB07" w14:textId="77777777" w:rsidR="00A345F4" w:rsidRDefault="005E2D4E">
            <w:pPr>
              <w:pStyle w:val="P68B1DB1-Normal14"/>
              <w:numPr>
                <w:ilvl w:val="0"/>
                <w:numId w:val="41"/>
              </w:numPr>
              <w:spacing w:after="0" w:line="240" w:lineRule="auto"/>
              <w:ind w:left="259" w:hanging="218"/>
              <w:jc w:val="both"/>
              <w:rPr>
                <w:rFonts w:eastAsia="Times New Roman"/>
                <w:noProof/>
              </w:rPr>
            </w:pPr>
            <w:r>
              <w:rPr>
                <w:noProof/>
              </w:rPr>
              <w:t>permettre de nouvelles fonctionnalités (par exemple, la numérisation des documents médicaux).</w:t>
            </w:r>
          </w:p>
        </w:tc>
      </w:tr>
      <w:tr w:rsidR="00A345F4" w14:paraId="7A50C5C7" w14:textId="77777777" w:rsidTr="00E44183">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FEA5FB8" w14:textId="77777777" w:rsidR="00A345F4" w:rsidRDefault="005E2D4E">
            <w:pPr>
              <w:pStyle w:val="P68B1DB1-Normal14"/>
              <w:spacing w:line="240" w:lineRule="auto"/>
              <w:jc w:val="center"/>
              <w:rPr>
                <w:noProof/>
              </w:rPr>
            </w:pPr>
            <w:r>
              <w:rPr>
                <w:noProof/>
              </w:rPr>
              <w:t>161</w:t>
            </w:r>
          </w:p>
        </w:tc>
        <w:tc>
          <w:tcPr>
            <w:tcW w:w="2101" w:type="dxa"/>
            <w:tcBorders>
              <w:top w:val="single" w:sz="4" w:space="0" w:color="auto"/>
              <w:left w:val="nil"/>
              <w:bottom w:val="single" w:sz="4" w:space="0" w:color="auto"/>
              <w:right w:val="single" w:sz="4" w:space="0" w:color="auto"/>
            </w:tcBorders>
            <w:shd w:val="clear" w:color="auto" w:fill="C6EFCE"/>
            <w:noWrap/>
          </w:tcPr>
          <w:p w14:paraId="0D671C32" w14:textId="77777777" w:rsidR="00A345F4" w:rsidRDefault="005E2D4E">
            <w:pPr>
              <w:pStyle w:val="P68B1DB1-Normal14"/>
              <w:spacing w:after="0" w:line="240" w:lineRule="auto"/>
              <w:jc w:val="both"/>
              <w:rPr>
                <w:noProof/>
              </w:rPr>
            </w:pPr>
            <w:r>
              <w:rPr>
                <w:noProof/>
              </w:rPr>
              <w:t xml:space="preserve">Investissement 3. Mise en place de la santé en ligne </w:t>
            </w:r>
          </w:p>
          <w:p w14:paraId="47B15180" w14:textId="77777777" w:rsidR="00A345F4" w:rsidRDefault="00A345F4">
            <w:pPr>
              <w:spacing w:after="12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78908333" w14:textId="77777777" w:rsidR="00A345F4" w:rsidRDefault="005E2D4E">
            <w:pPr>
              <w:pStyle w:val="P68B1DB1-Normal14"/>
              <w:spacing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5B06245A" w14:textId="77777777" w:rsidR="00A345F4" w:rsidRDefault="005E2D4E">
            <w:pPr>
              <w:pStyle w:val="P68B1DB1-Normal14"/>
              <w:spacing w:after="0" w:line="240" w:lineRule="auto"/>
              <w:jc w:val="both"/>
              <w:rPr>
                <w:noProof/>
              </w:rPr>
            </w:pPr>
            <w:r>
              <w:rPr>
                <w:noProof/>
              </w:rPr>
              <w:t>L’infrastructure informatique des hôpitaux publics en Roumanie a été remplacée ou modernisée.</w:t>
            </w:r>
          </w:p>
          <w:p w14:paraId="15AD6F08" w14:textId="77777777" w:rsidR="00A345F4" w:rsidRDefault="00A345F4">
            <w:pPr>
              <w:spacing w:after="0" w:line="240" w:lineRule="auto"/>
              <w:jc w:val="both"/>
              <w:rPr>
                <w:rFonts w:ascii="Times New Roman" w:hAnsi="Times New Roman" w:cs="Times New Roman"/>
                <w:noProof/>
                <w:sz w:val="20"/>
                <w:szCs w:val="20"/>
              </w:rPr>
            </w:pPr>
          </w:p>
          <w:p w14:paraId="398953AF" w14:textId="77777777" w:rsidR="00A345F4" w:rsidRDefault="00A345F4">
            <w:pPr>
              <w:spacing w:line="240" w:lineRule="auto"/>
              <w:jc w:val="both"/>
              <w:rPr>
                <w:rFonts w:ascii="Times New Roman" w:hAnsi="Times New Roman" w:cs="Times New Roman"/>
                <w:noProof/>
                <w:sz w:val="20"/>
                <w:szCs w:val="20"/>
              </w:rPr>
            </w:pPr>
          </w:p>
        </w:tc>
        <w:tc>
          <w:tcPr>
            <w:tcW w:w="1734" w:type="dxa"/>
            <w:tcBorders>
              <w:top w:val="single" w:sz="4" w:space="0" w:color="auto"/>
              <w:left w:val="nil"/>
              <w:bottom w:val="single" w:sz="4" w:space="0" w:color="auto"/>
              <w:right w:val="single" w:sz="4" w:space="0" w:color="auto"/>
            </w:tcBorders>
            <w:shd w:val="clear" w:color="auto" w:fill="C6EFCE"/>
            <w:noWrap/>
          </w:tcPr>
          <w:p w14:paraId="645C28E1" w14:textId="77777777" w:rsidR="00A345F4" w:rsidRDefault="005E2D4E">
            <w:pPr>
              <w:pStyle w:val="P68B1DB1-Normal19"/>
              <w:spacing w:line="240" w:lineRule="auto"/>
              <w:jc w:val="both"/>
              <w:rPr>
                <w:noProof/>
              </w:rPr>
            </w:pPr>
            <w:r>
              <w:rPr>
                <w:noProof/>
              </w:rPr>
              <w:t xml:space="preserve">Mise à niveau de l'infrastructure informatique des hôpitaux publics </w:t>
            </w:r>
          </w:p>
        </w:tc>
        <w:tc>
          <w:tcPr>
            <w:tcW w:w="970" w:type="dxa"/>
            <w:tcBorders>
              <w:top w:val="single" w:sz="4" w:space="0" w:color="auto"/>
              <w:left w:val="nil"/>
              <w:bottom w:val="single" w:sz="4" w:space="0" w:color="auto"/>
              <w:right w:val="single" w:sz="4" w:space="0" w:color="auto"/>
            </w:tcBorders>
            <w:shd w:val="clear" w:color="auto" w:fill="C6EFCE"/>
            <w:noWrap/>
          </w:tcPr>
          <w:p w14:paraId="3E992471" w14:textId="77777777" w:rsidR="00A345F4" w:rsidRDefault="00A345F4">
            <w:pPr>
              <w:spacing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1417E1B0" w14:textId="77777777" w:rsidR="00A345F4" w:rsidRDefault="00A345F4">
            <w:pPr>
              <w:spacing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7339E038" w14:textId="77777777" w:rsidR="00A345F4" w:rsidRDefault="00A345F4">
            <w:pPr>
              <w:spacing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0E5BC8E5" w14:textId="77777777" w:rsidR="00A345F4" w:rsidRDefault="005E2D4E">
            <w:pPr>
              <w:pStyle w:val="P68B1DB1-Normal14"/>
              <w:spacing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7236B91A" w14:textId="77777777" w:rsidR="00A345F4" w:rsidRDefault="005E2D4E">
            <w:pPr>
              <w:pStyle w:val="P68B1DB1-Normal14"/>
              <w:spacing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38681853" w14:textId="77777777" w:rsidR="00A345F4" w:rsidRDefault="005E2D4E">
            <w:pPr>
              <w:pStyle w:val="P68B1DB1-Normal14"/>
              <w:spacing w:after="0" w:line="240" w:lineRule="auto"/>
              <w:jc w:val="both"/>
              <w:rPr>
                <w:noProof/>
              </w:rPr>
            </w:pPr>
            <w:r>
              <w:rPr>
                <w:noProof/>
              </w:rPr>
              <w:t>Paiements effectués à au moins 160 établissements de santé publique pour les systèmes informatiques et l’infrastructure numérique des unités de santé publique. Les systèmes informatiques hospitaliers sont interopérables avec les systèmes de télémédecine.</w:t>
            </w:r>
          </w:p>
          <w:p w14:paraId="0C7A07FD" w14:textId="77777777" w:rsidR="00A345F4" w:rsidRDefault="005E2D4E">
            <w:pPr>
              <w:pStyle w:val="P68B1DB1-Normal14"/>
              <w:spacing w:after="0" w:line="240" w:lineRule="auto"/>
              <w:jc w:val="both"/>
              <w:rPr>
                <w:noProof/>
              </w:rPr>
            </w:pPr>
            <w:r>
              <w:rPr>
                <w:noProof/>
              </w:rPr>
              <w:t xml:space="preserve">Paiements effectués pour la formation d'au moins 3000 membres du personnel médical afin d'apprendre à utiliser les applications informatiques. </w:t>
            </w:r>
          </w:p>
          <w:p w14:paraId="40913499" w14:textId="77777777" w:rsidR="00A345F4" w:rsidRDefault="00A345F4">
            <w:pPr>
              <w:spacing w:after="0" w:line="240" w:lineRule="auto"/>
              <w:jc w:val="both"/>
              <w:rPr>
                <w:rFonts w:ascii="Times New Roman" w:hAnsi="Times New Roman" w:cs="Times New Roman"/>
                <w:noProof/>
                <w:sz w:val="20"/>
                <w:szCs w:val="20"/>
              </w:rPr>
            </w:pPr>
          </w:p>
          <w:p w14:paraId="1D9BBA8F" w14:textId="77777777" w:rsidR="00A345F4" w:rsidRDefault="00A345F4">
            <w:pPr>
              <w:spacing w:after="0" w:line="240" w:lineRule="auto"/>
              <w:jc w:val="both"/>
              <w:rPr>
                <w:rFonts w:ascii="Times New Roman" w:hAnsi="Times New Roman" w:cs="Times New Roman"/>
                <w:noProof/>
                <w:sz w:val="20"/>
                <w:szCs w:val="20"/>
              </w:rPr>
            </w:pPr>
          </w:p>
        </w:tc>
      </w:tr>
      <w:tr w:rsidR="00A345F4" w14:paraId="13667382"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7C06E97" w14:textId="77777777" w:rsidR="00A345F4" w:rsidRDefault="005E2D4E">
            <w:pPr>
              <w:pStyle w:val="P68B1DB1-Normal14"/>
              <w:spacing w:after="0" w:line="240" w:lineRule="auto"/>
              <w:jc w:val="center"/>
              <w:rPr>
                <w:noProof/>
              </w:rPr>
            </w:pPr>
            <w:r>
              <w:rPr>
                <w:noProof/>
              </w:rPr>
              <w:t>163</w:t>
            </w:r>
          </w:p>
        </w:tc>
        <w:tc>
          <w:tcPr>
            <w:tcW w:w="2101" w:type="dxa"/>
            <w:tcBorders>
              <w:top w:val="single" w:sz="4" w:space="0" w:color="auto"/>
              <w:left w:val="nil"/>
              <w:bottom w:val="single" w:sz="4" w:space="0" w:color="auto"/>
              <w:right w:val="single" w:sz="4" w:space="0" w:color="auto"/>
            </w:tcBorders>
            <w:shd w:val="clear" w:color="auto" w:fill="C6EFCE"/>
            <w:noWrap/>
          </w:tcPr>
          <w:p w14:paraId="7C5F3DBD" w14:textId="77777777" w:rsidR="00A345F4" w:rsidRDefault="005E2D4E">
            <w:pPr>
              <w:pStyle w:val="P68B1DB1-Normal14"/>
              <w:spacing w:after="0" w:line="240" w:lineRule="auto"/>
              <w:jc w:val="both"/>
              <w:rPr>
                <w:rFonts w:eastAsia="Times New Roman"/>
                <w:noProof/>
              </w:rPr>
            </w:pPr>
            <w:r>
              <w:rPr>
                <w:noProof/>
              </w:rPr>
              <w:t xml:space="preserve">Investissement 4. Numérisation du système judiciaire </w:t>
            </w:r>
          </w:p>
          <w:p w14:paraId="6CD08646" w14:textId="77777777" w:rsidR="00A345F4" w:rsidRDefault="00A345F4">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16BC2D22" w14:textId="77777777" w:rsidR="00A345F4" w:rsidRDefault="005E2D4E">
            <w:pPr>
              <w:pStyle w:val="P68B1DB1-Normal14"/>
              <w:spacing w:after="0"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4C1C3503" w14:textId="77777777" w:rsidR="00A345F4" w:rsidRDefault="005E2D4E">
            <w:pPr>
              <w:pStyle w:val="P68B1DB1-Normal14"/>
              <w:spacing w:after="0" w:line="240" w:lineRule="auto"/>
              <w:jc w:val="both"/>
              <w:rPr>
                <w:rFonts w:eastAsia="Calibri"/>
                <w:noProof/>
              </w:rPr>
            </w:pPr>
            <w:r>
              <w:rPr>
                <w:noProof/>
              </w:rPr>
              <w:t xml:space="preserve">Centralisation des applications </w:t>
            </w:r>
          </w:p>
        </w:tc>
        <w:tc>
          <w:tcPr>
            <w:tcW w:w="1734" w:type="dxa"/>
            <w:tcBorders>
              <w:top w:val="single" w:sz="4" w:space="0" w:color="auto"/>
              <w:left w:val="nil"/>
              <w:bottom w:val="single" w:sz="4" w:space="0" w:color="auto"/>
              <w:right w:val="single" w:sz="4" w:space="0" w:color="auto"/>
            </w:tcBorders>
            <w:shd w:val="clear" w:color="auto" w:fill="C6EFCE"/>
            <w:noWrap/>
          </w:tcPr>
          <w:p w14:paraId="712A8EC0" w14:textId="77777777" w:rsidR="00A345F4" w:rsidRDefault="005E2D4E">
            <w:pPr>
              <w:pStyle w:val="P68B1DB1-Normal14"/>
              <w:spacing w:after="0" w:line="240" w:lineRule="auto"/>
              <w:jc w:val="both"/>
              <w:rPr>
                <w:rFonts w:eastAsia="Times New Roman"/>
                <w:noProof/>
              </w:rPr>
            </w:pPr>
            <w:r>
              <w:rPr>
                <w:noProof/>
              </w:rPr>
              <w:t xml:space="preserve">Fichier électronique national (centralisé) (fichier électronique) </w:t>
            </w:r>
          </w:p>
          <w:p w14:paraId="08B353B7" w14:textId="77777777" w:rsidR="00A345F4" w:rsidRDefault="005E2D4E">
            <w:pPr>
              <w:pStyle w:val="P68B1DB1-Normal14"/>
              <w:spacing w:after="0" w:line="240" w:lineRule="auto"/>
              <w:jc w:val="both"/>
              <w:rPr>
                <w:noProof/>
              </w:rPr>
            </w:pPr>
            <w:r>
              <w:rPr>
                <w:noProof/>
              </w:rPr>
              <w:t>et la gestion des affaires judiciaires virtualisée en moins de lieux</w:t>
            </w:r>
          </w:p>
        </w:tc>
        <w:tc>
          <w:tcPr>
            <w:tcW w:w="970" w:type="dxa"/>
            <w:tcBorders>
              <w:top w:val="single" w:sz="4" w:space="0" w:color="auto"/>
              <w:left w:val="nil"/>
              <w:bottom w:val="single" w:sz="4" w:space="0" w:color="auto"/>
              <w:right w:val="single" w:sz="4" w:space="0" w:color="auto"/>
            </w:tcBorders>
            <w:shd w:val="clear" w:color="auto" w:fill="C6EFCE"/>
            <w:noWrap/>
          </w:tcPr>
          <w:p w14:paraId="629F3F9D" w14:textId="77777777" w:rsidR="00A345F4" w:rsidRDefault="00A345F4">
            <w:pPr>
              <w:spacing w:after="0"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1258435A" w14:textId="77777777" w:rsidR="00A345F4" w:rsidRDefault="00A345F4">
            <w:pPr>
              <w:spacing w:after="0"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5F1C9AF3"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67715283" w14:textId="77777777" w:rsidR="00A345F4" w:rsidRDefault="005E2D4E">
            <w:pPr>
              <w:pStyle w:val="P68B1DB1-Normal14"/>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01775D8F" w14:textId="77777777" w:rsidR="00A345F4" w:rsidRDefault="005E2D4E">
            <w:pPr>
              <w:pStyle w:val="P68B1DB1-Normal14"/>
              <w:spacing w:after="0" w:line="240" w:lineRule="auto"/>
              <w:jc w:val="both"/>
              <w:rPr>
                <w:noProof/>
              </w:rPr>
            </w:pPr>
            <w:r>
              <w:rPr>
                <w:noProof/>
              </w:rPr>
              <w:t>2023</w:t>
            </w:r>
          </w:p>
        </w:tc>
        <w:tc>
          <w:tcPr>
            <w:tcW w:w="2737" w:type="dxa"/>
            <w:tcBorders>
              <w:top w:val="single" w:sz="4" w:space="0" w:color="auto"/>
              <w:left w:val="nil"/>
              <w:bottom w:val="single" w:sz="4" w:space="0" w:color="auto"/>
              <w:right w:val="single" w:sz="4" w:space="0" w:color="auto"/>
            </w:tcBorders>
            <w:shd w:val="clear" w:color="auto" w:fill="C6EFCE"/>
            <w:noWrap/>
          </w:tcPr>
          <w:p w14:paraId="5B4CF4FD" w14:textId="77777777" w:rsidR="00A345F4" w:rsidRDefault="005E2D4E">
            <w:pPr>
              <w:pStyle w:val="P68B1DB1-Normal14"/>
              <w:spacing w:after="0" w:line="240" w:lineRule="auto"/>
              <w:jc w:val="both"/>
              <w:rPr>
                <w:rFonts w:eastAsia="Times New Roman"/>
                <w:noProof/>
              </w:rPr>
            </w:pPr>
            <w:r>
              <w:rPr>
                <w:noProof/>
              </w:rPr>
              <w:t xml:space="preserve">Afin d’introduire une solution de remplacement moderne pour l’accès électronique aux dossiers de l’affaire («dossier électronique»), cet investissement doit: </w:t>
            </w:r>
          </w:p>
          <w:p w14:paraId="325F7709" w14:textId="7D4D3571" w:rsidR="00A345F4" w:rsidRDefault="005E2D4E">
            <w:pPr>
              <w:pStyle w:val="P68B1DB1-Normal14"/>
              <w:spacing w:line="240" w:lineRule="auto"/>
              <w:contextualSpacing/>
              <w:jc w:val="both"/>
              <w:rPr>
                <w:noProof/>
              </w:rPr>
            </w:pPr>
            <w:r>
              <w:rPr>
                <w:noProof/>
              </w:rPr>
              <w:t>centraliser les extensions existantes du dossier électronique dans un «dossier électronique» national unique permettant aux justiciables d’accéder facilement et en toute sécurité aux documents contenus dans les dossiers judiciaires.</w:t>
            </w:r>
          </w:p>
        </w:tc>
      </w:tr>
      <w:tr w:rsidR="00A345F4" w14:paraId="55972837"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C69F088" w14:textId="77777777" w:rsidR="00A345F4" w:rsidRDefault="005E2D4E">
            <w:pPr>
              <w:pStyle w:val="P68B1DB1-Normal14"/>
              <w:spacing w:after="0" w:line="240" w:lineRule="auto"/>
              <w:jc w:val="center"/>
              <w:rPr>
                <w:rFonts w:eastAsia="Times New Roman"/>
                <w:noProof/>
              </w:rPr>
            </w:pPr>
            <w:r>
              <w:rPr>
                <w:noProof/>
              </w:rPr>
              <w:t>164</w:t>
            </w:r>
          </w:p>
        </w:tc>
        <w:tc>
          <w:tcPr>
            <w:tcW w:w="2101" w:type="dxa"/>
            <w:tcBorders>
              <w:top w:val="single" w:sz="4" w:space="0" w:color="auto"/>
              <w:left w:val="nil"/>
              <w:bottom w:val="single" w:sz="4" w:space="0" w:color="auto"/>
              <w:right w:val="single" w:sz="4" w:space="0" w:color="auto"/>
            </w:tcBorders>
            <w:shd w:val="clear" w:color="auto" w:fill="C6EFCE"/>
            <w:noWrap/>
          </w:tcPr>
          <w:p w14:paraId="673D74FC" w14:textId="77777777" w:rsidR="00A345F4" w:rsidRDefault="005E2D4E">
            <w:pPr>
              <w:pStyle w:val="P68B1DB1-Normal14"/>
              <w:spacing w:after="0" w:line="240" w:lineRule="auto"/>
              <w:jc w:val="both"/>
              <w:rPr>
                <w:rFonts w:eastAsia="Times New Roman"/>
                <w:noProof/>
              </w:rPr>
            </w:pPr>
            <w:r>
              <w:rPr>
                <w:noProof/>
              </w:rPr>
              <w:t xml:space="preserve">Investissement 4. Numérisation du système judiciaire </w:t>
            </w:r>
          </w:p>
          <w:p w14:paraId="3BBDD0B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7BFE0A1F"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5BD74630" w14:textId="77777777" w:rsidR="00A345F4" w:rsidRDefault="005E2D4E">
            <w:pPr>
              <w:pStyle w:val="P68B1DB1-Normal14"/>
              <w:spacing w:after="0" w:line="240" w:lineRule="auto"/>
              <w:jc w:val="both"/>
              <w:rPr>
                <w:noProof/>
              </w:rPr>
            </w:pPr>
            <w:r>
              <w:rPr>
                <w:noProof/>
              </w:rPr>
              <w:t xml:space="preserve">Dossiers électroniques et système d’information ECRIS V et transformation numérique du système judiciaire </w:t>
            </w:r>
          </w:p>
          <w:p w14:paraId="6CAC9440"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734" w:type="dxa"/>
            <w:tcBorders>
              <w:top w:val="single" w:sz="4" w:space="0" w:color="auto"/>
              <w:left w:val="nil"/>
              <w:bottom w:val="single" w:sz="4" w:space="0" w:color="auto"/>
              <w:right w:val="single" w:sz="4" w:space="0" w:color="auto"/>
            </w:tcBorders>
            <w:shd w:val="clear" w:color="auto" w:fill="C6EFCE"/>
            <w:noWrap/>
          </w:tcPr>
          <w:p w14:paraId="33C03BE9" w14:textId="77777777" w:rsidR="00A345F4" w:rsidRDefault="005E2D4E">
            <w:pPr>
              <w:pStyle w:val="P68B1DB1-Normal14"/>
              <w:spacing w:after="0" w:line="240" w:lineRule="auto"/>
              <w:jc w:val="both"/>
              <w:rPr>
                <w:rFonts w:eastAsia="Times New Roman"/>
                <w:noProof/>
              </w:rPr>
            </w:pPr>
            <w:r>
              <w:rPr>
                <w:noProof/>
              </w:rPr>
              <w:t>Fonctionnement du système ECRIS V</w:t>
            </w:r>
          </w:p>
        </w:tc>
        <w:tc>
          <w:tcPr>
            <w:tcW w:w="970" w:type="dxa"/>
            <w:tcBorders>
              <w:top w:val="single" w:sz="4" w:space="0" w:color="auto"/>
              <w:left w:val="nil"/>
              <w:bottom w:val="single" w:sz="4" w:space="0" w:color="auto"/>
              <w:right w:val="single" w:sz="4" w:space="0" w:color="auto"/>
            </w:tcBorders>
            <w:shd w:val="clear" w:color="auto" w:fill="C6EFCE"/>
            <w:noWrap/>
          </w:tcPr>
          <w:p w14:paraId="70C7196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21269AB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610A936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6DC6D633"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00144A4F" w14:textId="77777777" w:rsidR="00A345F4" w:rsidRDefault="005E2D4E">
            <w:pPr>
              <w:pStyle w:val="P68B1DB1-Normal14"/>
              <w:spacing w:after="0" w:line="240" w:lineRule="auto"/>
              <w:jc w:val="both"/>
              <w:rPr>
                <w:rFonts w:eastAsia="Times New Roman"/>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25735BD8" w14:textId="368D6EB7" w:rsidR="00A345F4" w:rsidRDefault="005E2D4E">
            <w:pPr>
              <w:pStyle w:val="P68B1DB1-Normal14"/>
              <w:spacing w:after="0" w:line="240" w:lineRule="auto"/>
              <w:jc w:val="both"/>
              <w:rPr>
                <w:rFonts w:eastAsia="Times New Roman"/>
                <w:noProof/>
              </w:rPr>
            </w:pPr>
            <w:r>
              <w:rPr>
                <w:noProof/>
              </w:rPr>
              <w:t>La mise en place d’un nouveau système de gestion des affaires (ECRIS V) permet l’interaction numérique du justiciable et de toute entité intéressée avec le système judiciaire, ainsi qu’une interaction numérique améliorée entre les institutions au niveau du système judiciaire. La transformation numérique dans le secteur judiciaire sera également soutenue par l’achat d’équipements, de logiciels, de services et de mises à niveau technologiques de l’IT&amp;C.</w:t>
            </w:r>
          </w:p>
        </w:tc>
      </w:tr>
      <w:tr w:rsidR="00A345F4" w14:paraId="35E8B48E"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2EE96AE" w14:textId="77777777" w:rsidR="00A345F4" w:rsidRDefault="005E2D4E">
            <w:pPr>
              <w:pStyle w:val="P68B1DB1-Normal14"/>
              <w:spacing w:after="0" w:line="240" w:lineRule="auto"/>
              <w:jc w:val="center"/>
              <w:rPr>
                <w:rFonts w:eastAsia="Times New Roman"/>
                <w:noProof/>
              </w:rPr>
            </w:pPr>
            <w:r>
              <w:rPr>
                <w:noProof/>
              </w:rPr>
              <w:t>166</w:t>
            </w:r>
          </w:p>
        </w:tc>
        <w:tc>
          <w:tcPr>
            <w:tcW w:w="2101" w:type="dxa"/>
            <w:tcBorders>
              <w:top w:val="single" w:sz="4" w:space="0" w:color="auto"/>
              <w:left w:val="nil"/>
              <w:bottom w:val="single" w:sz="4" w:space="0" w:color="auto"/>
              <w:right w:val="single" w:sz="4" w:space="0" w:color="auto"/>
            </w:tcBorders>
            <w:shd w:val="clear" w:color="auto" w:fill="C6EFCE"/>
            <w:noWrap/>
          </w:tcPr>
          <w:p w14:paraId="36175CBD" w14:textId="77777777" w:rsidR="00A345F4" w:rsidRDefault="005E2D4E">
            <w:pPr>
              <w:pStyle w:val="P68B1DB1-Normal14"/>
              <w:spacing w:after="0" w:line="240" w:lineRule="auto"/>
              <w:jc w:val="both"/>
              <w:rPr>
                <w:rFonts w:eastAsia="Times New Roman"/>
                <w:noProof/>
              </w:rPr>
            </w:pPr>
            <w:r>
              <w:rPr>
                <w:noProof/>
              </w:rPr>
              <w:t xml:space="preserve">Investissement 4. Numérisation du système judiciaire </w:t>
            </w:r>
          </w:p>
          <w:p w14:paraId="394D9C1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716A31F6"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120BA421" w14:textId="77777777" w:rsidR="00A345F4" w:rsidRDefault="005E2D4E">
            <w:pPr>
              <w:pStyle w:val="P68B1DB1-Normal14"/>
              <w:spacing w:after="0" w:line="240" w:lineRule="auto"/>
              <w:jc w:val="both"/>
              <w:rPr>
                <w:rFonts w:eastAsia="Times New Roman"/>
                <w:noProof/>
              </w:rPr>
            </w:pPr>
            <w:r>
              <w:rPr>
                <w:noProof/>
              </w:rPr>
              <w:t>Mise en place d'un centre de données</w:t>
            </w:r>
          </w:p>
        </w:tc>
        <w:tc>
          <w:tcPr>
            <w:tcW w:w="1734" w:type="dxa"/>
            <w:tcBorders>
              <w:top w:val="single" w:sz="4" w:space="0" w:color="auto"/>
              <w:left w:val="nil"/>
              <w:bottom w:val="single" w:sz="4" w:space="0" w:color="auto"/>
              <w:right w:val="single" w:sz="4" w:space="0" w:color="auto"/>
            </w:tcBorders>
            <w:shd w:val="clear" w:color="auto" w:fill="C6EFCE"/>
            <w:noWrap/>
          </w:tcPr>
          <w:p w14:paraId="63A43FE8" w14:textId="453D3D81" w:rsidR="00A345F4" w:rsidRDefault="005E2D4E">
            <w:pPr>
              <w:pStyle w:val="P68B1DB1-Normal14"/>
              <w:spacing w:after="0" w:line="240" w:lineRule="auto"/>
              <w:jc w:val="both"/>
              <w:rPr>
                <w:rFonts w:eastAsia="Times New Roman"/>
                <w:noProof/>
              </w:rPr>
            </w:pPr>
            <w:r>
              <w:rPr>
                <w:noProof/>
              </w:rPr>
              <w:t xml:space="preserve">Un centre de données est mis en place </w:t>
            </w:r>
          </w:p>
        </w:tc>
        <w:tc>
          <w:tcPr>
            <w:tcW w:w="970" w:type="dxa"/>
            <w:tcBorders>
              <w:top w:val="single" w:sz="4" w:space="0" w:color="auto"/>
              <w:left w:val="nil"/>
              <w:bottom w:val="single" w:sz="4" w:space="0" w:color="auto"/>
              <w:right w:val="single" w:sz="4" w:space="0" w:color="auto"/>
            </w:tcBorders>
            <w:shd w:val="clear" w:color="auto" w:fill="C6EFCE"/>
            <w:noWrap/>
          </w:tcPr>
          <w:p w14:paraId="2F3490C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0EA318E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21FF445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58EE7395"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4ED50620" w14:textId="77777777" w:rsidR="00A345F4" w:rsidRDefault="005E2D4E">
            <w:pPr>
              <w:pStyle w:val="P68B1DB1-Normal14"/>
              <w:spacing w:after="0" w:line="240" w:lineRule="auto"/>
              <w:jc w:val="both"/>
              <w:rPr>
                <w:rFonts w:eastAsia="Times New Roman"/>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5D58E226" w14:textId="49F0B3C6" w:rsidR="00A345F4" w:rsidRDefault="005E2D4E">
            <w:pPr>
              <w:pStyle w:val="P68B1DB1-Normal14"/>
              <w:spacing w:after="0" w:line="240" w:lineRule="auto"/>
              <w:contextualSpacing/>
              <w:jc w:val="both"/>
              <w:rPr>
                <w:rFonts w:eastAsia="Times New Roman"/>
                <w:noProof/>
              </w:rPr>
            </w:pPr>
            <w:r>
              <w:rPr>
                <w:noProof/>
              </w:rPr>
              <w:t>Un nouveau centre de données est utilisé par le ministère de la justice, le ministère public et les institutions subordonnées, les tribunaux et autres institutions au niveau du système judiciaire, interopérable avec le nuage gouvernemental.</w:t>
            </w:r>
          </w:p>
        </w:tc>
      </w:tr>
      <w:tr w:rsidR="00A345F4" w14:paraId="67531400"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B6382E1" w14:textId="77777777" w:rsidR="00A345F4" w:rsidRDefault="005E2D4E">
            <w:pPr>
              <w:pStyle w:val="P68B1DB1-Normal14"/>
              <w:spacing w:after="0" w:line="240" w:lineRule="auto"/>
              <w:jc w:val="center"/>
              <w:rPr>
                <w:rFonts w:eastAsia="Times New Roman"/>
                <w:noProof/>
              </w:rPr>
            </w:pPr>
            <w:r>
              <w:rPr>
                <w:noProof/>
              </w:rPr>
              <w:t>167</w:t>
            </w:r>
          </w:p>
        </w:tc>
        <w:tc>
          <w:tcPr>
            <w:tcW w:w="2101" w:type="dxa"/>
            <w:tcBorders>
              <w:top w:val="single" w:sz="4" w:space="0" w:color="auto"/>
              <w:left w:val="nil"/>
              <w:bottom w:val="single" w:sz="4" w:space="0" w:color="auto"/>
              <w:right w:val="single" w:sz="4" w:space="0" w:color="auto"/>
            </w:tcBorders>
            <w:shd w:val="clear" w:color="auto" w:fill="C6EFCE"/>
            <w:noWrap/>
          </w:tcPr>
          <w:p w14:paraId="73A0BCAA" w14:textId="77777777" w:rsidR="00A345F4" w:rsidRDefault="005E2D4E">
            <w:pPr>
              <w:pStyle w:val="P68B1DB1-Normal14"/>
              <w:spacing w:after="0" w:line="240" w:lineRule="auto"/>
              <w:jc w:val="both"/>
              <w:rPr>
                <w:rFonts w:eastAsia="Times New Roman"/>
                <w:noProof/>
              </w:rPr>
            </w:pPr>
            <w:r>
              <w:rPr>
                <w:noProof/>
              </w:rPr>
              <w:t>Investissement 5.</w:t>
            </w:r>
          </w:p>
          <w:p w14:paraId="7872B82C" w14:textId="77777777" w:rsidR="00A345F4" w:rsidRDefault="005E2D4E">
            <w:pPr>
              <w:pStyle w:val="P68B1DB1-Normal14"/>
              <w:spacing w:after="0" w:line="240" w:lineRule="auto"/>
              <w:jc w:val="both"/>
              <w:rPr>
                <w:rFonts w:eastAsia="Times New Roman"/>
                <w:noProof/>
              </w:rPr>
            </w:pPr>
            <w:r>
              <w:rPr>
                <w:noProof/>
              </w:rPr>
              <w:t xml:space="preserve">Numérisation dans le domaine de l’environnement </w:t>
            </w:r>
          </w:p>
          <w:p w14:paraId="641057E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62095D16"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1C44EDDC" w14:textId="77777777" w:rsidR="00A345F4" w:rsidRDefault="005E2D4E">
            <w:pPr>
              <w:pStyle w:val="P68B1DB1-Normal14"/>
              <w:spacing w:after="0" w:line="240" w:lineRule="auto"/>
              <w:jc w:val="both"/>
              <w:rPr>
                <w:rFonts w:eastAsia="Times New Roman"/>
                <w:noProof/>
              </w:rPr>
            </w:pPr>
            <w:r>
              <w:rPr>
                <w:noProof/>
              </w:rPr>
              <w:t>Système fonctionnel de surveillance des forêts roumaines, avec des mesures contre l'exploitation illégale des forêts</w:t>
            </w:r>
          </w:p>
        </w:tc>
        <w:tc>
          <w:tcPr>
            <w:tcW w:w="1734" w:type="dxa"/>
            <w:tcBorders>
              <w:top w:val="single" w:sz="4" w:space="0" w:color="auto"/>
              <w:left w:val="nil"/>
              <w:bottom w:val="single" w:sz="4" w:space="0" w:color="auto"/>
              <w:right w:val="single" w:sz="4" w:space="0" w:color="auto"/>
            </w:tcBorders>
            <w:shd w:val="clear" w:color="auto" w:fill="C6EFCE"/>
            <w:noWrap/>
          </w:tcPr>
          <w:p w14:paraId="1B65D4BC" w14:textId="77777777" w:rsidR="00A345F4" w:rsidRDefault="005E2D4E">
            <w:pPr>
              <w:pStyle w:val="P68B1DB1-Normal14"/>
              <w:spacing w:after="0" w:line="240" w:lineRule="auto"/>
              <w:jc w:val="both"/>
              <w:rPr>
                <w:noProof/>
              </w:rPr>
            </w:pPr>
            <w:r>
              <w:rPr>
                <w:noProof/>
              </w:rPr>
              <w:t>Système fonctionnel de surveillance des forêts roumaines, avec des mesures contre l'exploitation illégale des forêts</w:t>
            </w:r>
          </w:p>
        </w:tc>
        <w:tc>
          <w:tcPr>
            <w:tcW w:w="970" w:type="dxa"/>
            <w:tcBorders>
              <w:top w:val="single" w:sz="4" w:space="0" w:color="auto"/>
              <w:left w:val="nil"/>
              <w:bottom w:val="single" w:sz="4" w:space="0" w:color="auto"/>
              <w:right w:val="single" w:sz="4" w:space="0" w:color="auto"/>
            </w:tcBorders>
            <w:shd w:val="clear" w:color="auto" w:fill="C6EFCE"/>
            <w:noWrap/>
          </w:tcPr>
          <w:p w14:paraId="2C9EF28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68CB3B1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57A80DC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65261669" w14:textId="77777777" w:rsidR="00A345F4" w:rsidRDefault="005E2D4E">
            <w:pPr>
              <w:pStyle w:val="P68B1DB1-Normal14"/>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0136A90B"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28FFB7E1" w14:textId="77777777" w:rsidR="00A345F4" w:rsidRDefault="005E2D4E">
            <w:pPr>
              <w:pStyle w:val="P68B1DB1-Normal14"/>
              <w:spacing w:after="0" w:line="240" w:lineRule="auto"/>
              <w:jc w:val="both"/>
              <w:rPr>
                <w:rFonts w:eastAsia="Times New Roman"/>
                <w:noProof/>
              </w:rPr>
            </w:pPr>
            <w:r>
              <w:rPr>
                <w:noProof/>
              </w:rPr>
              <w:t>Le système de surveillance des forêts roumaines et de lutte contre l’exploitation illégale des forêts est intégré à SUMAL 2.0 (système roumain de surveillance du bois) et surveille les obligations légales liées à la récolte du bois, à la régénération des forêts, à la santé des forêts et à l’état de conservation des habitats.</w:t>
            </w:r>
          </w:p>
          <w:p w14:paraId="753E0502" w14:textId="77777777" w:rsidR="00A345F4" w:rsidRDefault="005E2D4E">
            <w:pPr>
              <w:pStyle w:val="P68B1DB1-Normal14"/>
              <w:spacing w:after="0" w:line="240" w:lineRule="auto"/>
              <w:jc w:val="both"/>
              <w:rPr>
                <w:noProof/>
              </w:rPr>
            </w:pPr>
            <w:r>
              <w:rPr>
                <w:noProof/>
              </w:rPr>
              <w:t xml:space="preserve">Le registre foncier forestier, tel que fourni par le système national eTerra3 (base de données sur la propriété foncière), est inclus dans SUMAL 2.0 via l’interface de programmation d’applications (API) afin d’obtenir un ensemble complet de données sur les droits de propriété et d’administration. </w:t>
            </w:r>
          </w:p>
        </w:tc>
      </w:tr>
      <w:tr w:rsidR="00A345F4" w14:paraId="7C9A6042" w14:textId="77777777" w:rsidTr="00E44183">
        <w:trPr>
          <w:trHeight w:val="315"/>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9332661" w14:textId="77777777" w:rsidR="00A345F4" w:rsidRDefault="005E2D4E">
            <w:pPr>
              <w:pStyle w:val="P68B1DB1-Normal14"/>
              <w:spacing w:after="0" w:line="240" w:lineRule="auto"/>
              <w:jc w:val="center"/>
              <w:rPr>
                <w:noProof/>
              </w:rPr>
            </w:pPr>
            <w:r>
              <w:rPr>
                <w:noProof/>
              </w:rPr>
              <w:t>168</w:t>
            </w:r>
          </w:p>
        </w:tc>
        <w:tc>
          <w:tcPr>
            <w:tcW w:w="2101" w:type="dxa"/>
            <w:tcBorders>
              <w:top w:val="single" w:sz="4" w:space="0" w:color="auto"/>
              <w:left w:val="nil"/>
              <w:bottom w:val="single" w:sz="4" w:space="0" w:color="auto"/>
              <w:right w:val="single" w:sz="4" w:space="0" w:color="auto"/>
            </w:tcBorders>
            <w:shd w:val="clear" w:color="auto" w:fill="C6EFCE"/>
            <w:noWrap/>
          </w:tcPr>
          <w:p w14:paraId="3A544409" w14:textId="77777777" w:rsidR="00A345F4" w:rsidRDefault="005E2D4E">
            <w:pPr>
              <w:pStyle w:val="P68B1DB1-Normal14"/>
              <w:spacing w:after="0" w:line="240" w:lineRule="auto"/>
              <w:jc w:val="both"/>
              <w:rPr>
                <w:rFonts w:eastAsia="Times New Roman"/>
                <w:noProof/>
              </w:rPr>
            </w:pPr>
            <w:r>
              <w:rPr>
                <w:noProof/>
              </w:rPr>
              <w:t>Investissement 5.</w:t>
            </w:r>
          </w:p>
          <w:p w14:paraId="4DC2DD38" w14:textId="77777777" w:rsidR="00A345F4" w:rsidRDefault="005E2D4E">
            <w:pPr>
              <w:pStyle w:val="P68B1DB1-Normal14"/>
              <w:spacing w:after="0" w:line="240" w:lineRule="auto"/>
              <w:jc w:val="both"/>
              <w:rPr>
                <w:rFonts w:eastAsia="Times New Roman"/>
                <w:noProof/>
              </w:rPr>
            </w:pPr>
            <w:r>
              <w:rPr>
                <w:noProof/>
              </w:rPr>
              <w:t xml:space="preserve">Numérisation dans le domaine de l’environnement </w:t>
            </w:r>
          </w:p>
          <w:p w14:paraId="47AD7FEA" w14:textId="77777777" w:rsidR="00A345F4" w:rsidRDefault="00A345F4">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6611144A" w14:textId="77777777" w:rsidR="00A345F4" w:rsidRDefault="005E2D4E">
            <w:pPr>
              <w:pStyle w:val="P68B1DB1-Normal14"/>
              <w:spacing w:after="0" w:line="240" w:lineRule="auto"/>
              <w:jc w:val="both"/>
              <w:rPr>
                <w:noProof/>
              </w:rPr>
            </w:pPr>
            <w:r>
              <w:rPr>
                <w:noProof/>
              </w:rPr>
              <w:t>Objectif</w:t>
            </w:r>
          </w:p>
        </w:tc>
        <w:tc>
          <w:tcPr>
            <w:tcW w:w="1590" w:type="dxa"/>
            <w:tcBorders>
              <w:top w:val="single" w:sz="4" w:space="0" w:color="auto"/>
              <w:left w:val="nil"/>
              <w:bottom w:val="single" w:sz="4" w:space="0" w:color="auto"/>
              <w:right w:val="single" w:sz="4" w:space="0" w:color="auto"/>
            </w:tcBorders>
            <w:shd w:val="clear" w:color="auto" w:fill="C6EFCE"/>
            <w:noWrap/>
          </w:tcPr>
          <w:p w14:paraId="38444462" w14:textId="77777777" w:rsidR="00A345F4" w:rsidRDefault="005E2D4E">
            <w:pPr>
              <w:pStyle w:val="P68B1DB1-Normal14"/>
              <w:spacing w:after="0" w:line="240" w:lineRule="auto"/>
              <w:jc w:val="both"/>
              <w:rPr>
                <w:noProof/>
              </w:rPr>
            </w:pPr>
            <w:r>
              <w:rPr>
                <w:noProof/>
              </w:rPr>
              <w:t>Services environnementaux publics disponibles en ligne</w:t>
            </w:r>
          </w:p>
        </w:tc>
        <w:tc>
          <w:tcPr>
            <w:tcW w:w="1734" w:type="dxa"/>
            <w:tcBorders>
              <w:top w:val="single" w:sz="4" w:space="0" w:color="auto"/>
              <w:left w:val="nil"/>
              <w:bottom w:val="single" w:sz="4" w:space="0" w:color="auto"/>
              <w:right w:val="single" w:sz="4" w:space="0" w:color="auto"/>
            </w:tcBorders>
            <w:shd w:val="clear" w:color="auto" w:fill="C6EFCE"/>
            <w:noWrap/>
          </w:tcPr>
          <w:p w14:paraId="2E0033DA" w14:textId="77777777" w:rsidR="00A345F4" w:rsidRDefault="005E2D4E">
            <w:pPr>
              <w:pStyle w:val="P68B1DB1-Normal14"/>
              <w:spacing w:after="0" w:line="240" w:lineRule="auto"/>
              <w:jc w:val="both"/>
              <w:rPr>
                <w:noProof/>
              </w:rPr>
            </w:pPr>
            <w:r>
              <w:rPr>
                <w:noProof/>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58D1FA46" w14:textId="77777777" w:rsidR="00A345F4" w:rsidRDefault="005E2D4E">
            <w:pPr>
              <w:pStyle w:val="P68B1DB1-Normal14"/>
              <w:spacing w:after="0" w:line="240" w:lineRule="auto"/>
              <w:jc w:val="both"/>
              <w:rPr>
                <w:rFonts w:eastAsia="Times New Roman"/>
                <w:noProof/>
              </w:rPr>
            </w:pPr>
            <w:r>
              <w:rPr>
                <w:noProof/>
              </w:rPr>
              <w:t>Numéro</w:t>
            </w:r>
          </w:p>
        </w:tc>
        <w:tc>
          <w:tcPr>
            <w:tcW w:w="1225" w:type="dxa"/>
            <w:tcBorders>
              <w:top w:val="single" w:sz="4" w:space="0" w:color="auto"/>
              <w:left w:val="nil"/>
              <w:bottom w:val="single" w:sz="4" w:space="0" w:color="auto"/>
              <w:right w:val="single" w:sz="4" w:space="0" w:color="auto"/>
            </w:tcBorders>
            <w:shd w:val="clear" w:color="auto" w:fill="C6EFCE"/>
            <w:noWrap/>
          </w:tcPr>
          <w:p w14:paraId="0A7B4598" w14:textId="77777777" w:rsidR="00A345F4" w:rsidRDefault="005E2D4E">
            <w:pPr>
              <w:pStyle w:val="P68B1DB1-Normal14"/>
              <w:spacing w:after="0" w:line="240" w:lineRule="auto"/>
              <w:jc w:val="both"/>
              <w:rPr>
                <w:rFonts w:eastAsia="Times New Roman"/>
                <w:noProof/>
              </w:rPr>
            </w:pPr>
            <w:r>
              <w:rPr>
                <w:noProof/>
              </w:rPr>
              <w:t>0</w:t>
            </w:r>
          </w:p>
        </w:tc>
        <w:tc>
          <w:tcPr>
            <w:tcW w:w="782" w:type="dxa"/>
            <w:tcBorders>
              <w:top w:val="single" w:sz="4" w:space="0" w:color="auto"/>
              <w:left w:val="nil"/>
              <w:bottom w:val="single" w:sz="4" w:space="0" w:color="auto"/>
              <w:right w:val="single" w:sz="4" w:space="0" w:color="auto"/>
            </w:tcBorders>
            <w:shd w:val="clear" w:color="auto" w:fill="C6EFCE"/>
            <w:noWrap/>
          </w:tcPr>
          <w:p w14:paraId="36299CDB" w14:textId="77777777" w:rsidR="00A345F4" w:rsidRDefault="005E2D4E">
            <w:pPr>
              <w:pStyle w:val="P68B1DB1-Normal14"/>
              <w:spacing w:after="0" w:line="240" w:lineRule="auto"/>
              <w:jc w:val="both"/>
              <w:rPr>
                <w:rFonts w:eastAsia="Times New Roman"/>
                <w:noProof/>
              </w:rPr>
            </w:pPr>
            <w:r>
              <w:rPr>
                <w:noProof/>
              </w:rPr>
              <w:t>32</w:t>
            </w:r>
          </w:p>
        </w:tc>
        <w:tc>
          <w:tcPr>
            <w:tcW w:w="992" w:type="dxa"/>
            <w:tcBorders>
              <w:top w:val="single" w:sz="4" w:space="0" w:color="auto"/>
              <w:left w:val="nil"/>
              <w:bottom w:val="single" w:sz="4" w:space="0" w:color="auto"/>
              <w:right w:val="single" w:sz="4" w:space="0" w:color="auto"/>
            </w:tcBorders>
            <w:shd w:val="clear" w:color="auto" w:fill="C6EFCE"/>
            <w:noWrap/>
          </w:tcPr>
          <w:p w14:paraId="75733FB8" w14:textId="77777777" w:rsidR="00A345F4" w:rsidRDefault="005E2D4E">
            <w:pPr>
              <w:pStyle w:val="P68B1DB1-Normal14"/>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61605E98"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4919C4A9" w14:textId="512C78AF" w:rsidR="00A345F4" w:rsidRDefault="005E2D4E">
            <w:pPr>
              <w:pStyle w:val="P68B1DB1-Normal14"/>
              <w:spacing w:after="0" w:line="240" w:lineRule="auto"/>
              <w:contextualSpacing/>
              <w:jc w:val="both"/>
              <w:rPr>
                <w:noProof/>
              </w:rPr>
            </w:pPr>
            <w:r>
              <w:rPr>
                <w:noProof/>
              </w:rPr>
              <w:t xml:space="preserve">32 Les services publics liés à l’environnement sont fonctionnels et disponibles en ligne, ce qui permet la soumission, la transmission et le suivi électroniques des demandes, des données et des informations au moyen d’une plateforme numérique unifiée. </w:t>
            </w:r>
          </w:p>
        </w:tc>
      </w:tr>
      <w:tr w:rsidR="00A345F4" w14:paraId="09A77DDE" w14:textId="77777777" w:rsidTr="00E44183">
        <w:trPr>
          <w:trHeight w:val="1763"/>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96BAE26" w14:textId="77777777" w:rsidR="00A345F4" w:rsidRDefault="005E2D4E">
            <w:pPr>
              <w:pStyle w:val="P68B1DB1-Normal14"/>
              <w:spacing w:after="0" w:line="240" w:lineRule="auto"/>
              <w:jc w:val="center"/>
              <w:rPr>
                <w:rFonts w:eastAsia="Times New Roman"/>
                <w:noProof/>
              </w:rPr>
            </w:pPr>
            <w:r>
              <w:rPr>
                <w:noProof/>
              </w:rPr>
              <w:t>169</w:t>
            </w:r>
          </w:p>
        </w:tc>
        <w:tc>
          <w:tcPr>
            <w:tcW w:w="2101" w:type="dxa"/>
            <w:tcBorders>
              <w:top w:val="single" w:sz="4" w:space="0" w:color="auto"/>
              <w:left w:val="nil"/>
              <w:bottom w:val="single" w:sz="4" w:space="0" w:color="auto"/>
              <w:right w:val="single" w:sz="4" w:space="0" w:color="auto"/>
            </w:tcBorders>
            <w:shd w:val="clear" w:color="auto" w:fill="C6EFCE"/>
            <w:noWrap/>
          </w:tcPr>
          <w:p w14:paraId="4304D07B" w14:textId="77777777" w:rsidR="00A345F4" w:rsidRDefault="005E2D4E">
            <w:pPr>
              <w:pStyle w:val="P68B1DB1-Normal14"/>
              <w:spacing w:after="0" w:line="240" w:lineRule="auto"/>
              <w:jc w:val="both"/>
              <w:rPr>
                <w:rFonts w:eastAsia="Times New Roman"/>
                <w:noProof/>
              </w:rPr>
            </w:pPr>
            <w:r>
              <w:rPr>
                <w:noProof/>
              </w:rPr>
              <w:t xml:space="preserve">Investissement 6. Numérisation dans le domaine de l’emploi et de la protection sociale </w:t>
            </w:r>
          </w:p>
          <w:p w14:paraId="2ABECF02"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75184EC6"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4092F3F9" w14:textId="77777777" w:rsidR="00A345F4" w:rsidRDefault="005E2D4E">
            <w:pPr>
              <w:pStyle w:val="P68B1DB1-Normal14"/>
              <w:spacing w:after="0" w:line="240" w:lineRule="auto"/>
              <w:jc w:val="both"/>
              <w:rPr>
                <w:rFonts w:eastAsia="Times New Roman"/>
                <w:noProof/>
              </w:rPr>
            </w:pPr>
            <w:r>
              <w:rPr>
                <w:noProof/>
              </w:rPr>
              <w:t>Système en ligne REGES fonctionnel</w:t>
            </w:r>
          </w:p>
        </w:tc>
        <w:tc>
          <w:tcPr>
            <w:tcW w:w="1734" w:type="dxa"/>
            <w:tcBorders>
              <w:top w:val="single" w:sz="4" w:space="0" w:color="auto"/>
              <w:left w:val="nil"/>
              <w:bottom w:val="single" w:sz="4" w:space="0" w:color="auto"/>
              <w:right w:val="single" w:sz="4" w:space="0" w:color="auto"/>
            </w:tcBorders>
            <w:shd w:val="clear" w:color="auto" w:fill="C6EFCE"/>
            <w:noWrap/>
          </w:tcPr>
          <w:p w14:paraId="60A65C9D" w14:textId="77777777" w:rsidR="00A345F4" w:rsidRDefault="005E2D4E">
            <w:pPr>
              <w:pStyle w:val="P68B1DB1-Normal14"/>
              <w:spacing w:after="0" w:line="240" w:lineRule="auto"/>
              <w:jc w:val="both"/>
              <w:rPr>
                <w:noProof/>
              </w:rPr>
            </w:pPr>
            <w:r>
              <w:rPr>
                <w:noProof/>
              </w:rPr>
              <w:t xml:space="preserve">Système en ligne REGES fonctionnel </w:t>
            </w:r>
          </w:p>
        </w:tc>
        <w:tc>
          <w:tcPr>
            <w:tcW w:w="970" w:type="dxa"/>
            <w:tcBorders>
              <w:top w:val="single" w:sz="4" w:space="0" w:color="auto"/>
              <w:left w:val="nil"/>
              <w:bottom w:val="single" w:sz="4" w:space="0" w:color="auto"/>
              <w:right w:val="single" w:sz="4" w:space="0" w:color="auto"/>
            </w:tcBorders>
            <w:shd w:val="clear" w:color="auto" w:fill="C6EFCE"/>
            <w:noWrap/>
          </w:tcPr>
          <w:p w14:paraId="693BE5F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39F273B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254E5A1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49E42FE7" w14:textId="77777777" w:rsidR="00A345F4" w:rsidRDefault="005E2D4E">
            <w:pPr>
              <w:pStyle w:val="P68B1DB1-Normal14"/>
              <w:spacing w:after="0" w:line="240" w:lineRule="auto"/>
              <w:jc w:val="both"/>
              <w:rPr>
                <w:rFonts w:eastAsia="Times New Roman"/>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520E8630" w14:textId="77777777" w:rsidR="00A345F4" w:rsidRDefault="005E2D4E">
            <w:pPr>
              <w:pStyle w:val="P68B1DB1-Normal14"/>
              <w:spacing w:after="0" w:line="240" w:lineRule="auto"/>
              <w:jc w:val="both"/>
              <w:rPr>
                <w:rFonts w:eastAsia="Times New Roman"/>
                <w:noProof/>
              </w:rPr>
            </w:pPr>
            <w:r>
              <w:rPr>
                <w:noProof/>
              </w:rPr>
              <w:t>2024</w:t>
            </w:r>
          </w:p>
        </w:tc>
        <w:tc>
          <w:tcPr>
            <w:tcW w:w="2737" w:type="dxa"/>
            <w:tcBorders>
              <w:top w:val="single" w:sz="4" w:space="0" w:color="auto"/>
              <w:left w:val="nil"/>
              <w:bottom w:val="single" w:sz="4" w:space="0" w:color="auto"/>
              <w:right w:val="single" w:sz="4" w:space="0" w:color="auto"/>
            </w:tcBorders>
            <w:shd w:val="clear" w:color="auto" w:fill="C6EFCE"/>
            <w:noWrap/>
          </w:tcPr>
          <w:p w14:paraId="123EAE0A" w14:textId="77777777" w:rsidR="00A345F4" w:rsidRDefault="005E2D4E">
            <w:pPr>
              <w:pStyle w:val="P68B1DB1-Normal14"/>
              <w:spacing w:after="120" w:line="240" w:lineRule="auto"/>
              <w:jc w:val="both"/>
              <w:rPr>
                <w:noProof/>
              </w:rPr>
            </w:pPr>
            <w:r>
              <w:rPr>
                <w:noProof/>
              </w:rPr>
              <w:t xml:space="preserve">Le système informatique REGES-ONLINE est fonctionnel et interopérable, garantissant l’accès des autorités publiques et des institutions à l’enregistrement des données au niveau de l’interface de programmation d’applications (API). </w:t>
            </w:r>
          </w:p>
        </w:tc>
      </w:tr>
      <w:tr w:rsidR="00A345F4" w14:paraId="44AEE8E0"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9946504" w14:textId="77777777" w:rsidR="00A345F4" w:rsidRDefault="005E2D4E">
            <w:pPr>
              <w:pStyle w:val="P68B1DB1-Normal14"/>
              <w:spacing w:after="0" w:line="240" w:lineRule="auto"/>
              <w:jc w:val="center"/>
              <w:rPr>
                <w:noProof/>
              </w:rPr>
            </w:pPr>
            <w:r>
              <w:rPr>
                <w:noProof/>
              </w:rPr>
              <w:t>170</w:t>
            </w:r>
          </w:p>
        </w:tc>
        <w:tc>
          <w:tcPr>
            <w:tcW w:w="2101" w:type="dxa"/>
            <w:tcBorders>
              <w:top w:val="single" w:sz="4" w:space="0" w:color="auto"/>
              <w:left w:val="nil"/>
              <w:bottom w:val="single" w:sz="4" w:space="0" w:color="auto"/>
              <w:right w:val="single" w:sz="4" w:space="0" w:color="auto"/>
            </w:tcBorders>
            <w:shd w:val="clear" w:color="auto" w:fill="C6EFCE"/>
            <w:noWrap/>
          </w:tcPr>
          <w:p w14:paraId="4CF45392" w14:textId="77777777" w:rsidR="00A345F4" w:rsidRDefault="005E2D4E">
            <w:pPr>
              <w:pStyle w:val="P68B1DB1-Normal14"/>
              <w:spacing w:after="0" w:line="240" w:lineRule="auto"/>
              <w:jc w:val="both"/>
              <w:rPr>
                <w:rFonts w:eastAsia="Times New Roman"/>
                <w:noProof/>
              </w:rPr>
            </w:pPr>
            <w:r>
              <w:rPr>
                <w:noProof/>
              </w:rPr>
              <w:t xml:space="preserve">Investissement 6. Numérisation dans le domaine de l’emploi et de la protection sociale </w:t>
            </w:r>
          </w:p>
          <w:p w14:paraId="5436F176" w14:textId="77777777" w:rsidR="00A345F4" w:rsidRDefault="00A345F4">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5ADA2B82" w14:textId="77777777" w:rsidR="00A345F4" w:rsidRDefault="005E2D4E">
            <w:pPr>
              <w:pStyle w:val="P68B1DB1-Normal14"/>
              <w:spacing w:after="0" w:line="240" w:lineRule="auto"/>
              <w:jc w:val="both"/>
              <w:rPr>
                <w:noProof/>
              </w:rPr>
            </w:pPr>
            <w:r>
              <w:rPr>
                <w:noProof/>
              </w:rPr>
              <w:t>Objectif</w:t>
            </w:r>
          </w:p>
        </w:tc>
        <w:tc>
          <w:tcPr>
            <w:tcW w:w="1590" w:type="dxa"/>
            <w:tcBorders>
              <w:top w:val="single" w:sz="4" w:space="0" w:color="auto"/>
              <w:left w:val="nil"/>
              <w:bottom w:val="single" w:sz="4" w:space="0" w:color="auto"/>
              <w:right w:val="single" w:sz="4" w:space="0" w:color="auto"/>
            </w:tcBorders>
            <w:shd w:val="clear" w:color="auto" w:fill="C6EFCE"/>
            <w:noWrap/>
          </w:tcPr>
          <w:p w14:paraId="7EC40CCA" w14:textId="77777777" w:rsidR="00A345F4" w:rsidRDefault="005E2D4E">
            <w:pPr>
              <w:pStyle w:val="P68B1DB1-Normal14"/>
              <w:spacing w:after="0" w:line="240" w:lineRule="auto"/>
              <w:jc w:val="both"/>
              <w:rPr>
                <w:noProof/>
              </w:rPr>
            </w:pPr>
            <w:r>
              <w:rPr>
                <w:noProof/>
              </w:rPr>
              <w:t xml:space="preserve">Services numériques dans le domaine de l'emploi et de la protection sociale fonctionnels </w:t>
            </w:r>
          </w:p>
        </w:tc>
        <w:tc>
          <w:tcPr>
            <w:tcW w:w="1734" w:type="dxa"/>
            <w:tcBorders>
              <w:top w:val="single" w:sz="4" w:space="0" w:color="auto"/>
              <w:left w:val="nil"/>
              <w:bottom w:val="single" w:sz="4" w:space="0" w:color="auto"/>
              <w:right w:val="single" w:sz="4" w:space="0" w:color="auto"/>
            </w:tcBorders>
            <w:shd w:val="clear" w:color="auto" w:fill="C6EFCE"/>
            <w:noWrap/>
          </w:tcPr>
          <w:p w14:paraId="422B972C" w14:textId="77777777" w:rsidR="00A345F4" w:rsidRDefault="005E2D4E">
            <w:pPr>
              <w:pStyle w:val="P68B1DB1-Normal14"/>
              <w:spacing w:after="0" w:line="240" w:lineRule="auto"/>
              <w:jc w:val="both"/>
              <w:rPr>
                <w:noProof/>
              </w:rPr>
            </w:pPr>
            <w:r>
              <w:rPr>
                <w:noProof/>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1D533B25" w14:textId="77777777" w:rsidR="00A345F4" w:rsidRDefault="005E2D4E">
            <w:pPr>
              <w:pStyle w:val="P68B1DB1-Normal14"/>
              <w:spacing w:after="0" w:line="240" w:lineRule="auto"/>
              <w:jc w:val="both"/>
              <w:rPr>
                <w:noProof/>
              </w:rPr>
            </w:pPr>
            <w:r>
              <w:rPr>
                <w:noProof/>
              </w:rPr>
              <w:t>Numéro</w:t>
            </w:r>
          </w:p>
        </w:tc>
        <w:tc>
          <w:tcPr>
            <w:tcW w:w="1225" w:type="dxa"/>
            <w:tcBorders>
              <w:top w:val="single" w:sz="4" w:space="0" w:color="auto"/>
              <w:left w:val="nil"/>
              <w:bottom w:val="single" w:sz="4" w:space="0" w:color="auto"/>
              <w:right w:val="single" w:sz="4" w:space="0" w:color="auto"/>
            </w:tcBorders>
            <w:shd w:val="clear" w:color="auto" w:fill="C6EFCE"/>
            <w:noWrap/>
          </w:tcPr>
          <w:p w14:paraId="1D10AAD9" w14:textId="77777777" w:rsidR="00A345F4" w:rsidRDefault="005E2D4E">
            <w:pPr>
              <w:pStyle w:val="P68B1DB1-Normal14"/>
              <w:spacing w:after="0" w:line="240" w:lineRule="auto"/>
              <w:jc w:val="both"/>
              <w:rPr>
                <w:noProof/>
              </w:rPr>
            </w:pPr>
            <w:r>
              <w:rPr>
                <w:noProof/>
              </w:rPr>
              <w:t>0</w:t>
            </w:r>
          </w:p>
        </w:tc>
        <w:tc>
          <w:tcPr>
            <w:tcW w:w="782" w:type="dxa"/>
            <w:tcBorders>
              <w:top w:val="single" w:sz="4" w:space="0" w:color="auto"/>
              <w:left w:val="nil"/>
              <w:bottom w:val="single" w:sz="4" w:space="0" w:color="auto"/>
              <w:right w:val="single" w:sz="4" w:space="0" w:color="auto"/>
            </w:tcBorders>
            <w:shd w:val="clear" w:color="auto" w:fill="C6EFCE"/>
            <w:noWrap/>
          </w:tcPr>
          <w:p w14:paraId="23770759" w14:textId="77777777" w:rsidR="00A345F4" w:rsidRDefault="005E2D4E">
            <w:pPr>
              <w:pStyle w:val="P68B1DB1-Normal14"/>
              <w:spacing w:after="0" w:line="240" w:lineRule="auto"/>
              <w:jc w:val="both"/>
              <w:rPr>
                <w:noProof/>
              </w:rPr>
            </w:pPr>
            <w:r>
              <w:rPr>
                <w:noProof/>
              </w:rPr>
              <w:t>3</w:t>
            </w:r>
          </w:p>
        </w:tc>
        <w:tc>
          <w:tcPr>
            <w:tcW w:w="992" w:type="dxa"/>
            <w:tcBorders>
              <w:top w:val="single" w:sz="4" w:space="0" w:color="auto"/>
              <w:left w:val="nil"/>
              <w:bottom w:val="single" w:sz="4" w:space="0" w:color="auto"/>
              <w:right w:val="single" w:sz="4" w:space="0" w:color="auto"/>
            </w:tcBorders>
            <w:shd w:val="clear" w:color="auto" w:fill="C6EFCE"/>
            <w:noWrap/>
          </w:tcPr>
          <w:p w14:paraId="2861A3DF" w14:textId="77777777" w:rsidR="00A345F4" w:rsidRDefault="005E2D4E">
            <w:pPr>
              <w:pStyle w:val="P68B1DB1-Normal14"/>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44D860E0"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3C095A6D" w14:textId="77777777" w:rsidR="00A345F4" w:rsidRDefault="005E2D4E">
            <w:pPr>
              <w:pStyle w:val="P68B1DB1-Normal14"/>
              <w:spacing w:after="0" w:line="240" w:lineRule="auto"/>
              <w:jc w:val="both"/>
              <w:rPr>
                <w:noProof/>
              </w:rPr>
            </w:pPr>
            <w:r>
              <w:rPr>
                <w:noProof/>
              </w:rPr>
              <w:t xml:space="preserve">Les services numériques d’administration en ligne suivants dans le domaine de l’emploi et de la protection sociale sont fonctionnels: </w:t>
            </w:r>
          </w:p>
          <w:p w14:paraId="4DDED466" w14:textId="77777777" w:rsidR="00A345F4" w:rsidRDefault="005E2D4E">
            <w:pPr>
              <w:pStyle w:val="P68B1DB1-Normal14"/>
              <w:spacing w:after="0" w:line="240" w:lineRule="auto"/>
              <w:jc w:val="both"/>
              <w:rPr>
                <w:noProof/>
              </w:rPr>
            </w:pPr>
            <w:r>
              <w:rPr>
                <w:noProof/>
              </w:rPr>
              <w:t xml:space="preserve">- Numérisation des services offerts par le Service public de l'emploi (ANOFM) </w:t>
            </w:r>
          </w:p>
          <w:p w14:paraId="78872DDC" w14:textId="77777777" w:rsidR="00A345F4" w:rsidRDefault="005E2D4E">
            <w:pPr>
              <w:pStyle w:val="P68B1DB1-Normal14"/>
              <w:spacing w:after="0" w:line="240" w:lineRule="auto"/>
              <w:jc w:val="both"/>
              <w:rPr>
                <w:noProof/>
              </w:rPr>
            </w:pPr>
            <w:r>
              <w:rPr>
                <w:noProof/>
              </w:rPr>
              <w:t xml:space="preserve">- Numérisation de l’activité de contrôle au sein de l’inspection du travail (IM) </w:t>
            </w:r>
          </w:p>
          <w:p w14:paraId="74F744D5" w14:textId="77777777" w:rsidR="00A345F4" w:rsidRDefault="005E2D4E">
            <w:pPr>
              <w:pStyle w:val="P68B1DB1-Normal14"/>
              <w:spacing w:after="0" w:line="240" w:lineRule="auto"/>
              <w:jc w:val="both"/>
              <w:rPr>
                <w:noProof/>
              </w:rPr>
            </w:pPr>
            <w:r>
              <w:rPr>
                <w:noProof/>
              </w:rPr>
              <w:t xml:space="preserve">- Numérisation du traitement et du paiement des prestations d’assistance sociale gérées par l’Agence nationale des paiements et de l’inspection sociale (ANPIS). Le système national intégré d’assistance sociale (SNIAS) conserve les fonctionnalités permettant l’introduction de demandes à la mairie. </w:t>
            </w:r>
          </w:p>
          <w:p w14:paraId="4D189F95" w14:textId="77777777" w:rsidR="00A345F4" w:rsidRDefault="005E2D4E">
            <w:pPr>
              <w:pStyle w:val="P68B1DB1-Normal14"/>
              <w:spacing w:after="0" w:line="240" w:lineRule="auto"/>
              <w:jc w:val="both"/>
              <w:rPr>
                <w:noProof/>
              </w:rPr>
            </w:pPr>
            <w:r>
              <w:rPr>
                <w:noProof/>
              </w:rPr>
              <w:t>La plate-forme numérique pour l'introduction du revenu minimum d'inclusion (VMI) est fonctionnelle.</w:t>
            </w:r>
          </w:p>
        </w:tc>
      </w:tr>
      <w:tr w:rsidR="00A345F4" w14:paraId="4BD7272D"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528B9BD" w14:textId="77777777" w:rsidR="00A345F4" w:rsidRDefault="005E2D4E">
            <w:pPr>
              <w:pStyle w:val="P68B1DB1-Normal14"/>
              <w:spacing w:after="0" w:line="240" w:lineRule="auto"/>
              <w:jc w:val="center"/>
              <w:rPr>
                <w:noProof/>
              </w:rPr>
            </w:pPr>
            <w:r>
              <w:rPr>
                <w:noProof/>
              </w:rPr>
              <w:t>171</w:t>
            </w:r>
          </w:p>
        </w:tc>
        <w:tc>
          <w:tcPr>
            <w:tcW w:w="2101" w:type="dxa"/>
            <w:tcBorders>
              <w:top w:val="single" w:sz="4" w:space="0" w:color="auto"/>
              <w:left w:val="nil"/>
              <w:bottom w:val="single" w:sz="4" w:space="0" w:color="auto"/>
              <w:right w:val="single" w:sz="4" w:space="0" w:color="auto"/>
            </w:tcBorders>
            <w:shd w:val="clear" w:color="auto" w:fill="C6EFCE"/>
            <w:noWrap/>
          </w:tcPr>
          <w:p w14:paraId="066A2B68" w14:textId="77777777" w:rsidR="00A345F4" w:rsidRDefault="005E2D4E">
            <w:pPr>
              <w:pStyle w:val="P68B1DB1-Normal14"/>
              <w:spacing w:after="0" w:line="240" w:lineRule="auto"/>
              <w:jc w:val="both"/>
              <w:rPr>
                <w:rFonts w:eastAsia="Times New Roman"/>
                <w:noProof/>
              </w:rPr>
            </w:pPr>
            <w:r>
              <w:rPr>
                <w:noProof/>
              </w:rPr>
              <w:t xml:space="preserve">Investissement 6. Numérisation dans le domaine de l’emploi et de la protection sociale </w:t>
            </w:r>
          </w:p>
          <w:p w14:paraId="320FDA8C" w14:textId="77777777" w:rsidR="00A345F4" w:rsidRDefault="00A345F4">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253FF551" w14:textId="77777777" w:rsidR="00A345F4" w:rsidRDefault="005E2D4E">
            <w:pPr>
              <w:pStyle w:val="P68B1DB1-Normal14"/>
              <w:spacing w:after="0" w:line="240" w:lineRule="auto"/>
              <w:jc w:val="both"/>
              <w:rPr>
                <w:noProof/>
                <w:highlight w:val="yellow"/>
              </w:rPr>
            </w:pPr>
            <w:r>
              <w:rPr>
                <w:noProof/>
              </w:rPr>
              <w:t xml:space="preserve">Étape </w:t>
            </w:r>
          </w:p>
        </w:tc>
        <w:tc>
          <w:tcPr>
            <w:tcW w:w="1590" w:type="dxa"/>
            <w:tcBorders>
              <w:top w:val="single" w:sz="4" w:space="0" w:color="auto"/>
              <w:left w:val="nil"/>
              <w:bottom w:val="single" w:sz="4" w:space="0" w:color="auto"/>
              <w:right w:val="single" w:sz="4" w:space="0" w:color="auto"/>
            </w:tcBorders>
            <w:shd w:val="clear" w:color="auto" w:fill="C6EFCE"/>
            <w:noWrap/>
          </w:tcPr>
          <w:p w14:paraId="21B2F0B4" w14:textId="77777777" w:rsidR="00A345F4" w:rsidRDefault="005E2D4E">
            <w:pPr>
              <w:pStyle w:val="P68B1DB1-Normal14"/>
              <w:spacing w:after="0" w:line="240" w:lineRule="auto"/>
              <w:jc w:val="both"/>
              <w:rPr>
                <w:noProof/>
              </w:rPr>
            </w:pPr>
            <w:r>
              <w:rPr>
                <w:noProof/>
              </w:rPr>
              <w:t xml:space="preserve">Formations sur les compétences numériques pour les employés </w:t>
            </w:r>
          </w:p>
        </w:tc>
        <w:tc>
          <w:tcPr>
            <w:tcW w:w="1734" w:type="dxa"/>
            <w:tcBorders>
              <w:top w:val="single" w:sz="4" w:space="0" w:color="auto"/>
              <w:left w:val="nil"/>
              <w:bottom w:val="single" w:sz="4" w:space="0" w:color="auto"/>
              <w:right w:val="single" w:sz="4" w:space="0" w:color="auto"/>
            </w:tcBorders>
            <w:shd w:val="clear" w:color="auto" w:fill="C6EFCE"/>
            <w:noWrap/>
          </w:tcPr>
          <w:p w14:paraId="68C8FFC8" w14:textId="77777777" w:rsidR="00A345F4" w:rsidRDefault="005E2D4E">
            <w:pPr>
              <w:pStyle w:val="P68B1DB1-Normal14"/>
              <w:spacing w:after="0" w:line="240" w:lineRule="auto"/>
              <w:jc w:val="both"/>
              <w:rPr>
                <w:noProof/>
                <w:highlight w:val="yellow"/>
              </w:rPr>
            </w:pPr>
            <w:r>
              <w:rPr>
                <w:noProof/>
              </w:rPr>
              <w:t xml:space="preserve">Fourniture de formations </w:t>
            </w:r>
          </w:p>
        </w:tc>
        <w:tc>
          <w:tcPr>
            <w:tcW w:w="970" w:type="dxa"/>
            <w:tcBorders>
              <w:top w:val="single" w:sz="4" w:space="0" w:color="auto"/>
              <w:left w:val="nil"/>
              <w:bottom w:val="single" w:sz="4" w:space="0" w:color="auto"/>
              <w:right w:val="single" w:sz="4" w:space="0" w:color="auto"/>
            </w:tcBorders>
            <w:shd w:val="clear" w:color="auto" w:fill="C6EFCE"/>
            <w:noWrap/>
          </w:tcPr>
          <w:p w14:paraId="0209860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42689E3A" w14:textId="77777777" w:rsidR="00A345F4" w:rsidRDefault="00A345F4">
            <w:pPr>
              <w:spacing w:after="0"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428AFA6E"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68B612E5" w14:textId="77777777" w:rsidR="00A345F4" w:rsidRDefault="005E2D4E">
            <w:pPr>
              <w:pStyle w:val="P68B1DB1-Normal14"/>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2BFFB93A"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0C71BE57" w14:textId="77777777" w:rsidR="00A345F4" w:rsidRDefault="005E2D4E">
            <w:pPr>
              <w:pStyle w:val="P68B1DB1-Normal14"/>
              <w:spacing w:after="0" w:line="240" w:lineRule="auto"/>
              <w:jc w:val="both"/>
              <w:rPr>
                <w:noProof/>
              </w:rPr>
            </w:pPr>
            <w:r>
              <w:rPr>
                <w:noProof/>
              </w:rPr>
              <w:t xml:space="preserve">Certificats d’acceptation signés par l’entité adjudicatrice attestant la fourniture de formations aux compétences numériques: </w:t>
            </w:r>
          </w:p>
          <w:p w14:paraId="029FC209" w14:textId="77777777" w:rsidR="00A345F4" w:rsidRDefault="005E2D4E">
            <w:pPr>
              <w:pStyle w:val="P68B1DB1-Normal14"/>
              <w:numPr>
                <w:ilvl w:val="0"/>
                <w:numId w:val="42"/>
              </w:numPr>
              <w:spacing w:after="0" w:line="240" w:lineRule="auto"/>
              <w:contextualSpacing/>
              <w:jc w:val="both"/>
              <w:rPr>
                <w:noProof/>
              </w:rPr>
            </w:pPr>
            <w:r>
              <w:rPr>
                <w:noProof/>
              </w:rPr>
              <w:t>1200 employés de l'Agence nationale pour l'emploi (ANOFM)</w:t>
            </w:r>
          </w:p>
          <w:p w14:paraId="45E3901C" w14:textId="3E41BE9A" w:rsidR="00A345F4" w:rsidRDefault="005E2D4E">
            <w:pPr>
              <w:pStyle w:val="P68B1DB1-Normal14"/>
              <w:numPr>
                <w:ilvl w:val="0"/>
                <w:numId w:val="42"/>
              </w:numPr>
              <w:spacing w:after="0" w:line="240" w:lineRule="auto"/>
              <w:contextualSpacing/>
              <w:jc w:val="both"/>
              <w:rPr>
                <w:noProof/>
              </w:rPr>
            </w:pPr>
            <w:r>
              <w:rPr>
                <w:noProof/>
              </w:rPr>
              <w:t>1 595 salariés de l'Agence Nationale des Paiements et de l'Inspection Sociale (ANPIS)</w:t>
            </w:r>
          </w:p>
          <w:p w14:paraId="461C6EE5" w14:textId="7B39FF2C" w:rsidR="00A345F4" w:rsidRDefault="005E2D4E">
            <w:pPr>
              <w:pStyle w:val="P68B1DB1-Normal14"/>
              <w:numPr>
                <w:ilvl w:val="0"/>
                <w:numId w:val="42"/>
              </w:numPr>
              <w:spacing w:after="0" w:line="240" w:lineRule="auto"/>
              <w:contextualSpacing/>
              <w:jc w:val="both"/>
              <w:rPr>
                <w:noProof/>
              </w:rPr>
            </w:pPr>
            <w:r>
              <w:rPr>
                <w:noProof/>
              </w:rPr>
              <w:t>1 700 salariés de l'Inspection du travail (IM)</w:t>
            </w:r>
          </w:p>
        </w:tc>
      </w:tr>
      <w:tr w:rsidR="00A345F4" w14:paraId="1AD46387"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806B6FA" w14:textId="77777777" w:rsidR="00A345F4" w:rsidRDefault="005E2D4E">
            <w:pPr>
              <w:pStyle w:val="P68B1DB1-Normal14"/>
              <w:spacing w:after="0" w:line="240" w:lineRule="auto"/>
              <w:jc w:val="center"/>
              <w:rPr>
                <w:rFonts w:eastAsia="Times New Roman"/>
                <w:noProof/>
              </w:rPr>
            </w:pPr>
            <w:r>
              <w:rPr>
                <w:noProof/>
              </w:rPr>
              <w:t>172</w:t>
            </w:r>
          </w:p>
        </w:tc>
        <w:tc>
          <w:tcPr>
            <w:tcW w:w="2101" w:type="dxa"/>
            <w:tcBorders>
              <w:top w:val="single" w:sz="4" w:space="0" w:color="auto"/>
              <w:left w:val="nil"/>
              <w:bottom w:val="single" w:sz="4" w:space="0" w:color="auto"/>
              <w:right w:val="single" w:sz="4" w:space="0" w:color="auto"/>
            </w:tcBorders>
            <w:shd w:val="clear" w:color="auto" w:fill="C6EFCE"/>
            <w:noWrap/>
          </w:tcPr>
          <w:p w14:paraId="54A64F30" w14:textId="77777777" w:rsidR="00A345F4" w:rsidRDefault="005E2D4E">
            <w:pPr>
              <w:pStyle w:val="P68B1DB1-Normal14"/>
              <w:spacing w:after="0" w:line="240" w:lineRule="auto"/>
              <w:jc w:val="both"/>
              <w:rPr>
                <w:rFonts w:eastAsia="Times New Roman"/>
                <w:noProof/>
              </w:rPr>
            </w:pPr>
            <w:r>
              <w:rPr>
                <w:noProof/>
              </w:rPr>
              <w:t>Investissement 7. Introduction de formulaires électroniques (eForms) dans le domaine des marchés publics</w:t>
            </w:r>
          </w:p>
          <w:p w14:paraId="0B38D16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1DC57A7D" w14:textId="77777777" w:rsidR="00A345F4" w:rsidRDefault="005E2D4E">
            <w:pPr>
              <w:pStyle w:val="P68B1DB1-Normal14"/>
              <w:spacing w:after="0" w:line="240" w:lineRule="auto"/>
              <w:jc w:val="both"/>
              <w:rPr>
                <w:rFonts w:eastAsia="Times New Roman"/>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3BF8D7BD" w14:textId="77777777" w:rsidR="00A345F4" w:rsidRDefault="005E2D4E">
            <w:pPr>
              <w:pStyle w:val="P68B1DB1-Normal14"/>
              <w:spacing w:after="0" w:line="240" w:lineRule="auto"/>
              <w:jc w:val="both"/>
              <w:rPr>
                <w:noProof/>
              </w:rPr>
            </w:pPr>
            <w:r>
              <w:rPr>
                <w:noProof/>
              </w:rPr>
              <w:t xml:space="preserve">Mise en service de formulaires électroniques types dans les procédures de passation de marchés publics </w:t>
            </w:r>
          </w:p>
        </w:tc>
        <w:tc>
          <w:tcPr>
            <w:tcW w:w="1734" w:type="dxa"/>
            <w:tcBorders>
              <w:top w:val="single" w:sz="4" w:space="0" w:color="auto"/>
              <w:left w:val="nil"/>
              <w:bottom w:val="single" w:sz="4" w:space="0" w:color="auto"/>
              <w:right w:val="single" w:sz="4" w:space="0" w:color="auto"/>
            </w:tcBorders>
            <w:shd w:val="clear" w:color="auto" w:fill="C6EFCE"/>
            <w:noWrap/>
          </w:tcPr>
          <w:p w14:paraId="54794EB1" w14:textId="77777777" w:rsidR="00A345F4" w:rsidRDefault="005E2D4E">
            <w:pPr>
              <w:pStyle w:val="P68B1DB1-Normal14"/>
              <w:spacing w:after="0" w:line="240" w:lineRule="auto"/>
              <w:jc w:val="both"/>
              <w:rPr>
                <w:noProof/>
              </w:rPr>
            </w:pPr>
            <w:r>
              <w:rPr>
                <w:noProof/>
              </w:rPr>
              <w:t>Formulaires électroniques standard pour les procédures de passation de marchés en cours d’utilisation</w:t>
            </w:r>
          </w:p>
        </w:tc>
        <w:tc>
          <w:tcPr>
            <w:tcW w:w="970" w:type="dxa"/>
            <w:tcBorders>
              <w:top w:val="single" w:sz="4" w:space="0" w:color="auto"/>
              <w:left w:val="nil"/>
              <w:bottom w:val="single" w:sz="4" w:space="0" w:color="auto"/>
              <w:right w:val="single" w:sz="4" w:space="0" w:color="auto"/>
            </w:tcBorders>
            <w:shd w:val="clear" w:color="auto" w:fill="C6EFCE"/>
            <w:noWrap/>
          </w:tcPr>
          <w:p w14:paraId="4CCCBEC2"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65BEE5E0"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6785B490"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0F6CF1A0"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617E3D85" w14:textId="77777777" w:rsidR="00A345F4" w:rsidRDefault="005E2D4E">
            <w:pPr>
              <w:pStyle w:val="P68B1DB1-Normal14"/>
              <w:spacing w:after="0" w:line="240" w:lineRule="auto"/>
              <w:jc w:val="both"/>
              <w:rPr>
                <w:rFonts w:eastAsia="Times New Roman"/>
                <w:noProof/>
              </w:rPr>
            </w:pPr>
            <w:r>
              <w:rPr>
                <w:noProof/>
              </w:rPr>
              <w:t>2023</w:t>
            </w:r>
          </w:p>
        </w:tc>
        <w:tc>
          <w:tcPr>
            <w:tcW w:w="2737" w:type="dxa"/>
            <w:tcBorders>
              <w:top w:val="single" w:sz="4" w:space="0" w:color="auto"/>
              <w:left w:val="nil"/>
              <w:bottom w:val="single" w:sz="4" w:space="0" w:color="auto"/>
              <w:right w:val="single" w:sz="4" w:space="0" w:color="auto"/>
            </w:tcBorders>
            <w:shd w:val="clear" w:color="auto" w:fill="C6EFCE"/>
            <w:noWrap/>
          </w:tcPr>
          <w:p w14:paraId="430B1293" w14:textId="461AB478" w:rsidR="00A345F4" w:rsidRDefault="005E2D4E">
            <w:pPr>
              <w:pStyle w:val="P68B1DB1-Normal14"/>
              <w:spacing w:after="0" w:line="240" w:lineRule="auto"/>
              <w:contextualSpacing/>
              <w:jc w:val="both"/>
              <w:rPr>
                <w:noProof/>
              </w:rPr>
            </w:pPr>
            <w:r>
              <w:rPr>
                <w:noProof/>
              </w:rPr>
              <w:t xml:space="preserve">Les formulaires électroniques standard pour les procédures de marchés publics sont utilisés et intégrés dans le service roumain des marchés publics SEAP. </w:t>
            </w:r>
          </w:p>
        </w:tc>
      </w:tr>
      <w:tr w:rsidR="00A345F4" w14:paraId="0A6D64AD"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0FAE884" w14:textId="77777777" w:rsidR="00A345F4" w:rsidRDefault="005E2D4E">
            <w:pPr>
              <w:pStyle w:val="P68B1DB1-Normal14"/>
              <w:spacing w:after="0" w:line="240" w:lineRule="auto"/>
              <w:jc w:val="center"/>
              <w:rPr>
                <w:noProof/>
              </w:rPr>
            </w:pPr>
            <w:r>
              <w:rPr>
                <w:noProof/>
              </w:rPr>
              <w:t>173</w:t>
            </w:r>
          </w:p>
        </w:tc>
        <w:tc>
          <w:tcPr>
            <w:tcW w:w="2101" w:type="dxa"/>
            <w:tcBorders>
              <w:top w:val="single" w:sz="4" w:space="0" w:color="auto"/>
              <w:left w:val="nil"/>
              <w:bottom w:val="single" w:sz="4" w:space="0" w:color="auto"/>
              <w:right w:val="single" w:sz="4" w:space="0" w:color="auto"/>
            </w:tcBorders>
            <w:shd w:val="clear" w:color="auto" w:fill="C6EFCE"/>
            <w:noWrap/>
          </w:tcPr>
          <w:p w14:paraId="14B6EBD1" w14:textId="77777777" w:rsidR="00A345F4" w:rsidRDefault="005E2D4E">
            <w:pPr>
              <w:pStyle w:val="P68B1DB1-Normal14"/>
              <w:spacing w:after="0" w:line="240" w:lineRule="auto"/>
              <w:jc w:val="both"/>
              <w:rPr>
                <w:rFonts w:eastAsia="Times New Roman"/>
                <w:noProof/>
              </w:rPr>
            </w:pPr>
            <w:r>
              <w:rPr>
                <w:noProof/>
              </w:rPr>
              <w:t>Investissement 8.</w:t>
            </w:r>
          </w:p>
          <w:p w14:paraId="48817EED" w14:textId="77777777" w:rsidR="00A345F4" w:rsidRDefault="005E2D4E">
            <w:pPr>
              <w:pStyle w:val="P68B1DB1-Normal14"/>
              <w:spacing w:after="0" w:line="240" w:lineRule="auto"/>
              <w:jc w:val="both"/>
              <w:rPr>
                <w:rFonts w:eastAsia="Times New Roman"/>
                <w:noProof/>
              </w:rPr>
            </w:pPr>
            <w:r>
              <w:rPr>
                <w:noProof/>
              </w:rPr>
              <w:t>Carte d'identité électronique et signature numérique</w:t>
            </w:r>
          </w:p>
          <w:p w14:paraId="2AEF274F" w14:textId="77777777" w:rsidR="00A345F4" w:rsidRDefault="00A345F4">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33C3DA0A" w14:textId="77777777" w:rsidR="00A345F4" w:rsidRDefault="005E2D4E">
            <w:pPr>
              <w:pStyle w:val="P68B1DB1-Normal14"/>
              <w:spacing w:after="0"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7B909163" w14:textId="77777777" w:rsidR="00A345F4" w:rsidRDefault="005E2D4E">
            <w:pPr>
              <w:pStyle w:val="P68B1DB1-Normal14"/>
              <w:spacing w:after="0" w:line="240" w:lineRule="auto"/>
              <w:jc w:val="both"/>
              <w:rPr>
                <w:noProof/>
              </w:rPr>
            </w:pPr>
            <w:r>
              <w:rPr>
                <w:noProof/>
              </w:rPr>
              <w:t>Délivrance de cartes d'identité électroniques</w:t>
            </w:r>
          </w:p>
        </w:tc>
        <w:tc>
          <w:tcPr>
            <w:tcW w:w="1734" w:type="dxa"/>
            <w:tcBorders>
              <w:top w:val="single" w:sz="4" w:space="0" w:color="auto"/>
              <w:left w:val="nil"/>
              <w:bottom w:val="single" w:sz="4" w:space="0" w:color="auto"/>
              <w:right w:val="single" w:sz="4" w:space="0" w:color="auto"/>
            </w:tcBorders>
            <w:shd w:val="clear" w:color="auto" w:fill="C6EFCE"/>
            <w:noWrap/>
          </w:tcPr>
          <w:p w14:paraId="74268869" w14:textId="77777777" w:rsidR="00A345F4" w:rsidRDefault="005E2D4E">
            <w:pPr>
              <w:pStyle w:val="P68B1DB1-Normal14"/>
              <w:spacing w:after="0" w:line="240" w:lineRule="auto"/>
              <w:jc w:val="both"/>
              <w:rPr>
                <w:noProof/>
              </w:rPr>
            </w:pPr>
            <w:r>
              <w:rPr>
                <w:noProof/>
              </w:rPr>
              <w:t>Délivrance des eID</w:t>
            </w:r>
          </w:p>
        </w:tc>
        <w:tc>
          <w:tcPr>
            <w:tcW w:w="970" w:type="dxa"/>
            <w:tcBorders>
              <w:top w:val="single" w:sz="4" w:space="0" w:color="auto"/>
              <w:left w:val="nil"/>
              <w:bottom w:val="single" w:sz="4" w:space="0" w:color="auto"/>
              <w:right w:val="single" w:sz="4" w:space="0" w:color="auto"/>
            </w:tcBorders>
            <w:shd w:val="clear" w:color="auto" w:fill="C6EFCE"/>
            <w:noWrap/>
          </w:tcPr>
          <w:p w14:paraId="054C1152" w14:textId="77777777" w:rsidR="00A345F4" w:rsidRDefault="00A345F4">
            <w:pPr>
              <w:spacing w:after="0"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52411CED" w14:textId="77777777" w:rsidR="00A345F4" w:rsidRDefault="00A345F4">
            <w:pPr>
              <w:spacing w:after="0"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26FF9B66"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36F94FBA" w14:textId="77777777" w:rsidR="00A345F4" w:rsidRDefault="005E2D4E">
            <w:pPr>
              <w:pStyle w:val="P68B1DB1-Normal14"/>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15746AD7"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2E336C89" w14:textId="03AA987D" w:rsidR="00A345F4" w:rsidRDefault="005E2D4E">
            <w:pPr>
              <w:pStyle w:val="P68B1DB1-Normal14"/>
              <w:spacing w:after="0" w:line="240" w:lineRule="auto"/>
              <w:jc w:val="both"/>
              <w:rPr>
                <w:rFonts w:eastAsia="Times New Roman"/>
                <w:noProof/>
              </w:rPr>
            </w:pPr>
            <w:r>
              <w:rPr>
                <w:noProof/>
              </w:rPr>
              <w:t>Délivrance de 2 100 000 cartes d’identité électroniques capables de stocker deux certificats numériques:</w:t>
            </w:r>
          </w:p>
          <w:p w14:paraId="05D7809D" w14:textId="77777777" w:rsidR="00A345F4" w:rsidRDefault="005E2D4E">
            <w:pPr>
              <w:pStyle w:val="P68B1DB1-Normal14"/>
              <w:numPr>
                <w:ilvl w:val="0"/>
                <w:numId w:val="42"/>
              </w:numPr>
              <w:spacing w:after="0" w:line="240" w:lineRule="auto"/>
              <w:ind w:left="260" w:hanging="215"/>
              <w:contextualSpacing/>
              <w:jc w:val="both"/>
              <w:rPr>
                <w:rFonts w:eastAsia="Times New Roman"/>
                <w:noProof/>
              </w:rPr>
            </w:pPr>
            <w:r>
              <w:rPr>
                <w:noProof/>
              </w:rPr>
              <w:t>obligatoire pour la signature électronique avancée, stockée et utilisable une fois la carte d’identité électronique délivrée.</w:t>
            </w:r>
          </w:p>
          <w:p w14:paraId="376DCD65" w14:textId="77777777" w:rsidR="00A345F4" w:rsidRDefault="005E2D4E">
            <w:pPr>
              <w:pStyle w:val="P68B1DB1-Normal14"/>
              <w:numPr>
                <w:ilvl w:val="0"/>
                <w:numId w:val="42"/>
              </w:numPr>
              <w:spacing w:after="0" w:line="240" w:lineRule="auto"/>
              <w:ind w:left="260" w:hanging="215"/>
              <w:contextualSpacing/>
              <w:jc w:val="both"/>
              <w:rPr>
                <w:noProof/>
              </w:rPr>
            </w:pPr>
            <w:r>
              <w:rPr>
                <w:noProof/>
              </w:rPr>
              <w:t xml:space="preserve">Un certificat de signature électronique qualifiée délivré par des prestataires de services de certification qualifiés, que les citoyens peuvent acheter auprès de tout prestataire de services de certification qualifié, après la délivrance de la carte. </w:t>
            </w:r>
          </w:p>
        </w:tc>
      </w:tr>
      <w:tr w:rsidR="00A345F4" w14:paraId="28814A93" w14:textId="77777777" w:rsidTr="00E44183">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1BBF12E" w14:textId="77777777" w:rsidR="00A345F4" w:rsidRDefault="005E2D4E">
            <w:pPr>
              <w:pStyle w:val="P68B1DB1-Normal14"/>
              <w:spacing w:line="240" w:lineRule="auto"/>
              <w:jc w:val="center"/>
              <w:rPr>
                <w:noProof/>
              </w:rPr>
            </w:pPr>
            <w:r>
              <w:rPr>
                <w:noProof/>
              </w:rPr>
              <w:t>174</w:t>
            </w:r>
          </w:p>
        </w:tc>
        <w:tc>
          <w:tcPr>
            <w:tcW w:w="2101" w:type="dxa"/>
            <w:tcBorders>
              <w:top w:val="single" w:sz="4" w:space="0" w:color="auto"/>
              <w:left w:val="nil"/>
              <w:bottom w:val="single" w:sz="4" w:space="0" w:color="auto"/>
              <w:right w:val="single" w:sz="4" w:space="0" w:color="auto"/>
            </w:tcBorders>
            <w:shd w:val="clear" w:color="auto" w:fill="C6EFCE"/>
            <w:noWrap/>
          </w:tcPr>
          <w:p w14:paraId="42202B42" w14:textId="77777777" w:rsidR="00A345F4" w:rsidRDefault="005E2D4E">
            <w:pPr>
              <w:pStyle w:val="P68B1DB1-Normal14"/>
              <w:spacing w:after="0" w:line="240" w:lineRule="auto"/>
              <w:jc w:val="both"/>
              <w:rPr>
                <w:rFonts w:eastAsia="Times New Roman"/>
                <w:noProof/>
              </w:rPr>
            </w:pPr>
            <w:r>
              <w:rPr>
                <w:noProof/>
              </w:rPr>
              <w:t>Investissement 8.</w:t>
            </w:r>
          </w:p>
          <w:p w14:paraId="672849A2" w14:textId="77777777" w:rsidR="00A345F4" w:rsidRDefault="005E2D4E">
            <w:pPr>
              <w:pStyle w:val="P68B1DB1-Normal14"/>
              <w:spacing w:after="0" w:line="240" w:lineRule="auto"/>
              <w:jc w:val="both"/>
              <w:rPr>
                <w:rFonts w:eastAsia="Times New Roman"/>
                <w:noProof/>
              </w:rPr>
            </w:pPr>
            <w:r>
              <w:rPr>
                <w:noProof/>
              </w:rPr>
              <w:t>Carte d'identité électronique et signature numérique</w:t>
            </w:r>
          </w:p>
          <w:p w14:paraId="0F9DB0B5" w14:textId="77777777" w:rsidR="00A345F4" w:rsidRDefault="00A345F4">
            <w:pPr>
              <w:spacing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2F90D5F7" w14:textId="77777777" w:rsidR="00A345F4" w:rsidRDefault="005E2D4E">
            <w:pPr>
              <w:pStyle w:val="P68B1DB1-Normal14"/>
              <w:spacing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626D1FC6" w14:textId="6327A63E" w:rsidR="00A345F4" w:rsidRDefault="005E2D4E">
            <w:pPr>
              <w:pStyle w:val="P68B1DB1-Normal14"/>
              <w:spacing w:line="240" w:lineRule="auto"/>
              <w:jc w:val="both"/>
              <w:rPr>
                <w:noProof/>
              </w:rPr>
            </w:pPr>
            <w:r>
              <w:rPr>
                <w:noProof/>
              </w:rPr>
              <w:t xml:space="preserve">Mesures de soutien à l'utilisation de la carte d'identité électronique </w:t>
            </w:r>
          </w:p>
        </w:tc>
        <w:tc>
          <w:tcPr>
            <w:tcW w:w="1734" w:type="dxa"/>
            <w:tcBorders>
              <w:top w:val="single" w:sz="4" w:space="0" w:color="auto"/>
              <w:left w:val="nil"/>
              <w:bottom w:val="single" w:sz="4" w:space="0" w:color="auto"/>
              <w:right w:val="single" w:sz="4" w:space="0" w:color="auto"/>
            </w:tcBorders>
            <w:shd w:val="clear" w:color="auto" w:fill="C6EFCE"/>
            <w:noWrap/>
          </w:tcPr>
          <w:p w14:paraId="0F68CDDE" w14:textId="77777777" w:rsidR="00A345F4" w:rsidRDefault="005E2D4E">
            <w:pPr>
              <w:pStyle w:val="P68B1DB1-Normal14"/>
              <w:spacing w:line="240" w:lineRule="auto"/>
              <w:jc w:val="both"/>
              <w:rPr>
                <w:noProof/>
              </w:rPr>
            </w:pPr>
            <w:r>
              <w:rPr>
                <w:noProof/>
              </w:rPr>
              <w:t>Mise en place de services publics en ligne, mise en place d’un système d’alerte précoce, mise en place d’une campagne de sensibilisation</w:t>
            </w:r>
          </w:p>
        </w:tc>
        <w:tc>
          <w:tcPr>
            <w:tcW w:w="970" w:type="dxa"/>
            <w:tcBorders>
              <w:top w:val="single" w:sz="4" w:space="0" w:color="auto"/>
              <w:left w:val="nil"/>
              <w:bottom w:val="single" w:sz="4" w:space="0" w:color="auto"/>
              <w:right w:val="single" w:sz="4" w:space="0" w:color="auto"/>
            </w:tcBorders>
            <w:shd w:val="clear" w:color="auto" w:fill="C6EFCE"/>
            <w:noWrap/>
          </w:tcPr>
          <w:p w14:paraId="42AE7672" w14:textId="77777777" w:rsidR="00A345F4" w:rsidRDefault="00A345F4">
            <w:pPr>
              <w:spacing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3A02C11E" w14:textId="77777777" w:rsidR="00A345F4" w:rsidRDefault="00A345F4">
            <w:pPr>
              <w:spacing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16B75D3D" w14:textId="77777777" w:rsidR="00A345F4" w:rsidRDefault="00A345F4">
            <w:pPr>
              <w:spacing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1380AFA0" w14:textId="77777777" w:rsidR="00A345F4" w:rsidRDefault="005E2D4E">
            <w:pPr>
              <w:pStyle w:val="P68B1DB1-Normal14"/>
              <w:spacing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4ADE4505" w14:textId="77777777" w:rsidR="00A345F4" w:rsidRDefault="005E2D4E">
            <w:pPr>
              <w:pStyle w:val="P68B1DB1-Normal14"/>
              <w:spacing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4C0ABDFD" w14:textId="4729581C" w:rsidR="00A345F4" w:rsidRDefault="005E2D4E">
            <w:pPr>
              <w:pStyle w:val="P68B1DB1-Normal14"/>
              <w:spacing w:before="120" w:after="0" w:line="240" w:lineRule="auto"/>
              <w:jc w:val="both"/>
              <w:textAlignment w:val="baseline"/>
              <w:rPr>
                <w:rFonts w:eastAsia="Times New Roman"/>
                <w:noProof/>
              </w:rPr>
            </w:pPr>
            <w:r>
              <w:rPr>
                <w:noProof/>
              </w:rPr>
              <w:t>Accessibilité de 11 services publics en ligne avec la carte d'identité électronique. Ces services publics en ligne comprennent l’infrastructure informatique &amp; C nécessaire à la disponibilité de la continuité du service et à la récupération des données. Un système d’alerte précoce concernant les risques pour la sécurité, y compris les cyberrisques, est fonctionnel.</w:t>
            </w:r>
          </w:p>
          <w:p w14:paraId="53275F56" w14:textId="77777777" w:rsidR="00A345F4" w:rsidRDefault="005E2D4E">
            <w:pPr>
              <w:pStyle w:val="P68B1DB1-Normal14"/>
              <w:spacing w:line="240" w:lineRule="auto"/>
              <w:jc w:val="both"/>
              <w:rPr>
                <w:noProof/>
              </w:rPr>
            </w:pPr>
            <w:r>
              <w:rPr>
                <w:noProof/>
              </w:rPr>
              <w:t>Une campagne de sensibilisation encourageant l'utilisation de cartes d'identité électroniques est organisée.</w:t>
            </w:r>
          </w:p>
        </w:tc>
      </w:tr>
      <w:tr w:rsidR="00A345F4" w14:paraId="17220B9D"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316A533" w14:textId="77777777" w:rsidR="00A345F4" w:rsidRDefault="005E2D4E">
            <w:pPr>
              <w:pStyle w:val="P68B1DB1-Normal14"/>
              <w:spacing w:after="0" w:line="240" w:lineRule="auto"/>
              <w:jc w:val="center"/>
              <w:rPr>
                <w:rFonts w:eastAsia="Times New Roman"/>
                <w:noProof/>
              </w:rPr>
            </w:pPr>
            <w:r>
              <w:rPr>
                <w:noProof/>
              </w:rPr>
              <w:t>175</w:t>
            </w:r>
          </w:p>
        </w:tc>
        <w:tc>
          <w:tcPr>
            <w:tcW w:w="2101" w:type="dxa"/>
            <w:tcBorders>
              <w:top w:val="single" w:sz="4" w:space="0" w:color="auto"/>
              <w:left w:val="nil"/>
              <w:bottom w:val="single" w:sz="4" w:space="0" w:color="auto"/>
              <w:right w:val="single" w:sz="4" w:space="0" w:color="auto"/>
            </w:tcBorders>
            <w:shd w:val="clear" w:color="auto" w:fill="C6EFCE"/>
            <w:noWrap/>
          </w:tcPr>
          <w:p w14:paraId="16CC470F" w14:textId="77777777" w:rsidR="00A345F4" w:rsidRDefault="005E2D4E">
            <w:pPr>
              <w:pStyle w:val="P68B1DB1-Normal14"/>
              <w:spacing w:after="0" w:line="240" w:lineRule="auto"/>
              <w:jc w:val="both"/>
              <w:rPr>
                <w:rFonts w:eastAsia="Times New Roman"/>
                <w:noProof/>
              </w:rPr>
            </w:pPr>
            <w:r>
              <w:rPr>
                <w:noProof/>
              </w:rPr>
              <w:t xml:space="preserve">Investissement 9. Numérisation du secteur des organisations non gouvernementales </w:t>
            </w:r>
          </w:p>
        </w:tc>
        <w:tc>
          <w:tcPr>
            <w:tcW w:w="1226" w:type="dxa"/>
            <w:tcBorders>
              <w:top w:val="single" w:sz="4" w:space="0" w:color="auto"/>
              <w:left w:val="nil"/>
              <w:bottom w:val="single" w:sz="4" w:space="0" w:color="auto"/>
              <w:right w:val="single" w:sz="4" w:space="0" w:color="auto"/>
            </w:tcBorders>
            <w:shd w:val="clear" w:color="auto" w:fill="C6EFCE"/>
            <w:noWrap/>
          </w:tcPr>
          <w:p w14:paraId="35CEC067" w14:textId="77777777" w:rsidR="00A345F4" w:rsidRDefault="005E2D4E">
            <w:pPr>
              <w:pStyle w:val="P68B1DB1-Normal14"/>
              <w:spacing w:after="0" w:line="240" w:lineRule="auto"/>
              <w:jc w:val="both"/>
              <w:rPr>
                <w:rFonts w:eastAsia="Times New Roman"/>
                <w:noProof/>
              </w:rPr>
            </w:pPr>
            <w:r>
              <w:rPr>
                <w:noProof/>
              </w:rPr>
              <w:t>Objectif</w:t>
            </w:r>
          </w:p>
        </w:tc>
        <w:tc>
          <w:tcPr>
            <w:tcW w:w="1590" w:type="dxa"/>
            <w:tcBorders>
              <w:top w:val="single" w:sz="4" w:space="0" w:color="auto"/>
              <w:left w:val="nil"/>
              <w:bottom w:val="single" w:sz="4" w:space="0" w:color="auto"/>
              <w:right w:val="single" w:sz="4" w:space="0" w:color="auto"/>
            </w:tcBorders>
            <w:shd w:val="clear" w:color="auto" w:fill="C6EFCE"/>
            <w:noWrap/>
          </w:tcPr>
          <w:p w14:paraId="57B7F181" w14:textId="77777777" w:rsidR="00A345F4" w:rsidRDefault="005E2D4E">
            <w:pPr>
              <w:pStyle w:val="P68B1DB1-Normal14"/>
              <w:spacing w:after="0" w:line="240" w:lineRule="auto"/>
              <w:jc w:val="both"/>
              <w:rPr>
                <w:rFonts w:eastAsia="Times New Roman"/>
                <w:noProof/>
              </w:rPr>
            </w:pPr>
            <w:r>
              <w:rPr>
                <w:noProof/>
              </w:rPr>
              <w:t>Attribution de conventions de financement à des ONG pour des projets de numérisation</w:t>
            </w:r>
          </w:p>
        </w:tc>
        <w:tc>
          <w:tcPr>
            <w:tcW w:w="1734" w:type="dxa"/>
            <w:tcBorders>
              <w:top w:val="single" w:sz="4" w:space="0" w:color="auto"/>
              <w:left w:val="nil"/>
              <w:bottom w:val="single" w:sz="4" w:space="0" w:color="auto"/>
              <w:right w:val="single" w:sz="4" w:space="0" w:color="auto"/>
            </w:tcBorders>
            <w:shd w:val="clear" w:color="auto" w:fill="C6EFCE"/>
            <w:noWrap/>
          </w:tcPr>
          <w:p w14:paraId="46B8C3A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70" w:type="dxa"/>
            <w:tcBorders>
              <w:top w:val="single" w:sz="4" w:space="0" w:color="auto"/>
              <w:left w:val="nil"/>
              <w:bottom w:val="single" w:sz="4" w:space="0" w:color="auto"/>
              <w:right w:val="single" w:sz="4" w:space="0" w:color="auto"/>
            </w:tcBorders>
            <w:shd w:val="clear" w:color="auto" w:fill="C6EFCE"/>
            <w:noWrap/>
          </w:tcPr>
          <w:p w14:paraId="39366C5B" w14:textId="77777777" w:rsidR="00A345F4" w:rsidRDefault="005E2D4E">
            <w:pPr>
              <w:pStyle w:val="P68B1DB1-Normal14"/>
              <w:spacing w:after="0" w:line="240" w:lineRule="auto"/>
              <w:jc w:val="both"/>
              <w:rPr>
                <w:rFonts w:eastAsia="Times New Roman"/>
                <w:noProof/>
              </w:rPr>
            </w:pPr>
            <w:r>
              <w:rPr>
                <w:noProof/>
              </w:rPr>
              <w:t>Numéro</w:t>
            </w:r>
          </w:p>
        </w:tc>
        <w:tc>
          <w:tcPr>
            <w:tcW w:w="1225" w:type="dxa"/>
            <w:tcBorders>
              <w:top w:val="single" w:sz="4" w:space="0" w:color="auto"/>
              <w:left w:val="nil"/>
              <w:bottom w:val="single" w:sz="4" w:space="0" w:color="auto"/>
              <w:right w:val="single" w:sz="4" w:space="0" w:color="auto"/>
            </w:tcBorders>
            <w:shd w:val="clear" w:color="auto" w:fill="C6EFCE"/>
            <w:noWrap/>
          </w:tcPr>
          <w:p w14:paraId="77E7A99C" w14:textId="77777777" w:rsidR="00A345F4" w:rsidRDefault="005E2D4E">
            <w:pPr>
              <w:pStyle w:val="P68B1DB1-Normal19"/>
              <w:spacing w:after="0" w:line="240" w:lineRule="auto"/>
              <w:jc w:val="both"/>
              <w:rPr>
                <w:noProof/>
              </w:rPr>
            </w:pPr>
            <w:r>
              <w:rPr>
                <w:noProof/>
              </w:rPr>
              <w:t>0</w:t>
            </w:r>
          </w:p>
        </w:tc>
        <w:tc>
          <w:tcPr>
            <w:tcW w:w="782" w:type="dxa"/>
            <w:tcBorders>
              <w:top w:val="single" w:sz="4" w:space="0" w:color="auto"/>
              <w:left w:val="nil"/>
              <w:bottom w:val="single" w:sz="4" w:space="0" w:color="auto"/>
              <w:right w:val="single" w:sz="4" w:space="0" w:color="auto"/>
            </w:tcBorders>
            <w:shd w:val="clear" w:color="auto" w:fill="C6EFCE"/>
            <w:noWrap/>
          </w:tcPr>
          <w:p w14:paraId="0D62BB9D" w14:textId="77777777" w:rsidR="00A345F4" w:rsidRDefault="005E2D4E">
            <w:pPr>
              <w:pStyle w:val="P68B1DB1-Normal14"/>
              <w:spacing w:after="0" w:line="240" w:lineRule="auto"/>
              <w:jc w:val="both"/>
              <w:rPr>
                <w:rFonts w:eastAsia="Times New Roman"/>
                <w:noProof/>
              </w:rPr>
            </w:pPr>
            <w:r>
              <w:rPr>
                <w:noProof/>
              </w:rPr>
              <w:t>200</w:t>
            </w:r>
          </w:p>
        </w:tc>
        <w:tc>
          <w:tcPr>
            <w:tcW w:w="992" w:type="dxa"/>
            <w:tcBorders>
              <w:top w:val="single" w:sz="4" w:space="0" w:color="auto"/>
              <w:left w:val="nil"/>
              <w:bottom w:val="single" w:sz="4" w:space="0" w:color="auto"/>
              <w:right w:val="single" w:sz="4" w:space="0" w:color="auto"/>
            </w:tcBorders>
            <w:shd w:val="clear" w:color="auto" w:fill="C6EFCE"/>
            <w:noWrap/>
          </w:tcPr>
          <w:p w14:paraId="1FC425EB" w14:textId="77777777" w:rsidR="00A345F4" w:rsidRDefault="005E2D4E">
            <w:pPr>
              <w:pStyle w:val="P68B1DB1-Normal14"/>
              <w:spacing w:after="0" w:line="240" w:lineRule="auto"/>
              <w:jc w:val="both"/>
              <w:rPr>
                <w:rFonts w:eastAsia="Times New Roman"/>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2EF5E78" w14:textId="77777777" w:rsidR="00A345F4" w:rsidRDefault="005E2D4E">
            <w:pPr>
              <w:pStyle w:val="P68B1DB1-Normal14"/>
              <w:spacing w:after="0" w:line="240" w:lineRule="auto"/>
              <w:jc w:val="both"/>
              <w:rPr>
                <w:noProof/>
              </w:rPr>
            </w:pPr>
            <w:r>
              <w:rPr>
                <w:noProof/>
              </w:rPr>
              <w:t>2025</w:t>
            </w:r>
          </w:p>
        </w:tc>
        <w:tc>
          <w:tcPr>
            <w:tcW w:w="2737" w:type="dxa"/>
            <w:tcBorders>
              <w:top w:val="single" w:sz="4" w:space="0" w:color="auto"/>
              <w:left w:val="nil"/>
              <w:bottom w:val="single" w:sz="4" w:space="0" w:color="auto"/>
              <w:right w:val="single" w:sz="4" w:space="0" w:color="auto"/>
            </w:tcBorders>
            <w:shd w:val="clear" w:color="auto" w:fill="C6EFCE"/>
            <w:noWrap/>
          </w:tcPr>
          <w:p w14:paraId="740800FA" w14:textId="77777777" w:rsidR="00A345F4" w:rsidRDefault="005E2D4E">
            <w:pPr>
              <w:pStyle w:val="P68B1DB1-Normal14"/>
              <w:spacing w:after="0" w:line="240" w:lineRule="auto"/>
              <w:jc w:val="both"/>
              <w:rPr>
                <w:rFonts w:eastAsia="Times New Roman"/>
                <w:noProof/>
              </w:rPr>
            </w:pPr>
            <w:r>
              <w:rPr>
                <w:noProof/>
              </w:rPr>
              <w:t xml:space="preserve">Signature de 200 conventions de financement avec des ONG pour des projets de numérisation. </w:t>
            </w:r>
          </w:p>
          <w:p w14:paraId="721A596C" w14:textId="77777777" w:rsidR="00A345F4" w:rsidRDefault="005E2D4E">
            <w:pPr>
              <w:pStyle w:val="P68B1DB1-Normal14"/>
              <w:spacing w:after="0" w:line="240" w:lineRule="auto"/>
              <w:jc w:val="both"/>
              <w:rPr>
                <w:rFonts w:eastAsia="Times New Roman"/>
                <w:noProof/>
              </w:rPr>
            </w:pPr>
            <w:r>
              <w:rPr>
                <w:noProof/>
              </w:rPr>
              <w:t xml:space="preserve">Les projets sélectionnés soutiennent, entre autres: </w:t>
            </w:r>
          </w:p>
          <w:p w14:paraId="77E585EF" w14:textId="77777777" w:rsidR="00A345F4" w:rsidRDefault="005E2D4E">
            <w:pPr>
              <w:pStyle w:val="P68B1DB1-Normal14"/>
              <w:numPr>
                <w:ilvl w:val="0"/>
                <w:numId w:val="43"/>
              </w:numPr>
              <w:spacing w:after="0" w:line="240" w:lineRule="auto"/>
              <w:contextualSpacing/>
              <w:jc w:val="both"/>
              <w:rPr>
                <w:noProof/>
              </w:rPr>
            </w:pPr>
            <w:r>
              <w:rPr>
                <w:noProof/>
              </w:rPr>
              <w:t xml:space="preserve"> infrastructure numérique</w:t>
            </w:r>
          </w:p>
          <w:p w14:paraId="3B500BD9" w14:textId="77777777" w:rsidR="00A345F4" w:rsidRDefault="005E2D4E">
            <w:pPr>
              <w:pStyle w:val="P68B1DB1-Normal14"/>
              <w:numPr>
                <w:ilvl w:val="0"/>
                <w:numId w:val="43"/>
              </w:numPr>
              <w:spacing w:after="0" w:line="240" w:lineRule="auto"/>
              <w:contextualSpacing/>
              <w:jc w:val="both"/>
              <w:rPr>
                <w:noProof/>
              </w:rPr>
            </w:pPr>
            <w:r>
              <w:rPr>
                <w:noProof/>
              </w:rPr>
              <w:t>accroître les compétences numériques du personnel et des volontaires dans la fourniture de services à distance aux bénéficiaires,</w:t>
            </w:r>
          </w:p>
          <w:p w14:paraId="08E35E93" w14:textId="77777777" w:rsidR="00A345F4" w:rsidRDefault="005E2D4E">
            <w:pPr>
              <w:pStyle w:val="P68B1DB1-Normal14"/>
              <w:numPr>
                <w:ilvl w:val="0"/>
                <w:numId w:val="43"/>
              </w:numPr>
              <w:spacing w:after="0" w:line="240" w:lineRule="auto"/>
              <w:contextualSpacing/>
              <w:jc w:val="both"/>
              <w:rPr>
                <w:rFonts w:eastAsia="Times New Roman"/>
                <w:noProof/>
              </w:rPr>
            </w:pPr>
            <w:r>
              <w:rPr>
                <w:noProof/>
              </w:rPr>
              <w:t xml:space="preserve">développement de plateformes et de solutions CRM (Customer Relationship Management)​. </w:t>
            </w:r>
          </w:p>
          <w:p w14:paraId="15AFDF9B" w14:textId="77777777" w:rsidR="00A345F4" w:rsidRDefault="005E2D4E">
            <w:pPr>
              <w:pStyle w:val="P68B1DB1-Normal14"/>
              <w:spacing w:after="0" w:line="240" w:lineRule="auto"/>
              <w:jc w:val="both"/>
              <w:rPr>
                <w:rFonts w:eastAsia="Times New Roman"/>
                <w:noProof/>
              </w:rPr>
            </w:pPr>
            <w:r>
              <w:rPr>
                <w:noProof/>
              </w:rPr>
              <w:t>Le soutien est plafonné à 70 000 EUR par projet pour une période maximale de 30 mois.</w:t>
            </w:r>
          </w:p>
        </w:tc>
      </w:tr>
      <w:tr w:rsidR="00A345F4" w14:paraId="6BA8B977" w14:textId="77777777" w:rsidTr="00E44183">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0243265" w14:textId="77777777" w:rsidR="00A345F4" w:rsidRDefault="005E2D4E">
            <w:pPr>
              <w:pStyle w:val="P68B1DB1-Normal14"/>
              <w:spacing w:line="240" w:lineRule="auto"/>
              <w:jc w:val="center"/>
              <w:rPr>
                <w:noProof/>
              </w:rPr>
            </w:pPr>
            <w:r>
              <w:rPr>
                <w:noProof/>
              </w:rPr>
              <w:t>177</w:t>
            </w:r>
          </w:p>
        </w:tc>
        <w:tc>
          <w:tcPr>
            <w:tcW w:w="2101" w:type="dxa"/>
            <w:tcBorders>
              <w:top w:val="single" w:sz="4" w:space="0" w:color="auto"/>
              <w:left w:val="nil"/>
              <w:bottom w:val="single" w:sz="4" w:space="0" w:color="auto"/>
              <w:right w:val="single" w:sz="4" w:space="0" w:color="auto"/>
            </w:tcBorders>
            <w:shd w:val="clear" w:color="auto" w:fill="C6EFCE"/>
            <w:noWrap/>
          </w:tcPr>
          <w:p w14:paraId="57AE148C" w14:textId="77777777" w:rsidR="00A345F4" w:rsidRDefault="005E2D4E">
            <w:pPr>
              <w:pStyle w:val="P68B1DB1-Normal14"/>
              <w:spacing w:after="0" w:line="240" w:lineRule="auto"/>
              <w:jc w:val="both"/>
              <w:rPr>
                <w:rFonts w:eastAsia="Times New Roman"/>
                <w:noProof/>
              </w:rPr>
            </w:pPr>
            <w:r>
              <w:rPr>
                <w:noProof/>
              </w:rPr>
              <w:t>Investissement 10.</w:t>
            </w:r>
          </w:p>
          <w:p w14:paraId="4C57201E" w14:textId="77777777" w:rsidR="00A345F4" w:rsidRDefault="005E2D4E">
            <w:pPr>
              <w:pStyle w:val="P68B1DB1-Normal14"/>
              <w:spacing w:line="240" w:lineRule="auto"/>
              <w:jc w:val="both"/>
              <w:rPr>
                <w:noProof/>
              </w:rPr>
            </w:pPr>
            <w:r>
              <w:rPr>
                <w:noProof/>
              </w:rPr>
              <w:t>Transformation numérique dans la gestion de la fonction publique</w:t>
            </w:r>
          </w:p>
        </w:tc>
        <w:tc>
          <w:tcPr>
            <w:tcW w:w="1226" w:type="dxa"/>
            <w:tcBorders>
              <w:top w:val="single" w:sz="4" w:space="0" w:color="auto"/>
              <w:left w:val="nil"/>
              <w:bottom w:val="single" w:sz="4" w:space="0" w:color="auto"/>
              <w:right w:val="single" w:sz="4" w:space="0" w:color="auto"/>
            </w:tcBorders>
            <w:shd w:val="clear" w:color="auto" w:fill="C6EFCE"/>
            <w:noWrap/>
          </w:tcPr>
          <w:p w14:paraId="4577EFE5" w14:textId="77777777" w:rsidR="00A345F4" w:rsidRDefault="005E2D4E">
            <w:pPr>
              <w:pStyle w:val="P68B1DB1-Normal14"/>
              <w:spacing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253B0B98" w14:textId="77777777" w:rsidR="00A345F4" w:rsidRDefault="005E2D4E">
            <w:pPr>
              <w:pStyle w:val="P68B1DB1-Normal14"/>
              <w:spacing w:line="240" w:lineRule="auto"/>
              <w:jc w:val="both"/>
              <w:rPr>
                <w:noProof/>
              </w:rPr>
            </w:pPr>
            <w:r>
              <w:rPr>
                <w:noProof/>
              </w:rPr>
              <w:t>Les plateformes interopérables pour une gestion normalisée des ressources humaines dans l’administration publique centrale sont fonctionnelles</w:t>
            </w:r>
          </w:p>
        </w:tc>
        <w:tc>
          <w:tcPr>
            <w:tcW w:w="1734" w:type="dxa"/>
            <w:tcBorders>
              <w:top w:val="single" w:sz="4" w:space="0" w:color="auto"/>
              <w:left w:val="nil"/>
              <w:bottom w:val="single" w:sz="4" w:space="0" w:color="auto"/>
              <w:right w:val="single" w:sz="4" w:space="0" w:color="auto"/>
            </w:tcBorders>
            <w:shd w:val="clear" w:color="auto" w:fill="C6EFCE"/>
            <w:noWrap/>
          </w:tcPr>
          <w:p w14:paraId="6538932B" w14:textId="77777777" w:rsidR="00A345F4" w:rsidRDefault="005E2D4E">
            <w:pPr>
              <w:pStyle w:val="P68B1DB1-Normal14"/>
              <w:spacing w:line="240" w:lineRule="auto"/>
              <w:jc w:val="both"/>
              <w:rPr>
                <w:noProof/>
              </w:rPr>
            </w:pPr>
            <w:r>
              <w:rPr>
                <w:noProof/>
              </w:rPr>
              <w:t>Plateformes fonctionnelles</w:t>
            </w:r>
          </w:p>
        </w:tc>
        <w:tc>
          <w:tcPr>
            <w:tcW w:w="970" w:type="dxa"/>
            <w:tcBorders>
              <w:top w:val="single" w:sz="4" w:space="0" w:color="auto"/>
              <w:left w:val="nil"/>
              <w:bottom w:val="single" w:sz="4" w:space="0" w:color="auto"/>
              <w:right w:val="single" w:sz="4" w:space="0" w:color="auto"/>
            </w:tcBorders>
            <w:shd w:val="clear" w:color="auto" w:fill="C6EFCE"/>
            <w:noWrap/>
          </w:tcPr>
          <w:p w14:paraId="4672C75D" w14:textId="77777777" w:rsidR="00A345F4" w:rsidRDefault="00A345F4">
            <w:pPr>
              <w:spacing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3C572675" w14:textId="77777777" w:rsidR="00A345F4" w:rsidRDefault="00A345F4">
            <w:pPr>
              <w:spacing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766B3104" w14:textId="77777777" w:rsidR="00A345F4" w:rsidRDefault="00A345F4">
            <w:pPr>
              <w:spacing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0944507B" w14:textId="77777777" w:rsidR="00A345F4" w:rsidRDefault="005E2D4E">
            <w:pPr>
              <w:pStyle w:val="P68B1DB1-Normal14"/>
              <w:spacing w:line="240" w:lineRule="auto"/>
              <w:jc w:val="both"/>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1CD03310" w14:textId="77777777" w:rsidR="00A345F4" w:rsidRDefault="005E2D4E">
            <w:pPr>
              <w:pStyle w:val="P68B1DB1-Normal14"/>
              <w:spacing w:line="240" w:lineRule="auto"/>
              <w:jc w:val="both"/>
              <w:rPr>
                <w:noProof/>
              </w:rPr>
            </w:pPr>
            <w:r>
              <w:rPr>
                <w:noProof/>
              </w:rPr>
              <w:t>2025</w:t>
            </w:r>
          </w:p>
        </w:tc>
        <w:tc>
          <w:tcPr>
            <w:tcW w:w="2737" w:type="dxa"/>
            <w:tcBorders>
              <w:top w:val="single" w:sz="4" w:space="0" w:color="auto"/>
              <w:left w:val="nil"/>
              <w:bottom w:val="single" w:sz="4" w:space="0" w:color="auto"/>
              <w:right w:val="single" w:sz="4" w:space="0" w:color="auto"/>
            </w:tcBorders>
            <w:shd w:val="clear" w:color="auto" w:fill="C6EFCE"/>
            <w:noWrap/>
          </w:tcPr>
          <w:p w14:paraId="7A439F03" w14:textId="77777777" w:rsidR="00A345F4" w:rsidRDefault="005E2D4E">
            <w:pPr>
              <w:pStyle w:val="P68B1DB1-Normal14"/>
              <w:spacing w:after="0" w:line="240" w:lineRule="auto"/>
              <w:jc w:val="both"/>
              <w:rPr>
                <w:rFonts w:eastAsia="Times New Roman"/>
                <w:noProof/>
              </w:rPr>
            </w:pPr>
            <w:r>
              <w:rPr>
                <w:noProof/>
              </w:rPr>
              <w:t xml:space="preserve">Deux plates-formes interopérables doivent être fonctionnelles: </w:t>
            </w:r>
          </w:p>
          <w:p w14:paraId="0F382AC2" w14:textId="77777777" w:rsidR="00A345F4" w:rsidRDefault="005E2D4E">
            <w:pPr>
              <w:pStyle w:val="P68B1DB1-Normal14"/>
              <w:numPr>
                <w:ilvl w:val="0"/>
                <w:numId w:val="2"/>
              </w:numPr>
              <w:spacing w:before="120" w:after="120" w:line="240" w:lineRule="auto"/>
              <w:ind w:left="360"/>
              <w:jc w:val="both"/>
              <w:rPr>
                <w:noProof/>
                <w:bdr w:val="none" w:sz="0" w:space="0" w:color="auto" w:frame="1"/>
              </w:rPr>
            </w:pPr>
            <w:r>
              <w:rPr>
                <w:noProof/>
              </w:rPr>
              <w:t>e-ANFP – développement et extension de la plateforme de gestion de la fonction publique (niveau central, territorial, local) pour les processus de carrière (recrutement, évaluation, promotion, sortie du système public, sur la base d’un cadre de compétences et de descriptions de poste normalisés) et interconnexion avec les institutions collaboratrices.</w:t>
            </w:r>
          </w:p>
          <w:p w14:paraId="78CD00E8" w14:textId="77777777" w:rsidR="00A345F4" w:rsidRDefault="005E2D4E">
            <w:pPr>
              <w:pStyle w:val="P68B1DB1-Normal14"/>
              <w:numPr>
                <w:ilvl w:val="0"/>
                <w:numId w:val="2"/>
              </w:numPr>
              <w:spacing w:before="120" w:after="120" w:line="240" w:lineRule="auto"/>
              <w:ind w:left="360"/>
              <w:jc w:val="both"/>
              <w:rPr>
                <w:noProof/>
              </w:rPr>
            </w:pPr>
            <w:r>
              <w:rPr>
                <w:noProof/>
              </w:rPr>
              <w:t>SIMRU (système intégré de gestion des ressources humaines) – développement de la plateforme de gestion interne des processus de ressources humaines pour les autorités publiques (gestion des données relatives au personnel, gestion organisationnelle, gestion du temps, fixation d’objectifs et établissement de rapports).</w:t>
            </w:r>
          </w:p>
        </w:tc>
      </w:tr>
      <w:tr w:rsidR="00A345F4" w14:paraId="717BCF8E"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2E00DBB" w14:textId="77777777" w:rsidR="00A345F4" w:rsidRDefault="005E2D4E">
            <w:pPr>
              <w:pStyle w:val="P68B1DB1-Normal14"/>
              <w:spacing w:after="0" w:line="240" w:lineRule="auto"/>
              <w:jc w:val="center"/>
              <w:rPr>
                <w:noProof/>
              </w:rPr>
            </w:pPr>
            <w:r>
              <w:rPr>
                <w:noProof/>
              </w:rPr>
              <w:t>178</w:t>
            </w:r>
          </w:p>
        </w:tc>
        <w:tc>
          <w:tcPr>
            <w:tcW w:w="2101" w:type="dxa"/>
            <w:tcBorders>
              <w:top w:val="single" w:sz="4" w:space="0" w:color="auto"/>
              <w:left w:val="nil"/>
              <w:bottom w:val="single" w:sz="4" w:space="0" w:color="auto"/>
              <w:right w:val="single" w:sz="4" w:space="0" w:color="auto"/>
            </w:tcBorders>
            <w:shd w:val="clear" w:color="auto" w:fill="C6EFCE"/>
            <w:noWrap/>
          </w:tcPr>
          <w:p w14:paraId="287B9062" w14:textId="77777777" w:rsidR="00A345F4" w:rsidRDefault="005E2D4E">
            <w:pPr>
              <w:pStyle w:val="P68B1DB1-Normal14"/>
              <w:spacing w:after="0" w:line="240" w:lineRule="auto"/>
              <w:jc w:val="both"/>
              <w:rPr>
                <w:noProof/>
              </w:rPr>
            </w:pPr>
            <w:r>
              <w:rPr>
                <w:noProof/>
              </w:rPr>
              <w:t>Investissement 11. </w:t>
            </w:r>
          </w:p>
          <w:p w14:paraId="275EC416" w14:textId="066ECD84" w:rsidR="00A345F4" w:rsidRDefault="005E2D4E">
            <w:pPr>
              <w:pStyle w:val="P68B1DB1-Normal14"/>
              <w:spacing w:after="0" w:line="240" w:lineRule="auto"/>
              <w:jc w:val="both"/>
              <w:rPr>
                <w:noProof/>
              </w:rPr>
            </w:pPr>
            <w:r>
              <w:rPr>
                <w:noProof/>
              </w:rPr>
              <w:t xml:space="preserve">Soutien à l'utilisation des services de communication dans les zones blanches </w:t>
            </w:r>
          </w:p>
          <w:p w14:paraId="79955A94" w14:textId="77777777" w:rsidR="00A345F4" w:rsidRDefault="00A345F4">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71C0D0C1" w14:textId="77777777" w:rsidR="00A345F4" w:rsidRDefault="005E2D4E">
            <w:pPr>
              <w:pStyle w:val="P68B1DB1-Normal14"/>
              <w:spacing w:after="0"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0D157906" w14:textId="77777777" w:rsidR="00A345F4" w:rsidRDefault="005E2D4E">
            <w:pPr>
              <w:pStyle w:val="P68B1DB1-Normal14"/>
              <w:spacing w:after="0" w:line="240" w:lineRule="auto"/>
              <w:jc w:val="both"/>
              <w:rPr>
                <w:noProof/>
              </w:rPr>
            </w:pPr>
            <w:r>
              <w:rPr>
                <w:noProof/>
              </w:rPr>
              <w:t>Villages dans les zones blanches connectés à Internet très haut débit</w:t>
            </w:r>
          </w:p>
        </w:tc>
        <w:tc>
          <w:tcPr>
            <w:tcW w:w="1734" w:type="dxa"/>
            <w:tcBorders>
              <w:top w:val="single" w:sz="4" w:space="0" w:color="auto"/>
              <w:left w:val="nil"/>
              <w:bottom w:val="single" w:sz="4" w:space="0" w:color="auto"/>
              <w:right w:val="single" w:sz="4" w:space="0" w:color="auto"/>
            </w:tcBorders>
            <w:shd w:val="clear" w:color="auto" w:fill="C6EFCE"/>
            <w:noWrap/>
          </w:tcPr>
          <w:p w14:paraId="0BD086DE" w14:textId="77777777" w:rsidR="00A345F4" w:rsidRDefault="005E2D4E">
            <w:pPr>
              <w:pStyle w:val="P68B1DB1-Normal14"/>
              <w:spacing w:after="0" w:line="240" w:lineRule="auto"/>
              <w:jc w:val="both"/>
              <w:rPr>
                <w:noProof/>
              </w:rPr>
            </w:pPr>
            <w:r>
              <w:rPr>
                <w:noProof/>
              </w:rPr>
              <w:t>Rapport technique démontrant la connexion</w:t>
            </w:r>
          </w:p>
        </w:tc>
        <w:tc>
          <w:tcPr>
            <w:tcW w:w="970" w:type="dxa"/>
            <w:tcBorders>
              <w:top w:val="single" w:sz="4" w:space="0" w:color="auto"/>
              <w:left w:val="nil"/>
              <w:bottom w:val="single" w:sz="4" w:space="0" w:color="auto"/>
              <w:right w:val="single" w:sz="4" w:space="0" w:color="auto"/>
            </w:tcBorders>
            <w:shd w:val="clear" w:color="auto" w:fill="C6EFCE"/>
            <w:noWrap/>
          </w:tcPr>
          <w:p w14:paraId="59D2A227" w14:textId="77777777" w:rsidR="00A345F4" w:rsidRDefault="00A345F4">
            <w:pPr>
              <w:spacing w:after="0"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00A39228" w14:textId="77777777" w:rsidR="00A345F4" w:rsidRDefault="00A345F4">
            <w:pPr>
              <w:spacing w:after="0"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1E2AAFCC"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66A6DF7A" w14:textId="77777777" w:rsidR="00A345F4" w:rsidRDefault="005E2D4E">
            <w:pPr>
              <w:pStyle w:val="P68B1DB1-Normal14"/>
              <w:spacing w:after="0" w:line="240" w:lineRule="auto"/>
              <w:jc w:val="both"/>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2AD843C5" w14:textId="77777777" w:rsidR="00A345F4" w:rsidRDefault="005E2D4E">
            <w:pPr>
              <w:pStyle w:val="P68B1DB1-Normal14"/>
              <w:spacing w:after="0" w:line="240" w:lineRule="auto"/>
              <w:jc w:val="both"/>
              <w:rPr>
                <w:noProof/>
              </w:rPr>
            </w:pPr>
            <w:r>
              <w:rPr>
                <w:noProof/>
              </w:rPr>
              <w:t>2025</w:t>
            </w:r>
          </w:p>
        </w:tc>
        <w:tc>
          <w:tcPr>
            <w:tcW w:w="2737" w:type="dxa"/>
            <w:tcBorders>
              <w:top w:val="single" w:sz="4" w:space="0" w:color="auto"/>
              <w:left w:val="nil"/>
              <w:bottom w:val="single" w:sz="4" w:space="0" w:color="auto"/>
              <w:right w:val="single" w:sz="4" w:space="0" w:color="auto"/>
            </w:tcBorders>
            <w:shd w:val="clear" w:color="auto" w:fill="C6EFCE"/>
            <w:noWrap/>
          </w:tcPr>
          <w:p w14:paraId="45ACA2B3" w14:textId="77777777" w:rsidR="00A345F4" w:rsidRDefault="005E2D4E">
            <w:pPr>
              <w:pStyle w:val="P68B1DB1-Normal14"/>
              <w:spacing w:after="0" w:line="240" w:lineRule="auto"/>
              <w:jc w:val="both"/>
              <w:rPr>
                <w:noProof/>
              </w:rPr>
            </w:pPr>
            <w:r>
              <w:rPr>
                <w:noProof/>
              </w:rPr>
              <w:t>Fourniture de rapports techniques par un auditeur indépendant démontrant les connexions Internet établies de 945 villages dans les zones blanches. Les villages sont connectés à des services d’accès à l’internet à très haut débit en position déterminée lorsque le marché ne peut pas fournir de services, selon les données de l’ANCOM. Les villages sont classés par ordre de priorité comme suit: </w:t>
            </w:r>
          </w:p>
          <w:p w14:paraId="0AEA8778" w14:textId="77777777" w:rsidR="00A345F4" w:rsidRDefault="005E2D4E">
            <w:pPr>
              <w:pStyle w:val="P68B1DB1-Normal14"/>
              <w:spacing w:after="0" w:line="240" w:lineRule="auto"/>
              <w:jc w:val="both"/>
              <w:rPr>
                <w:noProof/>
              </w:rPr>
            </w:pPr>
            <w:r>
              <w:rPr>
                <w:noProof/>
              </w:rPr>
              <w:t>- priorité absolue pour les communes rurales ou éloignées non desservies par des réseaux fixes, comme dans la liste ANCOM.</w:t>
            </w:r>
          </w:p>
          <w:p w14:paraId="625BC349" w14:textId="1375E94D" w:rsidR="00A345F4" w:rsidRDefault="005E2D4E">
            <w:pPr>
              <w:pStyle w:val="P68B1DB1-Normal14"/>
              <w:spacing w:after="0" w:line="240" w:lineRule="auto"/>
              <w:jc w:val="both"/>
              <w:rPr>
                <w:noProof/>
              </w:rPr>
            </w:pPr>
            <w:r>
              <w:rPr>
                <w:noProof/>
              </w:rPr>
              <w:t>- priorité de second ordre pour les municipalités rurales et éloignées mal desservies par des réseaux fixes. </w:t>
            </w:r>
          </w:p>
          <w:p w14:paraId="755FA64D" w14:textId="77777777" w:rsidR="00A345F4" w:rsidRDefault="005E2D4E">
            <w:pPr>
              <w:pStyle w:val="P68B1DB1-Normal14"/>
              <w:spacing w:after="0" w:line="240" w:lineRule="auto"/>
              <w:jc w:val="both"/>
              <w:rPr>
                <w:noProof/>
              </w:rPr>
            </w:pPr>
            <w:r>
              <w:rPr>
                <w:noProof/>
              </w:rPr>
              <w:t>Le débit minimal doit être d'au moins 100 Mbps et les réseaux doivent être FTTB/H et/ou 5G. </w:t>
            </w:r>
          </w:p>
        </w:tc>
      </w:tr>
      <w:tr w:rsidR="00A345F4" w14:paraId="67FFEABB"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5D676E5" w14:textId="77777777" w:rsidR="00A345F4" w:rsidRDefault="005E2D4E">
            <w:pPr>
              <w:pStyle w:val="P68B1DB1-Normal14"/>
              <w:spacing w:after="0" w:line="240" w:lineRule="auto"/>
              <w:jc w:val="center"/>
              <w:rPr>
                <w:noProof/>
              </w:rPr>
            </w:pPr>
            <w:r>
              <w:rPr>
                <w:noProof/>
              </w:rPr>
              <w:t>179</w:t>
            </w:r>
          </w:p>
        </w:tc>
        <w:tc>
          <w:tcPr>
            <w:tcW w:w="2101" w:type="dxa"/>
            <w:tcBorders>
              <w:top w:val="single" w:sz="4" w:space="0" w:color="auto"/>
              <w:left w:val="nil"/>
              <w:bottom w:val="single" w:sz="4" w:space="0" w:color="auto"/>
              <w:right w:val="single" w:sz="4" w:space="0" w:color="auto"/>
            </w:tcBorders>
            <w:shd w:val="clear" w:color="auto" w:fill="C6EFCE"/>
            <w:noWrap/>
          </w:tcPr>
          <w:p w14:paraId="7F9BEFDA" w14:textId="3B4A9CA5" w:rsidR="00A345F4" w:rsidRDefault="005E2D4E">
            <w:pPr>
              <w:pStyle w:val="P68B1DB1-Normal14"/>
              <w:spacing w:after="0" w:line="240" w:lineRule="auto"/>
              <w:jc w:val="both"/>
              <w:rPr>
                <w:noProof/>
              </w:rPr>
            </w:pPr>
            <w:r>
              <w:rPr>
                <w:noProof/>
              </w:rPr>
              <w:t xml:space="preserve">Investissement 12. </w:t>
            </w:r>
          </w:p>
          <w:p w14:paraId="1C4D7509" w14:textId="77777777" w:rsidR="00A345F4" w:rsidRDefault="005E2D4E">
            <w:pPr>
              <w:pStyle w:val="P68B1DB1-Normal14"/>
              <w:spacing w:after="0" w:line="240" w:lineRule="auto"/>
              <w:jc w:val="both"/>
              <w:rPr>
                <w:noProof/>
              </w:rPr>
            </w:pPr>
            <w:r>
              <w:rPr>
                <w:noProof/>
              </w:rPr>
              <w:t>Assurer la protection de la cybersécurité des infrastructures ITC publiques et privées importantes pour la sécurité nationale.</w:t>
            </w:r>
          </w:p>
          <w:p w14:paraId="628F910A" w14:textId="77777777" w:rsidR="00A345F4" w:rsidRDefault="00A345F4">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38BC245E" w14:textId="77777777" w:rsidR="00A345F4" w:rsidRDefault="005E2D4E">
            <w:pPr>
              <w:pStyle w:val="P68B1DB1-Normal14"/>
              <w:spacing w:after="0" w:line="240" w:lineRule="auto"/>
              <w:jc w:val="both"/>
              <w:rPr>
                <w:noProof/>
              </w:rPr>
            </w:pPr>
            <w:r>
              <w:rPr>
                <w:noProof/>
              </w:rPr>
              <w:t>Objectif</w:t>
            </w:r>
          </w:p>
        </w:tc>
        <w:tc>
          <w:tcPr>
            <w:tcW w:w="1590" w:type="dxa"/>
            <w:tcBorders>
              <w:top w:val="single" w:sz="4" w:space="0" w:color="auto"/>
              <w:left w:val="nil"/>
              <w:bottom w:val="single" w:sz="4" w:space="0" w:color="auto"/>
              <w:right w:val="single" w:sz="4" w:space="0" w:color="auto"/>
            </w:tcBorders>
            <w:shd w:val="clear" w:color="auto" w:fill="C6EFCE"/>
            <w:noWrap/>
          </w:tcPr>
          <w:p w14:paraId="24CC0E08" w14:textId="77777777" w:rsidR="00A345F4" w:rsidRDefault="005E2D4E">
            <w:pPr>
              <w:pStyle w:val="P68B1DB1-Normal14"/>
              <w:spacing w:after="0" w:line="240" w:lineRule="auto"/>
              <w:jc w:val="both"/>
              <w:rPr>
                <w:noProof/>
              </w:rPr>
            </w:pPr>
            <w:r>
              <w:rPr>
                <w:noProof/>
              </w:rPr>
              <w:t>Soutien à la sécurité des infrastructures des entités</w:t>
            </w:r>
          </w:p>
        </w:tc>
        <w:tc>
          <w:tcPr>
            <w:tcW w:w="1734" w:type="dxa"/>
            <w:tcBorders>
              <w:top w:val="single" w:sz="4" w:space="0" w:color="auto"/>
              <w:left w:val="nil"/>
              <w:bottom w:val="single" w:sz="4" w:space="0" w:color="auto"/>
              <w:right w:val="single" w:sz="4" w:space="0" w:color="auto"/>
            </w:tcBorders>
            <w:shd w:val="clear" w:color="auto" w:fill="C6EFCE"/>
            <w:noWrap/>
          </w:tcPr>
          <w:p w14:paraId="43430141" w14:textId="77777777" w:rsidR="00A345F4" w:rsidRDefault="00A345F4">
            <w:pPr>
              <w:spacing w:after="0" w:line="240" w:lineRule="auto"/>
              <w:jc w:val="both"/>
              <w:rPr>
                <w:rFonts w:ascii="Times New Roman" w:hAnsi="Times New Roman" w:cs="Times New Roman"/>
                <w:noProof/>
                <w:sz w:val="20"/>
                <w:szCs w:val="20"/>
              </w:rPr>
            </w:pPr>
          </w:p>
        </w:tc>
        <w:tc>
          <w:tcPr>
            <w:tcW w:w="970" w:type="dxa"/>
            <w:tcBorders>
              <w:top w:val="single" w:sz="4" w:space="0" w:color="auto"/>
              <w:left w:val="nil"/>
              <w:bottom w:val="single" w:sz="4" w:space="0" w:color="auto"/>
              <w:right w:val="single" w:sz="4" w:space="0" w:color="auto"/>
            </w:tcBorders>
            <w:shd w:val="clear" w:color="auto" w:fill="C6EFCE"/>
            <w:noWrap/>
          </w:tcPr>
          <w:p w14:paraId="7C93E4DD" w14:textId="77777777" w:rsidR="00A345F4" w:rsidRDefault="005E2D4E">
            <w:pPr>
              <w:pStyle w:val="P68B1DB1-Normal14"/>
              <w:spacing w:after="0" w:line="240" w:lineRule="auto"/>
              <w:jc w:val="both"/>
              <w:rPr>
                <w:noProof/>
              </w:rPr>
            </w:pPr>
            <w:r>
              <w:rPr>
                <w:noProof/>
              </w:rPr>
              <w:t>Numéro</w:t>
            </w:r>
          </w:p>
        </w:tc>
        <w:tc>
          <w:tcPr>
            <w:tcW w:w="1225" w:type="dxa"/>
            <w:tcBorders>
              <w:top w:val="single" w:sz="4" w:space="0" w:color="auto"/>
              <w:left w:val="nil"/>
              <w:bottom w:val="single" w:sz="4" w:space="0" w:color="auto"/>
              <w:right w:val="single" w:sz="4" w:space="0" w:color="auto"/>
            </w:tcBorders>
            <w:shd w:val="clear" w:color="auto" w:fill="C6EFCE"/>
            <w:noWrap/>
          </w:tcPr>
          <w:p w14:paraId="50BFF2B6" w14:textId="77777777" w:rsidR="00A345F4" w:rsidRDefault="005E2D4E">
            <w:pPr>
              <w:pStyle w:val="P68B1DB1-Normal14"/>
              <w:spacing w:after="0" w:line="240" w:lineRule="auto"/>
              <w:jc w:val="both"/>
              <w:rPr>
                <w:noProof/>
              </w:rPr>
            </w:pPr>
            <w:r>
              <w:rPr>
                <w:noProof/>
              </w:rPr>
              <w:t>0</w:t>
            </w:r>
          </w:p>
        </w:tc>
        <w:tc>
          <w:tcPr>
            <w:tcW w:w="782" w:type="dxa"/>
            <w:tcBorders>
              <w:top w:val="single" w:sz="4" w:space="0" w:color="auto"/>
              <w:left w:val="nil"/>
              <w:bottom w:val="single" w:sz="4" w:space="0" w:color="auto"/>
              <w:right w:val="single" w:sz="4" w:space="0" w:color="auto"/>
            </w:tcBorders>
            <w:shd w:val="clear" w:color="auto" w:fill="C6EFCE"/>
            <w:noWrap/>
          </w:tcPr>
          <w:p w14:paraId="6ECF16D7" w14:textId="77777777" w:rsidR="00A345F4" w:rsidRDefault="005E2D4E">
            <w:pPr>
              <w:pStyle w:val="P68B1DB1-Normal14"/>
              <w:spacing w:after="0" w:line="240" w:lineRule="auto"/>
              <w:jc w:val="both"/>
              <w:rPr>
                <w:noProof/>
              </w:rPr>
            </w:pPr>
            <w:r>
              <w:rPr>
                <w:noProof/>
              </w:rPr>
              <w:t>101</w:t>
            </w:r>
          </w:p>
        </w:tc>
        <w:tc>
          <w:tcPr>
            <w:tcW w:w="992" w:type="dxa"/>
            <w:tcBorders>
              <w:top w:val="single" w:sz="4" w:space="0" w:color="auto"/>
              <w:left w:val="nil"/>
              <w:bottom w:val="single" w:sz="4" w:space="0" w:color="auto"/>
              <w:right w:val="single" w:sz="4" w:space="0" w:color="auto"/>
            </w:tcBorders>
            <w:shd w:val="clear" w:color="auto" w:fill="C6EFCE"/>
            <w:noWrap/>
          </w:tcPr>
          <w:p w14:paraId="19AC376F" w14:textId="77777777" w:rsidR="00A345F4" w:rsidRDefault="005E2D4E">
            <w:pPr>
              <w:pStyle w:val="P68B1DB1-Normal14"/>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7ED76494"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283A7801" w14:textId="77777777" w:rsidR="00A345F4" w:rsidRDefault="005E2D4E">
            <w:pPr>
              <w:pStyle w:val="P68B1DB1-Normal14"/>
              <w:spacing w:after="0" w:line="240" w:lineRule="auto"/>
              <w:contextualSpacing/>
              <w:jc w:val="both"/>
              <w:rPr>
                <w:noProof/>
                <w:highlight w:val="yellow"/>
              </w:rPr>
            </w:pPr>
            <w:r>
              <w:rPr>
                <w:noProof/>
              </w:rPr>
              <w:t xml:space="preserve">Mettre à niveau l'infrastructure de sécurité IT&amp;C de 101 entités publiques et privées. </w:t>
            </w:r>
          </w:p>
          <w:p w14:paraId="661A8A1D" w14:textId="0F1F32F7" w:rsidR="00A345F4" w:rsidRDefault="005E2D4E">
            <w:pPr>
              <w:pStyle w:val="P68B1DB1-Normal14"/>
              <w:contextualSpacing/>
              <w:rPr>
                <w:noProof/>
              </w:rPr>
            </w:pPr>
            <w:r>
              <w:rPr>
                <w:noProof/>
              </w:rPr>
              <w:t xml:space="preserve">Les éléments suivants sont disponibles, entre autres, pour les 101 entités: </w:t>
            </w:r>
          </w:p>
          <w:p w14:paraId="23316CE1" w14:textId="14238F81" w:rsidR="00A345F4" w:rsidRDefault="005E2D4E">
            <w:pPr>
              <w:pStyle w:val="P68B1DB1-Normal14"/>
              <w:numPr>
                <w:ilvl w:val="0"/>
                <w:numId w:val="2"/>
              </w:numPr>
              <w:spacing w:line="259" w:lineRule="auto"/>
              <w:ind w:left="360"/>
              <w:contextualSpacing/>
              <w:rPr>
                <w:noProof/>
              </w:rPr>
            </w:pPr>
            <w:r>
              <w:rPr>
                <w:noProof/>
              </w:rPr>
              <w:t xml:space="preserve">un système avancé de détection des vulnérabilités dans les systèmes d’information et les équipements de communication (solutions logicielles et matérielles); </w:t>
            </w:r>
          </w:p>
          <w:p w14:paraId="3A2AAE42" w14:textId="7A67D362" w:rsidR="00A345F4" w:rsidRDefault="005E2D4E">
            <w:pPr>
              <w:pStyle w:val="P68B1DB1-Normal14"/>
              <w:numPr>
                <w:ilvl w:val="0"/>
                <w:numId w:val="2"/>
              </w:numPr>
              <w:spacing w:line="259" w:lineRule="auto"/>
              <w:ind w:left="360"/>
              <w:contextualSpacing/>
              <w:rPr>
                <w:noProof/>
              </w:rPr>
            </w:pPr>
            <w:r>
              <w:rPr>
                <w:noProof/>
              </w:rPr>
              <w:t xml:space="preserve">un système intégré permettant d’identifier les TTP associés aux cyberattaques sur les réseaux et les systèmes d’information (solutions logicielles et matériel informatique); </w:t>
            </w:r>
          </w:p>
          <w:p w14:paraId="126BEE80" w14:textId="77777777" w:rsidR="00A345F4" w:rsidRDefault="005E2D4E">
            <w:pPr>
              <w:pStyle w:val="P68B1DB1-Normal14"/>
              <w:numPr>
                <w:ilvl w:val="0"/>
                <w:numId w:val="2"/>
              </w:numPr>
              <w:spacing w:line="259" w:lineRule="auto"/>
              <w:ind w:left="360"/>
              <w:contextualSpacing/>
              <w:rPr>
                <w:noProof/>
              </w:rPr>
            </w:pPr>
            <w:r>
              <w:rPr>
                <w:noProof/>
              </w:rPr>
              <w:t>une plate-forme de sécurité complexe pour l'analyse et le traitement automatiques des incidents cybernétiques (solutions logicielles et matérielles). </w:t>
            </w:r>
          </w:p>
          <w:p w14:paraId="51A953C7" w14:textId="77777777" w:rsidR="00A345F4" w:rsidRDefault="005E2D4E">
            <w:pPr>
              <w:pStyle w:val="P68B1DB1-Normal14"/>
              <w:rPr>
                <w:noProof/>
              </w:rPr>
            </w:pPr>
            <w:r>
              <w:rPr>
                <w:noProof/>
              </w:rPr>
              <w:t>En outre, 9 entités sur les 101 qui disposent d’infrastructures OT bénéficieront de solutions de cybersécurité pour le contrôle industriel (ICS). </w:t>
            </w:r>
          </w:p>
        </w:tc>
      </w:tr>
      <w:tr w:rsidR="00A345F4" w14:paraId="7EA5ECFF"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FDD0849" w14:textId="77777777" w:rsidR="00A345F4" w:rsidRDefault="005E2D4E">
            <w:pPr>
              <w:pStyle w:val="P68B1DB1-Normal14"/>
              <w:spacing w:after="0" w:line="240" w:lineRule="auto"/>
              <w:jc w:val="center"/>
              <w:rPr>
                <w:noProof/>
              </w:rPr>
            </w:pPr>
            <w:r>
              <w:rPr>
                <w:noProof/>
              </w:rPr>
              <w:t>180</w:t>
            </w:r>
          </w:p>
        </w:tc>
        <w:tc>
          <w:tcPr>
            <w:tcW w:w="2101" w:type="dxa"/>
            <w:tcBorders>
              <w:top w:val="single" w:sz="4" w:space="0" w:color="auto"/>
              <w:left w:val="nil"/>
              <w:bottom w:val="single" w:sz="4" w:space="0" w:color="auto"/>
              <w:right w:val="single" w:sz="4" w:space="0" w:color="auto"/>
            </w:tcBorders>
            <w:shd w:val="clear" w:color="auto" w:fill="C6EFCE"/>
            <w:noWrap/>
          </w:tcPr>
          <w:p w14:paraId="3D93B821" w14:textId="77777777" w:rsidR="00A345F4" w:rsidRDefault="005E2D4E">
            <w:pPr>
              <w:pStyle w:val="P68B1DB1-Normal14"/>
              <w:spacing w:after="0" w:line="240" w:lineRule="auto"/>
              <w:jc w:val="both"/>
              <w:rPr>
                <w:rFonts w:eastAsia="Times New Roman"/>
                <w:noProof/>
              </w:rPr>
            </w:pPr>
            <w:r>
              <w:rPr>
                <w:noProof/>
              </w:rPr>
              <w:t>Investissement 12. Assurer la protection de la cybersécurité des infrastructures ITC publiques et privées importantes pour la sécurité nationale.</w:t>
            </w:r>
          </w:p>
          <w:p w14:paraId="670B9B22" w14:textId="77777777" w:rsidR="00A345F4" w:rsidRDefault="00A345F4">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434B5CB0" w14:textId="77777777" w:rsidR="00A345F4" w:rsidRDefault="005E2D4E">
            <w:pPr>
              <w:pStyle w:val="P68B1DB1-Normal14"/>
              <w:spacing w:after="0"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3D2FB703" w14:textId="77777777" w:rsidR="00A345F4" w:rsidRDefault="005E2D4E">
            <w:pPr>
              <w:pStyle w:val="P68B1DB1-Normal14"/>
              <w:spacing w:after="0" w:line="240" w:lineRule="auto"/>
              <w:jc w:val="both"/>
              <w:rPr>
                <w:noProof/>
              </w:rPr>
            </w:pPr>
            <w:r>
              <w:rPr>
                <w:noProof/>
              </w:rPr>
              <w:t>Augmentation de la capacité des centres nationaux Cyberint</w:t>
            </w:r>
          </w:p>
        </w:tc>
        <w:tc>
          <w:tcPr>
            <w:tcW w:w="1734" w:type="dxa"/>
            <w:tcBorders>
              <w:top w:val="single" w:sz="4" w:space="0" w:color="auto"/>
              <w:left w:val="nil"/>
              <w:bottom w:val="single" w:sz="4" w:space="0" w:color="auto"/>
              <w:right w:val="single" w:sz="4" w:space="0" w:color="auto"/>
            </w:tcBorders>
            <w:shd w:val="clear" w:color="auto" w:fill="C6EFCE"/>
            <w:noWrap/>
          </w:tcPr>
          <w:p w14:paraId="6A8CB738" w14:textId="77777777" w:rsidR="00A345F4" w:rsidRDefault="005E2D4E">
            <w:pPr>
              <w:pStyle w:val="P68B1DB1-Normal14"/>
              <w:spacing w:after="0" w:line="240" w:lineRule="auto"/>
              <w:jc w:val="both"/>
              <w:rPr>
                <w:noProof/>
              </w:rPr>
            </w:pPr>
            <w:r>
              <w:rPr>
                <w:noProof/>
              </w:rPr>
              <w:t>Capacités supplémentaires</w:t>
            </w:r>
          </w:p>
        </w:tc>
        <w:tc>
          <w:tcPr>
            <w:tcW w:w="970" w:type="dxa"/>
            <w:tcBorders>
              <w:top w:val="single" w:sz="4" w:space="0" w:color="auto"/>
              <w:left w:val="nil"/>
              <w:bottom w:val="single" w:sz="4" w:space="0" w:color="auto"/>
              <w:right w:val="single" w:sz="4" w:space="0" w:color="auto"/>
            </w:tcBorders>
            <w:shd w:val="clear" w:color="auto" w:fill="C6EFCE"/>
            <w:noWrap/>
          </w:tcPr>
          <w:p w14:paraId="335DC3F9" w14:textId="77777777" w:rsidR="00A345F4" w:rsidRDefault="00A345F4">
            <w:pPr>
              <w:spacing w:after="0"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2F33FF20" w14:textId="77777777" w:rsidR="00A345F4" w:rsidRDefault="00A345F4">
            <w:pPr>
              <w:spacing w:after="0"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78CF3607"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4058AEB7" w14:textId="77777777" w:rsidR="00A345F4" w:rsidRDefault="005E2D4E">
            <w:pPr>
              <w:pStyle w:val="P68B1DB1-Normal14"/>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25338C35"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45968C0B" w14:textId="77777777" w:rsidR="00A345F4" w:rsidRDefault="005E2D4E">
            <w:pPr>
              <w:pStyle w:val="P68B1DB1-Normal14"/>
              <w:spacing w:after="0" w:line="240" w:lineRule="auto"/>
              <w:jc w:val="both"/>
              <w:rPr>
                <w:rFonts w:eastAsia="Times New Roman"/>
                <w:noProof/>
              </w:rPr>
            </w:pPr>
            <w:r>
              <w:rPr>
                <w:noProof/>
              </w:rPr>
              <w:t>La structure du centre national Cyberint intègre la protection en matière de cybersécurité des infrastructures informatiques et informatiques. En outre, le centre bénéficie:</w:t>
            </w:r>
          </w:p>
          <w:p w14:paraId="3B876414" w14:textId="77777777" w:rsidR="00A345F4" w:rsidRDefault="005E2D4E">
            <w:pPr>
              <w:pStyle w:val="P68B1DB1-Normal14"/>
              <w:numPr>
                <w:ilvl w:val="0"/>
                <w:numId w:val="41"/>
              </w:numPr>
              <w:spacing w:after="0" w:line="240" w:lineRule="auto"/>
              <w:ind w:left="259" w:hanging="218"/>
              <w:contextualSpacing/>
              <w:jc w:val="both"/>
              <w:rPr>
                <w:rFonts w:eastAsia="Times New Roman"/>
                <w:noProof/>
              </w:rPr>
            </w:pPr>
            <w:r>
              <w:rPr>
                <w:noProof/>
              </w:rPr>
              <w:t>Développement d’une infrastructure technique pour identifier, surveiller, gérer et réagir aux incidents de cybersécurité visant à protéger les infrastructures TIC d’une valeur critique pour la sécurité nationale qui ne bénéficient pas ou plus de la protection offerte par le système national de protection des infrastructures TIC d’intérêt national contre les menaces du cyberespace, avec un rôle complémentaire.</w:t>
            </w:r>
          </w:p>
          <w:p w14:paraId="54172430" w14:textId="77777777" w:rsidR="00A345F4" w:rsidRDefault="005E2D4E">
            <w:pPr>
              <w:pStyle w:val="P68B1DB1-Normal14"/>
              <w:numPr>
                <w:ilvl w:val="0"/>
                <w:numId w:val="41"/>
              </w:numPr>
              <w:spacing w:after="0" w:line="240" w:lineRule="auto"/>
              <w:ind w:left="259" w:hanging="218"/>
              <w:contextualSpacing/>
              <w:jc w:val="both"/>
              <w:rPr>
                <w:rFonts w:eastAsia="Times New Roman"/>
                <w:noProof/>
              </w:rPr>
            </w:pPr>
            <w:r>
              <w:rPr>
                <w:noProof/>
              </w:rPr>
              <w:t>Mise en place d’une plateforme nationale d’évaluation et de gestion des risques de cybersécurité pour les nouvelles technologies;</w:t>
            </w:r>
          </w:p>
          <w:p w14:paraId="16D425E0" w14:textId="77777777" w:rsidR="00A345F4" w:rsidRDefault="005E2D4E">
            <w:pPr>
              <w:pStyle w:val="P68B1DB1-Normal14"/>
              <w:numPr>
                <w:ilvl w:val="0"/>
                <w:numId w:val="41"/>
              </w:numPr>
              <w:spacing w:after="0" w:line="240" w:lineRule="auto"/>
              <w:ind w:left="259" w:hanging="218"/>
              <w:contextualSpacing/>
              <w:jc w:val="both"/>
              <w:rPr>
                <w:rFonts w:eastAsia="Times New Roman"/>
                <w:noProof/>
              </w:rPr>
            </w:pPr>
            <w:r>
              <w:rPr>
                <w:noProof/>
              </w:rPr>
              <w:t>une plateforme de sécurité et de canalisation des données pour le transfert entre réseaux de différents niveaux de confiance;</w:t>
            </w:r>
          </w:p>
          <w:p w14:paraId="63BDAD15" w14:textId="77777777" w:rsidR="00A345F4" w:rsidRDefault="005E2D4E">
            <w:pPr>
              <w:pStyle w:val="P68B1DB1-Normal14"/>
              <w:numPr>
                <w:ilvl w:val="0"/>
                <w:numId w:val="41"/>
              </w:numPr>
              <w:spacing w:after="0" w:line="240" w:lineRule="auto"/>
              <w:ind w:left="259" w:hanging="218"/>
              <w:contextualSpacing/>
              <w:jc w:val="both"/>
              <w:rPr>
                <w:rFonts w:eastAsia="Times New Roman"/>
                <w:noProof/>
              </w:rPr>
            </w:pPr>
            <w:r>
              <w:rPr>
                <w:noProof/>
              </w:rPr>
              <w:t>Accroître la capacité d'enquête du Centre national Cyberint en l'équipant de solutions logicielles et matérielles.</w:t>
            </w:r>
          </w:p>
        </w:tc>
      </w:tr>
      <w:tr w:rsidR="00A345F4" w14:paraId="70F0C70D"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E81E1D5" w14:textId="77777777" w:rsidR="00A345F4" w:rsidRDefault="005E2D4E">
            <w:pPr>
              <w:pStyle w:val="P68B1DB1-Normal14"/>
              <w:spacing w:after="0" w:line="240" w:lineRule="auto"/>
              <w:jc w:val="center"/>
              <w:rPr>
                <w:noProof/>
              </w:rPr>
            </w:pPr>
            <w:r>
              <w:rPr>
                <w:noProof/>
              </w:rPr>
              <w:t>181</w:t>
            </w:r>
          </w:p>
        </w:tc>
        <w:tc>
          <w:tcPr>
            <w:tcW w:w="2101" w:type="dxa"/>
            <w:tcBorders>
              <w:top w:val="single" w:sz="4" w:space="0" w:color="auto"/>
              <w:left w:val="nil"/>
              <w:bottom w:val="single" w:sz="4" w:space="0" w:color="auto"/>
              <w:right w:val="single" w:sz="4" w:space="0" w:color="auto"/>
            </w:tcBorders>
            <w:shd w:val="clear" w:color="auto" w:fill="C6EFCE"/>
            <w:noWrap/>
          </w:tcPr>
          <w:p w14:paraId="17C17123" w14:textId="77777777" w:rsidR="00A345F4" w:rsidRDefault="005E2D4E">
            <w:pPr>
              <w:pStyle w:val="P68B1DB1-Normal14"/>
              <w:spacing w:after="0" w:line="240" w:lineRule="auto"/>
              <w:jc w:val="both"/>
              <w:rPr>
                <w:rFonts w:eastAsia="Times New Roman"/>
                <w:noProof/>
              </w:rPr>
            </w:pPr>
            <w:r>
              <w:rPr>
                <w:noProof/>
              </w:rPr>
              <w:t>Investissement 13.</w:t>
            </w:r>
          </w:p>
          <w:p w14:paraId="731E0D80" w14:textId="77777777" w:rsidR="00A345F4" w:rsidRDefault="005E2D4E">
            <w:pPr>
              <w:pStyle w:val="P68B1DB1-Normal14"/>
              <w:spacing w:after="0" w:line="240" w:lineRule="auto"/>
              <w:jc w:val="both"/>
              <w:rPr>
                <w:noProof/>
              </w:rPr>
            </w:pPr>
            <w:r>
              <w:rPr>
                <w:noProof/>
              </w:rPr>
              <w:t xml:space="preserve">Développement de systèmes de sécurité pour la protection du spectre gouvernemental </w:t>
            </w:r>
          </w:p>
        </w:tc>
        <w:tc>
          <w:tcPr>
            <w:tcW w:w="1226" w:type="dxa"/>
            <w:tcBorders>
              <w:top w:val="single" w:sz="4" w:space="0" w:color="auto"/>
              <w:left w:val="nil"/>
              <w:bottom w:val="single" w:sz="4" w:space="0" w:color="auto"/>
              <w:right w:val="single" w:sz="4" w:space="0" w:color="auto"/>
            </w:tcBorders>
            <w:shd w:val="clear" w:color="auto" w:fill="C6EFCE"/>
            <w:noWrap/>
          </w:tcPr>
          <w:p w14:paraId="62F8D3C5" w14:textId="77777777" w:rsidR="00A345F4" w:rsidRDefault="005E2D4E">
            <w:pPr>
              <w:pStyle w:val="P68B1DB1-Normal14"/>
              <w:spacing w:after="0"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7EE11889" w14:textId="77777777" w:rsidR="00A345F4" w:rsidRDefault="005E2D4E">
            <w:pPr>
              <w:pStyle w:val="P68B1DB1-Normal19"/>
              <w:spacing w:after="0" w:line="240" w:lineRule="auto"/>
              <w:jc w:val="both"/>
              <w:rPr>
                <w:noProof/>
              </w:rPr>
            </w:pPr>
            <w:r>
              <w:rPr>
                <w:noProof/>
              </w:rPr>
              <w:t>Installation de sites d'accueil au niveau national</w:t>
            </w:r>
          </w:p>
        </w:tc>
        <w:tc>
          <w:tcPr>
            <w:tcW w:w="1734" w:type="dxa"/>
            <w:tcBorders>
              <w:top w:val="single" w:sz="4" w:space="0" w:color="auto"/>
              <w:left w:val="nil"/>
              <w:bottom w:val="single" w:sz="4" w:space="0" w:color="auto"/>
              <w:right w:val="single" w:sz="4" w:space="0" w:color="auto"/>
            </w:tcBorders>
            <w:shd w:val="clear" w:color="auto" w:fill="C6EFCE"/>
            <w:noWrap/>
          </w:tcPr>
          <w:p w14:paraId="1C773629" w14:textId="77777777" w:rsidR="00A345F4" w:rsidRDefault="005E2D4E">
            <w:pPr>
              <w:pStyle w:val="P68B1DB1-Normal14"/>
              <w:spacing w:after="0" w:line="240" w:lineRule="auto"/>
              <w:jc w:val="both"/>
              <w:rPr>
                <w:noProof/>
              </w:rPr>
            </w:pPr>
            <w:r>
              <w:rPr>
                <w:noProof/>
              </w:rPr>
              <w:t xml:space="preserve"> Installation d'un réseau de capteurs</w:t>
            </w:r>
          </w:p>
        </w:tc>
        <w:tc>
          <w:tcPr>
            <w:tcW w:w="970" w:type="dxa"/>
            <w:tcBorders>
              <w:top w:val="single" w:sz="4" w:space="0" w:color="auto"/>
              <w:left w:val="nil"/>
              <w:bottom w:val="single" w:sz="4" w:space="0" w:color="auto"/>
              <w:right w:val="single" w:sz="4" w:space="0" w:color="auto"/>
            </w:tcBorders>
            <w:shd w:val="clear" w:color="auto" w:fill="C6EFCE"/>
            <w:noWrap/>
          </w:tcPr>
          <w:p w14:paraId="24657613" w14:textId="77777777" w:rsidR="00A345F4" w:rsidRDefault="00A345F4">
            <w:pPr>
              <w:spacing w:after="0"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636F6CB3" w14:textId="77777777" w:rsidR="00A345F4" w:rsidRDefault="00A345F4">
            <w:pPr>
              <w:spacing w:after="0"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44A9F8E7" w14:textId="77777777" w:rsidR="00A345F4" w:rsidRDefault="005E2D4E">
            <w:pPr>
              <w:pStyle w:val="P68B1DB1-Normal14"/>
              <w:spacing w:after="0" w:line="240" w:lineRule="auto"/>
              <w:jc w:val="both"/>
              <w:rPr>
                <w:noProof/>
              </w:rPr>
            </w:pPr>
            <w:r>
              <w:rPr>
                <w:noProof/>
              </w:rPr>
              <w:t xml:space="preserve"> </w:t>
            </w:r>
          </w:p>
        </w:tc>
        <w:tc>
          <w:tcPr>
            <w:tcW w:w="992" w:type="dxa"/>
            <w:tcBorders>
              <w:top w:val="single" w:sz="4" w:space="0" w:color="auto"/>
              <w:left w:val="nil"/>
              <w:bottom w:val="single" w:sz="4" w:space="0" w:color="auto"/>
              <w:right w:val="single" w:sz="4" w:space="0" w:color="auto"/>
            </w:tcBorders>
            <w:shd w:val="clear" w:color="auto" w:fill="C6EFCE"/>
            <w:noWrap/>
          </w:tcPr>
          <w:p w14:paraId="47BE82A5" w14:textId="77777777" w:rsidR="00A345F4" w:rsidRDefault="005E2D4E">
            <w:pPr>
              <w:pStyle w:val="P68B1DB1-Normal14"/>
              <w:spacing w:after="0" w:line="240" w:lineRule="auto"/>
              <w:jc w:val="both"/>
              <w:rPr>
                <w:noProof/>
              </w:rPr>
            </w:pPr>
            <w:r>
              <w:rPr>
                <w:noProof/>
              </w:rPr>
              <w:t>T1</w:t>
            </w:r>
          </w:p>
        </w:tc>
        <w:tc>
          <w:tcPr>
            <w:tcW w:w="851" w:type="dxa"/>
            <w:tcBorders>
              <w:top w:val="single" w:sz="4" w:space="0" w:color="auto"/>
              <w:left w:val="nil"/>
              <w:bottom w:val="single" w:sz="4" w:space="0" w:color="auto"/>
              <w:right w:val="single" w:sz="4" w:space="0" w:color="auto"/>
            </w:tcBorders>
            <w:shd w:val="clear" w:color="auto" w:fill="C6EFCE"/>
            <w:noWrap/>
          </w:tcPr>
          <w:p w14:paraId="72A6CDC7"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04314355" w14:textId="77777777" w:rsidR="00A345F4" w:rsidRDefault="005E2D4E">
            <w:pPr>
              <w:pStyle w:val="P68B1DB1-Normal14"/>
              <w:spacing w:after="0" w:line="240" w:lineRule="auto"/>
              <w:jc w:val="both"/>
              <w:rPr>
                <w:noProof/>
              </w:rPr>
            </w:pPr>
            <w:r>
              <w:rPr>
                <w:noProof/>
              </w:rPr>
              <w:t>Certificats d'acceptation de l'installation par le Service Spécial des Télécommunications (STS) d'un nouveau réseau de 65 capteurs répartis au niveau national, placés sur des sites de réception pour détecter et alerter automatiquement en cas de perturbations dans le spectre radio gouvernemental.</w:t>
            </w:r>
          </w:p>
        </w:tc>
      </w:tr>
      <w:tr w:rsidR="00A345F4" w14:paraId="4951F000"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011403F" w14:textId="77777777" w:rsidR="00A345F4" w:rsidRDefault="005E2D4E">
            <w:pPr>
              <w:pStyle w:val="P68B1DB1-Normal14"/>
              <w:spacing w:after="0" w:line="240" w:lineRule="auto"/>
              <w:jc w:val="center"/>
              <w:rPr>
                <w:noProof/>
              </w:rPr>
            </w:pPr>
            <w:r>
              <w:rPr>
                <w:noProof/>
              </w:rPr>
              <w:t>182</w:t>
            </w:r>
          </w:p>
        </w:tc>
        <w:tc>
          <w:tcPr>
            <w:tcW w:w="2101" w:type="dxa"/>
            <w:tcBorders>
              <w:top w:val="single" w:sz="4" w:space="0" w:color="auto"/>
              <w:left w:val="nil"/>
              <w:bottom w:val="single" w:sz="4" w:space="0" w:color="auto"/>
              <w:right w:val="single" w:sz="4" w:space="0" w:color="auto"/>
            </w:tcBorders>
            <w:shd w:val="clear" w:color="auto" w:fill="C6EFCE"/>
            <w:noWrap/>
          </w:tcPr>
          <w:p w14:paraId="10DA9AEA" w14:textId="77777777" w:rsidR="00A345F4" w:rsidRDefault="005E2D4E">
            <w:pPr>
              <w:pStyle w:val="P68B1DB1-Normal14"/>
              <w:spacing w:after="0" w:line="240" w:lineRule="auto"/>
              <w:jc w:val="both"/>
              <w:rPr>
                <w:rFonts w:eastAsia="Times New Roman"/>
                <w:noProof/>
              </w:rPr>
            </w:pPr>
            <w:r>
              <w:rPr>
                <w:noProof/>
              </w:rPr>
              <w:t xml:space="preserve">Investissement 14. </w:t>
            </w:r>
          </w:p>
          <w:p w14:paraId="2D75B74F" w14:textId="77777777" w:rsidR="00A345F4" w:rsidRDefault="005E2D4E">
            <w:pPr>
              <w:pStyle w:val="P68B1DB1-Normal14"/>
              <w:spacing w:after="0" w:line="240" w:lineRule="auto"/>
              <w:jc w:val="both"/>
              <w:rPr>
                <w:noProof/>
              </w:rPr>
            </w:pPr>
            <w:r>
              <w:rPr>
                <w:noProof/>
              </w:rPr>
              <w:t>Renforcement de la résilience et de la cybersécurité des services d’infrastructure des fournisseurs de services internet fournis aux autorités publiques en Roumanie</w:t>
            </w:r>
          </w:p>
        </w:tc>
        <w:tc>
          <w:tcPr>
            <w:tcW w:w="1226" w:type="dxa"/>
            <w:tcBorders>
              <w:top w:val="single" w:sz="4" w:space="0" w:color="auto"/>
              <w:left w:val="nil"/>
              <w:bottom w:val="single" w:sz="4" w:space="0" w:color="auto"/>
              <w:right w:val="single" w:sz="4" w:space="0" w:color="auto"/>
            </w:tcBorders>
            <w:shd w:val="clear" w:color="auto" w:fill="C6EFCE"/>
            <w:noWrap/>
          </w:tcPr>
          <w:p w14:paraId="1806234D" w14:textId="77777777" w:rsidR="00A345F4" w:rsidRDefault="005E2D4E">
            <w:pPr>
              <w:pStyle w:val="P68B1DB1-Normal14"/>
              <w:spacing w:after="0" w:line="240" w:lineRule="auto"/>
              <w:jc w:val="both"/>
              <w:rPr>
                <w:noProof/>
              </w:rPr>
            </w:pPr>
            <w:r>
              <w:rPr>
                <w:noProof/>
              </w:rPr>
              <w:t>Objectif</w:t>
            </w:r>
          </w:p>
        </w:tc>
        <w:tc>
          <w:tcPr>
            <w:tcW w:w="1590" w:type="dxa"/>
            <w:tcBorders>
              <w:top w:val="single" w:sz="4" w:space="0" w:color="auto"/>
              <w:left w:val="nil"/>
              <w:bottom w:val="single" w:sz="4" w:space="0" w:color="auto"/>
              <w:right w:val="single" w:sz="4" w:space="0" w:color="auto"/>
            </w:tcBorders>
            <w:shd w:val="clear" w:color="auto" w:fill="C6EFCE"/>
            <w:noWrap/>
          </w:tcPr>
          <w:p w14:paraId="3E84ED08" w14:textId="77777777" w:rsidR="00A345F4" w:rsidRDefault="005E2D4E">
            <w:pPr>
              <w:pStyle w:val="P68B1DB1-Normal14"/>
              <w:spacing w:after="0" w:line="240" w:lineRule="auto"/>
              <w:jc w:val="both"/>
              <w:rPr>
                <w:noProof/>
              </w:rPr>
            </w:pPr>
            <w:r>
              <w:rPr>
                <w:noProof/>
              </w:rPr>
              <w:t>Hubs permettant aux institutions et entités d’intérêt public d’accéder aux services des fournisseurs de services internet (FAI)</w:t>
            </w:r>
          </w:p>
        </w:tc>
        <w:tc>
          <w:tcPr>
            <w:tcW w:w="1734" w:type="dxa"/>
            <w:tcBorders>
              <w:top w:val="single" w:sz="4" w:space="0" w:color="auto"/>
              <w:left w:val="nil"/>
              <w:bottom w:val="single" w:sz="4" w:space="0" w:color="auto"/>
              <w:right w:val="single" w:sz="4" w:space="0" w:color="auto"/>
            </w:tcBorders>
            <w:shd w:val="clear" w:color="auto" w:fill="C6EFCE"/>
            <w:noWrap/>
          </w:tcPr>
          <w:p w14:paraId="0C861E42" w14:textId="77777777" w:rsidR="00A345F4" w:rsidRDefault="005E2D4E">
            <w:pPr>
              <w:pStyle w:val="P68B1DB1-Normal14"/>
              <w:spacing w:after="0" w:line="240" w:lineRule="auto"/>
              <w:jc w:val="both"/>
              <w:rPr>
                <w:noProof/>
              </w:rPr>
            </w:pPr>
            <w:r>
              <w:rPr>
                <w:noProof/>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10436EFF" w14:textId="77777777" w:rsidR="00A345F4" w:rsidRDefault="005E2D4E">
            <w:pPr>
              <w:pStyle w:val="P68B1DB1-Normal14"/>
              <w:spacing w:after="0" w:line="240" w:lineRule="auto"/>
              <w:jc w:val="both"/>
              <w:rPr>
                <w:noProof/>
              </w:rPr>
            </w:pPr>
            <w:r>
              <w:rPr>
                <w:noProof/>
              </w:rPr>
              <w:t>Numéro</w:t>
            </w:r>
          </w:p>
        </w:tc>
        <w:tc>
          <w:tcPr>
            <w:tcW w:w="1225" w:type="dxa"/>
            <w:tcBorders>
              <w:top w:val="single" w:sz="4" w:space="0" w:color="auto"/>
              <w:left w:val="nil"/>
              <w:bottom w:val="single" w:sz="4" w:space="0" w:color="auto"/>
              <w:right w:val="single" w:sz="4" w:space="0" w:color="auto"/>
            </w:tcBorders>
            <w:shd w:val="clear" w:color="auto" w:fill="C6EFCE"/>
            <w:noWrap/>
          </w:tcPr>
          <w:p w14:paraId="0605D5C7" w14:textId="77777777" w:rsidR="00A345F4" w:rsidRDefault="005E2D4E">
            <w:pPr>
              <w:pStyle w:val="P68B1DB1-Normal14"/>
              <w:spacing w:after="0" w:line="240" w:lineRule="auto"/>
              <w:jc w:val="both"/>
              <w:rPr>
                <w:noProof/>
              </w:rPr>
            </w:pPr>
            <w:r>
              <w:rPr>
                <w:noProof/>
              </w:rPr>
              <w:t>0</w:t>
            </w:r>
          </w:p>
        </w:tc>
        <w:tc>
          <w:tcPr>
            <w:tcW w:w="782" w:type="dxa"/>
            <w:tcBorders>
              <w:top w:val="single" w:sz="4" w:space="0" w:color="auto"/>
              <w:left w:val="nil"/>
              <w:bottom w:val="single" w:sz="4" w:space="0" w:color="auto"/>
              <w:right w:val="single" w:sz="4" w:space="0" w:color="auto"/>
            </w:tcBorders>
            <w:shd w:val="clear" w:color="auto" w:fill="C6EFCE"/>
            <w:noWrap/>
          </w:tcPr>
          <w:p w14:paraId="28E6DC0E" w14:textId="77777777" w:rsidR="00A345F4" w:rsidRDefault="005E2D4E">
            <w:pPr>
              <w:pStyle w:val="P68B1DB1-Normal14"/>
              <w:spacing w:after="0" w:line="240" w:lineRule="auto"/>
              <w:jc w:val="both"/>
              <w:rPr>
                <w:noProof/>
              </w:rPr>
            </w:pPr>
            <w:r>
              <w:rPr>
                <w:noProof/>
              </w:rPr>
              <w:t>41</w:t>
            </w:r>
          </w:p>
        </w:tc>
        <w:tc>
          <w:tcPr>
            <w:tcW w:w="992" w:type="dxa"/>
            <w:tcBorders>
              <w:top w:val="single" w:sz="4" w:space="0" w:color="auto"/>
              <w:left w:val="nil"/>
              <w:bottom w:val="single" w:sz="4" w:space="0" w:color="auto"/>
              <w:right w:val="single" w:sz="4" w:space="0" w:color="auto"/>
            </w:tcBorders>
            <w:shd w:val="clear" w:color="auto" w:fill="C6EFCE"/>
            <w:noWrap/>
          </w:tcPr>
          <w:p w14:paraId="3B94D7BC" w14:textId="77777777" w:rsidR="00A345F4" w:rsidRDefault="005E2D4E">
            <w:pPr>
              <w:pStyle w:val="P68B1DB1-Normal14"/>
              <w:spacing w:after="0" w:line="240" w:lineRule="auto"/>
              <w:jc w:val="both"/>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5825082F" w14:textId="77777777" w:rsidR="00A345F4" w:rsidRDefault="005E2D4E">
            <w:pPr>
              <w:pStyle w:val="P68B1DB1-Normal14"/>
              <w:spacing w:after="0" w:line="240" w:lineRule="auto"/>
              <w:jc w:val="both"/>
              <w:rPr>
                <w:noProof/>
              </w:rPr>
            </w:pPr>
            <w:r>
              <w:rPr>
                <w:noProof/>
              </w:rPr>
              <w:t>2024</w:t>
            </w:r>
          </w:p>
        </w:tc>
        <w:tc>
          <w:tcPr>
            <w:tcW w:w="2737" w:type="dxa"/>
            <w:tcBorders>
              <w:top w:val="single" w:sz="4" w:space="0" w:color="auto"/>
              <w:left w:val="nil"/>
              <w:bottom w:val="single" w:sz="4" w:space="0" w:color="auto"/>
              <w:right w:val="single" w:sz="4" w:space="0" w:color="auto"/>
            </w:tcBorders>
            <w:shd w:val="clear" w:color="auto" w:fill="C6EFCE"/>
            <w:noWrap/>
          </w:tcPr>
          <w:p w14:paraId="1FB7D874" w14:textId="77777777" w:rsidR="00A345F4" w:rsidRDefault="005E2D4E">
            <w:pPr>
              <w:pStyle w:val="P68B1DB1-Normal14"/>
              <w:spacing w:after="0" w:line="240" w:lineRule="auto"/>
              <w:jc w:val="both"/>
              <w:rPr>
                <w:rFonts w:eastAsia="Times New Roman"/>
                <w:noProof/>
              </w:rPr>
            </w:pPr>
            <w:r>
              <w:rPr>
                <w:noProof/>
              </w:rPr>
              <w:t xml:space="preserve">Chaque comté de Roumanie doit avoir une plaque tournante. Chacun de ces hubs sera connecté à un réseau national de distribution Internet, avec plusieurs fournisseurs de niveau I et des mécanismes de sécurité associés. </w:t>
            </w:r>
          </w:p>
          <w:p w14:paraId="6AF7AAC3" w14:textId="77777777" w:rsidR="00A345F4" w:rsidRDefault="005E2D4E">
            <w:pPr>
              <w:pStyle w:val="P68B1DB1-Normal14"/>
              <w:spacing w:after="0" w:line="240" w:lineRule="auto"/>
              <w:jc w:val="both"/>
              <w:rPr>
                <w:rFonts w:eastAsia="Times New Roman"/>
                <w:noProof/>
              </w:rPr>
            </w:pPr>
            <w:r>
              <w:rPr>
                <w:noProof/>
              </w:rPr>
              <w:t>Services de sécurité à fournir:</w:t>
            </w:r>
          </w:p>
          <w:p w14:paraId="3A5EE5C3" w14:textId="77777777" w:rsidR="00A345F4" w:rsidRDefault="005E2D4E">
            <w:pPr>
              <w:pStyle w:val="P68B1DB1-Normal14"/>
              <w:numPr>
                <w:ilvl w:val="0"/>
                <w:numId w:val="41"/>
              </w:numPr>
              <w:spacing w:after="0" w:line="240" w:lineRule="auto"/>
              <w:ind w:left="259" w:hanging="218"/>
              <w:contextualSpacing/>
              <w:jc w:val="both"/>
              <w:rPr>
                <w:rFonts w:eastAsia="Times New Roman"/>
                <w:noProof/>
              </w:rPr>
            </w:pPr>
            <w:r>
              <w:rPr>
                <w:noProof/>
              </w:rPr>
              <w:t>Protection anti-dos (refus de service) à des multiples de 10 Gbps</w:t>
            </w:r>
          </w:p>
          <w:p w14:paraId="65A14B78" w14:textId="77777777" w:rsidR="00A345F4" w:rsidRDefault="005E2D4E">
            <w:pPr>
              <w:pStyle w:val="P68B1DB1-Normal14"/>
              <w:numPr>
                <w:ilvl w:val="0"/>
                <w:numId w:val="41"/>
              </w:numPr>
              <w:spacing w:after="0" w:line="240" w:lineRule="auto"/>
              <w:ind w:left="259" w:hanging="218"/>
              <w:contextualSpacing/>
              <w:jc w:val="both"/>
              <w:rPr>
                <w:rFonts w:eastAsia="Times New Roman"/>
                <w:noProof/>
              </w:rPr>
            </w:pPr>
            <w:r>
              <w:rPr>
                <w:noProof/>
              </w:rPr>
              <w:t>Services associés de l'équipe d'intervention en cas d'urgence informatique (CERT) (auditoires de sécurité, surveillance des événements de sécurité sur l'ensemble du réseau, réponse aux incidents de sécurité)</w:t>
            </w:r>
          </w:p>
          <w:p w14:paraId="77D92E6E" w14:textId="77777777" w:rsidR="00A345F4" w:rsidRDefault="005E2D4E">
            <w:pPr>
              <w:pStyle w:val="P68B1DB1-Normal14"/>
              <w:numPr>
                <w:ilvl w:val="0"/>
                <w:numId w:val="41"/>
              </w:numPr>
              <w:spacing w:after="0" w:line="240" w:lineRule="auto"/>
              <w:ind w:left="259" w:hanging="218"/>
              <w:contextualSpacing/>
              <w:jc w:val="both"/>
              <w:rPr>
                <w:rFonts w:eastAsia="Times New Roman"/>
                <w:noProof/>
              </w:rPr>
            </w:pPr>
            <w:r>
              <w:rPr>
                <w:noProof/>
              </w:rPr>
              <w:t>Services associés des centres d'opérations de sécurité (mécanismes de notification et d'escalade pour les bénéficiaires)</w:t>
            </w:r>
          </w:p>
          <w:p w14:paraId="61D72B1E" w14:textId="77777777" w:rsidR="00A345F4" w:rsidRDefault="005E2D4E">
            <w:pPr>
              <w:pStyle w:val="P68B1DB1-Normal14"/>
              <w:numPr>
                <w:ilvl w:val="0"/>
                <w:numId w:val="41"/>
              </w:numPr>
              <w:spacing w:after="0" w:line="240" w:lineRule="auto"/>
              <w:ind w:left="259" w:hanging="218"/>
              <w:contextualSpacing/>
              <w:jc w:val="both"/>
              <w:rPr>
                <w:rFonts w:eastAsia="Times New Roman"/>
                <w:noProof/>
              </w:rPr>
            </w:pPr>
            <w:r>
              <w:rPr>
                <w:noProof/>
              </w:rPr>
              <w:t>Mécanismes de réputation et de filtrage du trafic malveillant fondés sur la réputation et la résidence malveillante au niveau des services DNS fournis aux bénéficiaires</w:t>
            </w:r>
          </w:p>
          <w:p w14:paraId="169E132A" w14:textId="77777777" w:rsidR="00A345F4" w:rsidRDefault="005E2D4E">
            <w:pPr>
              <w:pStyle w:val="P68B1DB1-Normal14"/>
              <w:numPr>
                <w:ilvl w:val="0"/>
                <w:numId w:val="41"/>
              </w:numPr>
              <w:spacing w:after="0" w:line="240" w:lineRule="auto"/>
              <w:contextualSpacing/>
              <w:jc w:val="both"/>
              <w:rPr>
                <w:noProof/>
              </w:rPr>
            </w:pPr>
            <w:r>
              <w:rPr>
                <w:noProof/>
              </w:rPr>
              <w:t>Analyse des bacs à sable pour les services fournis.</w:t>
            </w:r>
          </w:p>
        </w:tc>
      </w:tr>
      <w:tr w:rsidR="00A345F4" w14:paraId="0FAF003C"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770FD40" w14:textId="77777777" w:rsidR="00A345F4" w:rsidRDefault="005E2D4E">
            <w:pPr>
              <w:pStyle w:val="P68B1DB1-Normal14"/>
              <w:spacing w:after="0" w:line="240" w:lineRule="auto"/>
              <w:jc w:val="center"/>
              <w:rPr>
                <w:noProof/>
              </w:rPr>
            </w:pPr>
            <w:r>
              <w:rPr>
                <w:noProof/>
              </w:rPr>
              <w:t>184</w:t>
            </w:r>
          </w:p>
        </w:tc>
        <w:tc>
          <w:tcPr>
            <w:tcW w:w="2101" w:type="dxa"/>
            <w:tcBorders>
              <w:top w:val="single" w:sz="4" w:space="0" w:color="auto"/>
              <w:left w:val="nil"/>
              <w:bottom w:val="single" w:sz="4" w:space="0" w:color="auto"/>
              <w:right w:val="single" w:sz="4" w:space="0" w:color="auto"/>
            </w:tcBorders>
            <w:shd w:val="clear" w:color="auto" w:fill="C6EFCE"/>
            <w:noWrap/>
          </w:tcPr>
          <w:p w14:paraId="74B06480" w14:textId="77777777" w:rsidR="00A345F4" w:rsidRDefault="005E2D4E">
            <w:pPr>
              <w:pStyle w:val="P68B1DB1-Normal14"/>
              <w:spacing w:after="0" w:line="240" w:lineRule="auto"/>
              <w:jc w:val="both"/>
              <w:rPr>
                <w:noProof/>
              </w:rPr>
            </w:pPr>
            <w:r>
              <w:rPr>
                <w:noProof/>
              </w:rPr>
              <w:t xml:space="preserve">Investissement 15. Compétences en matière de cybersécurité pour les entités identifiées </w:t>
            </w:r>
          </w:p>
        </w:tc>
        <w:tc>
          <w:tcPr>
            <w:tcW w:w="1226" w:type="dxa"/>
            <w:tcBorders>
              <w:top w:val="single" w:sz="4" w:space="0" w:color="auto"/>
              <w:left w:val="nil"/>
              <w:bottom w:val="single" w:sz="4" w:space="0" w:color="auto"/>
              <w:right w:val="single" w:sz="4" w:space="0" w:color="auto"/>
            </w:tcBorders>
            <w:shd w:val="clear" w:color="auto" w:fill="C6EFCE"/>
            <w:noWrap/>
          </w:tcPr>
          <w:p w14:paraId="2E0C840D" w14:textId="77777777" w:rsidR="00A345F4" w:rsidRDefault="005E2D4E">
            <w:pPr>
              <w:pStyle w:val="P68B1DB1-Normal14"/>
              <w:spacing w:after="0" w:line="240" w:lineRule="auto"/>
              <w:jc w:val="both"/>
              <w:rPr>
                <w:noProof/>
              </w:rPr>
            </w:pPr>
            <w:r>
              <w:rPr>
                <w:noProof/>
              </w:rPr>
              <w:t>Objectif</w:t>
            </w:r>
          </w:p>
        </w:tc>
        <w:tc>
          <w:tcPr>
            <w:tcW w:w="1590" w:type="dxa"/>
            <w:tcBorders>
              <w:top w:val="single" w:sz="4" w:space="0" w:color="auto"/>
              <w:left w:val="nil"/>
              <w:bottom w:val="single" w:sz="4" w:space="0" w:color="auto"/>
              <w:right w:val="single" w:sz="4" w:space="0" w:color="auto"/>
            </w:tcBorders>
            <w:shd w:val="clear" w:color="auto" w:fill="C6EFCE"/>
            <w:noWrap/>
          </w:tcPr>
          <w:p w14:paraId="0368621C" w14:textId="68716239" w:rsidR="00A345F4" w:rsidRDefault="005E2D4E">
            <w:pPr>
              <w:pStyle w:val="P68B1DB1-Normal14"/>
              <w:spacing w:after="0" w:line="240" w:lineRule="auto"/>
              <w:jc w:val="both"/>
              <w:rPr>
                <w:noProof/>
              </w:rPr>
            </w:pPr>
            <w:r>
              <w:rPr>
                <w:noProof/>
              </w:rPr>
              <w:t xml:space="preserve"> Compétences en matière de cybersécurité pour les entités identifiées</w:t>
            </w:r>
          </w:p>
        </w:tc>
        <w:tc>
          <w:tcPr>
            <w:tcW w:w="1734" w:type="dxa"/>
            <w:tcBorders>
              <w:top w:val="single" w:sz="4" w:space="0" w:color="auto"/>
              <w:left w:val="nil"/>
              <w:bottom w:val="single" w:sz="4" w:space="0" w:color="auto"/>
              <w:right w:val="single" w:sz="4" w:space="0" w:color="auto"/>
            </w:tcBorders>
            <w:shd w:val="clear" w:color="auto" w:fill="C6EFCE"/>
            <w:noWrap/>
          </w:tcPr>
          <w:p w14:paraId="568876A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70" w:type="dxa"/>
            <w:tcBorders>
              <w:top w:val="single" w:sz="4" w:space="0" w:color="auto"/>
              <w:left w:val="nil"/>
              <w:bottom w:val="single" w:sz="4" w:space="0" w:color="auto"/>
              <w:right w:val="single" w:sz="4" w:space="0" w:color="auto"/>
            </w:tcBorders>
            <w:shd w:val="clear" w:color="auto" w:fill="C6EFCE"/>
            <w:noWrap/>
          </w:tcPr>
          <w:p w14:paraId="4C3CE47F" w14:textId="77777777" w:rsidR="00A345F4" w:rsidRDefault="005E2D4E">
            <w:pPr>
              <w:pStyle w:val="P68B1DB1-Normal14"/>
              <w:spacing w:after="0" w:line="240" w:lineRule="auto"/>
              <w:jc w:val="both"/>
              <w:rPr>
                <w:noProof/>
              </w:rPr>
            </w:pPr>
            <w:r>
              <w:rPr>
                <w:noProof/>
              </w:rPr>
              <w:t>Numéro</w:t>
            </w:r>
          </w:p>
        </w:tc>
        <w:tc>
          <w:tcPr>
            <w:tcW w:w="1225" w:type="dxa"/>
            <w:tcBorders>
              <w:top w:val="single" w:sz="4" w:space="0" w:color="auto"/>
              <w:left w:val="nil"/>
              <w:bottom w:val="single" w:sz="4" w:space="0" w:color="auto"/>
              <w:right w:val="single" w:sz="4" w:space="0" w:color="auto"/>
            </w:tcBorders>
            <w:shd w:val="clear" w:color="auto" w:fill="C6EFCE"/>
            <w:noWrap/>
          </w:tcPr>
          <w:p w14:paraId="5716B154" w14:textId="77777777" w:rsidR="00A345F4" w:rsidRDefault="005E2D4E">
            <w:pPr>
              <w:pStyle w:val="P68B1DB1-Normal14"/>
              <w:spacing w:after="0" w:line="240" w:lineRule="auto"/>
              <w:jc w:val="both"/>
              <w:rPr>
                <w:noProof/>
              </w:rPr>
            </w:pPr>
            <w:r>
              <w:rPr>
                <w:noProof/>
              </w:rPr>
              <w:t>0</w:t>
            </w:r>
          </w:p>
        </w:tc>
        <w:tc>
          <w:tcPr>
            <w:tcW w:w="782" w:type="dxa"/>
            <w:tcBorders>
              <w:top w:val="single" w:sz="4" w:space="0" w:color="auto"/>
              <w:left w:val="nil"/>
              <w:bottom w:val="single" w:sz="4" w:space="0" w:color="auto"/>
              <w:right w:val="single" w:sz="4" w:space="0" w:color="auto"/>
            </w:tcBorders>
            <w:shd w:val="clear" w:color="auto" w:fill="C6EFCE"/>
            <w:noWrap/>
          </w:tcPr>
          <w:p w14:paraId="1C9DD183" w14:textId="7AFF2408" w:rsidR="00A345F4" w:rsidRDefault="005E2D4E">
            <w:pPr>
              <w:pStyle w:val="P68B1DB1-Normal14"/>
              <w:spacing w:after="0" w:line="240" w:lineRule="auto"/>
              <w:jc w:val="both"/>
              <w:rPr>
                <w:noProof/>
              </w:rPr>
            </w:pPr>
            <w:r>
              <w:rPr>
                <w:noProof/>
              </w:rPr>
              <w:t>1 000</w:t>
            </w:r>
          </w:p>
        </w:tc>
        <w:tc>
          <w:tcPr>
            <w:tcW w:w="992" w:type="dxa"/>
            <w:tcBorders>
              <w:top w:val="single" w:sz="4" w:space="0" w:color="auto"/>
              <w:left w:val="nil"/>
              <w:bottom w:val="single" w:sz="4" w:space="0" w:color="auto"/>
              <w:right w:val="single" w:sz="4" w:space="0" w:color="auto"/>
            </w:tcBorders>
            <w:shd w:val="clear" w:color="auto" w:fill="C6EFCE"/>
            <w:noWrap/>
          </w:tcPr>
          <w:p w14:paraId="6D7B5AF0" w14:textId="77777777" w:rsidR="00A345F4" w:rsidRDefault="005E2D4E">
            <w:pPr>
              <w:pStyle w:val="P68B1DB1-Normal14"/>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305CACEA"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6E624D12" w14:textId="77777777" w:rsidR="00A345F4" w:rsidRDefault="005E2D4E">
            <w:pPr>
              <w:pStyle w:val="P68B1DB1-Normal14"/>
              <w:spacing w:after="0"/>
              <w:jc w:val="both"/>
              <w:rPr>
                <w:noProof/>
              </w:rPr>
            </w:pPr>
            <w:r>
              <w:rPr>
                <w:noProof/>
              </w:rPr>
              <w:t>Mise en œuvre d’un programme national visant à recenser les besoins en cybercompétences, en mettant l’accent sur l’incidence sur les secteurs clés de l’économie et de la société.</w:t>
            </w:r>
          </w:p>
          <w:p w14:paraId="4C3390FE" w14:textId="54327EA4" w:rsidR="00A345F4" w:rsidRDefault="005E2D4E">
            <w:pPr>
              <w:pStyle w:val="P68B1DB1-Normal14"/>
              <w:spacing w:after="0"/>
              <w:jc w:val="both"/>
              <w:rPr>
                <w:noProof/>
              </w:rPr>
            </w:pPr>
            <w:r>
              <w:rPr>
                <w:noProof/>
              </w:rPr>
              <w:t xml:space="preserve">Fourniture d’un ensemble d’outils et de services gouvernementaux («boîte à outils») pour la cybersécurité de 1 000 entités recensées sur la base de deux critères: </w:t>
            </w:r>
          </w:p>
          <w:p w14:paraId="714E3803" w14:textId="54DE1D99" w:rsidR="00A345F4" w:rsidRDefault="005E2D4E">
            <w:pPr>
              <w:pStyle w:val="P68B1DB1-Normal14"/>
              <w:spacing w:after="0"/>
              <w:jc w:val="both"/>
              <w:rPr>
                <w:noProof/>
              </w:rPr>
            </w:pPr>
            <w:r>
              <w:rPr>
                <w:noProof/>
              </w:rPr>
              <w:t xml:space="preserve">- secteurs couverts par la directive SRI 2 et par la loi 124/2025 </w:t>
            </w:r>
          </w:p>
          <w:p w14:paraId="60C7BFD4" w14:textId="77777777" w:rsidR="00A345F4" w:rsidRDefault="005E2D4E">
            <w:pPr>
              <w:pStyle w:val="P68B1DB1-Normal14"/>
              <w:spacing w:after="0"/>
              <w:jc w:val="both"/>
              <w:rPr>
                <w:noProof/>
              </w:rPr>
            </w:pPr>
            <w:r>
              <w:rPr>
                <w:noProof/>
              </w:rPr>
              <w:t>- Niveau de maturité en matière de cybersécurité défini par le CERT-RO, sur la base d’une autoévaluation normalisée. </w:t>
            </w:r>
          </w:p>
          <w:p w14:paraId="6A1701DA" w14:textId="77777777" w:rsidR="00A345F4" w:rsidRDefault="00A345F4">
            <w:pPr>
              <w:spacing w:after="0"/>
              <w:jc w:val="both"/>
              <w:rPr>
                <w:rFonts w:ascii="Times New Roman" w:hAnsi="Times New Roman" w:cs="Times New Roman"/>
                <w:noProof/>
                <w:sz w:val="20"/>
                <w:szCs w:val="20"/>
              </w:rPr>
            </w:pPr>
          </w:p>
        </w:tc>
      </w:tr>
      <w:tr w:rsidR="00A345F4" w14:paraId="6C824358"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7A8B0D3" w14:textId="77777777" w:rsidR="00A345F4" w:rsidRDefault="005E2D4E">
            <w:pPr>
              <w:pStyle w:val="P68B1DB1-Normal14"/>
              <w:spacing w:after="0" w:line="240" w:lineRule="auto"/>
              <w:jc w:val="center"/>
              <w:rPr>
                <w:rFonts w:eastAsia="Times New Roman"/>
                <w:noProof/>
              </w:rPr>
            </w:pPr>
            <w:r>
              <w:rPr>
                <w:noProof/>
              </w:rPr>
              <w:t>185</w:t>
            </w:r>
          </w:p>
        </w:tc>
        <w:tc>
          <w:tcPr>
            <w:tcW w:w="2101" w:type="dxa"/>
            <w:tcBorders>
              <w:top w:val="single" w:sz="4" w:space="0" w:color="auto"/>
              <w:left w:val="nil"/>
              <w:bottom w:val="single" w:sz="4" w:space="0" w:color="auto"/>
              <w:right w:val="single" w:sz="4" w:space="0" w:color="auto"/>
            </w:tcBorders>
            <w:shd w:val="clear" w:color="auto" w:fill="C6EFCE"/>
            <w:noWrap/>
          </w:tcPr>
          <w:p w14:paraId="2D945CE1" w14:textId="77777777" w:rsidR="00A345F4" w:rsidRDefault="005E2D4E">
            <w:pPr>
              <w:pStyle w:val="P68B1DB1-Normal14"/>
              <w:spacing w:after="0" w:line="240" w:lineRule="auto"/>
              <w:jc w:val="both"/>
              <w:rPr>
                <w:rFonts w:eastAsia="Times New Roman"/>
                <w:noProof/>
              </w:rPr>
            </w:pPr>
            <w:r>
              <w:rPr>
                <w:noProof/>
              </w:rPr>
              <w:t>Investissement 16.</w:t>
            </w:r>
          </w:p>
          <w:p w14:paraId="2FBBEF7E" w14:textId="77777777" w:rsidR="00A345F4" w:rsidRDefault="005E2D4E">
            <w:pPr>
              <w:pStyle w:val="P68B1DB1-Normal14"/>
              <w:spacing w:after="0" w:line="240" w:lineRule="auto"/>
              <w:jc w:val="both"/>
              <w:rPr>
                <w:noProof/>
              </w:rPr>
            </w:pPr>
            <w:r>
              <w:rPr>
                <w:noProof/>
              </w:rPr>
              <w:t xml:space="preserve">Programme de formation des fonctionnaires aux compétences numériques </w:t>
            </w:r>
          </w:p>
        </w:tc>
        <w:tc>
          <w:tcPr>
            <w:tcW w:w="1226" w:type="dxa"/>
            <w:tcBorders>
              <w:top w:val="single" w:sz="4" w:space="0" w:color="auto"/>
              <w:left w:val="nil"/>
              <w:bottom w:val="single" w:sz="4" w:space="0" w:color="auto"/>
              <w:right w:val="single" w:sz="4" w:space="0" w:color="auto"/>
            </w:tcBorders>
            <w:shd w:val="clear" w:color="auto" w:fill="C6EFCE"/>
            <w:noWrap/>
          </w:tcPr>
          <w:p w14:paraId="57DF80C0" w14:textId="77777777" w:rsidR="00A345F4" w:rsidRDefault="005E2D4E">
            <w:pPr>
              <w:pStyle w:val="P68B1DB1-Normal14"/>
              <w:spacing w:after="0" w:line="240" w:lineRule="auto"/>
              <w:jc w:val="both"/>
              <w:rPr>
                <w:noProof/>
                <w:highlight w:val="yellow"/>
              </w:rPr>
            </w:pPr>
            <w:r>
              <w:rPr>
                <w:noProof/>
              </w:rPr>
              <w:t xml:space="preserve">Étape </w:t>
            </w:r>
          </w:p>
        </w:tc>
        <w:tc>
          <w:tcPr>
            <w:tcW w:w="1590" w:type="dxa"/>
            <w:tcBorders>
              <w:top w:val="single" w:sz="4" w:space="0" w:color="auto"/>
              <w:left w:val="nil"/>
              <w:bottom w:val="single" w:sz="4" w:space="0" w:color="auto"/>
              <w:right w:val="single" w:sz="4" w:space="0" w:color="auto"/>
            </w:tcBorders>
            <w:shd w:val="clear" w:color="auto" w:fill="C6EFCE"/>
            <w:noWrap/>
          </w:tcPr>
          <w:p w14:paraId="345B26A2" w14:textId="0B22E67E" w:rsidR="00A345F4" w:rsidRDefault="005E2D4E">
            <w:pPr>
              <w:pStyle w:val="P68B1DB1-Normal14"/>
              <w:spacing w:after="0" w:line="240" w:lineRule="auto"/>
              <w:jc w:val="both"/>
              <w:rPr>
                <w:noProof/>
                <w:highlight w:val="yellow"/>
              </w:rPr>
            </w:pPr>
            <w:r>
              <w:rPr>
                <w:noProof/>
              </w:rPr>
              <w:t xml:space="preserve">Formations dispensées aux fonctionnaires </w:t>
            </w:r>
          </w:p>
        </w:tc>
        <w:tc>
          <w:tcPr>
            <w:tcW w:w="1734" w:type="dxa"/>
            <w:tcBorders>
              <w:top w:val="single" w:sz="4" w:space="0" w:color="auto"/>
              <w:left w:val="nil"/>
              <w:bottom w:val="single" w:sz="4" w:space="0" w:color="auto"/>
              <w:right w:val="single" w:sz="4" w:space="0" w:color="auto"/>
            </w:tcBorders>
            <w:shd w:val="clear" w:color="auto" w:fill="C6EFCE"/>
            <w:noWrap/>
          </w:tcPr>
          <w:p w14:paraId="27E5E95F" w14:textId="77777777" w:rsidR="00A345F4" w:rsidRDefault="005E2D4E">
            <w:pPr>
              <w:pStyle w:val="P68B1DB1-Normal14"/>
              <w:spacing w:after="0" w:line="240" w:lineRule="auto"/>
              <w:jc w:val="both"/>
              <w:rPr>
                <w:rFonts w:eastAsia="Times New Roman"/>
                <w:noProof/>
              </w:rPr>
            </w:pPr>
            <w:r>
              <w:rPr>
                <w:noProof/>
              </w:rPr>
              <w:t xml:space="preserve">Fourniture de formations aux fonctionnaires </w:t>
            </w:r>
          </w:p>
        </w:tc>
        <w:tc>
          <w:tcPr>
            <w:tcW w:w="970" w:type="dxa"/>
            <w:tcBorders>
              <w:top w:val="single" w:sz="4" w:space="0" w:color="auto"/>
              <w:left w:val="nil"/>
              <w:bottom w:val="single" w:sz="4" w:space="0" w:color="auto"/>
              <w:right w:val="single" w:sz="4" w:space="0" w:color="auto"/>
            </w:tcBorders>
            <w:shd w:val="clear" w:color="auto" w:fill="C6EFCE"/>
            <w:noWrap/>
          </w:tcPr>
          <w:p w14:paraId="3A36B72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601D449C"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5DDDEEA9"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2619A901"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41755C83" w14:textId="77777777" w:rsidR="00A345F4" w:rsidRDefault="005E2D4E">
            <w:pPr>
              <w:pStyle w:val="P68B1DB1-Normal14"/>
              <w:spacing w:after="0" w:line="240" w:lineRule="auto"/>
              <w:jc w:val="both"/>
              <w:rPr>
                <w:rFonts w:eastAsia="Times New Roman"/>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4E6ADC90" w14:textId="77777777" w:rsidR="00A345F4" w:rsidRDefault="005E2D4E">
            <w:pPr>
              <w:pStyle w:val="P68B1DB1-Normal14"/>
              <w:spacing w:after="0" w:line="240" w:lineRule="auto"/>
              <w:jc w:val="both"/>
              <w:rPr>
                <w:noProof/>
              </w:rPr>
            </w:pPr>
            <w:r>
              <w:rPr>
                <w:noProof/>
              </w:rPr>
              <w:t xml:space="preserve">Certificats d'acceptation signés par l'entité adjudicatrice attestant la fourniture de formations à: </w:t>
            </w:r>
          </w:p>
          <w:p w14:paraId="749C6B62" w14:textId="596DB747" w:rsidR="00A345F4" w:rsidRDefault="005E2D4E">
            <w:pPr>
              <w:pStyle w:val="P68B1DB1-Normal14"/>
              <w:numPr>
                <w:ilvl w:val="0"/>
                <w:numId w:val="44"/>
              </w:numPr>
              <w:spacing w:after="0" w:line="240" w:lineRule="auto"/>
              <w:contextualSpacing/>
              <w:jc w:val="both"/>
              <w:rPr>
                <w:noProof/>
              </w:rPr>
            </w:pPr>
            <w:r>
              <w:rPr>
                <w:noProof/>
              </w:rPr>
              <w:t xml:space="preserve">30 000 fonctionnaires, pour acquérir des compétences numériques avancées. </w:t>
            </w:r>
          </w:p>
          <w:p w14:paraId="2FD07E19" w14:textId="2ED47807" w:rsidR="00A345F4" w:rsidRDefault="005E2D4E">
            <w:pPr>
              <w:pStyle w:val="P68B1DB1-Normal14"/>
              <w:numPr>
                <w:ilvl w:val="0"/>
                <w:numId w:val="44"/>
              </w:numPr>
              <w:spacing w:after="0" w:line="240" w:lineRule="auto"/>
              <w:contextualSpacing/>
              <w:jc w:val="both"/>
              <w:rPr>
                <w:noProof/>
              </w:rPr>
            </w:pPr>
            <w:r>
              <w:rPr>
                <w:noProof/>
              </w:rPr>
              <w:t>2 500 fonctionnaires dans les catégories de carrières supérieures, sur les thèmes du leadership et de la gestion des talents, en tenant compte des aspects numériques.</w:t>
            </w:r>
          </w:p>
        </w:tc>
      </w:tr>
      <w:tr w:rsidR="00A345F4" w14:paraId="492D1297"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C5E84FF" w14:textId="77777777" w:rsidR="00A345F4" w:rsidRDefault="005E2D4E">
            <w:pPr>
              <w:pStyle w:val="P68B1DB1-Normal14"/>
              <w:spacing w:after="0" w:line="240" w:lineRule="auto"/>
              <w:jc w:val="center"/>
              <w:rPr>
                <w:noProof/>
              </w:rPr>
            </w:pPr>
            <w:r>
              <w:rPr>
                <w:noProof/>
              </w:rPr>
              <w:t>186</w:t>
            </w:r>
          </w:p>
        </w:tc>
        <w:tc>
          <w:tcPr>
            <w:tcW w:w="2101" w:type="dxa"/>
            <w:tcBorders>
              <w:top w:val="single" w:sz="4" w:space="0" w:color="auto"/>
              <w:left w:val="nil"/>
              <w:bottom w:val="single" w:sz="4" w:space="0" w:color="auto"/>
              <w:right w:val="single" w:sz="4" w:space="0" w:color="auto"/>
            </w:tcBorders>
            <w:shd w:val="clear" w:color="auto" w:fill="C6EFCE"/>
            <w:noWrap/>
          </w:tcPr>
          <w:p w14:paraId="3121188F" w14:textId="77777777" w:rsidR="00A345F4" w:rsidRDefault="005E2D4E">
            <w:pPr>
              <w:pStyle w:val="P68B1DB1-Normal14"/>
              <w:spacing w:after="0" w:line="240" w:lineRule="auto"/>
              <w:jc w:val="both"/>
              <w:rPr>
                <w:rFonts w:eastAsia="Times New Roman"/>
                <w:noProof/>
                <w:highlight w:val="yellow"/>
              </w:rPr>
            </w:pPr>
            <w:r>
              <w:rPr>
                <w:noProof/>
              </w:rPr>
              <w:t>Investissement 17.</w:t>
            </w:r>
          </w:p>
          <w:p w14:paraId="5DB7EB55" w14:textId="77777777" w:rsidR="00A345F4" w:rsidRDefault="005E2D4E">
            <w:pPr>
              <w:pStyle w:val="P68B1DB1-Normal14"/>
              <w:spacing w:after="0" w:line="240" w:lineRule="auto"/>
              <w:jc w:val="both"/>
              <w:rPr>
                <w:noProof/>
              </w:rPr>
            </w:pPr>
            <w:r>
              <w:rPr>
                <w:noProof/>
              </w:rPr>
              <w:t>Numérisation des bibliothèques</w:t>
            </w:r>
          </w:p>
        </w:tc>
        <w:tc>
          <w:tcPr>
            <w:tcW w:w="1226" w:type="dxa"/>
            <w:tcBorders>
              <w:top w:val="single" w:sz="4" w:space="0" w:color="auto"/>
              <w:left w:val="nil"/>
              <w:bottom w:val="single" w:sz="4" w:space="0" w:color="auto"/>
              <w:right w:val="single" w:sz="4" w:space="0" w:color="auto"/>
            </w:tcBorders>
            <w:shd w:val="clear" w:color="auto" w:fill="C6EFCE"/>
            <w:noWrap/>
          </w:tcPr>
          <w:p w14:paraId="73CBFD5C" w14:textId="77777777" w:rsidR="00A345F4" w:rsidRDefault="005E2D4E">
            <w:pPr>
              <w:pStyle w:val="P68B1DB1-Normal14"/>
              <w:spacing w:after="0"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73C39852" w14:textId="77777777" w:rsidR="00A345F4" w:rsidRDefault="005E2D4E">
            <w:pPr>
              <w:pStyle w:val="P68B1DB1-Normal14"/>
              <w:spacing w:after="0" w:line="240" w:lineRule="auto"/>
              <w:jc w:val="both"/>
              <w:rPr>
                <w:noProof/>
              </w:rPr>
            </w:pPr>
            <w:r>
              <w:rPr>
                <w:noProof/>
              </w:rPr>
              <w:t>Numérisation des bibliothèques</w:t>
            </w:r>
          </w:p>
        </w:tc>
        <w:tc>
          <w:tcPr>
            <w:tcW w:w="1734" w:type="dxa"/>
            <w:tcBorders>
              <w:top w:val="single" w:sz="4" w:space="0" w:color="auto"/>
              <w:left w:val="nil"/>
              <w:bottom w:val="single" w:sz="4" w:space="0" w:color="auto"/>
              <w:right w:val="single" w:sz="4" w:space="0" w:color="auto"/>
            </w:tcBorders>
            <w:shd w:val="clear" w:color="auto" w:fill="C6EFCE"/>
            <w:noWrap/>
          </w:tcPr>
          <w:p w14:paraId="31B78331" w14:textId="77777777" w:rsidR="00A345F4" w:rsidRDefault="005E2D4E">
            <w:pPr>
              <w:pStyle w:val="P68B1DB1-Normal19"/>
              <w:spacing w:after="0" w:line="240" w:lineRule="auto"/>
              <w:jc w:val="both"/>
              <w:rPr>
                <w:noProof/>
              </w:rPr>
            </w:pPr>
            <w:r>
              <w:rPr>
                <w:noProof/>
              </w:rPr>
              <w:t xml:space="preserve">Rénovation et équipement de 560 bibliothèques </w:t>
            </w:r>
          </w:p>
        </w:tc>
        <w:tc>
          <w:tcPr>
            <w:tcW w:w="970" w:type="dxa"/>
            <w:tcBorders>
              <w:top w:val="single" w:sz="4" w:space="0" w:color="auto"/>
              <w:left w:val="nil"/>
              <w:bottom w:val="single" w:sz="4" w:space="0" w:color="auto"/>
              <w:right w:val="single" w:sz="4" w:space="0" w:color="auto"/>
            </w:tcBorders>
            <w:shd w:val="clear" w:color="auto" w:fill="C6EFCE"/>
            <w:noWrap/>
          </w:tcPr>
          <w:p w14:paraId="6830BCF3" w14:textId="77777777" w:rsidR="00A345F4" w:rsidRDefault="00A345F4">
            <w:pPr>
              <w:spacing w:after="0"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30CDA16D" w14:textId="77777777" w:rsidR="00A345F4" w:rsidRDefault="00A345F4">
            <w:pPr>
              <w:spacing w:after="0"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5BB6A2B2"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088C672D" w14:textId="77777777" w:rsidR="00A345F4" w:rsidRDefault="005E2D4E">
            <w:pPr>
              <w:pStyle w:val="P68B1DB1-Normal14"/>
              <w:spacing w:after="0" w:line="240" w:lineRule="auto"/>
              <w:jc w:val="both"/>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0D5EDB07"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0B055F6E" w14:textId="4077F038" w:rsidR="00A345F4" w:rsidRDefault="005E2D4E">
            <w:pPr>
              <w:pStyle w:val="P68B1DB1-Normal14"/>
              <w:spacing w:after="0" w:line="240" w:lineRule="auto"/>
              <w:jc w:val="both"/>
              <w:rPr>
                <w:noProof/>
              </w:rPr>
            </w:pPr>
            <w:r>
              <w:rPr>
                <w:noProof/>
              </w:rPr>
              <w:t>Certificats de réception d’achèvement des travaux prouvant la numérisation de 60 bibliothèques, comme suit:</w:t>
            </w:r>
          </w:p>
          <w:p w14:paraId="682AC82A" w14:textId="509D724D" w:rsidR="00A345F4" w:rsidRDefault="005E2D4E">
            <w:pPr>
              <w:pStyle w:val="P68B1DB1-Normal14"/>
              <w:numPr>
                <w:ilvl w:val="0"/>
                <w:numId w:val="45"/>
              </w:numPr>
              <w:spacing w:after="0" w:line="240" w:lineRule="auto"/>
              <w:ind w:left="259" w:hanging="214"/>
              <w:contextualSpacing/>
              <w:jc w:val="both"/>
              <w:rPr>
                <w:noProof/>
              </w:rPr>
            </w:pPr>
            <w:r>
              <w:rPr>
                <w:noProof/>
              </w:rPr>
              <w:t>5 bibliothèques centrales de comté et 55 bibliothèques rurales, urbaines ou municipales, qui sont rénovées et équipées de matériel informatique et technique. La rénovation doit être effectuée conformément aux orientations techniques «ne pas causer de préjudice important» (2021/C58/01).</w:t>
            </w:r>
          </w:p>
          <w:p w14:paraId="4C4DDEDB" w14:textId="29A7A90B" w:rsidR="00A345F4" w:rsidRDefault="005E2D4E">
            <w:pPr>
              <w:pStyle w:val="P68B1DB1-Normal14"/>
              <w:spacing w:after="0" w:line="240" w:lineRule="auto"/>
              <w:jc w:val="both"/>
              <w:rPr>
                <w:noProof/>
              </w:rPr>
            </w:pPr>
            <w:r>
              <w:rPr>
                <w:noProof/>
              </w:rPr>
              <w:t>Certificats de réception d'achèvement des travaux prouvant la livraison d'équipements à 500 bibliothèques, la réception d'équipements informatiques nouveaux ou mis à niveau.</w:t>
            </w:r>
          </w:p>
          <w:p w14:paraId="626B4B1A" w14:textId="77777777" w:rsidR="00A345F4" w:rsidRDefault="00A345F4">
            <w:pPr>
              <w:spacing w:after="0" w:line="240" w:lineRule="auto"/>
              <w:jc w:val="both"/>
              <w:rPr>
                <w:rFonts w:ascii="Times New Roman" w:hAnsi="Times New Roman" w:cs="Times New Roman"/>
                <w:noProof/>
                <w:sz w:val="20"/>
                <w:szCs w:val="20"/>
              </w:rPr>
            </w:pPr>
          </w:p>
        </w:tc>
      </w:tr>
      <w:tr w:rsidR="00A345F4" w14:paraId="700D0DF8" w14:textId="77777777" w:rsidTr="00E44183">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12F0524" w14:textId="77777777" w:rsidR="00A345F4" w:rsidRDefault="005E2D4E">
            <w:pPr>
              <w:pStyle w:val="P68B1DB1-Normal14"/>
              <w:spacing w:after="0" w:line="240" w:lineRule="auto"/>
              <w:jc w:val="center"/>
              <w:rPr>
                <w:rFonts w:eastAsia="Times New Roman"/>
                <w:noProof/>
              </w:rPr>
            </w:pPr>
            <w:r>
              <w:rPr>
                <w:noProof/>
              </w:rPr>
              <w:t>187</w:t>
            </w:r>
          </w:p>
        </w:tc>
        <w:tc>
          <w:tcPr>
            <w:tcW w:w="2101" w:type="dxa"/>
            <w:tcBorders>
              <w:top w:val="single" w:sz="4" w:space="0" w:color="auto"/>
              <w:left w:val="nil"/>
              <w:bottom w:val="single" w:sz="4" w:space="0" w:color="auto"/>
              <w:right w:val="single" w:sz="4" w:space="0" w:color="auto"/>
            </w:tcBorders>
            <w:shd w:val="clear" w:color="auto" w:fill="C6EFCE"/>
            <w:noWrap/>
          </w:tcPr>
          <w:p w14:paraId="63E5318F" w14:textId="77777777" w:rsidR="00A345F4" w:rsidRDefault="005E2D4E">
            <w:pPr>
              <w:pStyle w:val="P68B1DB1-Normal14"/>
              <w:spacing w:after="0" w:line="240" w:lineRule="auto"/>
              <w:jc w:val="both"/>
              <w:rPr>
                <w:rFonts w:eastAsia="Times New Roman"/>
                <w:noProof/>
                <w:highlight w:val="yellow"/>
              </w:rPr>
            </w:pPr>
            <w:r>
              <w:rPr>
                <w:noProof/>
              </w:rPr>
              <w:t>Investissement 17.</w:t>
            </w:r>
          </w:p>
          <w:p w14:paraId="6AAB21F9" w14:textId="77777777" w:rsidR="00A345F4" w:rsidRDefault="005E2D4E">
            <w:pPr>
              <w:pStyle w:val="P68B1DB1-Normal14"/>
              <w:spacing w:after="0" w:line="240" w:lineRule="auto"/>
              <w:jc w:val="both"/>
              <w:rPr>
                <w:noProof/>
              </w:rPr>
            </w:pPr>
            <w:r>
              <w:rPr>
                <w:noProof/>
              </w:rPr>
              <w:t>Numérisation des bibliothèques</w:t>
            </w:r>
          </w:p>
        </w:tc>
        <w:tc>
          <w:tcPr>
            <w:tcW w:w="1226" w:type="dxa"/>
            <w:tcBorders>
              <w:top w:val="single" w:sz="4" w:space="0" w:color="auto"/>
              <w:left w:val="nil"/>
              <w:bottom w:val="single" w:sz="4" w:space="0" w:color="auto"/>
              <w:right w:val="single" w:sz="4" w:space="0" w:color="auto"/>
            </w:tcBorders>
            <w:shd w:val="clear" w:color="auto" w:fill="C6EFCE"/>
            <w:noWrap/>
          </w:tcPr>
          <w:p w14:paraId="4243444B" w14:textId="77777777" w:rsidR="00A345F4" w:rsidRDefault="005E2D4E">
            <w:pPr>
              <w:pStyle w:val="P68B1DB1-Normal14"/>
              <w:spacing w:after="0" w:line="240" w:lineRule="auto"/>
              <w:jc w:val="both"/>
              <w:rPr>
                <w:rFonts w:eastAsia="Times New Roman"/>
                <w:noProof/>
              </w:rPr>
            </w:pPr>
            <w:r>
              <w:rPr>
                <w:noProof/>
              </w:rPr>
              <w:t>Objectif</w:t>
            </w:r>
          </w:p>
        </w:tc>
        <w:tc>
          <w:tcPr>
            <w:tcW w:w="1590" w:type="dxa"/>
            <w:tcBorders>
              <w:top w:val="single" w:sz="4" w:space="0" w:color="auto"/>
              <w:left w:val="nil"/>
              <w:bottom w:val="single" w:sz="4" w:space="0" w:color="auto"/>
              <w:right w:val="single" w:sz="4" w:space="0" w:color="auto"/>
            </w:tcBorders>
            <w:shd w:val="clear" w:color="auto" w:fill="C6EFCE"/>
            <w:noWrap/>
          </w:tcPr>
          <w:p w14:paraId="299FCE3C" w14:textId="77777777" w:rsidR="00A345F4" w:rsidRDefault="005E2D4E">
            <w:pPr>
              <w:pStyle w:val="P68B1DB1-Normal14"/>
              <w:spacing w:after="0" w:line="240" w:lineRule="auto"/>
              <w:jc w:val="both"/>
              <w:rPr>
                <w:noProof/>
              </w:rPr>
            </w:pPr>
            <w:r>
              <w:rPr>
                <w:noProof/>
              </w:rPr>
              <w:t>Citoyens ayant reçu une formation aux compétences numériques de base</w:t>
            </w:r>
          </w:p>
        </w:tc>
        <w:tc>
          <w:tcPr>
            <w:tcW w:w="1734" w:type="dxa"/>
            <w:tcBorders>
              <w:top w:val="single" w:sz="4" w:space="0" w:color="auto"/>
              <w:left w:val="nil"/>
              <w:bottom w:val="single" w:sz="4" w:space="0" w:color="auto"/>
              <w:right w:val="single" w:sz="4" w:space="0" w:color="auto"/>
            </w:tcBorders>
            <w:shd w:val="clear" w:color="auto" w:fill="C6EFCE"/>
            <w:noWrap/>
          </w:tcPr>
          <w:p w14:paraId="72B7973B" w14:textId="77777777" w:rsidR="00A345F4" w:rsidRDefault="00A345F4">
            <w:pPr>
              <w:spacing w:after="0" w:line="240" w:lineRule="auto"/>
              <w:jc w:val="both"/>
              <w:rPr>
                <w:rFonts w:ascii="Times New Roman" w:hAnsi="Times New Roman" w:cs="Times New Roman"/>
                <w:noProof/>
                <w:sz w:val="20"/>
                <w:szCs w:val="20"/>
              </w:rPr>
            </w:pPr>
          </w:p>
        </w:tc>
        <w:tc>
          <w:tcPr>
            <w:tcW w:w="970" w:type="dxa"/>
            <w:tcBorders>
              <w:top w:val="single" w:sz="4" w:space="0" w:color="auto"/>
              <w:left w:val="nil"/>
              <w:bottom w:val="single" w:sz="4" w:space="0" w:color="auto"/>
              <w:right w:val="single" w:sz="4" w:space="0" w:color="auto"/>
            </w:tcBorders>
            <w:shd w:val="clear" w:color="auto" w:fill="C6EFCE"/>
            <w:noWrap/>
          </w:tcPr>
          <w:p w14:paraId="08319E8F" w14:textId="77777777" w:rsidR="00A345F4" w:rsidRDefault="005E2D4E">
            <w:pPr>
              <w:pStyle w:val="P68B1DB1-Normal14"/>
              <w:spacing w:after="0" w:line="240" w:lineRule="auto"/>
              <w:jc w:val="both"/>
              <w:rPr>
                <w:rFonts w:eastAsia="Times New Roman"/>
                <w:noProof/>
              </w:rPr>
            </w:pPr>
            <w:r>
              <w:rPr>
                <w:noProof/>
              </w:rPr>
              <w:t>Numéro</w:t>
            </w:r>
          </w:p>
        </w:tc>
        <w:tc>
          <w:tcPr>
            <w:tcW w:w="1225" w:type="dxa"/>
            <w:tcBorders>
              <w:top w:val="single" w:sz="4" w:space="0" w:color="auto"/>
              <w:left w:val="nil"/>
              <w:bottom w:val="single" w:sz="4" w:space="0" w:color="auto"/>
              <w:right w:val="single" w:sz="4" w:space="0" w:color="auto"/>
            </w:tcBorders>
            <w:shd w:val="clear" w:color="auto" w:fill="C6EFCE"/>
            <w:noWrap/>
          </w:tcPr>
          <w:p w14:paraId="729C8B9E" w14:textId="77777777" w:rsidR="00A345F4" w:rsidRDefault="005E2D4E">
            <w:pPr>
              <w:pStyle w:val="P68B1DB1-Normal14"/>
              <w:spacing w:after="0" w:line="240" w:lineRule="auto"/>
              <w:jc w:val="both"/>
              <w:rPr>
                <w:rFonts w:eastAsia="Times New Roman"/>
                <w:noProof/>
              </w:rPr>
            </w:pPr>
            <w:r>
              <w:rPr>
                <w:noProof/>
              </w:rPr>
              <w:t>0</w:t>
            </w:r>
          </w:p>
        </w:tc>
        <w:tc>
          <w:tcPr>
            <w:tcW w:w="782" w:type="dxa"/>
            <w:tcBorders>
              <w:top w:val="single" w:sz="4" w:space="0" w:color="auto"/>
              <w:left w:val="nil"/>
              <w:bottom w:val="single" w:sz="4" w:space="0" w:color="auto"/>
              <w:right w:val="single" w:sz="4" w:space="0" w:color="auto"/>
            </w:tcBorders>
            <w:shd w:val="clear" w:color="auto" w:fill="C6EFCE"/>
            <w:noWrap/>
          </w:tcPr>
          <w:p w14:paraId="7AA52B06" w14:textId="44B5F268" w:rsidR="00A345F4" w:rsidRDefault="005E2D4E">
            <w:pPr>
              <w:pStyle w:val="P68B1DB1-Normal14"/>
              <w:spacing w:after="0" w:line="240" w:lineRule="auto"/>
              <w:jc w:val="both"/>
              <w:rPr>
                <w:rFonts w:eastAsia="Times New Roman"/>
                <w:noProof/>
              </w:rPr>
            </w:pPr>
            <w:r>
              <w:rPr>
                <w:noProof/>
              </w:rPr>
              <w:t>45 000</w:t>
            </w:r>
          </w:p>
        </w:tc>
        <w:tc>
          <w:tcPr>
            <w:tcW w:w="992" w:type="dxa"/>
            <w:tcBorders>
              <w:top w:val="single" w:sz="4" w:space="0" w:color="auto"/>
              <w:left w:val="nil"/>
              <w:bottom w:val="single" w:sz="4" w:space="0" w:color="auto"/>
              <w:right w:val="single" w:sz="4" w:space="0" w:color="auto"/>
            </w:tcBorders>
            <w:shd w:val="clear" w:color="auto" w:fill="C6EFCE"/>
            <w:noWrap/>
          </w:tcPr>
          <w:p w14:paraId="2D70847C" w14:textId="77777777" w:rsidR="00A345F4" w:rsidRDefault="005E2D4E">
            <w:pPr>
              <w:pStyle w:val="P68B1DB1-Normal14"/>
              <w:spacing w:after="0" w:line="240" w:lineRule="auto"/>
              <w:jc w:val="both"/>
              <w:rPr>
                <w:noProof/>
              </w:rPr>
            </w:pPr>
            <w:r>
              <w:rPr>
                <w:noProof/>
              </w:rPr>
              <w:t>T1</w:t>
            </w:r>
          </w:p>
        </w:tc>
        <w:tc>
          <w:tcPr>
            <w:tcW w:w="851" w:type="dxa"/>
            <w:tcBorders>
              <w:top w:val="single" w:sz="4" w:space="0" w:color="auto"/>
              <w:left w:val="nil"/>
              <w:bottom w:val="single" w:sz="4" w:space="0" w:color="auto"/>
              <w:right w:val="single" w:sz="4" w:space="0" w:color="auto"/>
            </w:tcBorders>
            <w:shd w:val="clear" w:color="auto" w:fill="C6EFCE"/>
            <w:noWrap/>
          </w:tcPr>
          <w:p w14:paraId="509753E6" w14:textId="77777777" w:rsidR="00A345F4" w:rsidRDefault="005E2D4E">
            <w:pPr>
              <w:pStyle w:val="P68B1DB1-Normal14"/>
              <w:spacing w:after="0" w:line="240" w:lineRule="auto"/>
              <w:jc w:val="both"/>
              <w:rPr>
                <w:rFonts w:eastAsia="Times New Roman"/>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587A8A00" w14:textId="24387B01" w:rsidR="00A345F4" w:rsidRDefault="005E2D4E">
            <w:pPr>
              <w:pStyle w:val="P68B1DB1-Normal14"/>
              <w:spacing w:after="0"/>
              <w:contextualSpacing/>
              <w:jc w:val="both"/>
              <w:rPr>
                <w:rFonts w:eastAsia="Times New Roman"/>
                <w:noProof/>
              </w:rPr>
            </w:pPr>
            <w:r>
              <w:rPr>
                <w:noProof/>
              </w:rPr>
              <w:t>45 000 diplômes de formation sur les compétences numériques de base dans les domaines, entre autres, de l’habileté numérique, de la communication, de l’éducation aux médias, de la création de contenu numérique, de la sécurité numérique et de l’éducation à l’entrepreneuriat numérique.</w:t>
            </w:r>
          </w:p>
        </w:tc>
      </w:tr>
      <w:tr w:rsidR="00A345F4" w14:paraId="28779A73" w14:textId="77777777" w:rsidTr="00E44183">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FDDD97B" w14:textId="77777777" w:rsidR="00A345F4" w:rsidRDefault="005E2D4E">
            <w:pPr>
              <w:pStyle w:val="P68B1DB1-Normal14"/>
              <w:spacing w:line="240" w:lineRule="auto"/>
              <w:jc w:val="center"/>
              <w:rPr>
                <w:noProof/>
              </w:rPr>
            </w:pPr>
            <w:r>
              <w:rPr>
                <w:noProof/>
              </w:rPr>
              <w:t>190</w:t>
            </w:r>
          </w:p>
        </w:tc>
        <w:tc>
          <w:tcPr>
            <w:tcW w:w="2101" w:type="dxa"/>
            <w:tcBorders>
              <w:top w:val="single" w:sz="4" w:space="0" w:color="auto"/>
              <w:left w:val="nil"/>
              <w:bottom w:val="single" w:sz="4" w:space="0" w:color="auto"/>
              <w:right w:val="single" w:sz="4" w:space="0" w:color="auto"/>
            </w:tcBorders>
            <w:shd w:val="clear" w:color="auto" w:fill="C6EFCE"/>
            <w:noWrap/>
          </w:tcPr>
          <w:p w14:paraId="3CED1D39" w14:textId="77777777" w:rsidR="00A345F4" w:rsidRDefault="005E2D4E">
            <w:pPr>
              <w:pStyle w:val="P68B1DB1-Normal14"/>
              <w:spacing w:line="240" w:lineRule="auto"/>
              <w:jc w:val="both"/>
              <w:rPr>
                <w:noProof/>
              </w:rPr>
            </w:pPr>
            <w:r>
              <w:rPr>
                <w:noProof/>
              </w:rPr>
              <w:t>Investissement 19.a. Perfectionnement/requalification des salariés dans les entreprises</w:t>
            </w:r>
          </w:p>
        </w:tc>
        <w:tc>
          <w:tcPr>
            <w:tcW w:w="1226" w:type="dxa"/>
            <w:tcBorders>
              <w:top w:val="single" w:sz="4" w:space="0" w:color="auto"/>
              <w:left w:val="nil"/>
              <w:bottom w:val="single" w:sz="4" w:space="0" w:color="auto"/>
              <w:right w:val="single" w:sz="4" w:space="0" w:color="auto"/>
            </w:tcBorders>
            <w:shd w:val="clear" w:color="auto" w:fill="C6EFCE"/>
            <w:noWrap/>
          </w:tcPr>
          <w:p w14:paraId="6F86EFDE" w14:textId="77777777" w:rsidR="00A345F4" w:rsidRDefault="005E2D4E">
            <w:pPr>
              <w:pStyle w:val="P68B1DB1-Normal14"/>
              <w:spacing w:line="240" w:lineRule="auto"/>
              <w:jc w:val="both"/>
              <w:rPr>
                <w:noProof/>
              </w:rPr>
            </w:pPr>
            <w:r>
              <w:rPr>
                <w:noProof/>
              </w:rPr>
              <w:t>Étape</w:t>
            </w:r>
          </w:p>
        </w:tc>
        <w:tc>
          <w:tcPr>
            <w:tcW w:w="1590" w:type="dxa"/>
            <w:tcBorders>
              <w:top w:val="single" w:sz="4" w:space="0" w:color="auto"/>
              <w:left w:val="nil"/>
              <w:bottom w:val="single" w:sz="4" w:space="0" w:color="auto"/>
              <w:right w:val="single" w:sz="4" w:space="0" w:color="auto"/>
            </w:tcBorders>
            <w:shd w:val="clear" w:color="auto" w:fill="C6EFCE"/>
            <w:noWrap/>
          </w:tcPr>
          <w:p w14:paraId="26AD0186" w14:textId="77777777" w:rsidR="00A345F4" w:rsidRDefault="005E2D4E">
            <w:pPr>
              <w:pStyle w:val="P68B1DB1-Normal14"/>
              <w:spacing w:line="240" w:lineRule="auto"/>
              <w:jc w:val="both"/>
              <w:rPr>
                <w:noProof/>
              </w:rPr>
            </w:pPr>
            <w:r>
              <w:rPr>
                <w:noProof/>
              </w:rPr>
              <w:t xml:space="preserve">Formation du personnel des PME aux compétences numériques </w:t>
            </w:r>
          </w:p>
        </w:tc>
        <w:tc>
          <w:tcPr>
            <w:tcW w:w="1734" w:type="dxa"/>
            <w:tcBorders>
              <w:top w:val="single" w:sz="4" w:space="0" w:color="auto"/>
              <w:left w:val="nil"/>
              <w:bottom w:val="single" w:sz="4" w:space="0" w:color="auto"/>
              <w:right w:val="single" w:sz="4" w:space="0" w:color="auto"/>
            </w:tcBorders>
            <w:shd w:val="clear" w:color="auto" w:fill="C6EFCE"/>
            <w:noWrap/>
          </w:tcPr>
          <w:p w14:paraId="56203E7B" w14:textId="77777777" w:rsidR="00A345F4" w:rsidRDefault="005E2D4E">
            <w:pPr>
              <w:pStyle w:val="P68B1DB1-Normal14"/>
              <w:spacing w:line="240" w:lineRule="auto"/>
              <w:jc w:val="both"/>
              <w:rPr>
                <w:noProof/>
                <w:highlight w:val="yellow"/>
              </w:rPr>
            </w:pPr>
            <w:r>
              <w:rPr>
                <w:noProof/>
              </w:rPr>
              <w:t xml:space="preserve"> Réalisation des formations </w:t>
            </w:r>
          </w:p>
        </w:tc>
        <w:tc>
          <w:tcPr>
            <w:tcW w:w="970" w:type="dxa"/>
            <w:tcBorders>
              <w:top w:val="single" w:sz="4" w:space="0" w:color="auto"/>
              <w:left w:val="nil"/>
              <w:bottom w:val="single" w:sz="4" w:space="0" w:color="auto"/>
              <w:right w:val="single" w:sz="4" w:space="0" w:color="auto"/>
            </w:tcBorders>
            <w:shd w:val="clear" w:color="auto" w:fill="C6EFCE"/>
            <w:noWrap/>
          </w:tcPr>
          <w:p w14:paraId="2E09D57E" w14:textId="77777777" w:rsidR="00A345F4" w:rsidRDefault="00A345F4">
            <w:pPr>
              <w:spacing w:line="240" w:lineRule="auto"/>
              <w:jc w:val="both"/>
              <w:rPr>
                <w:rFonts w:ascii="Times New Roman" w:hAnsi="Times New Roman" w:cs="Times New Roman"/>
                <w:noProof/>
                <w:sz w:val="20"/>
                <w:szCs w:val="20"/>
              </w:rPr>
            </w:pPr>
          </w:p>
        </w:tc>
        <w:tc>
          <w:tcPr>
            <w:tcW w:w="1225" w:type="dxa"/>
            <w:tcBorders>
              <w:top w:val="single" w:sz="4" w:space="0" w:color="auto"/>
              <w:left w:val="nil"/>
              <w:bottom w:val="single" w:sz="4" w:space="0" w:color="auto"/>
              <w:right w:val="single" w:sz="4" w:space="0" w:color="auto"/>
            </w:tcBorders>
            <w:shd w:val="clear" w:color="auto" w:fill="C6EFCE"/>
            <w:noWrap/>
          </w:tcPr>
          <w:p w14:paraId="4A501053" w14:textId="77777777" w:rsidR="00A345F4" w:rsidRDefault="00A345F4">
            <w:pPr>
              <w:spacing w:line="240" w:lineRule="auto"/>
              <w:jc w:val="both"/>
              <w:rPr>
                <w:rFonts w:ascii="Times New Roman" w:hAnsi="Times New Roman" w:cs="Times New Roman"/>
                <w:noProof/>
                <w:sz w:val="20"/>
                <w:szCs w:val="20"/>
              </w:rPr>
            </w:pPr>
          </w:p>
        </w:tc>
        <w:tc>
          <w:tcPr>
            <w:tcW w:w="782" w:type="dxa"/>
            <w:tcBorders>
              <w:top w:val="single" w:sz="4" w:space="0" w:color="auto"/>
              <w:left w:val="nil"/>
              <w:bottom w:val="single" w:sz="4" w:space="0" w:color="auto"/>
              <w:right w:val="single" w:sz="4" w:space="0" w:color="auto"/>
            </w:tcBorders>
            <w:shd w:val="clear" w:color="auto" w:fill="C6EFCE"/>
            <w:noWrap/>
          </w:tcPr>
          <w:p w14:paraId="7C8F19EA" w14:textId="77777777" w:rsidR="00A345F4" w:rsidRDefault="00A345F4">
            <w:pPr>
              <w:spacing w:after="0" w:line="240" w:lineRule="auto"/>
              <w:jc w:val="both"/>
              <w:rPr>
                <w:rFonts w:ascii="Times New Roman" w:hAnsi="Times New Roman" w:cs="Times New Roman"/>
                <w:noProof/>
                <w:sz w:val="20"/>
                <w:szCs w:val="20"/>
              </w:rPr>
            </w:pPr>
          </w:p>
          <w:p w14:paraId="18E21714" w14:textId="77777777" w:rsidR="00A345F4" w:rsidRDefault="00A345F4">
            <w:pPr>
              <w:spacing w:line="240" w:lineRule="auto"/>
              <w:jc w:val="both"/>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349C117D" w14:textId="77777777" w:rsidR="00A345F4" w:rsidRDefault="005E2D4E">
            <w:pPr>
              <w:pStyle w:val="P68B1DB1-Normal14"/>
              <w:spacing w:after="0" w:line="240" w:lineRule="auto"/>
              <w:jc w:val="both"/>
              <w:rPr>
                <w:noProof/>
              </w:rPr>
            </w:pPr>
            <w:r>
              <w:rPr>
                <w:noProof/>
              </w:rPr>
              <w:t xml:space="preserve">T1 </w:t>
            </w:r>
          </w:p>
        </w:tc>
        <w:tc>
          <w:tcPr>
            <w:tcW w:w="851" w:type="dxa"/>
            <w:tcBorders>
              <w:top w:val="single" w:sz="4" w:space="0" w:color="auto"/>
              <w:left w:val="nil"/>
              <w:bottom w:val="single" w:sz="4" w:space="0" w:color="auto"/>
              <w:right w:val="single" w:sz="4" w:space="0" w:color="auto"/>
            </w:tcBorders>
            <w:shd w:val="clear" w:color="auto" w:fill="C6EFCE"/>
            <w:noWrap/>
          </w:tcPr>
          <w:p w14:paraId="6257BD3A" w14:textId="77777777" w:rsidR="00A345F4" w:rsidRDefault="005E2D4E">
            <w:pPr>
              <w:pStyle w:val="P68B1DB1-Normal14"/>
              <w:spacing w:after="0" w:line="240" w:lineRule="auto"/>
              <w:jc w:val="both"/>
              <w:rPr>
                <w:noProof/>
              </w:rPr>
            </w:pPr>
            <w:r>
              <w:rPr>
                <w:noProof/>
              </w:rPr>
              <w:t>2026</w:t>
            </w:r>
          </w:p>
        </w:tc>
        <w:tc>
          <w:tcPr>
            <w:tcW w:w="2737" w:type="dxa"/>
            <w:tcBorders>
              <w:top w:val="single" w:sz="4" w:space="0" w:color="auto"/>
              <w:left w:val="nil"/>
              <w:bottom w:val="single" w:sz="4" w:space="0" w:color="auto"/>
              <w:right w:val="single" w:sz="4" w:space="0" w:color="auto"/>
            </w:tcBorders>
            <w:shd w:val="clear" w:color="auto" w:fill="C6EFCE"/>
            <w:noWrap/>
          </w:tcPr>
          <w:p w14:paraId="5B034B96" w14:textId="77777777" w:rsidR="00A345F4" w:rsidRDefault="005E2D4E">
            <w:pPr>
              <w:pStyle w:val="P68B1DB1-Normal14"/>
              <w:spacing w:after="0" w:line="240" w:lineRule="auto"/>
              <w:jc w:val="both"/>
              <w:rPr>
                <w:noProof/>
              </w:rPr>
            </w:pPr>
            <w:r>
              <w:rPr>
                <w:noProof/>
              </w:rPr>
              <w:t xml:space="preserve">Certificats d’acceptation signés par l’entité adjudicatrice prouvant la fourniture des formations aux compétences numériques aux employés des PME. </w:t>
            </w:r>
          </w:p>
        </w:tc>
      </w:tr>
    </w:tbl>
    <w:p w14:paraId="0F6D0945" w14:textId="77777777" w:rsidR="00A345F4" w:rsidRDefault="00A345F4">
      <w:pPr>
        <w:spacing w:before="120" w:after="120" w:line="240" w:lineRule="auto"/>
        <w:jc w:val="both"/>
        <w:rPr>
          <w:rFonts w:ascii="Times New Roman" w:hAnsi="Times New Roman" w:cs="Times New Roman"/>
          <w:noProof/>
        </w:rPr>
      </w:pPr>
    </w:p>
    <w:p w14:paraId="65094739" w14:textId="77777777" w:rsidR="00A345F4" w:rsidRDefault="00A345F4">
      <w:pPr>
        <w:spacing w:before="120" w:after="0" w:line="240" w:lineRule="auto"/>
        <w:ind w:left="840"/>
        <w:jc w:val="both"/>
        <w:textAlignment w:val="baseline"/>
        <w:rPr>
          <w:rFonts w:ascii="Times New Roman" w:eastAsia="Times New Roman" w:hAnsi="Times New Roman" w:cs="Times New Roman"/>
          <w:noProof/>
        </w:rPr>
        <w:sectPr w:rsidR="00A345F4" w:rsidSect="00A437C8">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08"/>
          <w:docGrid w:linePitch="360"/>
        </w:sectPr>
      </w:pPr>
    </w:p>
    <w:p w14:paraId="2FFE4786"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G.3. </w:t>
      </w:r>
      <w:r>
        <w:rPr>
          <w:noProof/>
        </w:rPr>
        <w:t xml:space="preserve"> </w:t>
      </w:r>
      <w:r>
        <w:rPr>
          <w:b/>
          <w:noProof/>
        </w:rPr>
        <w:t xml:space="preserve">Description des réformes et des investissements pour le prêt </w:t>
      </w:r>
    </w:p>
    <w:p w14:paraId="490AB626" w14:textId="77777777" w:rsidR="00A345F4" w:rsidRDefault="005E2D4E">
      <w:pPr>
        <w:pStyle w:val="P68B1DB1-Normal12"/>
        <w:suppressAutoHyphens/>
        <w:autoSpaceDN w:val="0"/>
        <w:spacing w:before="240" w:after="0" w:line="240" w:lineRule="auto"/>
        <w:jc w:val="both"/>
        <w:textAlignment w:val="baseline"/>
        <w:rPr>
          <w:noProof/>
        </w:rPr>
      </w:pPr>
      <w:r>
        <w:rPr>
          <w:noProof/>
        </w:rPr>
        <w:t xml:space="preserve">Investissement 18. Transformation numérique et automatisation robotique des processus dans l'administration publique </w:t>
      </w:r>
    </w:p>
    <w:p w14:paraId="3AFA9ACF" w14:textId="77777777" w:rsidR="00A345F4" w:rsidRDefault="005E2D4E">
      <w:pPr>
        <w:pStyle w:val="P68B1DB1-Normal34"/>
        <w:suppressAutoHyphens/>
        <w:autoSpaceDN w:val="0"/>
        <w:spacing w:before="240" w:after="0" w:line="240" w:lineRule="auto"/>
        <w:jc w:val="both"/>
        <w:textAlignment w:val="baseline"/>
        <w:rPr>
          <w:noProof/>
        </w:rPr>
      </w:pPr>
      <w:r>
        <w:rPr>
          <w:noProof/>
        </w:rPr>
        <w:t>L’objectif de cet investissement est de soutenir la transformation numérique, d’accroître la productivité et la résilience, de réduire les erreurs et les délais de traitement (citoyens) des demandes de l’administration publique en adoptant des solutions d’automatisation robotique des processus (automatisation des tâches laborieuses, répétitives et fondées sur des règles).</w:t>
      </w:r>
    </w:p>
    <w:p w14:paraId="3B11CA38" w14:textId="77777777" w:rsidR="00A345F4" w:rsidRDefault="005E2D4E">
      <w:pPr>
        <w:pStyle w:val="P68B1DB1-Normal34"/>
        <w:suppressAutoHyphens/>
        <w:autoSpaceDN w:val="0"/>
        <w:spacing w:before="120" w:after="120" w:line="240" w:lineRule="auto"/>
        <w:jc w:val="both"/>
        <w:textAlignment w:val="baseline"/>
        <w:rPr>
          <w:noProof/>
          <w:color w:val="000000" w:themeColor="text1"/>
        </w:rPr>
      </w:pPr>
      <w:r>
        <w:rPr>
          <w:noProof/>
        </w:rPr>
        <w:t xml:space="preserve">L'investissement consiste à mettre en œuvre des technologies de pointe, à redéfinir la réingénierie des processus d'affaires et à soutenir les processus décisionnels du secteur public. </w:t>
      </w:r>
    </w:p>
    <w:p w14:paraId="3487AA13" w14:textId="77777777" w:rsidR="00A345F4" w:rsidRDefault="005E2D4E">
      <w:pPr>
        <w:pStyle w:val="P68B1DB1-Normal18"/>
        <w:suppressAutoHyphens/>
        <w:autoSpaceDN w:val="0"/>
        <w:spacing w:before="120" w:after="0" w:line="240" w:lineRule="auto"/>
        <w:jc w:val="both"/>
        <w:textAlignment w:val="baseline"/>
        <w:rPr>
          <w:rFonts w:eastAsiaTheme="majorEastAsia"/>
          <w:noProof/>
          <w:kern w:val="3"/>
        </w:rPr>
      </w:pPr>
      <w:r>
        <w:rPr>
          <w:noProof/>
        </w:rPr>
        <w:t xml:space="preserve">Investissement 19. Perfectionnement/requalification des salariés dans les entreprises </w:t>
      </w:r>
    </w:p>
    <w:p w14:paraId="53946BAD" w14:textId="29E1B559" w:rsidR="00A345F4" w:rsidRDefault="005E2D4E">
      <w:pPr>
        <w:pStyle w:val="P68B1DB1-Normal4"/>
        <w:spacing w:before="120" w:after="120" w:line="240" w:lineRule="auto"/>
        <w:jc w:val="both"/>
        <w:rPr>
          <w:rFonts w:eastAsia="Times New Roman"/>
          <w:noProof/>
        </w:rPr>
      </w:pPr>
      <w:r>
        <w:rPr>
          <w:noProof/>
        </w:rPr>
        <w:t xml:space="preserve">L’objectif de cet investissement est de soutenir la transformation numérique des petites et moyennes entreprises en augmentant les compétences numériques de leurs salariés. L’investissement consiste à soutenir la formation des salariés des PME aux compétences numériques. </w:t>
      </w:r>
    </w:p>
    <w:p w14:paraId="7FF39E57" w14:textId="77777777" w:rsidR="00A345F4" w:rsidRDefault="005E2D4E">
      <w:pPr>
        <w:pStyle w:val="P68B1DB1-Normal41"/>
        <w:rPr>
          <w:noProof/>
        </w:rPr>
      </w:pPr>
      <w:r>
        <w:rPr>
          <w:noProof/>
        </w:rPr>
        <w:t>Cette mesure complète l’investissement 19 bis. Perfectionnement/requalification des salariés dans les entreprises</w:t>
      </w:r>
    </w:p>
    <w:p w14:paraId="400E6F49" w14:textId="77777777" w:rsidR="00A345F4" w:rsidRDefault="00A345F4">
      <w:pPr>
        <w:suppressAutoHyphens/>
        <w:autoSpaceDN w:val="0"/>
        <w:spacing w:before="120" w:after="120" w:line="240" w:lineRule="auto"/>
        <w:jc w:val="both"/>
        <w:textAlignment w:val="baseline"/>
        <w:rPr>
          <w:rFonts w:ascii="Times New Roman" w:eastAsia="Times New Roman" w:hAnsi="Times New Roman" w:cs="Times New Roman"/>
          <w:noProof/>
          <w:kern w:val="3"/>
        </w:rPr>
      </w:pPr>
    </w:p>
    <w:p w14:paraId="04D00AC8" w14:textId="77777777" w:rsidR="00A345F4" w:rsidRDefault="00A345F4">
      <w:pPr>
        <w:suppressAutoHyphens/>
        <w:autoSpaceDN w:val="0"/>
        <w:spacing w:before="240" w:after="0" w:line="240" w:lineRule="auto"/>
        <w:jc w:val="both"/>
        <w:textAlignment w:val="baseline"/>
        <w:rPr>
          <w:rFonts w:ascii="Times New Roman" w:eastAsia="NSimSun" w:hAnsi="Times New Roman" w:cs="Times New Roman"/>
          <w:noProof/>
          <w:kern w:val="3"/>
        </w:rPr>
      </w:pPr>
    </w:p>
    <w:p w14:paraId="3C3A442B" w14:textId="77777777" w:rsidR="00A345F4" w:rsidRDefault="005E2D4E">
      <w:pPr>
        <w:pStyle w:val="P68B1DB1-Normal4"/>
        <w:spacing w:before="120" w:after="120" w:line="240" w:lineRule="auto"/>
        <w:jc w:val="both"/>
        <w:rPr>
          <w:noProof/>
        </w:rPr>
      </w:pPr>
      <w:bookmarkStart w:id="13" w:name="_Hlk207805154"/>
      <w:r>
        <w:rPr>
          <w:noProof/>
        </w:rPr>
        <w:t xml:space="preserve"> </w:t>
      </w:r>
    </w:p>
    <w:bookmarkEnd w:id="13"/>
    <w:p w14:paraId="2255F13A" w14:textId="77777777" w:rsidR="00A345F4" w:rsidRDefault="00A345F4">
      <w:pPr>
        <w:spacing w:before="120" w:after="120" w:line="240" w:lineRule="auto"/>
        <w:ind w:left="850"/>
        <w:jc w:val="both"/>
        <w:rPr>
          <w:rFonts w:ascii="Times New Roman" w:hAnsi="Times New Roman" w:cs="Times New Roman"/>
          <w:noProof/>
        </w:rPr>
        <w:sectPr w:rsidR="00A345F4" w:rsidSect="00A437C8">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08"/>
          <w:docGrid w:linePitch="360"/>
        </w:sectPr>
      </w:pPr>
    </w:p>
    <w:p w14:paraId="5613FC1C"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G.4. </w:t>
      </w:r>
      <w:r>
        <w:rPr>
          <w:noProof/>
        </w:rPr>
        <w:t xml:space="preserve"> </w:t>
      </w:r>
      <w:r>
        <w:rPr>
          <w:b/>
          <w:noProof/>
        </w:rPr>
        <w:t xml:space="preserve">Étapes, objectifs, indicateurs et calendrier du suivi et de la mise en œuvre du prêt </w:t>
      </w:r>
    </w:p>
    <w:tbl>
      <w:tblPr>
        <w:tblW w:w="15026" w:type="dxa"/>
        <w:jc w:val="center"/>
        <w:tblLayout w:type="fixed"/>
        <w:tblLook w:val="04A0" w:firstRow="1" w:lastRow="0" w:firstColumn="1" w:lastColumn="0" w:noHBand="0" w:noVBand="1"/>
      </w:tblPr>
      <w:tblGrid>
        <w:gridCol w:w="828"/>
        <w:gridCol w:w="1920"/>
        <w:gridCol w:w="1320"/>
        <w:gridCol w:w="1319"/>
        <w:gridCol w:w="1561"/>
        <w:gridCol w:w="1200"/>
        <w:gridCol w:w="1080"/>
        <w:gridCol w:w="973"/>
        <w:gridCol w:w="1134"/>
        <w:gridCol w:w="851"/>
        <w:gridCol w:w="2840"/>
      </w:tblGrid>
      <w:tr w:rsidR="00A345F4" w14:paraId="035A0512" w14:textId="77777777" w:rsidTr="00A6128C">
        <w:trPr>
          <w:trHeight w:val="939"/>
          <w:tblHeader/>
          <w:jc w:val="center"/>
        </w:trPr>
        <w:tc>
          <w:tcPr>
            <w:tcW w:w="8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BBA74C" w14:textId="77777777" w:rsidR="00A345F4" w:rsidRDefault="005E2D4E">
            <w:pPr>
              <w:pStyle w:val="P68B1DB1-Normal13"/>
              <w:spacing w:before="120" w:after="0" w:line="240" w:lineRule="auto"/>
              <w:jc w:val="center"/>
              <w:rPr>
                <w:rFonts w:eastAsia="Times New Roman"/>
                <w:noProof/>
              </w:rPr>
            </w:pPr>
            <w:r>
              <w:rPr>
                <w:noProof/>
              </w:rPr>
              <w:t>Seq Num</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50DE261" w14:textId="77777777" w:rsidR="00A345F4" w:rsidRDefault="005E2D4E">
            <w:pPr>
              <w:pStyle w:val="P68B1DB1-Normal13"/>
              <w:spacing w:before="120" w:after="0" w:line="240" w:lineRule="auto"/>
              <w:jc w:val="center"/>
              <w:rPr>
                <w:rFonts w:eastAsia="Times New Roman"/>
                <w:noProof/>
              </w:rPr>
            </w:pPr>
            <w:r>
              <w:rPr>
                <w:noProof/>
              </w:rPr>
              <w:t>Mesure connexe (réforme ou investissement)</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B27FEE" w14:textId="77777777" w:rsidR="00A345F4" w:rsidRDefault="005E2D4E">
            <w:pPr>
              <w:pStyle w:val="P68B1DB1-Normal13"/>
              <w:spacing w:before="120" w:after="0" w:line="240" w:lineRule="auto"/>
              <w:jc w:val="center"/>
              <w:rPr>
                <w:rFonts w:eastAsia="Times New Roman"/>
                <w:noProof/>
              </w:rPr>
            </w:pPr>
            <w:r>
              <w:rPr>
                <w:noProof/>
              </w:rPr>
              <w:t>Étape/cible</w:t>
            </w:r>
          </w:p>
        </w:tc>
        <w:tc>
          <w:tcPr>
            <w:tcW w:w="13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E27506" w14:textId="77777777" w:rsidR="00A345F4" w:rsidRDefault="005E2D4E">
            <w:pPr>
              <w:pStyle w:val="P68B1DB1-Normal13"/>
              <w:spacing w:before="120" w:after="0" w:line="240" w:lineRule="auto"/>
              <w:jc w:val="center"/>
              <w:rPr>
                <w:rFonts w:eastAsia="Times New Roman"/>
                <w:noProof/>
              </w:rPr>
            </w:pPr>
            <w:r>
              <w:rPr>
                <w:noProof/>
              </w:rPr>
              <w:t>Nom</w:t>
            </w:r>
          </w:p>
        </w:tc>
        <w:tc>
          <w:tcPr>
            <w:tcW w:w="15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B03D6C" w14:textId="77777777" w:rsidR="00A345F4" w:rsidRDefault="005E2D4E">
            <w:pPr>
              <w:pStyle w:val="P68B1DB1-Normal14"/>
              <w:spacing w:before="120" w:after="0" w:line="240" w:lineRule="auto"/>
              <w:jc w:val="center"/>
              <w:rPr>
                <w:rFonts w:eastAsia="Times New Roman"/>
                <w:b/>
                <w:noProof/>
              </w:rPr>
            </w:pPr>
            <w:r>
              <w:rPr>
                <w:b/>
                <w:noProof/>
              </w:rPr>
              <w:t>Indicateurs qualitatifs</w:t>
            </w:r>
            <w:r>
              <w:rPr>
                <w:noProof/>
              </w:rPr>
              <w:br/>
            </w:r>
            <w:r>
              <w:rPr>
                <w:b/>
                <w:noProof/>
              </w:rPr>
              <w:t>(pour les jalons)</w:t>
            </w:r>
          </w:p>
        </w:tc>
        <w:tc>
          <w:tcPr>
            <w:tcW w:w="325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03134B3" w14:textId="77777777" w:rsidR="00A345F4" w:rsidRDefault="005E2D4E">
            <w:pPr>
              <w:pStyle w:val="P68B1DB1-Normal14"/>
              <w:spacing w:before="120" w:after="0" w:line="240" w:lineRule="auto"/>
              <w:jc w:val="center"/>
              <w:rPr>
                <w:rFonts w:eastAsia="Times New Roman"/>
                <w:b/>
                <w:noProof/>
              </w:rPr>
            </w:pPr>
            <w:r>
              <w:rPr>
                <w:b/>
                <w:noProof/>
              </w:rPr>
              <w:t>Indicateurs quantitatifs</w:t>
            </w:r>
            <w:r>
              <w:rPr>
                <w:noProof/>
              </w:rPr>
              <w:br/>
            </w:r>
            <w:r>
              <w:rPr>
                <w:b/>
                <w:noProof/>
              </w:rPr>
              <w:t>(pour les objectifs)</w:t>
            </w:r>
          </w:p>
        </w:tc>
        <w:tc>
          <w:tcPr>
            <w:tcW w:w="1985" w:type="dxa"/>
            <w:gridSpan w:val="2"/>
            <w:tcBorders>
              <w:top w:val="single" w:sz="4" w:space="0" w:color="auto"/>
              <w:left w:val="nil"/>
              <w:bottom w:val="single" w:sz="4" w:space="0" w:color="auto"/>
              <w:right w:val="single" w:sz="4" w:space="0" w:color="auto"/>
            </w:tcBorders>
            <w:shd w:val="clear" w:color="auto" w:fill="BDD7EE"/>
            <w:vAlign w:val="center"/>
            <w:hideMark/>
          </w:tcPr>
          <w:p w14:paraId="1ABF700D" w14:textId="77777777" w:rsidR="00A345F4" w:rsidRDefault="005E2D4E">
            <w:pPr>
              <w:pStyle w:val="P68B1DB1-Normal13"/>
              <w:spacing w:before="120" w:after="0" w:line="240" w:lineRule="auto"/>
              <w:jc w:val="center"/>
              <w:rPr>
                <w:rFonts w:eastAsia="Times New Roman"/>
                <w:noProof/>
              </w:rPr>
            </w:pPr>
            <w:r>
              <w:rPr>
                <w:noProof/>
              </w:rPr>
              <w:t>Calendrier indicatif d'achèvement</w:t>
            </w:r>
          </w:p>
        </w:tc>
        <w:tc>
          <w:tcPr>
            <w:tcW w:w="28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3A5EF7" w14:textId="77777777" w:rsidR="00A345F4" w:rsidRDefault="005E2D4E">
            <w:pPr>
              <w:pStyle w:val="P68B1DB1-Normal13"/>
              <w:spacing w:before="120" w:after="0" w:line="240" w:lineRule="auto"/>
              <w:jc w:val="center"/>
              <w:rPr>
                <w:rFonts w:eastAsia="Times New Roman"/>
                <w:noProof/>
              </w:rPr>
            </w:pPr>
            <w:r>
              <w:rPr>
                <w:noProof/>
              </w:rPr>
              <w:t>Description de chaque jalon et cible</w:t>
            </w:r>
          </w:p>
        </w:tc>
      </w:tr>
      <w:tr w:rsidR="00A345F4" w14:paraId="3AF62E58" w14:textId="77777777" w:rsidTr="00A6128C">
        <w:trPr>
          <w:trHeight w:val="203"/>
          <w:tblHeader/>
          <w:jc w:val="center"/>
        </w:trPr>
        <w:tc>
          <w:tcPr>
            <w:tcW w:w="828" w:type="dxa"/>
            <w:vMerge/>
            <w:tcBorders>
              <w:top w:val="single" w:sz="4" w:space="0" w:color="auto"/>
              <w:left w:val="single" w:sz="4" w:space="0" w:color="auto"/>
              <w:bottom w:val="single" w:sz="4" w:space="0" w:color="auto"/>
              <w:right w:val="single" w:sz="4" w:space="0" w:color="auto"/>
            </w:tcBorders>
            <w:hideMark/>
          </w:tcPr>
          <w:p w14:paraId="2F814720" w14:textId="77777777" w:rsidR="00A345F4" w:rsidRDefault="00A345F4">
            <w:pPr>
              <w:spacing w:before="120" w:after="0" w:line="240" w:lineRule="auto"/>
              <w:jc w:val="center"/>
              <w:rPr>
                <w:rFonts w:ascii="Times New Roman" w:eastAsia="Times New Roman" w:hAnsi="Times New Roman" w:cs="Times New Roman"/>
                <w:b/>
                <w:bCs/>
                <w:noProof/>
                <w:sz w:val="20"/>
                <w:szCs w:val="20"/>
              </w:rPr>
            </w:pPr>
          </w:p>
        </w:tc>
        <w:tc>
          <w:tcPr>
            <w:tcW w:w="1920" w:type="dxa"/>
            <w:vMerge/>
            <w:tcBorders>
              <w:top w:val="single" w:sz="4" w:space="0" w:color="auto"/>
              <w:left w:val="single" w:sz="4" w:space="0" w:color="auto"/>
              <w:bottom w:val="single" w:sz="4" w:space="0" w:color="auto"/>
              <w:right w:val="single" w:sz="4" w:space="0" w:color="auto"/>
            </w:tcBorders>
            <w:hideMark/>
          </w:tcPr>
          <w:p w14:paraId="0D926A53" w14:textId="77777777" w:rsidR="00A345F4" w:rsidRDefault="00A345F4">
            <w:pPr>
              <w:spacing w:before="120" w:after="0" w:line="240" w:lineRule="auto"/>
              <w:jc w:val="both"/>
              <w:rPr>
                <w:rFonts w:ascii="Times New Roman" w:eastAsia="Times New Roman" w:hAnsi="Times New Roman" w:cs="Times New Roman"/>
                <w:b/>
                <w:bCs/>
                <w:noProof/>
                <w:sz w:val="20"/>
                <w:szCs w:val="20"/>
              </w:rPr>
            </w:pPr>
          </w:p>
        </w:tc>
        <w:tc>
          <w:tcPr>
            <w:tcW w:w="1320" w:type="dxa"/>
            <w:vMerge/>
            <w:tcBorders>
              <w:top w:val="single" w:sz="4" w:space="0" w:color="auto"/>
              <w:left w:val="single" w:sz="4" w:space="0" w:color="auto"/>
              <w:bottom w:val="single" w:sz="4" w:space="0" w:color="auto"/>
              <w:right w:val="single" w:sz="4" w:space="0" w:color="auto"/>
            </w:tcBorders>
            <w:hideMark/>
          </w:tcPr>
          <w:p w14:paraId="4505A182" w14:textId="77777777" w:rsidR="00A345F4" w:rsidRDefault="00A345F4">
            <w:pPr>
              <w:spacing w:before="120" w:after="0" w:line="240" w:lineRule="auto"/>
              <w:jc w:val="both"/>
              <w:rPr>
                <w:rFonts w:ascii="Times New Roman" w:eastAsia="Times New Roman" w:hAnsi="Times New Roman" w:cs="Times New Roman"/>
                <w:b/>
                <w:bCs/>
                <w:noProof/>
                <w:sz w:val="20"/>
                <w:szCs w:val="20"/>
              </w:rPr>
            </w:pPr>
          </w:p>
        </w:tc>
        <w:tc>
          <w:tcPr>
            <w:tcW w:w="1319" w:type="dxa"/>
            <w:vMerge/>
            <w:tcBorders>
              <w:top w:val="single" w:sz="4" w:space="0" w:color="auto"/>
              <w:left w:val="single" w:sz="4" w:space="0" w:color="auto"/>
              <w:bottom w:val="single" w:sz="4" w:space="0" w:color="auto"/>
              <w:right w:val="single" w:sz="4" w:space="0" w:color="auto"/>
            </w:tcBorders>
            <w:hideMark/>
          </w:tcPr>
          <w:p w14:paraId="0411CA47" w14:textId="77777777" w:rsidR="00A345F4" w:rsidRDefault="00A345F4">
            <w:pPr>
              <w:spacing w:before="120" w:after="0" w:line="240" w:lineRule="auto"/>
              <w:jc w:val="both"/>
              <w:rPr>
                <w:rFonts w:ascii="Times New Roman" w:eastAsia="Times New Roman" w:hAnsi="Times New Roman" w:cs="Times New Roman"/>
                <w:b/>
                <w:bCs/>
                <w:noProof/>
                <w:sz w:val="20"/>
                <w:szCs w:val="20"/>
              </w:rPr>
            </w:pPr>
          </w:p>
        </w:tc>
        <w:tc>
          <w:tcPr>
            <w:tcW w:w="1561" w:type="dxa"/>
            <w:vMerge/>
            <w:tcBorders>
              <w:top w:val="single" w:sz="4" w:space="0" w:color="auto"/>
              <w:left w:val="single" w:sz="4" w:space="0" w:color="auto"/>
              <w:bottom w:val="single" w:sz="4" w:space="0" w:color="auto"/>
              <w:right w:val="single" w:sz="4" w:space="0" w:color="auto"/>
            </w:tcBorders>
            <w:hideMark/>
          </w:tcPr>
          <w:p w14:paraId="3989B54C" w14:textId="77777777" w:rsidR="00A345F4" w:rsidRDefault="00A345F4">
            <w:pPr>
              <w:spacing w:before="120" w:after="0" w:line="240" w:lineRule="auto"/>
              <w:jc w:val="both"/>
              <w:rPr>
                <w:rFonts w:ascii="Times New Roman" w:eastAsia="Times New Roman" w:hAnsi="Times New Roman" w:cs="Times New Roman"/>
                <w:b/>
                <w:bCs/>
                <w:noProof/>
                <w:sz w:val="20"/>
                <w:szCs w:val="20"/>
              </w:rPr>
            </w:pPr>
          </w:p>
        </w:tc>
        <w:tc>
          <w:tcPr>
            <w:tcW w:w="1200" w:type="dxa"/>
            <w:tcBorders>
              <w:top w:val="nil"/>
              <w:left w:val="single" w:sz="4" w:space="0" w:color="auto"/>
              <w:bottom w:val="single" w:sz="4" w:space="0" w:color="auto"/>
              <w:right w:val="single" w:sz="4" w:space="0" w:color="auto"/>
            </w:tcBorders>
            <w:shd w:val="clear" w:color="auto" w:fill="BDD7EE"/>
            <w:vAlign w:val="center"/>
            <w:hideMark/>
          </w:tcPr>
          <w:p w14:paraId="72FD0497" w14:textId="77777777" w:rsidR="00A345F4" w:rsidRDefault="005E2D4E">
            <w:pPr>
              <w:pStyle w:val="P68B1DB1-Normal13"/>
              <w:spacing w:before="120" w:after="0" w:line="240" w:lineRule="auto"/>
              <w:jc w:val="center"/>
              <w:rPr>
                <w:rFonts w:eastAsia="Times New Roman"/>
                <w:noProof/>
              </w:rPr>
            </w:pPr>
            <w:r>
              <w:rPr>
                <w:noProof/>
              </w:rPr>
              <w:t>Unité de mesure</w:t>
            </w:r>
          </w:p>
        </w:tc>
        <w:tc>
          <w:tcPr>
            <w:tcW w:w="1080" w:type="dxa"/>
            <w:tcBorders>
              <w:top w:val="nil"/>
              <w:left w:val="nil"/>
              <w:bottom w:val="single" w:sz="4" w:space="0" w:color="auto"/>
              <w:right w:val="single" w:sz="4" w:space="0" w:color="auto"/>
            </w:tcBorders>
            <w:shd w:val="clear" w:color="auto" w:fill="BDD7EE"/>
            <w:vAlign w:val="center"/>
            <w:hideMark/>
          </w:tcPr>
          <w:p w14:paraId="6FA608D8" w14:textId="77777777" w:rsidR="00A345F4" w:rsidRDefault="005E2D4E">
            <w:pPr>
              <w:pStyle w:val="P68B1DB1-Normal13"/>
              <w:spacing w:before="120" w:after="0" w:line="240" w:lineRule="auto"/>
              <w:jc w:val="center"/>
              <w:rPr>
                <w:rFonts w:eastAsia="Times New Roman"/>
                <w:noProof/>
              </w:rPr>
            </w:pPr>
            <w:r>
              <w:rPr>
                <w:noProof/>
              </w:rPr>
              <w:t>Données de référence</w:t>
            </w:r>
          </w:p>
        </w:tc>
        <w:tc>
          <w:tcPr>
            <w:tcW w:w="973" w:type="dxa"/>
            <w:tcBorders>
              <w:top w:val="nil"/>
              <w:left w:val="nil"/>
              <w:bottom w:val="single" w:sz="4" w:space="0" w:color="auto"/>
              <w:right w:val="single" w:sz="4" w:space="0" w:color="auto"/>
            </w:tcBorders>
            <w:shd w:val="clear" w:color="auto" w:fill="BDD7EE"/>
            <w:vAlign w:val="center"/>
            <w:hideMark/>
          </w:tcPr>
          <w:p w14:paraId="4FAE2733" w14:textId="77777777" w:rsidR="00A345F4" w:rsidRDefault="005E2D4E">
            <w:pPr>
              <w:pStyle w:val="P68B1DB1-Normal13"/>
              <w:spacing w:before="120" w:after="0" w:line="240" w:lineRule="auto"/>
              <w:jc w:val="center"/>
              <w:rPr>
                <w:rFonts w:eastAsia="Times New Roman"/>
                <w:noProof/>
              </w:rPr>
            </w:pPr>
            <w:r>
              <w:rPr>
                <w:noProof/>
              </w:rPr>
              <w:t>Objectif</w:t>
            </w:r>
          </w:p>
        </w:tc>
        <w:tc>
          <w:tcPr>
            <w:tcW w:w="1134" w:type="dxa"/>
            <w:tcBorders>
              <w:top w:val="nil"/>
              <w:left w:val="nil"/>
              <w:bottom w:val="single" w:sz="4" w:space="0" w:color="auto"/>
              <w:right w:val="single" w:sz="4" w:space="0" w:color="auto"/>
            </w:tcBorders>
            <w:shd w:val="clear" w:color="auto" w:fill="BDD7EE"/>
            <w:vAlign w:val="center"/>
            <w:hideMark/>
          </w:tcPr>
          <w:p w14:paraId="6722BC8C" w14:textId="77777777" w:rsidR="00A345F4" w:rsidRDefault="005E2D4E">
            <w:pPr>
              <w:pStyle w:val="P68B1DB1-Normal13"/>
              <w:spacing w:before="120" w:after="0" w:line="240" w:lineRule="auto"/>
              <w:jc w:val="center"/>
              <w:rPr>
                <w:rFonts w:eastAsia="Times New Roman"/>
                <w:noProof/>
              </w:rPr>
            </w:pPr>
            <w:r>
              <w:rPr>
                <w:noProof/>
              </w:rPr>
              <w:t>Trimestre</w:t>
            </w:r>
          </w:p>
        </w:tc>
        <w:tc>
          <w:tcPr>
            <w:tcW w:w="851" w:type="dxa"/>
            <w:tcBorders>
              <w:top w:val="nil"/>
              <w:left w:val="nil"/>
              <w:bottom w:val="single" w:sz="4" w:space="0" w:color="auto"/>
              <w:right w:val="single" w:sz="4" w:space="0" w:color="auto"/>
            </w:tcBorders>
            <w:shd w:val="clear" w:color="auto" w:fill="BDD7EE"/>
            <w:vAlign w:val="center"/>
            <w:hideMark/>
          </w:tcPr>
          <w:p w14:paraId="3AA82BB7" w14:textId="77777777" w:rsidR="00A345F4" w:rsidRDefault="005E2D4E">
            <w:pPr>
              <w:pStyle w:val="P68B1DB1-Normal13"/>
              <w:spacing w:before="120" w:after="0" w:line="240" w:lineRule="auto"/>
              <w:jc w:val="center"/>
              <w:rPr>
                <w:rFonts w:eastAsia="Times New Roman"/>
                <w:noProof/>
              </w:rPr>
            </w:pPr>
            <w:r>
              <w:rPr>
                <w:noProof/>
              </w:rPr>
              <w:t>Année</w:t>
            </w:r>
          </w:p>
        </w:tc>
        <w:tc>
          <w:tcPr>
            <w:tcW w:w="2840" w:type="dxa"/>
            <w:vMerge/>
            <w:tcBorders>
              <w:top w:val="single" w:sz="4" w:space="0" w:color="auto"/>
              <w:bottom w:val="single" w:sz="4" w:space="0" w:color="auto"/>
              <w:right w:val="single" w:sz="4" w:space="0" w:color="auto"/>
            </w:tcBorders>
            <w:hideMark/>
          </w:tcPr>
          <w:p w14:paraId="60A1D1B0" w14:textId="77777777" w:rsidR="00A345F4" w:rsidRDefault="00A345F4">
            <w:pPr>
              <w:spacing w:before="120" w:after="0" w:line="240" w:lineRule="auto"/>
              <w:jc w:val="both"/>
              <w:rPr>
                <w:rFonts w:ascii="Times New Roman" w:eastAsia="Times New Roman" w:hAnsi="Times New Roman" w:cs="Times New Roman"/>
                <w:b/>
                <w:bCs/>
                <w:noProof/>
                <w:sz w:val="20"/>
                <w:szCs w:val="20"/>
              </w:rPr>
            </w:pPr>
          </w:p>
        </w:tc>
      </w:tr>
      <w:tr w:rsidR="00A345F4" w14:paraId="341319CA" w14:textId="77777777" w:rsidTr="00A6128C">
        <w:trPr>
          <w:trHeight w:val="313"/>
          <w:jc w:val="center"/>
        </w:trPr>
        <w:tc>
          <w:tcPr>
            <w:tcW w:w="828" w:type="dxa"/>
            <w:tcBorders>
              <w:top w:val="single" w:sz="4" w:space="0" w:color="auto"/>
              <w:left w:val="single" w:sz="4" w:space="0" w:color="auto"/>
              <w:bottom w:val="single" w:sz="4" w:space="0" w:color="auto"/>
              <w:right w:val="single" w:sz="4" w:space="0" w:color="auto"/>
            </w:tcBorders>
            <w:shd w:val="clear" w:color="auto" w:fill="C6EFCE"/>
            <w:noWrap/>
            <w:hideMark/>
          </w:tcPr>
          <w:p w14:paraId="115CC4E8" w14:textId="77777777" w:rsidR="00A345F4" w:rsidRDefault="005E2D4E">
            <w:pPr>
              <w:pStyle w:val="P68B1DB1-Normal14"/>
              <w:spacing w:after="0" w:line="240" w:lineRule="auto"/>
              <w:jc w:val="center"/>
              <w:rPr>
                <w:rFonts w:eastAsia="Times New Roman"/>
                <w:noProof/>
              </w:rPr>
            </w:pPr>
            <w:r>
              <w:rPr>
                <w:noProof/>
              </w:rPr>
              <w:t>188</w:t>
            </w:r>
          </w:p>
        </w:tc>
        <w:tc>
          <w:tcPr>
            <w:tcW w:w="1920" w:type="dxa"/>
            <w:tcBorders>
              <w:top w:val="single" w:sz="4" w:space="0" w:color="auto"/>
              <w:left w:val="nil"/>
              <w:bottom w:val="single" w:sz="4" w:space="0" w:color="auto"/>
              <w:right w:val="single" w:sz="4" w:space="0" w:color="auto"/>
            </w:tcBorders>
            <w:shd w:val="clear" w:color="auto" w:fill="C6EFCE"/>
            <w:noWrap/>
            <w:hideMark/>
          </w:tcPr>
          <w:p w14:paraId="2EFAB114" w14:textId="77777777" w:rsidR="00A345F4" w:rsidRDefault="005E2D4E">
            <w:pPr>
              <w:pStyle w:val="P68B1DB1-Normal14"/>
              <w:spacing w:after="120" w:line="240" w:lineRule="auto"/>
              <w:jc w:val="both"/>
              <w:rPr>
                <w:noProof/>
              </w:rPr>
            </w:pPr>
            <w:r>
              <w:rPr>
                <w:noProof/>
              </w:rPr>
              <w:t>Investissement 18. Transformation numérique et automatisation robotique des processus dans l'administration publique</w:t>
            </w:r>
          </w:p>
          <w:p w14:paraId="626819F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20" w:type="dxa"/>
            <w:tcBorders>
              <w:top w:val="single" w:sz="4" w:space="0" w:color="auto"/>
              <w:left w:val="nil"/>
              <w:bottom w:val="single" w:sz="4" w:space="0" w:color="auto"/>
              <w:right w:val="single" w:sz="4" w:space="0" w:color="auto"/>
            </w:tcBorders>
            <w:shd w:val="clear" w:color="auto" w:fill="C6EFCE"/>
            <w:noWrap/>
            <w:hideMark/>
          </w:tcPr>
          <w:p w14:paraId="4EB9006E" w14:textId="77777777" w:rsidR="00A345F4" w:rsidRDefault="005E2D4E">
            <w:pPr>
              <w:pStyle w:val="P68B1DB1-Normal14"/>
              <w:spacing w:after="0" w:line="240" w:lineRule="auto"/>
              <w:jc w:val="both"/>
              <w:rPr>
                <w:rFonts w:eastAsia="Times New Roman"/>
                <w:noProof/>
              </w:rPr>
            </w:pPr>
            <w:r>
              <w:rPr>
                <w:noProof/>
              </w:rPr>
              <w:t>Objectif</w:t>
            </w:r>
          </w:p>
        </w:tc>
        <w:tc>
          <w:tcPr>
            <w:tcW w:w="1319" w:type="dxa"/>
            <w:tcBorders>
              <w:top w:val="single" w:sz="4" w:space="0" w:color="auto"/>
              <w:left w:val="nil"/>
              <w:bottom w:val="single" w:sz="4" w:space="0" w:color="auto"/>
              <w:right w:val="single" w:sz="4" w:space="0" w:color="auto"/>
            </w:tcBorders>
            <w:shd w:val="clear" w:color="auto" w:fill="C6EFCE"/>
            <w:noWrap/>
            <w:hideMark/>
          </w:tcPr>
          <w:p w14:paraId="2A5264CA" w14:textId="60B0B22C" w:rsidR="00A345F4" w:rsidRDefault="005E2D4E">
            <w:pPr>
              <w:pStyle w:val="P68B1DB1-Normal14"/>
              <w:spacing w:after="0" w:line="240" w:lineRule="auto"/>
              <w:jc w:val="both"/>
              <w:rPr>
                <w:rFonts w:eastAsia="Times New Roman"/>
                <w:noProof/>
              </w:rPr>
            </w:pPr>
            <w:r>
              <w:rPr>
                <w:noProof/>
              </w:rPr>
              <w:t xml:space="preserve">Automatisation robotique des processus (RPA) et promotion de l'intelligence artificielle (IA) dans l'administration publique </w:t>
            </w:r>
          </w:p>
        </w:tc>
        <w:tc>
          <w:tcPr>
            <w:tcW w:w="1561" w:type="dxa"/>
            <w:tcBorders>
              <w:top w:val="single" w:sz="4" w:space="0" w:color="auto"/>
              <w:left w:val="nil"/>
              <w:bottom w:val="single" w:sz="4" w:space="0" w:color="auto"/>
              <w:right w:val="single" w:sz="4" w:space="0" w:color="auto"/>
            </w:tcBorders>
            <w:shd w:val="clear" w:color="auto" w:fill="C6EFCE"/>
            <w:noWrap/>
            <w:hideMark/>
          </w:tcPr>
          <w:p w14:paraId="35F15148" w14:textId="77777777" w:rsidR="00A345F4" w:rsidRDefault="005E2D4E">
            <w:pPr>
              <w:pStyle w:val="P68B1DB1-Normal14"/>
              <w:spacing w:after="0" w:line="240" w:lineRule="auto"/>
              <w:jc w:val="both"/>
              <w:rPr>
                <w:rFonts w:eastAsia="Times New Roman"/>
                <w:noProof/>
              </w:rPr>
            </w:pPr>
            <w:r>
              <w:rPr>
                <w:noProof/>
              </w:rPr>
              <w:t xml:space="preserve"> </w:t>
            </w:r>
          </w:p>
        </w:tc>
        <w:tc>
          <w:tcPr>
            <w:tcW w:w="1200" w:type="dxa"/>
            <w:tcBorders>
              <w:top w:val="nil"/>
              <w:left w:val="nil"/>
              <w:bottom w:val="single" w:sz="4" w:space="0" w:color="auto"/>
              <w:right w:val="single" w:sz="4" w:space="0" w:color="auto"/>
            </w:tcBorders>
            <w:shd w:val="clear" w:color="auto" w:fill="C6EFCE"/>
            <w:noWrap/>
            <w:hideMark/>
          </w:tcPr>
          <w:p w14:paraId="05C7FDF8" w14:textId="77777777" w:rsidR="00A345F4" w:rsidRDefault="005E2D4E">
            <w:pPr>
              <w:pStyle w:val="P68B1DB1-Normal14"/>
              <w:spacing w:after="0" w:line="240" w:lineRule="auto"/>
              <w:jc w:val="both"/>
              <w:rPr>
                <w:rFonts w:eastAsia="Times New Roman"/>
                <w:noProof/>
              </w:rPr>
            </w:pPr>
            <w:r>
              <w:rPr>
                <w:noProof/>
              </w:rPr>
              <w:t>Numéro</w:t>
            </w:r>
          </w:p>
        </w:tc>
        <w:tc>
          <w:tcPr>
            <w:tcW w:w="1080" w:type="dxa"/>
            <w:tcBorders>
              <w:top w:val="nil"/>
              <w:left w:val="nil"/>
              <w:bottom w:val="single" w:sz="4" w:space="0" w:color="auto"/>
              <w:right w:val="single" w:sz="4" w:space="0" w:color="auto"/>
            </w:tcBorders>
            <w:shd w:val="clear" w:color="auto" w:fill="C6EFCE"/>
            <w:noWrap/>
            <w:hideMark/>
          </w:tcPr>
          <w:p w14:paraId="6466B928" w14:textId="77777777" w:rsidR="00A345F4" w:rsidRDefault="005E2D4E">
            <w:pPr>
              <w:pStyle w:val="P68B1DB1-Normal14"/>
              <w:spacing w:after="0" w:line="240" w:lineRule="auto"/>
              <w:jc w:val="both"/>
              <w:rPr>
                <w:rFonts w:eastAsia="Times New Roman"/>
                <w:noProof/>
              </w:rPr>
            </w:pPr>
            <w:r>
              <w:rPr>
                <w:noProof/>
              </w:rPr>
              <w:t>0</w:t>
            </w:r>
          </w:p>
        </w:tc>
        <w:tc>
          <w:tcPr>
            <w:tcW w:w="973" w:type="dxa"/>
            <w:tcBorders>
              <w:top w:val="nil"/>
              <w:left w:val="nil"/>
              <w:bottom w:val="single" w:sz="4" w:space="0" w:color="auto"/>
              <w:right w:val="single" w:sz="4" w:space="0" w:color="auto"/>
            </w:tcBorders>
            <w:shd w:val="clear" w:color="auto" w:fill="C6EFCE"/>
            <w:noWrap/>
            <w:hideMark/>
          </w:tcPr>
          <w:p w14:paraId="53DA17DC" w14:textId="77777777" w:rsidR="00A345F4" w:rsidRDefault="005E2D4E">
            <w:pPr>
              <w:pStyle w:val="P68B1DB1-Normal14"/>
              <w:spacing w:after="0" w:line="240" w:lineRule="auto"/>
              <w:jc w:val="both"/>
              <w:rPr>
                <w:rFonts w:eastAsia="Times New Roman"/>
                <w:noProof/>
              </w:rPr>
            </w:pPr>
            <w:r>
              <w:rPr>
                <w:noProof/>
              </w:rPr>
              <w:t>18</w:t>
            </w:r>
          </w:p>
        </w:tc>
        <w:tc>
          <w:tcPr>
            <w:tcW w:w="1134" w:type="dxa"/>
            <w:tcBorders>
              <w:top w:val="nil"/>
              <w:left w:val="nil"/>
              <w:bottom w:val="single" w:sz="4" w:space="0" w:color="auto"/>
              <w:right w:val="single" w:sz="4" w:space="0" w:color="auto"/>
            </w:tcBorders>
            <w:shd w:val="clear" w:color="auto" w:fill="C6EFCE"/>
            <w:noWrap/>
            <w:hideMark/>
          </w:tcPr>
          <w:p w14:paraId="70D23513" w14:textId="77777777" w:rsidR="00A345F4" w:rsidRDefault="005E2D4E">
            <w:pPr>
              <w:pStyle w:val="P68B1DB1-Normal14"/>
              <w:spacing w:after="0" w:line="240" w:lineRule="auto"/>
              <w:jc w:val="both"/>
              <w:rPr>
                <w:rFonts w:eastAsia="Times New Roman"/>
                <w:noProof/>
              </w:rPr>
            </w:pPr>
            <w:r>
              <w:rPr>
                <w:noProof/>
              </w:rPr>
              <w:t>T2</w:t>
            </w:r>
          </w:p>
        </w:tc>
        <w:tc>
          <w:tcPr>
            <w:tcW w:w="851" w:type="dxa"/>
            <w:tcBorders>
              <w:top w:val="nil"/>
              <w:left w:val="nil"/>
              <w:bottom w:val="single" w:sz="4" w:space="0" w:color="auto"/>
              <w:right w:val="single" w:sz="4" w:space="0" w:color="auto"/>
            </w:tcBorders>
            <w:shd w:val="clear" w:color="auto" w:fill="C6EFCE"/>
            <w:noWrap/>
            <w:hideMark/>
          </w:tcPr>
          <w:p w14:paraId="4B4B1828" w14:textId="77777777" w:rsidR="00A345F4" w:rsidRDefault="005E2D4E">
            <w:pPr>
              <w:pStyle w:val="P68B1DB1-Normal14"/>
              <w:spacing w:after="0" w:line="240" w:lineRule="auto"/>
              <w:jc w:val="both"/>
              <w:rPr>
                <w:rFonts w:eastAsia="Times New Roman"/>
                <w:noProof/>
              </w:rPr>
            </w:pPr>
            <w:r>
              <w:rPr>
                <w:noProof/>
              </w:rPr>
              <w:t xml:space="preserve"> 2026</w:t>
            </w:r>
          </w:p>
        </w:tc>
        <w:tc>
          <w:tcPr>
            <w:tcW w:w="2840" w:type="dxa"/>
            <w:tcBorders>
              <w:top w:val="single" w:sz="4" w:space="0" w:color="auto"/>
              <w:left w:val="nil"/>
              <w:bottom w:val="single" w:sz="4" w:space="0" w:color="auto"/>
              <w:right w:val="single" w:sz="4" w:space="0" w:color="auto"/>
            </w:tcBorders>
            <w:shd w:val="clear" w:color="auto" w:fill="C6EFCE"/>
            <w:noWrap/>
            <w:hideMark/>
          </w:tcPr>
          <w:p w14:paraId="1AEA92EC" w14:textId="77777777" w:rsidR="00A345F4" w:rsidRDefault="005E2D4E">
            <w:pPr>
              <w:pStyle w:val="P68B1DB1-Normal14"/>
              <w:spacing w:after="0" w:line="240" w:lineRule="auto"/>
              <w:jc w:val="both"/>
              <w:rPr>
                <w:noProof/>
              </w:rPr>
            </w:pPr>
            <w:r>
              <w:rPr>
                <w:noProof/>
              </w:rPr>
              <w:t>Cet investissement intégrera des solutions de soutien à l’automatisation des processus robotiques et à l’intelligence artificielle pour 18 institutions publiques de l’administration centrale.</w:t>
            </w:r>
          </w:p>
        </w:tc>
      </w:tr>
      <w:tr w:rsidR="00A345F4" w14:paraId="4B1D9D83" w14:textId="77777777" w:rsidTr="00A6128C">
        <w:trPr>
          <w:trHeight w:val="313"/>
          <w:jc w:val="center"/>
        </w:trPr>
        <w:tc>
          <w:tcPr>
            <w:tcW w:w="828" w:type="dxa"/>
            <w:tcBorders>
              <w:top w:val="nil"/>
              <w:left w:val="single" w:sz="4" w:space="0" w:color="auto"/>
              <w:bottom w:val="single" w:sz="4" w:space="0" w:color="auto"/>
              <w:right w:val="single" w:sz="4" w:space="0" w:color="auto"/>
            </w:tcBorders>
            <w:shd w:val="clear" w:color="auto" w:fill="C6EFCE"/>
            <w:noWrap/>
            <w:hideMark/>
          </w:tcPr>
          <w:p w14:paraId="5BD11ABF" w14:textId="77777777" w:rsidR="00A345F4" w:rsidRDefault="005E2D4E">
            <w:pPr>
              <w:pStyle w:val="P68B1DB1-Normal14"/>
              <w:spacing w:line="240" w:lineRule="auto"/>
              <w:jc w:val="center"/>
              <w:rPr>
                <w:noProof/>
              </w:rPr>
            </w:pPr>
            <w:r>
              <w:rPr>
                <w:noProof/>
              </w:rPr>
              <w:t>189</w:t>
            </w:r>
          </w:p>
        </w:tc>
        <w:tc>
          <w:tcPr>
            <w:tcW w:w="1920" w:type="dxa"/>
            <w:tcBorders>
              <w:top w:val="nil"/>
              <w:left w:val="nil"/>
              <w:bottom w:val="single" w:sz="4" w:space="0" w:color="auto"/>
              <w:right w:val="single" w:sz="4" w:space="0" w:color="auto"/>
            </w:tcBorders>
            <w:shd w:val="clear" w:color="auto" w:fill="C6EFCE"/>
            <w:noWrap/>
            <w:hideMark/>
          </w:tcPr>
          <w:p w14:paraId="7FFBEC59" w14:textId="77777777" w:rsidR="00A345F4" w:rsidRDefault="005E2D4E">
            <w:pPr>
              <w:pStyle w:val="P68B1DB1-Normal14"/>
              <w:spacing w:line="240" w:lineRule="auto"/>
              <w:jc w:val="both"/>
              <w:rPr>
                <w:noProof/>
              </w:rPr>
            </w:pPr>
            <w:r>
              <w:rPr>
                <w:noProof/>
              </w:rPr>
              <w:t xml:space="preserve">Investissement 19. Perfectionnement/requalification des salariés dans les entreprises </w:t>
            </w:r>
          </w:p>
        </w:tc>
        <w:tc>
          <w:tcPr>
            <w:tcW w:w="1320" w:type="dxa"/>
            <w:tcBorders>
              <w:top w:val="nil"/>
              <w:left w:val="nil"/>
              <w:bottom w:val="single" w:sz="4" w:space="0" w:color="auto"/>
              <w:right w:val="single" w:sz="4" w:space="0" w:color="auto"/>
            </w:tcBorders>
            <w:shd w:val="clear" w:color="auto" w:fill="C6EFCE"/>
            <w:noWrap/>
            <w:hideMark/>
          </w:tcPr>
          <w:p w14:paraId="7EA6FFCC" w14:textId="77777777" w:rsidR="00A345F4" w:rsidRDefault="005E2D4E">
            <w:pPr>
              <w:pStyle w:val="P68B1DB1-Normal14"/>
              <w:spacing w:line="240" w:lineRule="auto"/>
              <w:jc w:val="both"/>
              <w:rPr>
                <w:noProof/>
              </w:rPr>
            </w:pPr>
            <w:r>
              <w:rPr>
                <w:noProof/>
              </w:rPr>
              <w:t>Étape</w:t>
            </w:r>
          </w:p>
        </w:tc>
        <w:tc>
          <w:tcPr>
            <w:tcW w:w="1319" w:type="dxa"/>
            <w:tcBorders>
              <w:top w:val="nil"/>
              <w:left w:val="nil"/>
              <w:bottom w:val="single" w:sz="4" w:space="0" w:color="auto"/>
              <w:right w:val="single" w:sz="4" w:space="0" w:color="auto"/>
            </w:tcBorders>
            <w:shd w:val="clear" w:color="auto" w:fill="C6EFCE"/>
            <w:noWrap/>
            <w:hideMark/>
          </w:tcPr>
          <w:p w14:paraId="67B043D8" w14:textId="77777777" w:rsidR="00A345F4" w:rsidRDefault="005E2D4E">
            <w:pPr>
              <w:pStyle w:val="P68B1DB1-Normal14"/>
              <w:spacing w:line="240" w:lineRule="auto"/>
              <w:jc w:val="both"/>
              <w:rPr>
                <w:noProof/>
              </w:rPr>
            </w:pPr>
            <w:r>
              <w:rPr>
                <w:noProof/>
              </w:rPr>
              <w:t>Lancement de l’appel à propositions «Soutien aux subventions en faveur des compétences numériques»</w:t>
            </w:r>
          </w:p>
        </w:tc>
        <w:tc>
          <w:tcPr>
            <w:tcW w:w="1561" w:type="dxa"/>
            <w:tcBorders>
              <w:top w:val="nil"/>
              <w:left w:val="nil"/>
              <w:bottom w:val="single" w:sz="4" w:space="0" w:color="auto"/>
              <w:right w:val="single" w:sz="4" w:space="0" w:color="auto"/>
            </w:tcBorders>
            <w:shd w:val="clear" w:color="auto" w:fill="C6EFCE"/>
            <w:noWrap/>
            <w:hideMark/>
          </w:tcPr>
          <w:p w14:paraId="7027B6B8" w14:textId="77777777" w:rsidR="00A345F4" w:rsidRDefault="005E2D4E">
            <w:pPr>
              <w:pStyle w:val="P68B1DB1-Normal14"/>
              <w:spacing w:line="240" w:lineRule="auto"/>
              <w:jc w:val="both"/>
              <w:rPr>
                <w:noProof/>
              </w:rPr>
            </w:pPr>
            <w:r>
              <w:rPr>
                <w:noProof/>
              </w:rPr>
              <w:t>Publication de l'appel</w:t>
            </w:r>
          </w:p>
        </w:tc>
        <w:tc>
          <w:tcPr>
            <w:tcW w:w="1200" w:type="dxa"/>
            <w:tcBorders>
              <w:top w:val="nil"/>
              <w:left w:val="nil"/>
              <w:bottom w:val="single" w:sz="4" w:space="0" w:color="auto"/>
              <w:right w:val="single" w:sz="4" w:space="0" w:color="auto"/>
            </w:tcBorders>
            <w:shd w:val="clear" w:color="auto" w:fill="C6EFCE"/>
            <w:noWrap/>
            <w:hideMark/>
          </w:tcPr>
          <w:p w14:paraId="3E999759" w14:textId="77777777" w:rsidR="00A345F4" w:rsidRDefault="00A345F4">
            <w:pPr>
              <w:spacing w:line="240" w:lineRule="auto"/>
              <w:jc w:val="both"/>
              <w:rPr>
                <w:rFonts w:ascii="Times New Roman" w:hAnsi="Times New Roman" w:cs="Times New Roman"/>
                <w:noProof/>
                <w:sz w:val="20"/>
                <w:szCs w:val="20"/>
              </w:rPr>
            </w:pPr>
          </w:p>
        </w:tc>
        <w:tc>
          <w:tcPr>
            <w:tcW w:w="1080" w:type="dxa"/>
            <w:tcBorders>
              <w:top w:val="nil"/>
              <w:left w:val="nil"/>
              <w:bottom w:val="single" w:sz="4" w:space="0" w:color="auto"/>
              <w:right w:val="single" w:sz="4" w:space="0" w:color="auto"/>
            </w:tcBorders>
            <w:shd w:val="clear" w:color="auto" w:fill="C6EFCE"/>
            <w:noWrap/>
            <w:hideMark/>
          </w:tcPr>
          <w:p w14:paraId="254FF764" w14:textId="77777777" w:rsidR="00A345F4" w:rsidRDefault="00A345F4">
            <w:pPr>
              <w:spacing w:line="240" w:lineRule="auto"/>
              <w:jc w:val="both"/>
              <w:rPr>
                <w:rFonts w:ascii="Times New Roman" w:hAnsi="Times New Roman" w:cs="Times New Roman"/>
                <w:noProof/>
                <w:sz w:val="20"/>
                <w:szCs w:val="20"/>
              </w:rPr>
            </w:pPr>
          </w:p>
        </w:tc>
        <w:tc>
          <w:tcPr>
            <w:tcW w:w="973" w:type="dxa"/>
            <w:tcBorders>
              <w:top w:val="nil"/>
              <w:left w:val="nil"/>
              <w:bottom w:val="single" w:sz="4" w:space="0" w:color="auto"/>
              <w:right w:val="single" w:sz="4" w:space="0" w:color="auto"/>
            </w:tcBorders>
            <w:shd w:val="clear" w:color="auto" w:fill="C6EFCE"/>
            <w:noWrap/>
            <w:hideMark/>
          </w:tcPr>
          <w:p w14:paraId="07D28ACD" w14:textId="77777777" w:rsidR="00A345F4" w:rsidRDefault="00A345F4">
            <w:pPr>
              <w:spacing w:line="240" w:lineRule="auto"/>
              <w:jc w:val="both"/>
              <w:rPr>
                <w:rFonts w:ascii="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33239B49" w14:textId="77777777" w:rsidR="00A345F4" w:rsidRDefault="005E2D4E">
            <w:pPr>
              <w:pStyle w:val="P68B1DB1-Normal14"/>
              <w:spacing w:line="240" w:lineRule="auto"/>
              <w:jc w:val="both"/>
              <w:rPr>
                <w:noProof/>
              </w:rPr>
            </w:pPr>
            <w:r>
              <w:rPr>
                <w:noProof/>
              </w:rPr>
              <w:t>T1</w:t>
            </w:r>
          </w:p>
        </w:tc>
        <w:tc>
          <w:tcPr>
            <w:tcW w:w="851" w:type="dxa"/>
            <w:tcBorders>
              <w:top w:val="nil"/>
              <w:left w:val="nil"/>
              <w:bottom w:val="single" w:sz="4" w:space="0" w:color="auto"/>
              <w:right w:val="single" w:sz="4" w:space="0" w:color="auto"/>
            </w:tcBorders>
            <w:shd w:val="clear" w:color="auto" w:fill="C6EFCE"/>
            <w:noWrap/>
            <w:hideMark/>
          </w:tcPr>
          <w:p w14:paraId="78091DED" w14:textId="77777777" w:rsidR="00A345F4" w:rsidRDefault="005E2D4E">
            <w:pPr>
              <w:pStyle w:val="P68B1DB1-Normal14"/>
              <w:spacing w:line="240" w:lineRule="auto"/>
              <w:jc w:val="both"/>
              <w:rPr>
                <w:noProof/>
              </w:rPr>
            </w:pPr>
            <w:r>
              <w:rPr>
                <w:noProof/>
              </w:rPr>
              <w:t>2022</w:t>
            </w:r>
          </w:p>
        </w:tc>
        <w:tc>
          <w:tcPr>
            <w:tcW w:w="2840" w:type="dxa"/>
            <w:tcBorders>
              <w:top w:val="nil"/>
              <w:left w:val="nil"/>
              <w:bottom w:val="single" w:sz="4" w:space="0" w:color="auto"/>
              <w:right w:val="single" w:sz="4" w:space="0" w:color="auto"/>
            </w:tcBorders>
            <w:shd w:val="clear" w:color="auto" w:fill="C6EFCE"/>
            <w:noWrap/>
            <w:hideMark/>
          </w:tcPr>
          <w:p w14:paraId="10CE0835" w14:textId="77777777" w:rsidR="00A345F4" w:rsidRDefault="005E2D4E">
            <w:pPr>
              <w:pStyle w:val="P68B1DB1-Normal14"/>
              <w:spacing w:line="240" w:lineRule="auto"/>
              <w:jc w:val="both"/>
              <w:rPr>
                <w:noProof/>
              </w:rPr>
            </w:pPr>
            <w:r>
              <w:rPr>
                <w:noProof/>
              </w:rPr>
              <w:t>Appel à subventions pour soutenir les PME dans la formation aux compétences numériques telles que les outils et équipements numériques, le renforcement des compétences numériques, y compris les compétences liées aux technologies en nuage, et aux technologies spécifiques à l’industrie 4.0.</w:t>
            </w:r>
          </w:p>
        </w:tc>
      </w:tr>
    </w:tbl>
    <w:p w14:paraId="4A3096A3" w14:textId="77777777" w:rsidR="00A345F4" w:rsidRDefault="00A345F4">
      <w:pPr>
        <w:spacing w:before="120" w:after="0" w:line="240" w:lineRule="auto"/>
        <w:textAlignment w:val="baseline"/>
        <w:rPr>
          <w:rFonts w:ascii="Times New Roman" w:hAnsi="Times New Roman" w:cs="Times New Roman"/>
          <w:noProof/>
        </w:rPr>
        <w:sectPr w:rsidR="00A345F4" w:rsidSect="00A437C8">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56792A5D" w14:textId="77777777" w:rsidR="00A345F4" w:rsidRDefault="005E2D4E">
      <w:pPr>
        <w:pStyle w:val="P68B1DB1-Normal1"/>
        <w:keepNext/>
        <w:numPr>
          <w:ilvl w:val="0"/>
          <w:numId w:val="46"/>
        </w:numPr>
        <w:tabs>
          <w:tab w:val="left" w:pos="850"/>
        </w:tabs>
        <w:spacing w:before="360" w:after="120" w:line="240" w:lineRule="auto"/>
        <w:jc w:val="both"/>
        <w:outlineLvl w:val="0"/>
        <w:rPr>
          <w:bCs/>
          <w:noProof/>
        </w:rPr>
      </w:pPr>
      <w:r>
        <w:rPr>
          <w:noProof/>
        </w:rPr>
        <w:t>Élément 8: Réforme de la fiscalité et des retraites</w:t>
      </w:r>
    </w:p>
    <w:p w14:paraId="015B03D6" w14:textId="77777777" w:rsidR="00A345F4" w:rsidRDefault="005E2D4E">
      <w:pPr>
        <w:pStyle w:val="P68B1DB1-Normal4"/>
        <w:spacing w:before="120" w:after="120" w:line="240" w:lineRule="auto"/>
        <w:jc w:val="both"/>
        <w:rPr>
          <w:noProof/>
        </w:rPr>
      </w:pPr>
      <w:r>
        <w:rPr>
          <w:noProof/>
        </w:rPr>
        <w:t>Ce volet comprend un ensemble de réformes et d’investissements visant à relever les principaux défis de l’administration fiscale, du système fiscal, du cadre budgétaire du gouvernement, du système de retraite et du soutien public aux entreprises:</w:t>
      </w:r>
    </w:p>
    <w:p w14:paraId="1BAED840" w14:textId="77777777" w:rsidR="00A345F4" w:rsidRDefault="005E2D4E">
      <w:pPr>
        <w:pStyle w:val="P68B1DB1-Normal4"/>
        <w:numPr>
          <w:ilvl w:val="0"/>
          <w:numId w:val="78"/>
        </w:numPr>
        <w:spacing w:before="120" w:after="120" w:line="240" w:lineRule="auto"/>
        <w:jc w:val="both"/>
        <w:rPr>
          <w:noProof/>
        </w:rPr>
      </w:pPr>
      <w:r>
        <w:rPr>
          <w:noProof/>
        </w:rPr>
        <w:t xml:space="preserve">Réforme de l'administration fiscale et révision du cadre fiscal afin d'améliorer le système fiscal et d'augmenter les recettes perçues par l'administration fiscale. </w:t>
      </w:r>
    </w:p>
    <w:p w14:paraId="1DAAC8E0" w14:textId="77777777" w:rsidR="00A345F4" w:rsidRDefault="005E2D4E">
      <w:pPr>
        <w:pStyle w:val="P68B1DB1-Normal4"/>
        <w:numPr>
          <w:ilvl w:val="0"/>
          <w:numId w:val="78"/>
        </w:numPr>
        <w:spacing w:before="120" w:after="120" w:line="240" w:lineRule="auto"/>
        <w:jc w:val="both"/>
        <w:rPr>
          <w:noProof/>
        </w:rPr>
      </w:pPr>
      <w:r>
        <w:rPr>
          <w:noProof/>
        </w:rPr>
        <w:t xml:space="preserve">Réforme du système public de retraite au moyen d’un nouveau cadre législatif visant à garantir la viabilité budgétaire dans un environnement de vieillissement de la population, à corriger les inégalités, à garantir la viabilité et la prévisibilité du système et à respecter le principe de contribution à l’égard des bénéficiaires de droits à pension. Il vise également à moderniser le système de retraite au moyen d’applications et de services numériques. </w:t>
      </w:r>
    </w:p>
    <w:p w14:paraId="3BE8EC24" w14:textId="77777777" w:rsidR="00A345F4" w:rsidRDefault="005E2D4E">
      <w:pPr>
        <w:pStyle w:val="P68B1DB1-Normal4"/>
        <w:numPr>
          <w:ilvl w:val="0"/>
          <w:numId w:val="78"/>
        </w:numPr>
        <w:spacing w:before="120" w:after="120" w:line="240" w:lineRule="auto"/>
        <w:jc w:val="both"/>
        <w:rPr>
          <w:noProof/>
        </w:rPr>
      </w:pPr>
      <w:r>
        <w:rPr>
          <w:noProof/>
        </w:rPr>
        <w:t>le renforcement de l’efficacité des dépenses publiques, en augmentant la transparence du processus budgétaire, en améliorant le système de suivi et d’établissement de rapports des programmes budgétaires, en donnant la priorité aux grands projets d’investissement, en procédant à des examens des dépenses dans tous les secteurs publics et en renforçant le rôle du conseil budgétaire. La numérisation des procédures budgétaires devrait soutenir ces objectifs.</w:t>
      </w:r>
    </w:p>
    <w:p w14:paraId="71B7EA18" w14:textId="77777777" w:rsidR="00A345F4" w:rsidRDefault="005E2D4E">
      <w:pPr>
        <w:pStyle w:val="P68B1DB1-Normal4"/>
        <w:numPr>
          <w:ilvl w:val="0"/>
          <w:numId w:val="78"/>
        </w:numPr>
        <w:spacing w:before="120" w:after="120" w:line="240" w:lineRule="auto"/>
        <w:jc w:val="both"/>
        <w:rPr>
          <w:noProof/>
        </w:rPr>
      </w:pPr>
      <w:r>
        <w:rPr>
          <w:noProof/>
        </w:rPr>
        <w:t>Renforcer la capacité institutionnelle à prévoir les dépenses de retraite grâce à l'utilisation d'outils de modélisation économique complexes. L’objectif principal de la réforme est d’accroître la capacité d’estimation de l’incidence des réformes structurelles du système de retraite à moyen et à long terme, en augmentant la précision des projections et en évaluant ainsi l’incidence sur la viabilité du système de retraite.</w:t>
      </w:r>
    </w:p>
    <w:p w14:paraId="379C881D" w14:textId="77777777" w:rsidR="00A345F4" w:rsidRDefault="005E2D4E">
      <w:pPr>
        <w:pStyle w:val="P68B1DB1-Normal4"/>
        <w:numPr>
          <w:ilvl w:val="0"/>
          <w:numId w:val="78"/>
        </w:numPr>
        <w:spacing w:before="120" w:after="120" w:line="240" w:lineRule="auto"/>
        <w:jc w:val="both"/>
        <w:rPr>
          <w:noProof/>
        </w:rPr>
      </w:pPr>
      <w:r>
        <w:rPr>
          <w:noProof/>
        </w:rPr>
        <w:t xml:space="preserve">Accroître la compétitivité, la capacité d'innovation, la productivité et l'internationalisation des entreprises (en particulier des PME) en fournissant d'autres sources de financement grâce à la création d'une banque nationale de développement. </w:t>
      </w:r>
    </w:p>
    <w:p w14:paraId="0B1EA1DF" w14:textId="77777777" w:rsidR="00A345F4" w:rsidRDefault="005E2D4E">
      <w:pPr>
        <w:pStyle w:val="P68B1DB1-Normal4"/>
        <w:spacing w:before="120" w:after="120"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3134999E" w14:textId="77777777" w:rsidR="00A345F4" w:rsidRDefault="00A345F4">
      <w:pPr>
        <w:spacing w:before="120" w:after="120" w:line="240" w:lineRule="auto"/>
        <w:jc w:val="both"/>
        <w:rPr>
          <w:rFonts w:ascii="Times New Roman" w:hAnsi="Times New Roman" w:cs="Times New Roman"/>
          <w:noProof/>
        </w:rPr>
      </w:pPr>
    </w:p>
    <w:p w14:paraId="49F5FF51"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H.1. </w:t>
      </w:r>
      <w:r>
        <w:rPr>
          <w:noProof/>
        </w:rPr>
        <w:t xml:space="preserve"> </w:t>
      </w:r>
      <w:r>
        <w:rPr>
          <w:b/>
          <w:noProof/>
        </w:rPr>
        <w:t>Description des réformes et des investissements pour le soutien financier non remboursable</w:t>
      </w:r>
    </w:p>
    <w:p w14:paraId="7D5093C0" w14:textId="77777777" w:rsidR="00A345F4" w:rsidRDefault="005E2D4E">
      <w:pPr>
        <w:pStyle w:val="P68B1DB1-Normal12"/>
        <w:suppressAutoHyphens/>
        <w:autoSpaceDN w:val="0"/>
        <w:spacing w:before="240" w:after="0" w:line="240" w:lineRule="auto"/>
        <w:jc w:val="both"/>
        <w:textAlignment w:val="baseline"/>
        <w:rPr>
          <w:noProof/>
        </w:rPr>
      </w:pPr>
      <w:r>
        <w:rPr>
          <w:noProof/>
        </w:rPr>
        <w:t>Réforme 1. Réforme de l’Agence nationale pour l’administration budgétaire (ANAF) par la numérisation</w:t>
      </w:r>
    </w:p>
    <w:p w14:paraId="174117FA" w14:textId="625BE706" w:rsidR="00A345F4" w:rsidRDefault="005E2D4E">
      <w:pPr>
        <w:pStyle w:val="P68B1DB1-Normal4"/>
        <w:spacing w:before="120" w:after="120" w:line="240" w:lineRule="auto"/>
        <w:jc w:val="both"/>
        <w:rPr>
          <w:noProof/>
        </w:rPr>
      </w:pPr>
      <w:r>
        <w:rPr>
          <w:noProof/>
        </w:rPr>
        <w:t xml:space="preserve">L’objectif de cette réforme est de répondre au besoin urgent de modernisation et de numérisation de l’ANAF afin de rendre la perception de l’impôt plus efficace dans le but d’augmenter le ratio recettes/PIB et de réduire l’écart de TVA. </w:t>
      </w:r>
    </w:p>
    <w:p w14:paraId="37418299" w14:textId="77777777" w:rsidR="00A345F4" w:rsidRDefault="005E2D4E">
      <w:pPr>
        <w:pStyle w:val="P68B1DB1-Normal4"/>
        <w:spacing w:before="120" w:after="120" w:line="240" w:lineRule="auto"/>
        <w:jc w:val="both"/>
        <w:rPr>
          <w:noProof/>
        </w:rPr>
      </w:pPr>
      <w:r>
        <w:rPr>
          <w:noProof/>
        </w:rPr>
        <w:t xml:space="preserve">Cette réforme consiste en l'entrée en vigueur du cadre juridique applicable. </w:t>
      </w:r>
    </w:p>
    <w:p w14:paraId="673C0AEF" w14:textId="77777777" w:rsidR="00A345F4" w:rsidRDefault="005E2D4E">
      <w:pPr>
        <w:pStyle w:val="P68B1DB1-Normal12"/>
        <w:suppressAutoHyphens/>
        <w:autoSpaceDN w:val="0"/>
        <w:spacing w:before="240" w:after="0" w:line="240" w:lineRule="auto"/>
        <w:jc w:val="both"/>
        <w:textAlignment w:val="baseline"/>
        <w:rPr>
          <w:noProof/>
        </w:rPr>
      </w:pPr>
      <w:r>
        <w:rPr>
          <w:noProof/>
        </w:rPr>
        <w:t>Réforme 2. Modernisation du système douanier et mise en place de la douane électronique</w:t>
      </w:r>
    </w:p>
    <w:p w14:paraId="057C6D7C" w14:textId="77777777" w:rsidR="00A345F4" w:rsidRDefault="005E2D4E">
      <w:pPr>
        <w:pStyle w:val="P68B1DB1-Normal4"/>
        <w:spacing w:before="120" w:after="120" w:line="240" w:lineRule="auto"/>
        <w:jc w:val="both"/>
        <w:rPr>
          <w:noProof/>
        </w:rPr>
      </w:pPr>
      <w:r>
        <w:rPr>
          <w:noProof/>
        </w:rPr>
        <w:t xml:space="preserve">L’objectif de cette réforme est de renforcer la capacité administrative de l’administration douanière et d’orienter l’activité de dédouanement vers un environnement électronique. </w:t>
      </w:r>
    </w:p>
    <w:p w14:paraId="1180EECA" w14:textId="77777777" w:rsidR="00A345F4" w:rsidRDefault="005E2D4E">
      <w:pPr>
        <w:pStyle w:val="P68B1DB1-Normal4"/>
        <w:spacing w:before="120" w:after="120" w:line="240" w:lineRule="auto"/>
        <w:jc w:val="both"/>
        <w:rPr>
          <w:noProof/>
        </w:rPr>
      </w:pPr>
      <w:r>
        <w:rPr>
          <w:noProof/>
        </w:rPr>
        <w:t>Cette réforme consiste en un ou plusieurs actes juridiques visant à améliorer le fonctionnement de l’administration douanière.</w:t>
      </w:r>
    </w:p>
    <w:p w14:paraId="1A556C77" w14:textId="77777777" w:rsidR="00A345F4" w:rsidRDefault="005E2D4E">
      <w:pPr>
        <w:pStyle w:val="P68B1DB1-Normal24"/>
        <w:spacing w:before="120" w:after="120" w:line="240" w:lineRule="auto"/>
        <w:jc w:val="both"/>
        <w:rPr>
          <w:rFonts w:eastAsia="NSimSun"/>
          <w:noProof/>
          <w:kern w:val="3"/>
        </w:rPr>
      </w:pPr>
      <w:r>
        <w:rPr>
          <w:noProof/>
        </w:rPr>
        <w:t>Réforme 3. Amélioration du mécanisme de programmation budgétaire</w:t>
      </w:r>
    </w:p>
    <w:p w14:paraId="5A2EC3BB" w14:textId="77777777" w:rsidR="00A345F4" w:rsidRDefault="005E2D4E">
      <w:pPr>
        <w:pStyle w:val="P68B1DB1-Normal4"/>
        <w:spacing w:before="120" w:after="120" w:line="240" w:lineRule="auto"/>
        <w:jc w:val="both"/>
        <w:rPr>
          <w:noProof/>
        </w:rPr>
      </w:pPr>
      <w:r>
        <w:rPr>
          <w:noProof/>
        </w:rPr>
        <w:t xml:space="preserve">L'objectif de cette mesure est de renforcer le mécanisme de programmation budgétaire. </w:t>
      </w:r>
    </w:p>
    <w:p w14:paraId="4F17C71B" w14:textId="77777777" w:rsidR="00A345F4" w:rsidRDefault="005E2D4E">
      <w:pPr>
        <w:pStyle w:val="P68B1DB1-Normal4"/>
        <w:spacing w:before="120" w:after="120" w:line="240" w:lineRule="auto"/>
        <w:jc w:val="both"/>
        <w:rPr>
          <w:noProof/>
        </w:rPr>
      </w:pPr>
      <w:r>
        <w:rPr>
          <w:noProof/>
        </w:rPr>
        <w:t xml:space="preserve">Cette mesure consiste en l’adoption d’un ou de plusieurs actes juridiques visant à garantir une planification budgétaire pluriannuelle, à renforcer la hiérarchisation des investissements publics et à introduire des réexamens systématiques des dépenses. </w:t>
      </w:r>
    </w:p>
    <w:p w14:paraId="5E3E3F68" w14:textId="77777777" w:rsidR="00A345F4" w:rsidRDefault="005E2D4E">
      <w:pPr>
        <w:pStyle w:val="P68B1DB1-Normal24"/>
        <w:spacing w:before="120" w:after="120" w:line="240" w:lineRule="auto"/>
        <w:jc w:val="both"/>
        <w:rPr>
          <w:rFonts w:eastAsia="NSimSun"/>
          <w:noProof/>
          <w:kern w:val="3"/>
        </w:rPr>
      </w:pPr>
      <w:r>
        <w:rPr>
          <w:noProof/>
        </w:rPr>
        <w:t>Réforme 4. Révision du cadre fiscal</w:t>
      </w:r>
    </w:p>
    <w:p w14:paraId="15136881" w14:textId="77777777" w:rsidR="00A345F4" w:rsidRDefault="005E2D4E">
      <w:pPr>
        <w:pStyle w:val="P68B1DB1-Normal4"/>
        <w:spacing w:before="120" w:after="120" w:line="240" w:lineRule="auto"/>
        <w:jc w:val="both"/>
        <w:rPr>
          <w:noProof/>
        </w:rPr>
      </w:pPr>
      <w:r>
        <w:rPr>
          <w:noProof/>
        </w:rPr>
        <w:t xml:space="preserve">L’objectif de cette mesure est de réexaminer le cadre fiscal de la Roumanie. </w:t>
      </w:r>
    </w:p>
    <w:p w14:paraId="249CC9AC" w14:textId="77777777" w:rsidR="00A345F4" w:rsidRDefault="005E2D4E">
      <w:pPr>
        <w:pStyle w:val="P68B1DB1-Normal4"/>
        <w:spacing w:before="120" w:after="120" w:line="240" w:lineRule="auto"/>
        <w:jc w:val="both"/>
        <w:rPr>
          <w:noProof/>
        </w:rPr>
      </w:pPr>
      <w:r>
        <w:rPr>
          <w:noProof/>
        </w:rPr>
        <w:t>Cette mesure consiste en l’adoption d’un ou de plusieurs actes juridiques visant à mettre en place un système fiscal plus équitable et plus efficace, capable de mieux soutenir l’économie et de faciliter le respect des obligations par les contribuables.</w:t>
      </w:r>
    </w:p>
    <w:p w14:paraId="2DF196CA" w14:textId="77777777" w:rsidR="00A345F4" w:rsidRDefault="005E2D4E">
      <w:pPr>
        <w:pStyle w:val="P68B1DB1-Normal24"/>
        <w:spacing w:before="120" w:after="120" w:line="240" w:lineRule="auto"/>
        <w:jc w:val="both"/>
        <w:rPr>
          <w:noProof/>
        </w:rPr>
      </w:pPr>
      <w:r>
        <w:rPr>
          <w:noProof/>
        </w:rPr>
        <w:t>Réforme 5. Création de la Banque nationale de développement</w:t>
      </w:r>
    </w:p>
    <w:p w14:paraId="28328BEA" w14:textId="77777777" w:rsidR="00A345F4" w:rsidRDefault="005E2D4E">
      <w:pPr>
        <w:pStyle w:val="P68B1DB1-Normal4"/>
        <w:spacing w:before="120" w:after="120" w:line="240" w:lineRule="auto"/>
        <w:jc w:val="both"/>
        <w:rPr>
          <w:noProof/>
        </w:rPr>
      </w:pPr>
      <w:r>
        <w:rPr>
          <w:noProof/>
        </w:rPr>
        <w:t xml:space="preserve">L’objectif de cette mesure est de remédier directement aux défaillances des marchés financiers, en finançant des projets de bénéficiaires éligibles présentant un profil de risque élevé mais présentant un potentiel élevé de création de valeur ajoutée et d’emplois et pour lesquels le secteur privé n’a guère envie d’obtenir un financement. </w:t>
      </w:r>
    </w:p>
    <w:p w14:paraId="362E6341" w14:textId="77777777" w:rsidR="00A345F4" w:rsidRDefault="005E2D4E">
      <w:pPr>
        <w:pStyle w:val="P68B1DB1-Normal4"/>
        <w:spacing w:before="120" w:after="120" w:line="240" w:lineRule="auto"/>
        <w:jc w:val="both"/>
        <w:rPr>
          <w:noProof/>
        </w:rPr>
      </w:pPr>
      <w:r>
        <w:rPr>
          <w:noProof/>
        </w:rPr>
        <w:t xml:space="preserve">Cette mesure consiste à faire en sorte que le BND soit établi et actif. </w:t>
      </w:r>
    </w:p>
    <w:p w14:paraId="2CA286E3" w14:textId="77777777" w:rsidR="00A345F4" w:rsidRDefault="005E2D4E">
      <w:pPr>
        <w:pStyle w:val="P68B1DB1-Normal24"/>
        <w:spacing w:before="120" w:after="120" w:line="240" w:lineRule="auto"/>
        <w:jc w:val="both"/>
        <w:rPr>
          <w:rFonts w:eastAsia="NSimSun"/>
          <w:noProof/>
          <w:kern w:val="3"/>
        </w:rPr>
      </w:pPr>
      <w:r>
        <w:rPr>
          <w:noProof/>
        </w:rPr>
        <w:t>Réforme 6. Réforme du système public de retraite</w:t>
      </w:r>
    </w:p>
    <w:p w14:paraId="721D76DF" w14:textId="77777777" w:rsidR="00A345F4" w:rsidRDefault="005E2D4E">
      <w:pPr>
        <w:pStyle w:val="P68B1DB1-Normal4"/>
        <w:spacing w:before="120" w:after="120" w:line="240" w:lineRule="auto"/>
        <w:jc w:val="both"/>
        <w:rPr>
          <w:noProof/>
        </w:rPr>
      </w:pPr>
      <w:r>
        <w:rPr>
          <w:noProof/>
        </w:rPr>
        <w:t xml:space="preserve">L'objectif de la réforme est d'introduire une nouvelle formule de calcul pour les nouvelles pensions et les pensions en cours de paiement. </w:t>
      </w:r>
    </w:p>
    <w:p w14:paraId="6F6642FE" w14:textId="6731259F" w:rsidR="00A345F4" w:rsidRDefault="005E2D4E">
      <w:pPr>
        <w:pStyle w:val="P68B1DB1-Normal4"/>
        <w:spacing w:before="120" w:after="120" w:line="240" w:lineRule="auto"/>
        <w:jc w:val="both"/>
        <w:rPr>
          <w:noProof/>
        </w:rPr>
      </w:pPr>
      <w:r>
        <w:rPr>
          <w:noProof/>
        </w:rPr>
        <w:t xml:space="preserve">La réforme consiste en l’adoption d’un ou de plusieurs actes juridiques sur le système public de retraite, sur la base des contributions de l’assistance technique, dans le but de garantir la viabilité budgétaire. </w:t>
      </w:r>
    </w:p>
    <w:p w14:paraId="4124FF63" w14:textId="579D8B78" w:rsidR="00A345F4" w:rsidRDefault="005E2D4E">
      <w:pPr>
        <w:pStyle w:val="P68B1DB1-Normal24"/>
        <w:spacing w:before="120" w:after="120" w:line="240" w:lineRule="auto"/>
        <w:jc w:val="both"/>
        <w:rPr>
          <w:rFonts w:eastAsia="NSimSun"/>
          <w:noProof/>
          <w:kern w:val="3"/>
        </w:rPr>
      </w:pPr>
      <w:r>
        <w:rPr>
          <w:noProof/>
        </w:rPr>
        <w:t>Investissement 1. Faciliter le respect des règles par les contribuables grâce à l’accès aux services numériques</w:t>
      </w:r>
    </w:p>
    <w:p w14:paraId="43664F35" w14:textId="77777777" w:rsidR="00A345F4" w:rsidRDefault="005E2D4E">
      <w:pPr>
        <w:pStyle w:val="P68B1DB1-Normal4"/>
        <w:spacing w:before="120" w:after="120" w:line="240" w:lineRule="auto"/>
        <w:jc w:val="both"/>
        <w:rPr>
          <w:noProof/>
        </w:rPr>
      </w:pPr>
      <w:r>
        <w:rPr>
          <w:noProof/>
        </w:rPr>
        <w:t xml:space="preserve">L’objectif de cet investissement est de faciliter le respect des règles par les contribuables grâce à l’accès aux services numériques. </w:t>
      </w:r>
    </w:p>
    <w:p w14:paraId="46F980B7" w14:textId="77777777" w:rsidR="00A345F4" w:rsidRDefault="005E2D4E">
      <w:pPr>
        <w:pStyle w:val="P68B1DB1-Normal4"/>
        <w:spacing w:before="120" w:after="120" w:line="240" w:lineRule="auto"/>
        <w:jc w:val="both"/>
        <w:rPr>
          <w:noProof/>
        </w:rPr>
      </w:pPr>
      <w:r>
        <w:rPr>
          <w:noProof/>
        </w:rPr>
        <w:t>Cette mesure consiste en la création de différents services en ligne accessibles aux contribuables.</w:t>
      </w:r>
    </w:p>
    <w:p w14:paraId="6CCBCBDD" w14:textId="77777777" w:rsidR="00A345F4" w:rsidRDefault="005E2D4E">
      <w:pPr>
        <w:pStyle w:val="P68B1DB1-Normal24"/>
        <w:spacing w:before="120" w:after="120" w:line="240" w:lineRule="auto"/>
        <w:jc w:val="both"/>
        <w:rPr>
          <w:rFonts w:eastAsia="NSimSun"/>
          <w:noProof/>
          <w:kern w:val="3"/>
        </w:rPr>
      </w:pPr>
      <w:r>
        <w:rPr>
          <w:noProof/>
        </w:rPr>
        <w:t>Investissement 2. Améliorer les processus fiscaux et administratifs</w:t>
      </w:r>
    </w:p>
    <w:p w14:paraId="6158BFE4" w14:textId="5C50892E" w:rsidR="00A345F4" w:rsidRDefault="005E2D4E">
      <w:pPr>
        <w:pStyle w:val="P68B1DB1-Normal4"/>
        <w:spacing w:before="120" w:after="120" w:line="240" w:lineRule="auto"/>
        <w:jc w:val="both"/>
        <w:rPr>
          <w:noProof/>
        </w:rPr>
      </w:pPr>
      <w:r>
        <w:rPr>
          <w:noProof/>
        </w:rPr>
        <w:t xml:space="preserve">L’objectif de l’investissement est d’accroître le respect des obligations fiscales, de réduire l’évasion et la fraude fiscales et de soutenir la réalisation des recettes budgétaires prévues en augmentant l’efficacité de la perception de l’impôt. </w:t>
      </w:r>
    </w:p>
    <w:p w14:paraId="24C6692B" w14:textId="77777777" w:rsidR="00A345F4" w:rsidRDefault="005E2D4E">
      <w:pPr>
        <w:pStyle w:val="P68B1DB1-Normal4"/>
        <w:spacing w:before="120" w:after="120" w:line="240" w:lineRule="auto"/>
        <w:jc w:val="both"/>
        <w:rPr>
          <w:noProof/>
        </w:rPr>
      </w:pPr>
      <w:r>
        <w:rPr>
          <w:noProof/>
        </w:rPr>
        <w:t>Cette mesure consiste en la création de plateformes numériques, la connexion électronique des caisses enregistreuses et la formation du personnel concerné du ministère.</w:t>
      </w:r>
    </w:p>
    <w:p w14:paraId="6ABD5A34" w14:textId="77777777" w:rsidR="00A345F4" w:rsidRDefault="005E2D4E">
      <w:pPr>
        <w:pStyle w:val="P68B1DB1-Normal24"/>
        <w:spacing w:before="120" w:after="120" w:line="240" w:lineRule="auto"/>
        <w:jc w:val="both"/>
        <w:rPr>
          <w:rFonts w:eastAsia="NSimSun"/>
          <w:noProof/>
          <w:kern w:val="3"/>
        </w:rPr>
      </w:pPr>
      <w:r>
        <w:rPr>
          <w:noProof/>
        </w:rPr>
        <w:t>Investissement 3. Garantir la capacité de répondre aux défis actuels et futurs en matière d’information, y compris dans le contexte de la pandémie, grâce à la transformation numérique du ministère des finances / de l’Agence nationale pour l’administration fiscale</w:t>
      </w:r>
    </w:p>
    <w:p w14:paraId="7D3A76F2" w14:textId="77777777" w:rsidR="00A345F4" w:rsidRDefault="005E2D4E">
      <w:pPr>
        <w:pStyle w:val="P68B1DB1-Normal4"/>
        <w:spacing w:before="120" w:after="120" w:line="240" w:lineRule="auto"/>
        <w:jc w:val="both"/>
        <w:rPr>
          <w:noProof/>
        </w:rPr>
      </w:pPr>
      <w:r>
        <w:rPr>
          <w:noProof/>
        </w:rPr>
        <w:t xml:space="preserve">L'objectif de cet investissement est d'assurer la capacité de répondre aux défis actuels et futurs en matière d'information grâce à la transformation numérique du ministère des Finances/ANAF. </w:t>
      </w:r>
    </w:p>
    <w:p w14:paraId="46F21DFF" w14:textId="77777777" w:rsidR="00A345F4" w:rsidRDefault="005E2D4E">
      <w:pPr>
        <w:pStyle w:val="P68B1DB1-Normal4"/>
        <w:spacing w:before="120" w:after="120" w:line="240" w:lineRule="auto"/>
        <w:jc w:val="both"/>
        <w:rPr>
          <w:noProof/>
        </w:rPr>
      </w:pPr>
      <w:r>
        <w:rPr>
          <w:noProof/>
        </w:rPr>
        <w:t>Cette mesure consiste à acquérir des infrastructures et à renforcer la cybersécurité au sein du ministère des finances/ANAF.</w:t>
      </w:r>
    </w:p>
    <w:p w14:paraId="517591AF" w14:textId="77777777" w:rsidR="00A345F4" w:rsidRDefault="005E2D4E">
      <w:pPr>
        <w:pStyle w:val="P68B1DB1-Normal24"/>
        <w:spacing w:before="120" w:after="120" w:line="240" w:lineRule="auto"/>
        <w:jc w:val="both"/>
        <w:rPr>
          <w:noProof/>
        </w:rPr>
      </w:pPr>
      <w:r>
        <w:rPr>
          <w:noProof/>
        </w:rPr>
        <w:t xml:space="preserve">Investissement 4. Mise en place d'une douane électronique </w:t>
      </w:r>
    </w:p>
    <w:p w14:paraId="2662BC72" w14:textId="77777777" w:rsidR="00A345F4" w:rsidRDefault="005E2D4E">
      <w:pPr>
        <w:pStyle w:val="P68B1DB1-Normal4"/>
        <w:spacing w:before="120" w:after="120" w:line="240" w:lineRule="auto"/>
        <w:jc w:val="both"/>
        <w:rPr>
          <w:noProof/>
        </w:rPr>
      </w:pPr>
      <w:r>
        <w:rPr>
          <w:noProof/>
        </w:rPr>
        <w:t xml:space="preserve">L’objectif de l’investissement est de moderniser le système douanier et d’introduire la douane électronique. </w:t>
      </w:r>
    </w:p>
    <w:p w14:paraId="34E41B09" w14:textId="77777777" w:rsidR="00A345F4" w:rsidRDefault="005E2D4E">
      <w:pPr>
        <w:pStyle w:val="P68B1DB1-Normal4"/>
        <w:spacing w:before="120" w:after="120" w:line="240" w:lineRule="auto"/>
        <w:jc w:val="both"/>
        <w:rPr>
          <w:noProof/>
        </w:rPr>
      </w:pPr>
      <w:r>
        <w:rPr>
          <w:noProof/>
        </w:rPr>
        <w:t>Cette mesure consiste à moderniser les systèmes matériels et logiciels, ainsi qu'à installer de nouvelles applications pour les procédures douanières.</w:t>
      </w:r>
    </w:p>
    <w:p w14:paraId="2DEDF5E6" w14:textId="77777777" w:rsidR="00A345F4" w:rsidRDefault="005E2D4E">
      <w:pPr>
        <w:pStyle w:val="P68B1DB1-Normal24"/>
        <w:spacing w:before="120" w:after="120" w:line="240" w:lineRule="auto"/>
        <w:jc w:val="both"/>
        <w:rPr>
          <w:noProof/>
        </w:rPr>
      </w:pPr>
      <w:r>
        <w:rPr>
          <w:noProof/>
        </w:rPr>
        <w:t>Investissement 5. Renforcement du mécanisme de programmation budgétaire</w:t>
      </w:r>
    </w:p>
    <w:p w14:paraId="1CFF32ED" w14:textId="77777777" w:rsidR="00A345F4" w:rsidRDefault="005E2D4E">
      <w:pPr>
        <w:pStyle w:val="P68B1DB1-Normal4"/>
        <w:spacing w:before="120" w:after="120" w:line="240" w:lineRule="auto"/>
        <w:jc w:val="both"/>
        <w:rPr>
          <w:noProof/>
        </w:rPr>
      </w:pPr>
      <w:r>
        <w:rPr>
          <w:noProof/>
        </w:rPr>
        <w:t xml:space="preserve">L’objectif de cet investissement est de renforcer le mécanisme de programmation budgétaire. </w:t>
      </w:r>
    </w:p>
    <w:p w14:paraId="055174AF" w14:textId="0778032C" w:rsidR="00A345F4" w:rsidRDefault="005E2D4E">
      <w:pPr>
        <w:pStyle w:val="P68B1DB1-Normal4"/>
        <w:spacing w:before="120" w:after="120" w:line="240" w:lineRule="auto"/>
        <w:jc w:val="both"/>
        <w:rPr>
          <w:noProof/>
        </w:rPr>
      </w:pPr>
      <w:r>
        <w:rPr>
          <w:noProof/>
        </w:rPr>
        <w:t xml:space="preserve">Cette mesure consiste en la mise à jour et la modernisation du système informatique (BUGET_NG) pour la préparation et la gestion du budget national. </w:t>
      </w:r>
    </w:p>
    <w:p w14:paraId="20F61519" w14:textId="77777777" w:rsidR="00A345F4" w:rsidRDefault="00A345F4">
      <w:pPr>
        <w:spacing w:before="120" w:after="120" w:line="240" w:lineRule="auto"/>
        <w:jc w:val="both"/>
        <w:rPr>
          <w:rFonts w:ascii="Times New Roman" w:hAnsi="Times New Roman" w:cs="Times New Roman"/>
          <w:noProof/>
        </w:rPr>
      </w:pPr>
    </w:p>
    <w:p w14:paraId="1B942A6A" w14:textId="77777777" w:rsidR="00A345F4" w:rsidRDefault="005E2D4E">
      <w:pPr>
        <w:pStyle w:val="P68B1DB1-Normal24"/>
        <w:spacing w:before="120" w:after="120" w:line="240" w:lineRule="auto"/>
        <w:jc w:val="both"/>
        <w:rPr>
          <w:noProof/>
        </w:rPr>
      </w:pPr>
      <w:r>
        <w:rPr>
          <w:noProof/>
        </w:rPr>
        <w:t>Investissement 6. Instrument de modélisation économique (boîte à outils de simulation des options de réforme des pensions) pour accroître la capacité institutionnelle à prévoir les dépenses de retraite</w:t>
      </w:r>
    </w:p>
    <w:p w14:paraId="1E2BDF2E" w14:textId="77777777" w:rsidR="00A345F4" w:rsidRDefault="005E2D4E">
      <w:pPr>
        <w:pStyle w:val="P68B1DB1-Normal4"/>
        <w:spacing w:before="120" w:after="120" w:line="240" w:lineRule="auto"/>
        <w:jc w:val="both"/>
        <w:rPr>
          <w:noProof/>
        </w:rPr>
      </w:pPr>
      <w:r>
        <w:rPr>
          <w:noProof/>
        </w:rPr>
        <w:t>L'objectif de cet investissement est d'accroître la capacité institutionnelle de prévoir les dépenses de retraite.</w:t>
      </w:r>
    </w:p>
    <w:p w14:paraId="141DA3CE" w14:textId="242C796F" w:rsidR="00A345F4" w:rsidRDefault="005E2D4E">
      <w:pPr>
        <w:pStyle w:val="P68B1DB1-Normal4"/>
        <w:spacing w:before="120" w:after="120" w:line="240" w:lineRule="auto"/>
        <w:jc w:val="both"/>
        <w:rPr>
          <w:noProof/>
        </w:rPr>
      </w:pPr>
      <w:r>
        <w:rPr>
          <w:noProof/>
        </w:rPr>
        <w:t xml:space="preserve">Cette mesure consiste en la mise à niveau/la conservation de la boîte à outils de simulation des options de réforme des retraites pour le cas roumain et en la formation du personnel. </w:t>
      </w:r>
    </w:p>
    <w:p w14:paraId="5021E33C" w14:textId="77777777" w:rsidR="00A345F4" w:rsidRDefault="005E2D4E">
      <w:pPr>
        <w:pStyle w:val="P68B1DB1-Normal24"/>
        <w:spacing w:before="120" w:after="120" w:line="240" w:lineRule="auto"/>
        <w:jc w:val="both"/>
        <w:rPr>
          <w:noProof/>
        </w:rPr>
      </w:pPr>
      <w:r>
        <w:rPr>
          <w:noProof/>
        </w:rPr>
        <w:t xml:space="preserve">Investissement 8. Création de la Banque nationale de développement </w:t>
      </w:r>
    </w:p>
    <w:p w14:paraId="3F1766FD" w14:textId="77777777" w:rsidR="00A345F4" w:rsidRDefault="005E2D4E">
      <w:pPr>
        <w:pStyle w:val="P68B1DB1-Normal4"/>
        <w:spacing w:before="120" w:after="120" w:line="240" w:lineRule="auto"/>
        <w:jc w:val="both"/>
        <w:rPr>
          <w:noProof/>
          <w:u w:val="single"/>
        </w:rPr>
      </w:pPr>
      <w:r>
        <w:rPr>
          <w:noProof/>
        </w:rPr>
        <w:t xml:space="preserve">L'objectif de cet investissement est d'assurer l'équipement et le fonctionnement de la Banque nationale de développement. </w:t>
      </w:r>
    </w:p>
    <w:p w14:paraId="7FD6CADA" w14:textId="77777777" w:rsidR="00A345F4" w:rsidRDefault="005E2D4E">
      <w:pPr>
        <w:pStyle w:val="P68B1DB1-Normal4"/>
        <w:spacing w:before="120" w:after="120" w:line="240" w:lineRule="auto"/>
        <w:jc w:val="both"/>
        <w:rPr>
          <w:noProof/>
        </w:rPr>
      </w:pPr>
      <w:r>
        <w:rPr>
          <w:noProof/>
        </w:rPr>
        <w:t>Cette mesure consiste en l’achat de logiciels et de matériel informatique, de services de TIC, d’une assistance technique et de la formation du personnel de la Banque nationale de développement pour mener à bien les opérations et du personnel du ministère des finances participant à l’évaluation de l’activité et des performances de la banque.</w:t>
      </w:r>
    </w:p>
    <w:p w14:paraId="6E311051" w14:textId="77777777" w:rsidR="00A345F4" w:rsidRDefault="005E2D4E">
      <w:pPr>
        <w:pStyle w:val="P68B1DB1-Normal24"/>
        <w:spacing w:before="120" w:after="120" w:line="240" w:lineRule="auto"/>
        <w:jc w:val="both"/>
        <w:rPr>
          <w:noProof/>
        </w:rPr>
      </w:pPr>
      <w:r>
        <w:rPr>
          <w:noProof/>
        </w:rPr>
        <w:t>Investissement 9. Soutenir le processus d'évaluation des dossiers de pension</w:t>
      </w:r>
    </w:p>
    <w:p w14:paraId="6B4BEED5" w14:textId="77777777" w:rsidR="00A345F4" w:rsidRDefault="005E2D4E">
      <w:pPr>
        <w:pStyle w:val="P68B1DB1-Normal4"/>
        <w:spacing w:before="120" w:after="120" w:line="240" w:lineRule="auto"/>
        <w:jc w:val="both"/>
        <w:rPr>
          <w:noProof/>
        </w:rPr>
      </w:pPr>
      <w:r>
        <w:rPr>
          <w:noProof/>
        </w:rPr>
        <w:t xml:space="preserve">L'objectif de cet investissement est de soutenir la numérisation des dossiers de pension, actuellement stockés dans différentes archives et formats, dans une base de données unique. </w:t>
      </w:r>
    </w:p>
    <w:p w14:paraId="5B164183" w14:textId="5820AD8D" w:rsidR="00A345F4" w:rsidRDefault="005E2D4E">
      <w:pPr>
        <w:pStyle w:val="P68B1DB1-Normal4"/>
        <w:spacing w:before="120" w:after="120" w:line="240" w:lineRule="auto"/>
        <w:jc w:val="both"/>
        <w:rPr>
          <w:noProof/>
        </w:rPr>
      </w:pPr>
      <w:r>
        <w:rPr>
          <w:noProof/>
        </w:rPr>
        <w:t xml:space="preserve">Cette mesure consiste à recalculer les dossiers de pension sur la base de la nouvelle législation et de leur numérisation. </w:t>
      </w:r>
    </w:p>
    <w:p w14:paraId="7FDC1A39" w14:textId="68499AF9" w:rsidR="00A345F4" w:rsidRDefault="005E2D4E">
      <w:pPr>
        <w:pStyle w:val="P68B1DB1-Normal24"/>
        <w:spacing w:before="120" w:after="120" w:line="240" w:lineRule="auto"/>
        <w:jc w:val="both"/>
        <w:rPr>
          <w:noProof/>
        </w:rPr>
      </w:pPr>
      <w:r>
        <w:rPr>
          <w:noProof/>
        </w:rPr>
        <w:t>Investissement 10. Services en ligne avancés grâce à la numérisation du système de retraite</w:t>
      </w:r>
    </w:p>
    <w:p w14:paraId="39E70288" w14:textId="77777777" w:rsidR="00A345F4" w:rsidRDefault="005E2D4E">
      <w:pPr>
        <w:pStyle w:val="P68B1DB1-Normal4"/>
        <w:spacing w:before="120" w:after="120" w:line="240" w:lineRule="auto"/>
        <w:jc w:val="both"/>
        <w:rPr>
          <w:noProof/>
        </w:rPr>
      </w:pPr>
      <w:r>
        <w:rPr>
          <w:noProof/>
        </w:rPr>
        <w:t xml:space="preserve">L’objectif de l’investissement est de garantir des services en ligne efficaces et avancés grâce à la numérisation du système de retraite. </w:t>
      </w:r>
    </w:p>
    <w:p w14:paraId="6E58DEC4" w14:textId="0E6DD140" w:rsidR="00A345F4" w:rsidRDefault="005E2D4E">
      <w:pPr>
        <w:pStyle w:val="P68B1DB1-Normal4"/>
        <w:spacing w:before="120" w:after="120" w:line="240" w:lineRule="auto"/>
        <w:jc w:val="both"/>
        <w:rPr>
          <w:noProof/>
        </w:rPr>
      </w:pPr>
      <w:r>
        <w:rPr>
          <w:noProof/>
        </w:rPr>
        <w:t>Cette mesure consiste à mettre en place et à rendre accessibles aux citoyens, aux institutions et au gouvernement les systèmes informatiques de la Maison nationale des pensions publiques (CNPP).</w:t>
      </w:r>
    </w:p>
    <w:p w14:paraId="6266EA5B" w14:textId="77777777" w:rsidR="00A345F4" w:rsidRDefault="00A345F4">
      <w:pPr>
        <w:spacing w:before="120" w:after="120" w:line="240" w:lineRule="auto"/>
        <w:jc w:val="both"/>
        <w:rPr>
          <w:rFonts w:ascii="Times New Roman" w:hAnsi="Times New Roman" w:cs="Times New Roman"/>
          <w:noProof/>
        </w:rPr>
      </w:pPr>
    </w:p>
    <w:p w14:paraId="2139874B" w14:textId="77777777" w:rsidR="00A345F4" w:rsidRDefault="00A345F4">
      <w:pPr>
        <w:spacing w:before="120" w:after="120" w:line="240" w:lineRule="auto"/>
        <w:jc w:val="both"/>
        <w:rPr>
          <w:rFonts w:ascii="Times New Roman" w:hAnsi="Times New Roman" w:cs="Times New Roman"/>
          <w:noProof/>
        </w:rPr>
        <w:sectPr w:rsidR="00A345F4" w:rsidSect="00BE1A15">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08"/>
          <w:docGrid w:linePitch="360"/>
        </w:sectPr>
      </w:pPr>
    </w:p>
    <w:p w14:paraId="370800BE"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H.2. </w:t>
      </w:r>
      <w:r>
        <w:rPr>
          <w:noProof/>
        </w:rPr>
        <w:t xml:space="preserve"> </w:t>
      </w:r>
      <w:r>
        <w:rPr>
          <w:b/>
          <w:noProof/>
        </w:rPr>
        <w:t>Étapes, cibles, indicateurs et calendrier pour le suivi et la mise en œuvre du soutien financier non remboursable</w:t>
      </w:r>
    </w:p>
    <w:tbl>
      <w:tblPr>
        <w:tblW w:w="15730" w:type="dxa"/>
        <w:jc w:val="center"/>
        <w:tblLayout w:type="fixed"/>
        <w:tblLook w:val="04A0" w:firstRow="1" w:lastRow="0" w:firstColumn="1" w:lastColumn="0" w:noHBand="0" w:noVBand="1"/>
      </w:tblPr>
      <w:tblGrid>
        <w:gridCol w:w="842"/>
        <w:gridCol w:w="1833"/>
        <w:gridCol w:w="1268"/>
        <w:gridCol w:w="1557"/>
        <w:gridCol w:w="1560"/>
        <w:gridCol w:w="1197"/>
        <w:gridCol w:w="1129"/>
        <w:gridCol w:w="1269"/>
        <w:gridCol w:w="1128"/>
        <w:gridCol w:w="840"/>
        <w:gridCol w:w="3107"/>
      </w:tblGrid>
      <w:tr w:rsidR="00A345F4" w14:paraId="79B679CE" w14:textId="77777777">
        <w:trPr>
          <w:trHeight w:val="300"/>
          <w:tblHeader/>
          <w:jc w:val="center"/>
        </w:trPr>
        <w:tc>
          <w:tcPr>
            <w:tcW w:w="8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115137" w14:textId="77777777" w:rsidR="00A345F4" w:rsidRDefault="005E2D4E">
            <w:pPr>
              <w:pStyle w:val="P68B1DB1-Normal13"/>
              <w:spacing w:after="0" w:line="240" w:lineRule="auto"/>
              <w:jc w:val="center"/>
              <w:rPr>
                <w:rFonts w:eastAsia="Times New Roman"/>
                <w:noProof/>
              </w:rPr>
            </w:pPr>
            <w:r>
              <w:rPr>
                <w:noProof/>
              </w:rPr>
              <w:t>Seq. Num.</w:t>
            </w:r>
          </w:p>
        </w:tc>
        <w:tc>
          <w:tcPr>
            <w:tcW w:w="18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657CCE"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71ABCD" w14:textId="77777777" w:rsidR="00A345F4" w:rsidRDefault="005E2D4E">
            <w:pPr>
              <w:pStyle w:val="P68B1DB1-Normal13"/>
              <w:spacing w:after="0" w:line="240" w:lineRule="auto"/>
              <w:jc w:val="center"/>
              <w:rPr>
                <w:rFonts w:eastAsia="Times New Roman"/>
                <w:noProof/>
              </w:rPr>
            </w:pPr>
            <w:r>
              <w:rPr>
                <w:noProof/>
              </w:rPr>
              <w:t>Étape/cible</w:t>
            </w:r>
          </w:p>
        </w:tc>
        <w:tc>
          <w:tcPr>
            <w:tcW w:w="15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D89D75" w14:textId="77777777" w:rsidR="00A345F4" w:rsidRDefault="005E2D4E">
            <w:pPr>
              <w:pStyle w:val="P68B1DB1-Normal13"/>
              <w:spacing w:after="0" w:line="240" w:lineRule="auto"/>
              <w:jc w:val="center"/>
              <w:rPr>
                <w:rFonts w:eastAsia="Times New Roman"/>
                <w:noProof/>
              </w:rPr>
            </w:pPr>
            <w:r>
              <w:rPr>
                <w:noProof/>
              </w:rPr>
              <w:t>Nom</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1D5E02"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59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AC37A8"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68"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6E02C6D" w14:textId="77777777" w:rsidR="00A345F4" w:rsidRDefault="005E2D4E">
            <w:pPr>
              <w:pStyle w:val="P68B1DB1-Normal13"/>
              <w:spacing w:after="0" w:line="240" w:lineRule="auto"/>
              <w:jc w:val="center"/>
              <w:rPr>
                <w:rFonts w:eastAsia="Times New Roman"/>
                <w:noProof/>
              </w:rPr>
            </w:pPr>
            <w:r>
              <w:rPr>
                <w:noProof/>
              </w:rPr>
              <w:t>Calendrier indicatif d'achèvement</w:t>
            </w:r>
          </w:p>
        </w:tc>
        <w:tc>
          <w:tcPr>
            <w:tcW w:w="3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115504E"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332E43E6" w14:textId="77777777">
        <w:trPr>
          <w:trHeight w:val="300"/>
          <w:tblHeader/>
          <w:jc w:val="center"/>
        </w:trPr>
        <w:tc>
          <w:tcPr>
            <w:tcW w:w="842" w:type="dxa"/>
            <w:vMerge/>
            <w:tcBorders>
              <w:top w:val="single" w:sz="4" w:space="0" w:color="auto"/>
              <w:left w:val="single" w:sz="4" w:space="0" w:color="auto"/>
              <w:bottom w:val="single" w:sz="4" w:space="0" w:color="auto"/>
              <w:right w:val="single" w:sz="4" w:space="0" w:color="auto"/>
            </w:tcBorders>
            <w:hideMark/>
          </w:tcPr>
          <w:p w14:paraId="686BB9E3"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833" w:type="dxa"/>
            <w:vMerge/>
            <w:tcBorders>
              <w:top w:val="single" w:sz="4" w:space="0" w:color="auto"/>
              <w:left w:val="single" w:sz="4" w:space="0" w:color="auto"/>
              <w:bottom w:val="single" w:sz="4" w:space="0" w:color="auto"/>
              <w:right w:val="single" w:sz="4" w:space="0" w:color="auto"/>
            </w:tcBorders>
            <w:hideMark/>
          </w:tcPr>
          <w:p w14:paraId="07C72298"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68" w:type="dxa"/>
            <w:vMerge/>
            <w:tcBorders>
              <w:top w:val="single" w:sz="4" w:space="0" w:color="auto"/>
              <w:left w:val="single" w:sz="4" w:space="0" w:color="auto"/>
              <w:bottom w:val="single" w:sz="4" w:space="0" w:color="auto"/>
              <w:right w:val="single" w:sz="4" w:space="0" w:color="auto"/>
            </w:tcBorders>
            <w:hideMark/>
          </w:tcPr>
          <w:p w14:paraId="7D86CE9F"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557" w:type="dxa"/>
            <w:vMerge/>
            <w:tcBorders>
              <w:top w:val="single" w:sz="4" w:space="0" w:color="auto"/>
              <w:left w:val="single" w:sz="4" w:space="0" w:color="auto"/>
              <w:bottom w:val="single" w:sz="4" w:space="0" w:color="auto"/>
              <w:right w:val="single" w:sz="4" w:space="0" w:color="auto"/>
            </w:tcBorders>
            <w:hideMark/>
          </w:tcPr>
          <w:p w14:paraId="37B1ACD0"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560" w:type="dxa"/>
            <w:vMerge/>
            <w:tcBorders>
              <w:top w:val="single" w:sz="4" w:space="0" w:color="auto"/>
              <w:left w:val="single" w:sz="4" w:space="0" w:color="auto"/>
              <w:bottom w:val="single" w:sz="4" w:space="0" w:color="auto"/>
              <w:right w:val="single" w:sz="4" w:space="0" w:color="auto"/>
            </w:tcBorders>
            <w:hideMark/>
          </w:tcPr>
          <w:p w14:paraId="363F7590"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19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B8DF286" w14:textId="77777777" w:rsidR="00A345F4" w:rsidRDefault="005E2D4E">
            <w:pPr>
              <w:pStyle w:val="P68B1DB1-Normal13"/>
              <w:spacing w:after="0" w:line="240" w:lineRule="auto"/>
              <w:jc w:val="center"/>
              <w:rPr>
                <w:rFonts w:eastAsia="Times New Roman"/>
                <w:noProof/>
              </w:rPr>
            </w:pPr>
            <w:r>
              <w:rPr>
                <w:noProof/>
              </w:rPr>
              <w:t>Unité de mesure</w:t>
            </w:r>
          </w:p>
        </w:tc>
        <w:tc>
          <w:tcPr>
            <w:tcW w:w="1129" w:type="dxa"/>
            <w:tcBorders>
              <w:top w:val="single" w:sz="4" w:space="0" w:color="auto"/>
              <w:left w:val="nil"/>
              <w:bottom w:val="single" w:sz="4" w:space="0" w:color="auto"/>
              <w:right w:val="single" w:sz="4" w:space="0" w:color="auto"/>
            </w:tcBorders>
            <w:shd w:val="clear" w:color="auto" w:fill="BDD7EE"/>
            <w:vAlign w:val="center"/>
            <w:hideMark/>
          </w:tcPr>
          <w:p w14:paraId="4F9DD705" w14:textId="77777777" w:rsidR="00A345F4" w:rsidRDefault="005E2D4E">
            <w:pPr>
              <w:pStyle w:val="P68B1DB1-Normal13"/>
              <w:spacing w:after="0" w:line="240" w:lineRule="auto"/>
              <w:jc w:val="center"/>
              <w:rPr>
                <w:rFonts w:eastAsia="Times New Roman"/>
                <w:noProof/>
              </w:rPr>
            </w:pPr>
            <w:r>
              <w:rPr>
                <w:noProof/>
              </w:rPr>
              <w:t>Données de référence</w:t>
            </w:r>
          </w:p>
        </w:tc>
        <w:tc>
          <w:tcPr>
            <w:tcW w:w="1269" w:type="dxa"/>
            <w:tcBorders>
              <w:top w:val="single" w:sz="4" w:space="0" w:color="auto"/>
              <w:left w:val="nil"/>
              <w:bottom w:val="single" w:sz="4" w:space="0" w:color="auto"/>
              <w:right w:val="single" w:sz="4" w:space="0" w:color="auto"/>
            </w:tcBorders>
            <w:shd w:val="clear" w:color="auto" w:fill="BDD7EE"/>
            <w:vAlign w:val="center"/>
            <w:hideMark/>
          </w:tcPr>
          <w:p w14:paraId="754EBA92" w14:textId="77777777" w:rsidR="00A345F4" w:rsidRDefault="005E2D4E">
            <w:pPr>
              <w:pStyle w:val="P68B1DB1-Normal13"/>
              <w:spacing w:after="0" w:line="240" w:lineRule="auto"/>
              <w:jc w:val="center"/>
              <w:rPr>
                <w:rFonts w:eastAsia="Times New Roman"/>
                <w:noProof/>
              </w:rPr>
            </w:pPr>
            <w:r>
              <w:rPr>
                <w:noProof/>
              </w:rPr>
              <w:t>Objectif</w:t>
            </w:r>
          </w:p>
        </w:tc>
        <w:tc>
          <w:tcPr>
            <w:tcW w:w="1128" w:type="dxa"/>
            <w:tcBorders>
              <w:top w:val="single" w:sz="4" w:space="0" w:color="auto"/>
              <w:left w:val="nil"/>
              <w:bottom w:val="single" w:sz="4" w:space="0" w:color="auto"/>
              <w:right w:val="single" w:sz="4" w:space="0" w:color="auto"/>
            </w:tcBorders>
            <w:shd w:val="clear" w:color="auto" w:fill="BDD7EE"/>
            <w:vAlign w:val="center"/>
            <w:hideMark/>
          </w:tcPr>
          <w:p w14:paraId="6858787C" w14:textId="77777777" w:rsidR="00A345F4" w:rsidRDefault="005E2D4E">
            <w:pPr>
              <w:pStyle w:val="P68B1DB1-Normal13"/>
              <w:spacing w:after="0" w:line="240" w:lineRule="auto"/>
              <w:jc w:val="center"/>
              <w:rPr>
                <w:rFonts w:eastAsia="Times New Roman"/>
                <w:noProof/>
              </w:rPr>
            </w:pPr>
            <w:r>
              <w:rPr>
                <w:noProof/>
              </w:rPr>
              <w:t>Trimestre</w:t>
            </w:r>
          </w:p>
        </w:tc>
        <w:tc>
          <w:tcPr>
            <w:tcW w:w="840" w:type="dxa"/>
            <w:tcBorders>
              <w:top w:val="single" w:sz="4" w:space="0" w:color="auto"/>
              <w:left w:val="nil"/>
              <w:bottom w:val="single" w:sz="4" w:space="0" w:color="auto"/>
              <w:right w:val="single" w:sz="4" w:space="0" w:color="auto"/>
            </w:tcBorders>
            <w:shd w:val="clear" w:color="auto" w:fill="BDD7EE"/>
            <w:vAlign w:val="center"/>
            <w:hideMark/>
          </w:tcPr>
          <w:p w14:paraId="25131A38" w14:textId="77777777" w:rsidR="00A345F4" w:rsidRDefault="005E2D4E">
            <w:pPr>
              <w:pStyle w:val="P68B1DB1-Normal13"/>
              <w:spacing w:after="0" w:line="240" w:lineRule="auto"/>
              <w:jc w:val="center"/>
              <w:rPr>
                <w:rFonts w:eastAsia="Times New Roman"/>
                <w:noProof/>
              </w:rPr>
            </w:pPr>
            <w:r>
              <w:rPr>
                <w:noProof/>
              </w:rPr>
              <w:t>Année</w:t>
            </w:r>
          </w:p>
        </w:tc>
        <w:tc>
          <w:tcPr>
            <w:tcW w:w="3107" w:type="dxa"/>
            <w:vMerge/>
            <w:tcBorders>
              <w:top w:val="single" w:sz="4" w:space="0" w:color="auto"/>
              <w:bottom w:val="single" w:sz="4" w:space="0" w:color="auto"/>
              <w:right w:val="single" w:sz="4" w:space="0" w:color="auto"/>
            </w:tcBorders>
            <w:hideMark/>
          </w:tcPr>
          <w:p w14:paraId="68E1A2C5"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6C82560E" w14:textId="77777777">
        <w:trPr>
          <w:trHeight w:val="300"/>
          <w:jc w:val="center"/>
        </w:trPr>
        <w:tc>
          <w:tcPr>
            <w:tcW w:w="842" w:type="dxa"/>
            <w:tcBorders>
              <w:top w:val="single" w:sz="4" w:space="0" w:color="auto"/>
              <w:left w:val="single" w:sz="4" w:space="0" w:color="auto"/>
              <w:bottom w:val="single" w:sz="4" w:space="0" w:color="auto"/>
              <w:right w:val="single" w:sz="4" w:space="0" w:color="auto"/>
            </w:tcBorders>
            <w:shd w:val="clear" w:color="auto" w:fill="C6EFCE"/>
            <w:noWrap/>
          </w:tcPr>
          <w:p w14:paraId="10EF8A5A" w14:textId="77777777" w:rsidR="00A345F4" w:rsidRDefault="005E2D4E">
            <w:pPr>
              <w:pStyle w:val="P68B1DB1-Normal14"/>
              <w:spacing w:after="0" w:line="240" w:lineRule="auto"/>
              <w:jc w:val="center"/>
              <w:rPr>
                <w:rFonts w:eastAsia="Times New Roman"/>
                <w:noProof/>
              </w:rPr>
            </w:pPr>
            <w:r>
              <w:rPr>
                <w:noProof/>
              </w:rPr>
              <w:t>191</w:t>
            </w:r>
          </w:p>
        </w:tc>
        <w:tc>
          <w:tcPr>
            <w:tcW w:w="1833" w:type="dxa"/>
            <w:tcBorders>
              <w:top w:val="single" w:sz="4" w:space="0" w:color="auto"/>
              <w:left w:val="nil"/>
              <w:bottom w:val="single" w:sz="4" w:space="0" w:color="auto"/>
              <w:right w:val="single" w:sz="4" w:space="0" w:color="auto"/>
            </w:tcBorders>
            <w:shd w:val="clear" w:color="auto" w:fill="C6EFCE"/>
            <w:noWrap/>
          </w:tcPr>
          <w:p w14:paraId="509B5039" w14:textId="77777777" w:rsidR="00A345F4" w:rsidRDefault="005E2D4E">
            <w:pPr>
              <w:pStyle w:val="P68B1DB1-Normal14"/>
              <w:spacing w:after="0" w:line="240" w:lineRule="auto"/>
              <w:jc w:val="both"/>
              <w:rPr>
                <w:noProof/>
              </w:rPr>
            </w:pPr>
            <w:r>
              <w:rPr>
                <w:noProof/>
              </w:rPr>
              <w:t>Réforme 1.</w:t>
            </w:r>
          </w:p>
          <w:p w14:paraId="71617704" w14:textId="77777777" w:rsidR="00A345F4" w:rsidRDefault="005E2D4E">
            <w:pPr>
              <w:pStyle w:val="P68B1DB1-Normal14"/>
              <w:spacing w:after="0" w:line="240" w:lineRule="auto"/>
              <w:jc w:val="both"/>
              <w:rPr>
                <w:rFonts w:eastAsia="Times New Roman"/>
                <w:noProof/>
              </w:rPr>
            </w:pPr>
            <w:r>
              <w:rPr>
                <w:noProof/>
              </w:rPr>
              <w:t xml:space="preserve">Réforme de l’Agence nationale pour l’administration budgétaire (ANAF) par la numérisation </w:t>
            </w:r>
          </w:p>
        </w:tc>
        <w:tc>
          <w:tcPr>
            <w:tcW w:w="1268" w:type="dxa"/>
            <w:tcBorders>
              <w:top w:val="single" w:sz="4" w:space="0" w:color="auto"/>
              <w:left w:val="nil"/>
              <w:bottom w:val="single" w:sz="4" w:space="0" w:color="auto"/>
              <w:right w:val="single" w:sz="4" w:space="0" w:color="auto"/>
            </w:tcBorders>
            <w:shd w:val="clear" w:color="auto" w:fill="C6EFCE"/>
            <w:noWrap/>
          </w:tcPr>
          <w:p w14:paraId="431FCC43" w14:textId="77777777" w:rsidR="00A345F4" w:rsidRDefault="005E2D4E">
            <w:pPr>
              <w:pStyle w:val="P68B1DB1-Normal14"/>
              <w:spacing w:after="0" w:line="240" w:lineRule="auto"/>
              <w:jc w:val="center"/>
              <w:rPr>
                <w:rFonts w:eastAsia="Times New Roman"/>
                <w:noProof/>
              </w:rPr>
            </w:pPr>
            <w:r>
              <w:rPr>
                <w:noProof/>
              </w:rPr>
              <w:t>Étape</w:t>
            </w:r>
          </w:p>
        </w:tc>
        <w:tc>
          <w:tcPr>
            <w:tcW w:w="1557" w:type="dxa"/>
            <w:tcBorders>
              <w:top w:val="single" w:sz="4" w:space="0" w:color="auto"/>
              <w:left w:val="nil"/>
              <w:bottom w:val="single" w:sz="4" w:space="0" w:color="auto"/>
              <w:right w:val="single" w:sz="4" w:space="0" w:color="auto"/>
            </w:tcBorders>
            <w:shd w:val="clear" w:color="auto" w:fill="C6EFCE"/>
            <w:noWrap/>
          </w:tcPr>
          <w:p w14:paraId="35EC1143" w14:textId="77777777" w:rsidR="00A345F4" w:rsidRDefault="005E2D4E">
            <w:pPr>
              <w:pStyle w:val="P68B1DB1-Normal14"/>
              <w:spacing w:after="0" w:line="240" w:lineRule="auto"/>
              <w:jc w:val="both"/>
              <w:rPr>
                <w:rFonts w:eastAsia="Times New Roman"/>
                <w:noProof/>
              </w:rPr>
            </w:pPr>
            <w:r>
              <w:rPr>
                <w:noProof/>
              </w:rPr>
              <w:t>Entrée en vigueur du cadre juridique pour l’inscription obligatoire des personnes morales contribuables dans les véhicules de titrisation (espace privé virtuel)</w:t>
            </w:r>
          </w:p>
        </w:tc>
        <w:tc>
          <w:tcPr>
            <w:tcW w:w="1560" w:type="dxa"/>
            <w:tcBorders>
              <w:top w:val="single" w:sz="4" w:space="0" w:color="auto"/>
              <w:left w:val="nil"/>
              <w:bottom w:val="single" w:sz="4" w:space="0" w:color="auto"/>
              <w:right w:val="single" w:sz="4" w:space="0" w:color="auto"/>
            </w:tcBorders>
            <w:shd w:val="clear" w:color="auto" w:fill="C6EFCE"/>
            <w:noWrap/>
          </w:tcPr>
          <w:p w14:paraId="3C5F18E6" w14:textId="77777777" w:rsidR="00A345F4" w:rsidRDefault="005E2D4E">
            <w:pPr>
              <w:pStyle w:val="P68B1DB1-Normal14"/>
              <w:spacing w:after="0" w:line="240" w:lineRule="auto"/>
              <w:jc w:val="both"/>
              <w:rPr>
                <w:rFonts w:eastAsia="Times New Roman"/>
                <w:noProof/>
              </w:rPr>
            </w:pPr>
            <w:r>
              <w:rPr>
                <w:noProof/>
              </w:rPr>
              <w:t xml:space="preserve">Disposition de la loi indiquant l'entrée en vigueur de l'inscription obligatoire des personnes morales contribuables dans SPV </w:t>
            </w:r>
          </w:p>
        </w:tc>
        <w:tc>
          <w:tcPr>
            <w:tcW w:w="1197" w:type="dxa"/>
            <w:tcBorders>
              <w:top w:val="nil"/>
              <w:left w:val="nil"/>
              <w:bottom w:val="single" w:sz="4" w:space="0" w:color="auto"/>
              <w:right w:val="single" w:sz="4" w:space="0" w:color="auto"/>
            </w:tcBorders>
            <w:shd w:val="clear" w:color="auto" w:fill="C6EFCE"/>
            <w:noWrap/>
          </w:tcPr>
          <w:p w14:paraId="274AF610" w14:textId="77777777" w:rsidR="00A345F4" w:rsidRDefault="00A345F4">
            <w:pPr>
              <w:spacing w:after="0"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01CE9ABC" w14:textId="77777777" w:rsidR="00A345F4" w:rsidRDefault="00A345F4">
            <w:pPr>
              <w:spacing w:after="0"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6E12C662" w14:textId="77777777" w:rsidR="00A345F4" w:rsidRDefault="00A345F4">
            <w:pPr>
              <w:spacing w:after="0"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61517E42" w14:textId="77777777" w:rsidR="00A345F4" w:rsidRDefault="005E2D4E">
            <w:pPr>
              <w:pStyle w:val="P68B1DB1-Normal14"/>
              <w:spacing w:after="0" w:line="240" w:lineRule="auto"/>
              <w:jc w:val="center"/>
              <w:rPr>
                <w:rFonts w:eastAsia="Times New Roman"/>
                <w:noProof/>
              </w:rPr>
            </w:pPr>
            <w:r>
              <w:rPr>
                <w:noProof/>
              </w:rPr>
              <w:t>T1</w:t>
            </w:r>
          </w:p>
        </w:tc>
        <w:tc>
          <w:tcPr>
            <w:tcW w:w="840" w:type="dxa"/>
            <w:tcBorders>
              <w:top w:val="nil"/>
              <w:left w:val="nil"/>
              <w:bottom w:val="single" w:sz="4" w:space="0" w:color="auto"/>
              <w:right w:val="single" w:sz="4" w:space="0" w:color="auto"/>
            </w:tcBorders>
            <w:shd w:val="clear" w:color="auto" w:fill="C6EFCE"/>
            <w:noWrap/>
          </w:tcPr>
          <w:p w14:paraId="0E65A709" w14:textId="77777777" w:rsidR="00A345F4" w:rsidRDefault="005E2D4E">
            <w:pPr>
              <w:pStyle w:val="P68B1DB1-Normal14"/>
              <w:spacing w:after="0" w:line="240" w:lineRule="auto"/>
              <w:jc w:val="center"/>
              <w:rPr>
                <w:rFonts w:eastAsia="Times New Roman"/>
                <w:noProof/>
              </w:rPr>
            </w:pPr>
            <w:r>
              <w:rPr>
                <w:noProof/>
              </w:rPr>
              <w:t>2022</w:t>
            </w:r>
          </w:p>
        </w:tc>
        <w:tc>
          <w:tcPr>
            <w:tcW w:w="3107" w:type="dxa"/>
            <w:tcBorders>
              <w:top w:val="single" w:sz="4" w:space="0" w:color="auto"/>
              <w:left w:val="nil"/>
              <w:bottom w:val="single" w:sz="4" w:space="0" w:color="auto"/>
              <w:right w:val="single" w:sz="4" w:space="0" w:color="auto"/>
            </w:tcBorders>
            <w:shd w:val="clear" w:color="auto" w:fill="C6EFCE"/>
            <w:noWrap/>
          </w:tcPr>
          <w:p w14:paraId="6CC5BDD0" w14:textId="77777777" w:rsidR="00A345F4" w:rsidRDefault="005E2D4E">
            <w:pPr>
              <w:pStyle w:val="P68B1DB1-Normal14"/>
              <w:spacing w:after="0" w:line="240" w:lineRule="auto"/>
              <w:jc w:val="both"/>
              <w:rPr>
                <w:noProof/>
              </w:rPr>
            </w:pPr>
            <w:r>
              <w:rPr>
                <w:noProof/>
              </w:rPr>
              <w:t>Entrée en vigueur du cadre juridique visant à rendre obligatoire l’enregistrement dans l’espace privé virtuel (SPV) pour toutes les personnes morales contribuables.</w:t>
            </w:r>
          </w:p>
          <w:p w14:paraId="790FC194" w14:textId="77777777" w:rsidR="00A345F4" w:rsidRDefault="005E2D4E">
            <w:pPr>
              <w:pStyle w:val="P68B1DB1-Normal14"/>
              <w:spacing w:after="0"/>
              <w:ind w:left="-18"/>
              <w:contextualSpacing/>
              <w:jc w:val="both"/>
              <w:rPr>
                <w:noProof/>
              </w:rPr>
            </w:pPr>
            <w:r>
              <w:rPr>
                <w:noProof/>
              </w:rPr>
              <w:t>Cet acte modifie le code de procédure fiscale et introduit l’obligation pour la personne morale de s’inscrire au SPV.</w:t>
            </w:r>
          </w:p>
        </w:tc>
      </w:tr>
      <w:tr w:rsidR="00A345F4" w14:paraId="13AB517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F2C4AB3" w14:textId="77777777" w:rsidR="00A345F4" w:rsidRDefault="005E2D4E">
            <w:pPr>
              <w:pStyle w:val="P68B1DB1-Normal14"/>
              <w:spacing w:after="0" w:line="240" w:lineRule="auto"/>
              <w:jc w:val="center"/>
              <w:rPr>
                <w:rFonts w:eastAsia="Times New Roman"/>
                <w:noProof/>
              </w:rPr>
            </w:pPr>
            <w:r>
              <w:rPr>
                <w:noProof/>
              </w:rPr>
              <w:t>192</w:t>
            </w:r>
          </w:p>
        </w:tc>
        <w:tc>
          <w:tcPr>
            <w:tcW w:w="1833" w:type="dxa"/>
            <w:tcBorders>
              <w:top w:val="nil"/>
              <w:left w:val="nil"/>
              <w:bottom w:val="single" w:sz="4" w:space="0" w:color="auto"/>
              <w:right w:val="single" w:sz="4" w:space="0" w:color="auto"/>
            </w:tcBorders>
            <w:shd w:val="clear" w:color="auto" w:fill="C6EFCE"/>
            <w:noWrap/>
          </w:tcPr>
          <w:p w14:paraId="413A995B" w14:textId="77777777" w:rsidR="00A345F4" w:rsidRDefault="005E2D4E">
            <w:pPr>
              <w:pStyle w:val="P68B1DB1-Normal14"/>
              <w:spacing w:after="0" w:line="240" w:lineRule="auto"/>
              <w:jc w:val="both"/>
              <w:rPr>
                <w:rFonts w:eastAsia="Times New Roman"/>
                <w:noProof/>
              </w:rPr>
            </w:pPr>
            <w:r>
              <w:rPr>
                <w:noProof/>
              </w:rPr>
              <w:t xml:space="preserve">Réforme 1. Réforme de l’Agence nationale pour l’administration budgétaire (ANAF) par la numérisation </w:t>
            </w:r>
          </w:p>
        </w:tc>
        <w:tc>
          <w:tcPr>
            <w:tcW w:w="1268" w:type="dxa"/>
            <w:tcBorders>
              <w:top w:val="nil"/>
              <w:left w:val="nil"/>
              <w:bottom w:val="single" w:sz="4" w:space="0" w:color="auto"/>
              <w:right w:val="single" w:sz="4" w:space="0" w:color="auto"/>
            </w:tcBorders>
            <w:shd w:val="clear" w:color="auto" w:fill="C6EFCE"/>
            <w:noWrap/>
          </w:tcPr>
          <w:p w14:paraId="001A1A38" w14:textId="77777777" w:rsidR="00A345F4" w:rsidRDefault="005E2D4E">
            <w:pPr>
              <w:pStyle w:val="P68B1DB1-Normal14"/>
              <w:spacing w:after="0" w:line="240" w:lineRule="auto"/>
              <w:jc w:val="center"/>
              <w:rPr>
                <w:rFonts w:eastAsia="Times New Roman"/>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046C87E0" w14:textId="77777777" w:rsidR="00A345F4" w:rsidRDefault="005E2D4E">
            <w:pPr>
              <w:pStyle w:val="P68B1DB1-Normal14"/>
              <w:spacing w:after="0" w:line="240" w:lineRule="auto"/>
              <w:jc w:val="both"/>
              <w:rPr>
                <w:noProof/>
              </w:rPr>
            </w:pPr>
            <w:r>
              <w:rPr>
                <w:noProof/>
              </w:rPr>
              <w:t xml:space="preserve">Personne morale supplémentaire contribuables inscrits au SPV </w:t>
            </w:r>
          </w:p>
          <w:p w14:paraId="52A5525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tcPr>
          <w:p w14:paraId="2B5419F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547534A8" w14:textId="77777777" w:rsidR="00A345F4" w:rsidRDefault="005E2D4E">
            <w:pPr>
              <w:pStyle w:val="P68B1DB1-Normal14"/>
              <w:spacing w:after="0" w:line="240" w:lineRule="auto"/>
              <w:rPr>
                <w:rFonts w:eastAsia="Times New Roman"/>
                <w:noProof/>
              </w:rPr>
            </w:pPr>
            <w:r>
              <w:rPr>
                <w:noProof/>
              </w:rPr>
              <w:t>Numéro</w:t>
            </w:r>
          </w:p>
        </w:tc>
        <w:tc>
          <w:tcPr>
            <w:tcW w:w="1129" w:type="dxa"/>
            <w:tcBorders>
              <w:top w:val="nil"/>
              <w:left w:val="nil"/>
              <w:bottom w:val="single" w:sz="4" w:space="0" w:color="auto"/>
              <w:right w:val="single" w:sz="4" w:space="0" w:color="auto"/>
            </w:tcBorders>
            <w:shd w:val="clear" w:color="auto" w:fill="C6EFCE"/>
            <w:noWrap/>
          </w:tcPr>
          <w:p w14:paraId="2F71EAA6" w14:textId="77777777" w:rsidR="00A345F4" w:rsidRDefault="005E2D4E">
            <w:pPr>
              <w:pStyle w:val="P68B1DB1-Normal14"/>
              <w:spacing w:after="0" w:line="240" w:lineRule="auto"/>
              <w:rPr>
                <w:rFonts w:eastAsia="Times New Roman"/>
                <w:noProof/>
              </w:rPr>
            </w:pPr>
            <w:r>
              <w:rPr>
                <w:noProof/>
              </w:rPr>
              <w:t>509 679</w:t>
            </w:r>
          </w:p>
        </w:tc>
        <w:tc>
          <w:tcPr>
            <w:tcW w:w="1269" w:type="dxa"/>
            <w:tcBorders>
              <w:top w:val="nil"/>
              <w:left w:val="nil"/>
              <w:bottom w:val="single" w:sz="4" w:space="0" w:color="auto"/>
              <w:right w:val="single" w:sz="4" w:space="0" w:color="auto"/>
            </w:tcBorders>
            <w:shd w:val="clear" w:color="auto" w:fill="C6EFCE"/>
            <w:noWrap/>
          </w:tcPr>
          <w:p w14:paraId="40439F12" w14:textId="77777777" w:rsidR="00A345F4" w:rsidRDefault="005E2D4E">
            <w:pPr>
              <w:pStyle w:val="P68B1DB1-Normal14"/>
              <w:spacing w:after="0" w:line="240" w:lineRule="auto"/>
              <w:rPr>
                <w:noProof/>
              </w:rPr>
            </w:pPr>
            <w:r>
              <w:rPr>
                <w:noProof/>
              </w:rPr>
              <w:t>1 009 679</w:t>
            </w:r>
          </w:p>
        </w:tc>
        <w:tc>
          <w:tcPr>
            <w:tcW w:w="1128" w:type="dxa"/>
            <w:tcBorders>
              <w:top w:val="nil"/>
              <w:left w:val="nil"/>
              <w:bottom w:val="single" w:sz="4" w:space="0" w:color="auto"/>
              <w:right w:val="single" w:sz="4" w:space="0" w:color="auto"/>
            </w:tcBorders>
            <w:shd w:val="clear" w:color="auto" w:fill="C6EFCE"/>
            <w:noWrap/>
          </w:tcPr>
          <w:p w14:paraId="7D3A5B4A" w14:textId="77777777" w:rsidR="00A345F4" w:rsidRDefault="005E2D4E">
            <w:pPr>
              <w:pStyle w:val="P68B1DB1-Normal14"/>
              <w:spacing w:after="0" w:line="240" w:lineRule="auto"/>
              <w:jc w:val="center"/>
              <w:rPr>
                <w:rFonts w:eastAsia="Times New Roman"/>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42CD1959" w14:textId="77777777" w:rsidR="00A345F4" w:rsidRDefault="005E2D4E">
            <w:pPr>
              <w:pStyle w:val="P68B1DB1-Normal14"/>
              <w:spacing w:after="0" w:line="240" w:lineRule="auto"/>
              <w:jc w:val="center"/>
              <w:rPr>
                <w:rFonts w:eastAsia="Times New Roman"/>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515241B9" w14:textId="77777777" w:rsidR="00A345F4" w:rsidRDefault="005E2D4E">
            <w:pPr>
              <w:pStyle w:val="P68B1DB1-Normal14"/>
              <w:spacing w:after="0" w:line="240" w:lineRule="auto"/>
              <w:jc w:val="both"/>
              <w:rPr>
                <w:noProof/>
              </w:rPr>
            </w:pPr>
            <w:r>
              <w:rPr>
                <w:noProof/>
              </w:rPr>
              <w:t xml:space="preserve">Au moins 500 000 contribuables de personnes morales sont en outre inscrits au SPV, contre 509 679 au début du mois d’avril 2021. Avec ces 500 000 contribuables supplémentaires, la SPV couvrira 90 % du nombre total de grands contribuables (selon la nouvelle définition qui sera disponible dès que la modification du cadre juridique correspondant sera approuvée), représentant au moins 90 % de l’assiette imposable des grands contribuables. À ce stade, sur les quelque 1 500 000 personnes morales, environ 400 000 sont soit en procédure d’insolvabilité, soit inactives. La mesure vise donc presque toutes les entités juridiques enregistrées à utiliser le véhicule de titrisation. </w:t>
            </w:r>
          </w:p>
          <w:p w14:paraId="5BB0409B" w14:textId="77777777" w:rsidR="00A345F4" w:rsidRDefault="005E2D4E">
            <w:pPr>
              <w:pStyle w:val="P68B1DB1-Normal14"/>
              <w:spacing w:after="0" w:line="240" w:lineRule="auto"/>
              <w:jc w:val="both"/>
              <w:rPr>
                <w:rFonts w:eastAsia="Times New Roman"/>
                <w:noProof/>
              </w:rPr>
            </w:pPr>
            <w:r>
              <w:rPr>
                <w:noProof/>
              </w:rPr>
              <w:t>Le suivi du nombre de nouveaux contribuables inscrits dans le SPV s’effectue au moyen de rapports spécifiques résultant de l’interrogation des bases de données par le Centre national d’information financière.</w:t>
            </w:r>
          </w:p>
        </w:tc>
      </w:tr>
      <w:tr w:rsidR="00A345F4" w14:paraId="673E13A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E608C22" w14:textId="77777777" w:rsidR="00A345F4" w:rsidRDefault="005E2D4E">
            <w:pPr>
              <w:pStyle w:val="P68B1DB1-Normal14"/>
              <w:spacing w:after="0" w:line="240" w:lineRule="auto"/>
              <w:jc w:val="center"/>
              <w:rPr>
                <w:noProof/>
              </w:rPr>
            </w:pPr>
            <w:r>
              <w:rPr>
                <w:noProof/>
              </w:rPr>
              <w:t>193</w:t>
            </w:r>
          </w:p>
        </w:tc>
        <w:tc>
          <w:tcPr>
            <w:tcW w:w="1833" w:type="dxa"/>
            <w:tcBorders>
              <w:top w:val="nil"/>
              <w:left w:val="nil"/>
              <w:bottom w:val="single" w:sz="4" w:space="0" w:color="auto"/>
              <w:right w:val="single" w:sz="4" w:space="0" w:color="auto"/>
            </w:tcBorders>
            <w:shd w:val="clear" w:color="auto" w:fill="C6EFCE"/>
            <w:noWrap/>
          </w:tcPr>
          <w:p w14:paraId="48ECC8A5" w14:textId="77777777" w:rsidR="00A345F4" w:rsidRDefault="005E2D4E">
            <w:pPr>
              <w:pStyle w:val="P68B1DB1-Normal14"/>
              <w:spacing w:after="0" w:line="240" w:lineRule="auto"/>
              <w:jc w:val="both"/>
              <w:rPr>
                <w:noProof/>
              </w:rPr>
            </w:pPr>
            <w:r>
              <w:rPr>
                <w:noProof/>
              </w:rPr>
              <w:t xml:space="preserve">Réforme 1. Réforme de l’Agence nationale pour l’administration budgétaire (ANAF) par la numérisation </w:t>
            </w:r>
          </w:p>
        </w:tc>
        <w:tc>
          <w:tcPr>
            <w:tcW w:w="1268" w:type="dxa"/>
            <w:tcBorders>
              <w:top w:val="nil"/>
              <w:left w:val="nil"/>
              <w:bottom w:val="single" w:sz="4" w:space="0" w:color="auto"/>
              <w:right w:val="single" w:sz="4" w:space="0" w:color="auto"/>
            </w:tcBorders>
            <w:shd w:val="clear" w:color="auto" w:fill="C6EFCE"/>
            <w:noWrap/>
          </w:tcPr>
          <w:p w14:paraId="3EDA490B"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57310270" w14:textId="77777777" w:rsidR="00A345F4" w:rsidRDefault="005E2D4E">
            <w:pPr>
              <w:pStyle w:val="P68B1DB1-Normal14"/>
              <w:spacing w:after="0" w:line="240" w:lineRule="auto"/>
              <w:jc w:val="both"/>
              <w:rPr>
                <w:noProof/>
              </w:rPr>
            </w:pPr>
            <w:r>
              <w:rPr>
                <w:noProof/>
              </w:rPr>
              <w:t>Entrée en vigueur du cadre juridique applicable définissant les critères de risque pour la classification des contribuables. Le cadre juridique est approuvé par un arrêté du président de l'ANAF.</w:t>
            </w:r>
          </w:p>
        </w:tc>
        <w:tc>
          <w:tcPr>
            <w:tcW w:w="1560" w:type="dxa"/>
            <w:tcBorders>
              <w:top w:val="nil"/>
              <w:left w:val="nil"/>
              <w:bottom w:val="single" w:sz="4" w:space="0" w:color="auto"/>
              <w:right w:val="single" w:sz="4" w:space="0" w:color="auto"/>
            </w:tcBorders>
            <w:shd w:val="clear" w:color="auto" w:fill="C6EFCE"/>
            <w:noWrap/>
          </w:tcPr>
          <w:p w14:paraId="0E375B8E" w14:textId="77777777" w:rsidR="00A345F4" w:rsidRDefault="005E2D4E">
            <w:pPr>
              <w:pStyle w:val="P68B1DB1-Normal14"/>
              <w:spacing w:after="0" w:line="240" w:lineRule="auto"/>
              <w:jc w:val="both"/>
              <w:rPr>
                <w:noProof/>
              </w:rPr>
            </w:pPr>
            <w:r>
              <w:rPr>
                <w:noProof/>
              </w:rPr>
              <w:t>Entrée en vigueur de l'Ordre du président de l'ANAF définissant les critères de risque</w:t>
            </w:r>
          </w:p>
        </w:tc>
        <w:tc>
          <w:tcPr>
            <w:tcW w:w="1197" w:type="dxa"/>
            <w:tcBorders>
              <w:top w:val="nil"/>
              <w:left w:val="nil"/>
              <w:bottom w:val="single" w:sz="4" w:space="0" w:color="auto"/>
              <w:right w:val="single" w:sz="4" w:space="0" w:color="auto"/>
            </w:tcBorders>
            <w:shd w:val="clear" w:color="auto" w:fill="C6EFCE"/>
            <w:noWrap/>
          </w:tcPr>
          <w:p w14:paraId="7CC01A65"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0C17D4A"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49F06F9A"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27F63A31"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2C233C13"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5EC4694F" w14:textId="77777777" w:rsidR="00A345F4" w:rsidRDefault="005E2D4E">
            <w:pPr>
              <w:pStyle w:val="P68B1DB1-Normal14"/>
              <w:spacing w:after="0" w:line="240" w:lineRule="auto"/>
              <w:jc w:val="both"/>
              <w:rPr>
                <w:noProof/>
              </w:rPr>
            </w:pPr>
            <w:r>
              <w:rPr>
                <w:noProof/>
              </w:rPr>
              <w:t xml:space="preserve">La définition des critères de risque se fait en fonction des principales catégories de risques de non-conformité fiscale: les risques liés à l’enregistrement fiscal; la présentation de déclarations; niveau de déclaration; paiement. Ces définitions sont utilisées dans le système de gestion du risque fiscal fondé sur les catégories de risque fiscal, dans lequel les mesures et les contrôles de l’administration fiscale sont adaptés au risque fiscal de chaque catégorie de contribuables. </w:t>
            </w:r>
          </w:p>
          <w:p w14:paraId="3008F5AF" w14:textId="77777777" w:rsidR="00A345F4" w:rsidRDefault="005E2D4E">
            <w:pPr>
              <w:pStyle w:val="P68B1DB1-Normal14"/>
              <w:spacing w:after="0" w:line="240" w:lineRule="auto"/>
              <w:jc w:val="both"/>
              <w:rPr>
                <w:noProof/>
              </w:rPr>
            </w:pPr>
            <w:r>
              <w:rPr>
                <w:noProof/>
              </w:rPr>
              <w:t>Les critères de risque tiennent compte des normes internationales suivantes:</w:t>
            </w:r>
          </w:p>
          <w:p w14:paraId="62C60952" w14:textId="77777777" w:rsidR="00A345F4" w:rsidRDefault="005E2D4E">
            <w:pPr>
              <w:pStyle w:val="P68B1DB1-Normal14"/>
              <w:spacing w:after="0" w:line="240" w:lineRule="auto"/>
              <w:jc w:val="both"/>
              <w:rPr>
                <w:noProof/>
              </w:rPr>
            </w:pPr>
            <w:r>
              <w:rPr>
                <w:noProof/>
              </w:rPr>
              <w:t>- OCDE ISO 31000:2018</w:t>
            </w:r>
          </w:p>
          <w:p w14:paraId="62608B51" w14:textId="77777777" w:rsidR="00A345F4" w:rsidRDefault="005E2D4E">
            <w:pPr>
              <w:pStyle w:val="P68B1DB1-Normal14"/>
              <w:spacing w:after="0" w:line="240" w:lineRule="auto"/>
              <w:jc w:val="both"/>
              <w:rPr>
                <w:noProof/>
              </w:rPr>
            </w:pPr>
            <w:r>
              <w:rPr>
                <w:noProof/>
              </w:rPr>
              <w:t xml:space="preserve">- COM - Guide de gestion des risques de conformité à l'intention des administrations fiscales 2010 </w:t>
            </w:r>
          </w:p>
          <w:p w14:paraId="2CCD9E49" w14:textId="77777777" w:rsidR="00A345F4" w:rsidRDefault="005E2D4E">
            <w:pPr>
              <w:pStyle w:val="P68B1DB1-Normal14"/>
              <w:spacing w:after="0" w:line="240" w:lineRule="auto"/>
              <w:jc w:val="both"/>
              <w:rPr>
                <w:noProof/>
              </w:rPr>
            </w:pPr>
            <w:r>
              <w:rPr>
                <w:noProof/>
              </w:rPr>
              <w:t>- Note d'orientation sur l'ALE pour l'évaluation de l'efficacité des stratégies de traitement des risques liés à la conformité.</w:t>
            </w:r>
          </w:p>
        </w:tc>
      </w:tr>
      <w:tr w:rsidR="00A345F4" w14:paraId="457DBF4F"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3851CA0" w14:textId="77777777" w:rsidR="00A345F4" w:rsidRDefault="005E2D4E">
            <w:pPr>
              <w:pStyle w:val="P68B1DB1-Normal14"/>
              <w:spacing w:after="0" w:line="240" w:lineRule="auto"/>
              <w:jc w:val="center"/>
              <w:rPr>
                <w:noProof/>
              </w:rPr>
            </w:pPr>
            <w:r>
              <w:rPr>
                <w:noProof/>
              </w:rPr>
              <w:t>194</w:t>
            </w:r>
          </w:p>
        </w:tc>
        <w:tc>
          <w:tcPr>
            <w:tcW w:w="1833" w:type="dxa"/>
            <w:tcBorders>
              <w:top w:val="nil"/>
              <w:left w:val="nil"/>
              <w:bottom w:val="single" w:sz="4" w:space="0" w:color="auto"/>
              <w:right w:val="single" w:sz="4" w:space="0" w:color="auto"/>
            </w:tcBorders>
            <w:shd w:val="clear" w:color="auto" w:fill="C6EFCE"/>
            <w:noWrap/>
          </w:tcPr>
          <w:p w14:paraId="34A804FC" w14:textId="77777777" w:rsidR="00A345F4" w:rsidRDefault="005E2D4E">
            <w:pPr>
              <w:pStyle w:val="P68B1DB1-Normal14"/>
              <w:spacing w:after="0" w:line="240" w:lineRule="auto"/>
              <w:jc w:val="both"/>
              <w:rPr>
                <w:noProof/>
              </w:rPr>
            </w:pPr>
            <w:r>
              <w:rPr>
                <w:noProof/>
              </w:rPr>
              <w:t xml:space="preserve">Réforme 1. Réforme de l’Agence nationale pour l’administration budgétaire (ANAF) par la numérisation </w:t>
            </w:r>
          </w:p>
        </w:tc>
        <w:tc>
          <w:tcPr>
            <w:tcW w:w="1268" w:type="dxa"/>
            <w:tcBorders>
              <w:top w:val="nil"/>
              <w:left w:val="nil"/>
              <w:bottom w:val="single" w:sz="4" w:space="0" w:color="auto"/>
              <w:right w:val="single" w:sz="4" w:space="0" w:color="auto"/>
            </w:tcBorders>
            <w:shd w:val="clear" w:color="auto" w:fill="C6EFCE"/>
            <w:noWrap/>
          </w:tcPr>
          <w:p w14:paraId="2CD40FBD"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5E6C977B" w14:textId="77777777" w:rsidR="00A345F4" w:rsidRDefault="005E2D4E">
            <w:pPr>
              <w:pStyle w:val="P68B1DB1-Normal14"/>
              <w:spacing w:after="0" w:line="240" w:lineRule="auto"/>
              <w:jc w:val="both"/>
              <w:rPr>
                <w:noProof/>
              </w:rPr>
            </w:pPr>
            <w:r>
              <w:rPr>
                <w:noProof/>
              </w:rPr>
              <w:t xml:space="preserve">Entrée en vigueur du cadre juridique modifié dans le domaine d’activité des organismes de contrôle fiscal </w:t>
            </w:r>
          </w:p>
        </w:tc>
        <w:tc>
          <w:tcPr>
            <w:tcW w:w="1560" w:type="dxa"/>
            <w:tcBorders>
              <w:top w:val="nil"/>
              <w:left w:val="nil"/>
              <w:bottom w:val="single" w:sz="4" w:space="0" w:color="auto"/>
              <w:right w:val="single" w:sz="4" w:space="0" w:color="auto"/>
            </w:tcBorders>
            <w:shd w:val="clear" w:color="auto" w:fill="C6EFCE"/>
            <w:noWrap/>
          </w:tcPr>
          <w:p w14:paraId="06FC3103" w14:textId="77777777" w:rsidR="00A345F4" w:rsidRDefault="005E2D4E">
            <w:pPr>
              <w:pStyle w:val="P68B1DB1-Normal14"/>
              <w:spacing w:after="0" w:line="240" w:lineRule="auto"/>
              <w:jc w:val="both"/>
              <w:rPr>
                <w:noProof/>
              </w:rPr>
            </w:pPr>
            <w:r>
              <w:rPr>
                <w:noProof/>
              </w:rPr>
              <w:t xml:space="preserve">Disposition de la loi indiquant l’entrée en vigueur du cadre juridique affectant le champ d’activité des organismes de contrôle fiscal </w:t>
            </w:r>
          </w:p>
        </w:tc>
        <w:tc>
          <w:tcPr>
            <w:tcW w:w="1197" w:type="dxa"/>
            <w:tcBorders>
              <w:top w:val="nil"/>
              <w:left w:val="nil"/>
              <w:bottom w:val="single" w:sz="4" w:space="0" w:color="auto"/>
              <w:right w:val="single" w:sz="4" w:space="0" w:color="auto"/>
            </w:tcBorders>
            <w:shd w:val="clear" w:color="auto" w:fill="C6EFCE"/>
            <w:noWrap/>
          </w:tcPr>
          <w:p w14:paraId="13F10613"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2082D368"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55F501B7"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334FA784"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11DA4B39"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7E847C21" w14:textId="77777777" w:rsidR="00A345F4" w:rsidRDefault="005E2D4E">
            <w:pPr>
              <w:pStyle w:val="P68B1DB1-Normal14"/>
              <w:spacing w:after="0" w:line="240" w:lineRule="auto"/>
              <w:jc w:val="both"/>
              <w:rPr>
                <w:noProof/>
              </w:rPr>
            </w:pPr>
            <w:r>
              <w:rPr>
                <w:noProof/>
              </w:rPr>
              <w:t>La nouvelle loi établit/révise les pouvoirs des autorités fiscales, des organismes de contrôle fiscal, des organismes de contrôle antifraude et des organismes chargés de vérifier la situation fiscale des particuliers, dans le but de renforcer la capacité institutionnelle des structures de contrôle fiscal, de prévenir la fraude et l’évasion fiscales nationales et transfrontières par l’identification précoce et ciblée des risques fiscaux majeurs.</w:t>
            </w:r>
          </w:p>
          <w:p w14:paraId="3B9B078F" w14:textId="77777777" w:rsidR="00A345F4" w:rsidRDefault="005E2D4E">
            <w:pPr>
              <w:pStyle w:val="P68B1DB1-Normal14"/>
              <w:spacing w:after="0" w:line="240" w:lineRule="auto"/>
              <w:jc w:val="both"/>
              <w:rPr>
                <w:noProof/>
              </w:rPr>
            </w:pPr>
            <w:r>
              <w:rPr>
                <w:noProof/>
              </w:rPr>
              <w:t>L'ANAF réexamine le cadre institutionnel et juridique des activités menées par les structures de contrôle. Compte tenu des conclusions et des résultats de l’analyse, la révision du cadre juridique des organismes de contrôle fiscal est achevée.</w:t>
            </w:r>
          </w:p>
        </w:tc>
      </w:tr>
      <w:tr w:rsidR="00A345F4" w14:paraId="6B64B8B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42102AF" w14:textId="77777777" w:rsidR="00A345F4" w:rsidRDefault="005E2D4E">
            <w:pPr>
              <w:pStyle w:val="P68B1DB1-Normal14"/>
              <w:spacing w:after="0" w:line="240" w:lineRule="auto"/>
              <w:jc w:val="center"/>
              <w:rPr>
                <w:noProof/>
              </w:rPr>
            </w:pPr>
            <w:r>
              <w:rPr>
                <w:noProof/>
              </w:rPr>
              <w:t>195</w:t>
            </w:r>
          </w:p>
        </w:tc>
        <w:tc>
          <w:tcPr>
            <w:tcW w:w="1833" w:type="dxa"/>
            <w:tcBorders>
              <w:top w:val="nil"/>
              <w:left w:val="nil"/>
              <w:bottom w:val="single" w:sz="4" w:space="0" w:color="auto"/>
              <w:right w:val="single" w:sz="4" w:space="0" w:color="auto"/>
            </w:tcBorders>
            <w:shd w:val="clear" w:color="auto" w:fill="C6EFCE"/>
            <w:noWrap/>
          </w:tcPr>
          <w:p w14:paraId="0170A3E8" w14:textId="77777777" w:rsidR="00A345F4" w:rsidRDefault="005E2D4E">
            <w:pPr>
              <w:pStyle w:val="P68B1DB1-Normal14"/>
              <w:spacing w:after="0" w:line="240" w:lineRule="auto"/>
              <w:jc w:val="both"/>
              <w:rPr>
                <w:noProof/>
              </w:rPr>
            </w:pPr>
            <w:r>
              <w:rPr>
                <w:noProof/>
              </w:rPr>
              <w:t>Réforme 1. Réforme de l’Agence nationale pour l’administration budgétaire (ANAF) par la numérisation</w:t>
            </w:r>
          </w:p>
        </w:tc>
        <w:tc>
          <w:tcPr>
            <w:tcW w:w="1268" w:type="dxa"/>
            <w:tcBorders>
              <w:top w:val="nil"/>
              <w:left w:val="nil"/>
              <w:bottom w:val="single" w:sz="4" w:space="0" w:color="auto"/>
              <w:right w:val="single" w:sz="4" w:space="0" w:color="auto"/>
            </w:tcBorders>
            <w:shd w:val="clear" w:color="auto" w:fill="C6EFCE"/>
            <w:noWrap/>
          </w:tcPr>
          <w:p w14:paraId="594CB4D3"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6EC1EFAC" w14:textId="77777777" w:rsidR="00A345F4" w:rsidRDefault="005E2D4E">
            <w:pPr>
              <w:pStyle w:val="P68B1DB1-Normal14"/>
              <w:spacing w:after="0" w:line="240" w:lineRule="auto"/>
              <w:jc w:val="both"/>
              <w:rPr>
                <w:noProof/>
              </w:rPr>
            </w:pPr>
            <w:r>
              <w:rPr>
                <w:noProof/>
              </w:rPr>
              <w:t>Mise en œuvre/approbation du plan d'action commun entre l'Agence nationale pour l'administration fiscale et l'inspection du travail afin de prévenir et de limiter le phénomène de l'évasion du travail gris/noir</w:t>
            </w:r>
          </w:p>
        </w:tc>
        <w:tc>
          <w:tcPr>
            <w:tcW w:w="1560" w:type="dxa"/>
            <w:tcBorders>
              <w:top w:val="nil"/>
              <w:left w:val="nil"/>
              <w:bottom w:val="single" w:sz="4" w:space="0" w:color="auto"/>
              <w:right w:val="single" w:sz="4" w:space="0" w:color="auto"/>
            </w:tcBorders>
            <w:shd w:val="clear" w:color="auto" w:fill="C6EFCE"/>
            <w:noWrap/>
          </w:tcPr>
          <w:p w14:paraId="211489CE" w14:textId="77777777" w:rsidR="00A345F4" w:rsidRDefault="005E2D4E">
            <w:pPr>
              <w:pStyle w:val="P68B1DB1-Normal14"/>
              <w:spacing w:after="0" w:line="240" w:lineRule="auto"/>
              <w:jc w:val="both"/>
              <w:rPr>
                <w:noProof/>
              </w:rPr>
            </w:pPr>
            <w:r>
              <w:rPr>
                <w:noProof/>
              </w:rPr>
              <w:t>Adoption du plan d’action commun entre l’Agence nationale pour l’administration fiscale et l’inspection du travail concernant les mesures à prendre pour prévenir et limiter le phénomène de la fraude au travail grise/noire</w:t>
            </w:r>
          </w:p>
        </w:tc>
        <w:tc>
          <w:tcPr>
            <w:tcW w:w="1197" w:type="dxa"/>
            <w:tcBorders>
              <w:top w:val="nil"/>
              <w:left w:val="nil"/>
              <w:bottom w:val="single" w:sz="4" w:space="0" w:color="auto"/>
              <w:right w:val="single" w:sz="4" w:space="0" w:color="auto"/>
            </w:tcBorders>
            <w:shd w:val="clear" w:color="auto" w:fill="C6EFCE"/>
            <w:noWrap/>
          </w:tcPr>
          <w:p w14:paraId="2BF7621A"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4C7B571C"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32C9BAF1"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00158D5D" w14:textId="77777777" w:rsidR="00A345F4" w:rsidRDefault="005E2D4E">
            <w:pPr>
              <w:pStyle w:val="P68B1DB1-Normal14"/>
              <w:spacing w:after="0" w:line="240" w:lineRule="auto"/>
              <w:jc w:val="center"/>
              <w:rPr>
                <w:noProof/>
              </w:rPr>
            </w:pPr>
            <w:r>
              <w:rPr>
                <w:noProof/>
              </w:rPr>
              <w:t>T1</w:t>
            </w:r>
          </w:p>
        </w:tc>
        <w:tc>
          <w:tcPr>
            <w:tcW w:w="840" w:type="dxa"/>
            <w:tcBorders>
              <w:top w:val="nil"/>
              <w:left w:val="nil"/>
              <w:bottom w:val="single" w:sz="4" w:space="0" w:color="auto"/>
              <w:right w:val="single" w:sz="4" w:space="0" w:color="auto"/>
            </w:tcBorders>
            <w:shd w:val="clear" w:color="auto" w:fill="C6EFCE"/>
            <w:noWrap/>
          </w:tcPr>
          <w:p w14:paraId="55DCEC25"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175C2C99" w14:textId="77777777" w:rsidR="00A345F4" w:rsidRDefault="005E2D4E">
            <w:pPr>
              <w:pStyle w:val="P68B1DB1-Normal14"/>
              <w:spacing w:after="0" w:line="240" w:lineRule="auto"/>
              <w:jc w:val="both"/>
              <w:rPr>
                <w:noProof/>
              </w:rPr>
            </w:pPr>
            <w:r>
              <w:rPr>
                <w:noProof/>
              </w:rPr>
              <w:t>À la suite du protocole de coopération avec l’inspection du travail, un plan d’action conjoint est élaboré pour inclure les opérateurs économiques présentant un risque fiscal élevé et également un risque du point de vue de l’utilisation du travail déclaré/non déclaré.</w:t>
            </w:r>
          </w:p>
          <w:p w14:paraId="4627B2F0" w14:textId="77777777" w:rsidR="00A345F4" w:rsidRDefault="005E2D4E">
            <w:pPr>
              <w:pStyle w:val="P68B1DB1-Normal14"/>
              <w:spacing w:after="0" w:line="240" w:lineRule="auto"/>
              <w:jc w:val="both"/>
              <w:rPr>
                <w:noProof/>
              </w:rPr>
            </w:pPr>
            <w:r>
              <w:rPr>
                <w:noProof/>
              </w:rPr>
              <w:t>Il est ventilé par type d'activité saisonnière, lorsque l'incidence des risques mentionnés est connue pour être élevée.</w:t>
            </w:r>
          </w:p>
          <w:p w14:paraId="7C08745B" w14:textId="77777777" w:rsidR="00A345F4" w:rsidRDefault="005E2D4E">
            <w:pPr>
              <w:pStyle w:val="P68B1DB1-Normal14"/>
              <w:spacing w:after="0" w:line="240" w:lineRule="auto"/>
              <w:jc w:val="both"/>
              <w:rPr>
                <w:noProof/>
              </w:rPr>
            </w:pPr>
            <w:r>
              <w:rPr>
                <w:noProof/>
              </w:rPr>
              <w:t>Périodiquement, la direction des structures concernées (Direction Générale Antifraude Fiscale et Inspection du Travail) analyse les résultats obtenus ainsi que les possibilités et perspectives de mise à jour du plan, en fonction des résultats constatés.</w:t>
            </w:r>
          </w:p>
        </w:tc>
      </w:tr>
      <w:tr w:rsidR="00A345F4" w14:paraId="5962F69C"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20F802E" w14:textId="77777777" w:rsidR="00A345F4" w:rsidRDefault="005E2D4E">
            <w:pPr>
              <w:pStyle w:val="P68B1DB1-Normal14"/>
              <w:spacing w:after="0" w:line="240" w:lineRule="auto"/>
              <w:jc w:val="center"/>
              <w:rPr>
                <w:noProof/>
              </w:rPr>
            </w:pPr>
            <w:r>
              <w:rPr>
                <w:noProof/>
              </w:rPr>
              <w:t>196</w:t>
            </w:r>
          </w:p>
        </w:tc>
        <w:tc>
          <w:tcPr>
            <w:tcW w:w="1833" w:type="dxa"/>
            <w:tcBorders>
              <w:top w:val="nil"/>
              <w:left w:val="nil"/>
              <w:bottom w:val="single" w:sz="4" w:space="0" w:color="auto"/>
              <w:right w:val="single" w:sz="4" w:space="0" w:color="auto"/>
            </w:tcBorders>
            <w:shd w:val="clear" w:color="auto" w:fill="C6EFCE"/>
            <w:noWrap/>
          </w:tcPr>
          <w:p w14:paraId="77B518A2" w14:textId="77777777" w:rsidR="00A345F4" w:rsidRDefault="005E2D4E">
            <w:pPr>
              <w:pStyle w:val="P68B1DB1-Normal14"/>
              <w:spacing w:after="0" w:line="240" w:lineRule="auto"/>
              <w:jc w:val="both"/>
              <w:rPr>
                <w:noProof/>
              </w:rPr>
            </w:pPr>
            <w:r>
              <w:rPr>
                <w:noProof/>
              </w:rPr>
              <w:t>Réforme 1. Réforme de l’Agence nationale pour l’administration budgétaire (ANAF) par la numérisation</w:t>
            </w:r>
          </w:p>
        </w:tc>
        <w:tc>
          <w:tcPr>
            <w:tcW w:w="1268" w:type="dxa"/>
            <w:tcBorders>
              <w:top w:val="nil"/>
              <w:left w:val="nil"/>
              <w:bottom w:val="single" w:sz="4" w:space="0" w:color="auto"/>
              <w:right w:val="single" w:sz="4" w:space="0" w:color="auto"/>
            </w:tcBorders>
            <w:shd w:val="clear" w:color="auto" w:fill="C6EFCE"/>
            <w:noWrap/>
          </w:tcPr>
          <w:p w14:paraId="797EFA55"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175675E8" w14:textId="77777777" w:rsidR="00A345F4" w:rsidRDefault="005E2D4E">
            <w:pPr>
              <w:pStyle w:val="P68B1DB1-Normal14"/>
              <w:spacing w:after="0" w:line="240" w:lineRule="auto"/>
              <w:jc w:val="both"/>
              <w:rPr>
                <w:noProof/>
              </w:rPr>
            </w:pPr>
            <w:r>
              <w:rPr>
                <w:noProof/>
              </w:rPr>
              <w:t xml:space="preserve">Augmenter la part des recettes perçues par l'administration fiscale </w:t>
            </w:r>
          </w:p>
        </w:tc>
        <w:tc>
          <w:tcPr>
            <w:tcW w:w="1560" w:type="dxa"/>
            <w:tcBorders>
              <w:top w:val="nil"/>
              <w:left w:val="nil"/>
              <w:bottom w:val="single" w:sz="4" w:space="0" w:color="auto"/>
              <w:right w:val="single" w:sz="4" w:space="0" w:color="auto"/>
            </w:tcBorders>
            <w:shd w:val="clear" w:color="auto" w:fill="C6EFCE"/>
            <w:noWrap/>
          </w:tcPr>
          <w:p w14:paraId="6AF615D4"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7DB049F7" w14:textId="77777777" w:rsidR="00A345F4" w:rsidRDefault="005E2D4E">
            <w:pPr>
              <w:pStyle w:val="P68B1DB1-Normal14"/>
              <w:spacing w:after="0" w:line="240" w:lineRule="auto"/>
              <w:rPr>
                <w:noProof/>
              </w:rPr>
            </w:pPr>
            <w:r>
              <w:rPr>
                <w:noProof/>
              </w:rPr>
              <w:t>Points de pourcentage du PIB</w:t>
            </w:r>
          </w:p>
        </w:tc>
        <w:tc>
          <w:tcPr>
            <w:tcW w:w="1129" w:type="dxa"/>
            <w:tcBorders>
              <w:top w:val="nil"/>
              <w:left w:val="nil"/>
              <w:bottom w:val="single" w:sz="4" w:space="0" w:color="auto"/>
              <w:right w:val="single" w:sz="4" w:space="0" w:color="auto"/>
            </w:tcBorders>
            <w:shd w:val="clear" w:color="auto" w:fill="C6EFCE"/>
            <w:noWrap/>
          </w:tcPr>
          <w:p w14:paraId="6F1294EB"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36E7F5E1" w14:textId="77777777" w:rsidR="00A345F4" w:rsidRDefault="005E2D4E">
            <w:pPr>
              <w:pStyle w:val="P68B1DB1-Normal14"/>
              <w:spacing w:after="0" w:line="240" w:lineRule="auto"/>
              <w:rPr>
                <w:noProof/>
              </w:rPr>
            </w:pPr>
            <w:r>
              <w:rPr>
                <w:noProof/>
              </w:rPr>
              <w:t>2.5</w:t>
            </w:r>
          </w:p>
        </w:tc>
        <w:tc>
          <w:tcPr>
            <w:tcW w:w="1128" w:type="dxa"/>
            <w:tcBorders>
              <w:top w:val="nil"/>
              <w:left w:val="nil"/>
              <w:bottom w:val="single" w:sz="4" w:space="0" w:color="auto"/>
              <w:right w:val="single" w:sz="4" w:space="0" w:color="auto"/>
            </w:tcBorders>
            <w:shd w:val="clear" w:color="auto" w:fill="C6EFCE"/>
            <w:noWrap/>
          </w:tcPr>
          <w:p w14:paraId="7BD091F9"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0B7D0A7A" w14:textId="77777777" w:rsidR="00A345F4" w:rsidRDefault="005E2D4E">
            <w:pPr>
              <w:pStyle w:val="P68B1DB1-Normal14"/>
              <w:spacing w:after="0" w:line="240" w:lineRule="auto"/>
              <w:jc w:val="center"/>
              <w:rPr>
                <w:noProof/>
              </w:rPr>
            </w:pPr>
            <w:r>
              <w:rPr>
                <w:noProof/>
              </w:rPr>
              <w:t>2025</w:t>
            </w:r>
          </w:p>
        </w:tc>
        <w:tc>
          <w:tcPr>
            <w:tcW w:w="3107" w:type="dxa"/>
            <w:tcBorders>
              <w:top w:val="nil"/>
              <w:left w:val="nil"/>
              <w:bottom w:val="single" w:sz="4" w:space="0" w:color="auto"/>
              <w:right w:val="single" w:sz="4" w:space="0" w:color="auto"/>
            </w:tcBorders>
            <w:shd w:val="clear" w:color="auto" w:fill="C6EFCE"/>
            <w:noWrap/>
          </w:tcPr>
          <w:p w14:paraId="5707981A" w14:textId="77777777" w:rsidR="00A345F4" w:rsidRDefault="005E2D4E">
            <w:pPr>
              <w:pStyle w:val="P68B1DB1-Normal14"/>
              <w:spacing w:after="0" w:line="240" w:lineRule="auto"/>
              <w:jc w:val="both"/>
              <w:rPr>
                <w:noProof/>
              </w:rPr>
            </w:pPr>
            <w:r>
              <w:rPr>
                <w:noProof/>
              </w:rPr>
              <w:t>La part des recettes fiscales augmente d’au moins 2,5 points de pourcentage du PIB par rapport au niveau observé en 2019.</w:t>
            </w:r>
          </w:p>
        </w:tc>
      </w:tr>
      <w:tr w:rsidR="00A345F4" w14:paraId="0D8D4C7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449B9E5B" w14:textId="77777777" w:rsidR="00A345F4" w:rsidRDefault="005E2D4E">
            <w:pPr>
              <w:pStyle w:val="P68B1DB1-Normal14"/>
              <w:spacing w:after="0" w:line="240" w:lineRule="auto"/>
              <w:jc w:val="center"/>
              <w:rPr>
                <w:noProof/>
              </w:rPr>
            </w:pPr>
            <w:r>
              <w:rPr>
                <w:noProof/>
              </w:rPr>
              <w:t>197</w:t>
            </w:r>
          </w:p>
        </w:tc>
        <w:tc>
          <w:tcPr>
            <w:tcW w:w="1833" w:type="dxa"/>
            <w:tcBorders>
              <w:top w:val="nil"/>
              <w:left w:val="nil"/>
              <w:bottom w:val="single" w:sz="4" w:space="0" w:color="auto"/>
              <w:right w:val="single" w:sz="4" w:space="0" w:color="auto"/>
            </w:tcBorders>
            <w:shd w:val="clear" w:color="auto" w:fill="C6EFCE"/>
            <w:noWrap/>
          </w:tcPr>
          <w:p w14:paraId="2116E12D" w14:textId="77777777" w:rsidR="00A345F4" w:rsidRDefault="005E2D4E">
            <w:pPr>
              <w:pStyle w:val="P68B1DB1-Normal14"/>
              <w:spacing w:after="0" w:line="240" w:lineRule="auto"/>
              <w:jc w:val="both"/>
              <w:rPr>
                <w:noProof/>
              </w:rPr>
            </w:pPr>
            <w:r>
              <w:rPr>
                <w:noProof/>
              </w:rPr>
              <w:t>Réforme 1. Réforme de l’Agence nationale pour l’administration budgétaire (ANAF) par la numérisation</w:t>
            </w:r>
          </w:p>
        </w:tc>
        <w:tc>
          <w:tcPr>
            <w:tcW w:w="1268" w:type="dxa"/>
            <w:tcBorders>
              <w:top w:val="nil"/>
              <w:left w:val="nil"/>
              <w:bottom w:val="single" w:sz="4" w:space="0" w:color="auto"/>
              <w:right w:val="single" w:sz="4" w:space="0" w:color="auto"/>
            </w:tcBorders>
            <w:shd w:val="clear" w:color="auto" w:fill="C6EFCE"/>
            <w:noWrap/>
          </w:tcPr>
          <w:p w14:paraId="05C94634"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1596FDFA" w14:textId="77777777" w:rsidR="00A345F4" w:rsidRDefault="005E2D4E">
            <w:pPr>
              <w:pStyle w:val="P68B1DB1-Normal14"/>
              <w:spacing w:after="0" w:line="240" w:lineRule="auto"/>
              <w:jc w:val="both"/>
              <w:rPr>
                <w:noProof/>
              </w:rPr>
            </w:pPr>
            <w:r>
              <w:rPr>
                <w:noProof/>
              </w:rPr>
              <w:t>Réforme structurelle de l’ANAF et actes juridiques visant à accroître le respect des obligations fiscales</w:t>
            </w:r>
          </w:p>
        </w:tc>
        <w:tc>
          <w:tcPr>
            <w:tcW w:w="1560" w:type="dxa"/>
            <w:tcBorders>
              <w:top w:val="nil"/>
              <w:left w:val="nil"/>
              <w:bottom w:val="single" w:sz="4" w:space="0" w:color="auto"/>
              <w:right w:val="single" w:sz="4" w:space="0" w:color="auto"/>
            </w:tcBorders>
            <w:shd w:val="clear" w:color="auto" w:fill="C6EFCE"/>
            <w:noWrap/>
          </w:tcPr>
          <w:p w14:paraId="5C9A256D" w14:textId="77777777" w:rsidR="00A345F4" w:rsidRDefault="005E2D4E">
            <w:pPr>
              <w:pStyle w:val="P68B1DB1-Normal14"/>
              <w:spacing w:after="0" w:line="240" w:lineRule="auto"/>
              <w:jc w:val="both"/>
              <w:rPr>
                <w:noProof/>
              </w:rPr>
            </w:pPr>
            <w:r>
              <w:rPr>
                <w:noProof/>
              </w:rPr>
              <w:t xml:space="preserve">Acte(s) juridique(s) entrant en vigueur et réforme(s) structurelle(s) intervenu(s) </w:t>
            </w:r>
          </w:p>
        </w:tc>
        <w:tc>
          <w:tcPr>
            <w:tcW w:w="1197" w:type="dxa"/>
            <w:tcBorders>
              <w:top w:val="nil"/>
              <w:left w:val="nil"/>
              <w:bottom w:val="single" w:sz="4" w:space="0" w:color="auto"/>
              <w:right w:val="single" w:sz="4" w:space="0" w:color="auto"/>
            </w:tcBorders>
            <w:shd w:val="clear" w:color="auto" w:fill="C6EFCE"/>
            <w:noWrap/>
          </w:tcPr>
          <w:p w14:paraId="209ABCFD"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6B50E915"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1A0ACD28" w14:textId="77777777" w:rsidR="00A345F4" w:rsidRDefault="00A345F4">
            <w:pPr>
              <w:spacing w:after="0" w:line="240" w:lineRule="auto"/>
              <w:rPr>
                <w:rFonts w:ascii="Times New Roman" w:hAnsi="Times New Roman" w:cs="Times New Roman"/>
                <w:noProof/>
                <w:sz w:val="20"/>
                <w:szCs w:val="20"/>
              </w:rPr>
            </w:pPr>
          </w:p>
          <w:p w14:paraId="2B6D3B31"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1884A177" w14:textId="77777777" w:rsidR="00A345F4" w:rsidRDefault="005E2D4E">
            <w:pPr>
              <w:pStyle w:val="P68B1DB1-Normal14"/>
              <w:spacing w:after="0" w:line="240" w:lineRule="auto"/>
              <w:jc w:val="center"/>
              <w:rPr>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333323D4" w14:textId="77777777" w:rsidR="00A345F4" w:rsidRDefault="005E2D4E">
            <w:pPr>
              <w:pStyle w:val="P68B1DB1-Normal14"/>
              <w:spacing w:after="0" w:line="240" w:lineRule="auto"/>
              <w:jc w:val="center"/>
              <w:rPr>
                <w:noProof/>
              </w:rPr>
            </w:pPr>
            <w:r>
              <w:rPr>
                <w:noProof/>
              </w:rPr>
              <w:t>2026</w:t>
            </w:r>
          </w:p>
        </w:tc>
        <w:tc>
          <w:tcPr>
            <w:tcW w:w="3107" w:type="dxa"/>
            <w:tcBorders>
              <w:top w:val="nil"/>
              <w:left w:val="nil"/>
              <w:bottom w:val="single" w:sz="4" w:space="0" w:color="auto"/>
              <w:right w:val="single" w:sz="4" w:space="0" w:color="auto"/>
            </w:tcBorders>
            <w:shd w:val="clear" w:color="auto" w:fill="C6EFCE"/>
            <w:noWrap/>
          </w:tcPr>
          <w:p w14:paraId="4BF24E70" w14:textId="77777777" w:rsidR="00A345F4" w:rsidRDefault="005E2D4E">
            <w:pPr>
              <w:pStyle w:val="P68B1DB1-Normal14"/>
              <w:spacing w:after="0"/>
              <w:jc w:val="both"/>
              <w:rPr>
                <w:noProof/>
              </w:rPr>
            </w:pPr>
            <w:r>
              <w:rPr>
                <w:noProof/>
              </w:rPr>
              <w:t>1. Centralisation des fonctions de gestion des risques et réorganisation de l'ANAF pour l'efficacité comme suit:</w:t>
            </w:r>
          </w:p>
          <w:p w14:paraId="29B7F109" w14:textId="77777777" w:rsidR="00A345F4" w:rsidRDefault="005E2D4E">
            <w:pPr>
              <w:pStyle w:val="P68B1DB1-Normal14"/>
              <w:spacing w:after="0"/>
              <w:jc w:val="both"/>
              <w:rPr>
                <w:noProof/>
              </w:rPr>
            </w:pPr>
            <w:r>
              <w:rPr>
                <w:noProof/>
              </w:rPr>
              <w:t xml:space="preserve">Centralisation des fonctions de gestion des risques et de planification de l'inspection fiscale au siège de l'ANAF, avec des structures territoriales axées sur l'inspection, la déclaration et l'exécution; </w:t>
            </w:r>
          </w:p>
          <w:p w14:paraId="10A6B1A7" w14:textId="77777777" w:rsidR="00A345F4" w:rsidRDefault="005E2D4E">
            <w:pPr>
              <w:pStyle w:val="P68B1DB1-Normal14"/>
              <w:spacing w:after="0"/>
              <w:jc w:val="both"/>
              <w:rPr>
                <w:noProof/>
              </w:rPr>
            </w:pPr>
            <w:r>
              <w:rPr>
                <w:noProof/>
              </w:rPr>
              <w:t xml:space="preserve">- L’unité centrale de gestion des risques dispose d’un minimum de 40 experts spécialisés formés; L’unité utilise les données combinées de la facture électronique, du transport électronique et de la SAF-T, par l’intermédiaire du nouvel entrepôt de données fiscales CNIF (géré par le ministère des finances); </w:t>
            </w:r>
          </w:p>
          <w:p w14:paraId="65F9FCCD" w14:textId="77777777" w:rsidR="00A345F4" w:rsidRDefault="005E2D4E">
            <w:pPr>
              <w:pStyle w:val="P68B1DB1-Normal14"/>
              <w:spacing w:after="0"/>
              <w:jc w:val="both"/>
              <w:rPr>
                <w:noProof/>
              </w:rPr>
            </w:pPr>
            <w:r>
              <w:rPr>
                <w:noProof/>
              </w:rPr>
              <w:t>2. Système d’indicateurs de performance et tests d’intégrité du fonctionnement du personnel de l’ANAF:</w:t>
            </w:r>
          </w:p>
          <w:p w14:paraId="426439F6" w14:textId="15E0C1F9" w:rsidR="00A345F4" w:rsidRDefault="005E2D4E">
            <w:pPr>
              <w:pStyle w:val="P68B1DB1-Normal14"/>
              <w:spacing w:after="0"/>
              <w:jc w:val="both"/>
              <w:rPr>
                <w:noProof/>
              </w:rPr>
            </w:pPr>
            <w:r>
              <w:rPr>
                <w:noProof/>
              </w:rPr>
              <w:t xml:space="preserve">- Mise en place d’un nouvel ensemble d’indicateurs clés de performance (ICP) pour les principales fonctions de l’ANAF: la gestion des risques, le contrôle fiscal, la lutte contre la fraude et les aspects juridiques; </w:t>
            </w:r>
          </w:p>
          <w:p w14:paraId="1A106504" w14:textId="77777777" w:rsidR="00A345F4" w:rsidRDefault="005E2D4E">
            <w:pPr>
              <w:pStyle w:val="P68B1DB1-Normal14"/>
              <w:spacing w:after="0"/>
              <w:jc w:val="both"/>
              <w:rPr>
                <w:noProof/>
              </w:rPr>
            </w:pPr>
            <w:r>
              <w:rPr>
                <w:noProof/>
              </w:rPr>
              <w:t>- Dans le cadre des sanctions, inclure des dispositions relatives à la cessation d’emploi des fonctionnaires reconnus coupables de corruption et à l’interdiction d’exercer des fonctions publiques par la suite.</w:t>
            </w:r>
          </w:p>
          <w:p w14:paraId="02000B58" w14:textId="77777777" w:rsidR="00A345F4" w:rsidRDefault="005E2D4E">
            <w:pPr>
              <w:pStyle w:val="P68B1DB1-Normal14"/>
              <w:spacing w:after="0"/>
              <w:jc w:val="both"/>
              <w:rPr>
                <w:noProof/>
              </w:rPr>
            </w:pPr>
            <w:r>
              <w:rPr>
                <w:noProof/>
              </w:rPr>
              <w:t xml:space="preserve">- Introduction d'une structure incitative avec malus/bonus pour les fonctionnaires de l'ANAF directement liée à la performance des KPI. </w:t>
            </w:r>
          </w:p>
          <w:p w14:paraId="56BFEDFB" w14:textId="77777777" w:rsidR="00A345F4" w:rsidRDefault="005E2D4E">
            <w:pPr>
              <w:pStyle w:val="P68B1DB1-Normal14"/>
              <w:spacing w:after="0"/>
              <w:jc w:val="both"/>
              <w:rPr>
                <w:noProof/>
              </w:rPr>
            </w:pPr>
            <w:r>
              <w:rPr>
                <w:noProof/>
              </w:rPr>
              <w:t>3. Interconnexion entre l’ANAF, le ministère de la justice, l’Office national du registre du commerce (ONRC) et l’alerte précoce en matière d’insolvabilité.</w:t>
            </w:r>
          </w:p>
          <w:p w14:paraId="1C19AD2D" w14:textId="77777777" w:rsidR="00A345F4" w:rsidRDefault="005E2D4E">
            <w:pPr>
              <w:pStyle w:val="P68B1DB1-Normal14"/>
              <w:spacing w:after="0"/>
              <w:jc w:val="both"/>
              <w:rPr>
                <w:noProof/>
              </w:rPr>
            </w:pPr>
            <w:r>
              <w:rPr>
                <w:noProof/>
              </w:rPr>
              <w:t xml:space="preserve">Signature d'un protocole de partage de données entre l'ANAF, le Ministère de la Justice et l'Office National du Registre du Commerce (ONRC) pour le suivi des entreprises à risque d'insolvabilité; </w:t>
            </w:r>
          </w:p>
          <w:p w14:paraId="20154C8D" w14:textId="77777777" w:rsidR="00A345F4" w:rsidRDefault="005E2D4E">
            <w:pPr>
              <w:pStyle w:val="P68B1DB1-Normal14"/>
              <w:spacing w:after="0"/>
              <w:jc w:val="both"/>
              <w:rPr>
                <w:noProof/>
              </w:rPr>
            </w:pPr>
            <w:r>
              <w:rPr>
                <w:noProof/>
              </w:rPr>
              <w:t>- Création et intégration d’un modèle algorithmique d’alerte précoce sur le risque d’insolvabilité dans le système de gestion des risques de l’ANAF.</w:t>
            </w:r>
          </w:p>
          <w:p w14:paraId="6C266F59" w14:textId="77777777" w:rsidR="00A345F4" w:rsidRDefault="005E2D4E">
            <w:pPr>
              <w:pStyle w:val="P68B1DB1-Normal14"/>
              <w:spacing w:after="0"/>
              <w:jc w:val="both"/>
              <w:rPr>
                <w:noProof/>
              </w:rPr>
            </w:pPr>
            <w:r>
              <w:rPr>
                <w:noProof/>
              </w:rPr>
              <w:t>4. Entrée en vigueur d’un ou de plusieurs actes juridiques visant à réviser le cadre relatif à l’insolvabilité et au recouvrement des créances fiscales. Il s'agit notamment de dispositions concernant:</w:t>
            </w:r>
          </w:p>
          <w:p w14:paraId="198A9708" w14:textId="77777777" w:rsidR="00A345F4" w:rsidRDefault="005E2D4E">
            <w:pPr>
              <w:pStyle w:val="P68B1DB1-Normal14"/>
              <w:spacing w:after="0"/>
              <w:jc w:val="both"/>
              <w:rPr>
                <w:noProof/>
              </w:rPr>
            </w:pPr>
            <w:r>
              <w:rPr>
                <w:noProof/>
              </w:rPr>
              <w:t xml:space="preserve">- Accorder la priorité ou le statut garanti aux dettes fiscales à l'ANAF (TVA, charges sociales); </w:t>
            </w:r>
          </w:p>
          <w:p w14:paraId="74D0BE62" w14:textId="77777777" w:rsidR="00A345F4" w:rsidRDefault="005E2D4E">
            <w:pPr>
              <w:pStyle w:val="P68B1DB1-Normal14"/>
              <w:spacing w:after="0"/>
              <w:jc w:val="both"/>
              <w:rPr>
                <w:noProof/>
              </w:rPr>
            </w:pPr>
            <w:r>
              <w:rPr>
                <w:noProof/>
              </w:rPr>
              <w:t xml:space="preserve">- la mise en place d’audits financiers obligatoires pour les entreprises en faillite ayant des dettes fiscales importantes (supérieures à 2 millions de RON); </w:t>
            </w:r>
          </w:p>
          <w:p w14:paraId="0724A373" w14:textId="77777777" w:rsidR="00A345F4" w:rsidRDefault="005E2D4E">
            <w:pPr>
              <w:pStyle w:val="P68B1DB1-Normal14"/>
              <w:spacing w:after="0"/>
              <w:jc w:val="both"/>
              <w:rPr>
                <w:noProof/>
              </w:rPr>
            </w:pPr>
            <w:r>
              <w:rPr>
                <w:noProof/>
              </w:rPr>
              <w:t xml:space="preserve">- limiter le recours répété à l’insolvabilité par les entités affiliées, en interdisant aux personnes condamnées pour fraude à la TVA de créer de nouvelles entreprises; </w:t>
            </w:r>
          </w:p>
          <w:p w14:paraId="239F3158" w14:textId="77777777" w:rsidR="00A345F4" w:rsidRDefault="005E2D4E">
            <w:pPr>
              <w:pStyle w:val="P68B1DB1-Normal14"/>
              <w:spacing w:after="0"/>
              <w:jc w:val="both"/>
              <w:rPr>
                <w:noProof/>
              </w:rPr>
            </w:pPr>
            <w:r>
              <w:rPr>
                <w:noProof/>
              </w:rPr>
              <w:t>octroi à l'ANAF du droit de vote dans les plans de restructuration et de contestation des liquidateurs en cas de fraude fiscale;</w:t>
            </w:r>
          </w:p>
          <w:p w14:paraId="2D34CA25" w14:textId="77777777" w:rsidR="00A345F4" w:rsidRDefault="005E2D4E">
            <w:pPr>
              <w:pStyle w:val="P68B1DB1-Normal14"/>
              <w:spacing w:after="0"/>
              <w:jc w:val="both"/>
              <w:rPr>
                <w:noProof/>
              </w:rPr>
            </w:pPr>
            <w:r>
              <w:rPr>
                <w:noProof/>
              </w:rPr>
              <w:t>- Permettre à l’ANAF de bloquer les ventes d’actifs sous-évalués en cas de préjudice fiscal.</w:t>
            </w:r>
          </w:p>
          <w:p w14:paraId="5D3BCABA" w14:textId="77777777" w:rsidR="00A345F4" w:rsidRDefault="005E2D4E">
            <w:pPr>
              <w:pStyle w:val="P68B1DB1-Normal14"/>
              <w:spacing w:after="0"/>
              <w:jc w:val="both"/>
              <w:rPr>
                <w:noProof/>
              </w:rPr>
            </w:pPr>
            <w:r>
              <w:rPr>
                <w:noProof/>
              </w:rPr>
              <w:t xml:space="preserve">5. Facturation électronique obligatoire pour les transactions effectuées dans le cadre du système fiscal national (facture électronique RO). Entrée en vigueur d'un ou de plusieurs actes juridiques exigeant: </w:t>
            </w:r>
          </w:p>
          <w:p w14:paraId="59DD20E1" w14:textId="77777777" w:rsidR="00A345F4" w:rsidRDefault="005E2D4E">
            <w:pPr>
              <w:pStyle w:val="P68B1DB1-Normal14"/>
              <w:spacing w:after="0"/>
              <w:jc w:val="both"/>
              <w:rPr>
                <w:noProof/>
              </w:rPr>
            </w:pPr>
            <w:r>
              <w:rPr>
                <w:noProof/>
              </w:rPr>
              <w:t xml:space="preserve">- Utilisation obligatoire de la facture électronique RO pour les transactions B2B et B2C, conformément au champ d’application et aux conditions établis par le droit national. </w:t>
            </w:r>
          </w:p>
          <w:p w14:paraId="13433361" w14:textId="77777777" w:rsidR="00A345F4" w:rsidRDefault="005E2D4E">
            <w:pPr>
              <w:pStyle w:val="P68B1DB1-Normal14"/>
              <w:spacing w:after="0"/>
              <w:jc w:val="both"/>
              <w:rPr>
                <w:noProof/>
              </w:rPr>
            </w:pPr>
            <w:r>
              <w:rPr>
                <w:noProof/>
              </w:rPr>
              <w:t>- Sanctions en cas de non-respect (amendes, suspension/annulation du code TVA/inactivation).</w:t>
            </w:r>
          </w:p>
          <w:p w14:paraId="1416C956" w14:textId="77777777" w:rsidR="00A345F4" w:rsidRDefault="005E2D4E">
            <w:pPr>
              <w:pStyle w:val="P68B1DB1-Normal14"/>
              <w:spacing w:after="0"/>
              <w:jc w:val="both"/>
              <w:rPr>
                <w:noProof/>
              </w:rPr>
            </w:pPr>
            <w:r>
              <w:rPr>
                <w:noProof/>
              </w:rPr>
              <w:t>6. Adoption d’actes juridiques introduisant l’utilisation obligatoire des caisses enregistreuses et l’intégration à la facture électronique et au SAF-T pour tous les secteurs</w:t>
            </w:r>
          </w:p>
          <w:p w14:paraId="4936AB74" w14:textId="77777777" w:rsidR="00A345F4" w:rsidRDefault="005E2D4E">
            <w:pPr>
              <w:pStyle w:val="P68B1DB1-Normal14"/>
              <w:spacing w:after="0"/>
              <w:jc w:val="both"/>
              <w:rPr>
                <w:noProof/>
              </w:rPr>
            </w:pPr>
            <w:r>
              <w:rPr>
                <w:noProof/>
              </w:rPr>
              <w:t>- utilisation obligatoire des caisses enregistreuses pour tous les secteurs d'activité et types de transactions (B2B et B2C);</w:t>
            </w:r>
          </w:p>
          <w:p w14:paraId="515C585B" w14:textId="77777777" w:rsidR="00A345F4" w:rsidRDefault="005E2D4E">
            <w:pPr>
              <w:pStyle w:val="P68B1DB1-Normal14"/>
              <w:spacing w:after="0"/>
              <w:jc w:val="both"/>
              <w:rPr>
                <w:noProof/>
              </w:rPr>
            </w:pPr>
            <w:r>
              <w:rPr>
                <w:noProof/>
              </w:rPr>
              <w:t>Intégration avec e-Invoice et SAF-T via un système de données unifié géré par l'ANAF.</w:t>
            </w:r>
          </w:p>
          <w:p w14:paraId="5EB68561" w14:textId="77777777" w:rsidR="00A345F4" w:rsidRDefault="005E2D4E">
            <w:pPr>
              <w:pStyle w:val="P68B1DB1-Normal14"/>
              <w:spacing w:after="0"/>
              <w:jc w:val="both"/>
              <w:rPr>
                <w:noProof/>
              </w:rPr>
            </w:pPr>
            <w:r>
              <w:rPr>
                <w:noProof/>
              </w:rPr>
              <w:t xml:space="preserve">- Intégration d’une application mobile spécifique permettant aux citoyens de vérifier les recettes fiscales, renforçant ainsi la transparence et l’intégration des données relatives aux appareils fiscaux dans l’écosystème numérique de l’ANAF. </w:t>
            </w:r>
          </w:p>
          <w:p w14:paraId="1B27D0C7" w14:textId="77777777" w:rsidR="00A345F4" w:rsidRDefault="005E2D4E">
            <w:pPr>
              <w:pStyle w:val="P68B1DB1-Normal14"/>
              <w:spacing w:after="0"/>
              <w:jc w:val="both"/>
              <w:rPr>
                <w:noProof/>
              </w:rPr>
            </w:pPr>
            <w:r>
              <w:rPr>
                <w:noProof/>
              </w:rPr>
              <w:t xml:space="preserve">7. Renforcer le cadre de l’ANAF en matière de prix de transfert, par les actions suivantes: </w:t>
            </w:r>
          </w:p>
          <w:p w14:paraId="61812367" w14:textId="77777777" w:rsidR="00A345F4" w:rsidRDefault="005E2D4E">
            <w:pPr>
              <w:pStyle w:val="P68B1DB1-Normal14"/>
              <w:spacing w:after="0"/>
              <w:jc w:val="both"/>
              <w:rPr>
                <w:noProof/>
              </w:rPr>
            </w:pPr>
            <w:r>
              <w:rPr>
                <w:noProof/>
              </w:rPr>
              <w:t>- renforcer la capacité institutionnelle et méthodologique de l’ANAF à élaborer des lignes directrices, des procédures et des notes méthodologiques pour les structures d’audit évaluant la substance économique des transactions entre parties liées;</w:t>
            </w:r>
          </w:p>
          <w:p w14:paraId="323820B4" w14:textId="77777777" w:rsidR="00A345F4" w:rsidRDefault="005E2D4E">
            <w:pPr>
              <w:pStyle w:val="P68B1DB1-Normal14"/>
              <w:spacing w:after="0"/>
              <w:jc w:val="both"/>
              <w:rPr>
                <w:noProof/>
              </w:rPr>
            </w:pPr>
            <w:r>
              <w:rPr>
                <w:noProof/>
              </w:rPr>
              <w:t>- la mise en place d’un mécanisme de résolution des cas de double imposition résultant d’ajustements des prix de transfert, en coopération avec les administrations fiscales des autres États membres;</w:t>
            </w:r>
          </w:p>
          <w:p w14:paraId="2E4B5DA7" w14:textId="77777777" w:rsidR="00A345F4" w:rsidRDefault="005E2D4E">
            <w:pPr>
              <w:pStyle w:val="P68B1DB1-Normal14"/>
              <w:spacing w:after="0"/>
              <w:jc w:val="both"/>
              <w:rPr>
                <w:noProof/>
              </w:rPr>
            </w:pPr>
            <w:r>
              <w:rPr>
                <w:noProof/>
              </w:rPr>
              <w:t>- élargir le mandat de l’ANAF pour émettre des accords préalables en matière de prix de transfert (APA), à la fois rétroactivement et prospectivement;</w:t>
            </w:r>
          </w:p>
          <w:p w14:paraId="1C54955B" w14:textId="77777777" w:rsidR="00A345F4" w:rsidRDefault="005E2D4E">
            <w:pPr>
              <w:pStyle w:val="P68B1DB1-Normal14"/>
              <w:spacing w:after="0"/>
              <w:jc w:val="both"/>
              <w:rPr>
                <w:noProof/>
              </w:rPr>
            </w:pPr>
            <w:r>
              <w:rPr>
                <w:noProof/>
              </w:rPr>
              <w:t xml:space="preserve">Création d'un mécanisme d'analyse et d'utilisation des données internationales concernant les transactions entre parties liées. </w:t>
            </w:r>
          </w:p>
          <w:p w14:paraId="73F274AF" w14:textId="77777777" w:rsidR="00A345F4" w:rsidRDefault="005E2D4E">
            <w:pPr>
              <w:pStyle w:val="P68B1DB1-Normal14"/>
              <w:spacing w:after="0"/>
              <w:jc w:val="both"/>
              <w:rPr>
                <w:noProof/>
              </w:rPr>
            </w:pPr>
            <w:r>
              <w:rPr>
                <w:noProof/>
              </w:rPr>
              <w:t xml:space="preserve">8. Extension de l'obligation d'accepter les paiements électroniques. </w:t>
            </w:r>
          </w:p>
          <w:p w14:paraId="3773595B" w14:textId="77777777" w:rsidR="00A345F4" w:rsidRDefault="005E2D4E">
            <w:pPr>
              <w:pStyle w:val="P68B1DB1-Normal14"/>
              <w:spacing w:after="0"/>
              <w:jc w:val="both"/>
              <w:rPr>
                <w:noProof/>
              </w:rPr>
            </w:pPr>
            <w:r>
              <w:rPr>
                <w:noProof/>
              </w:rPr>
              <w:t>Entrée en vigueur d’un ou de plusieurs actes juridiques introduisant l’obligation d’accepter les paiements par carte à tous les opérateurs économiques du commerce de détail et de gros, y compris les bars et les restaurants, dont le chiffre d’affaires est supérieur à 10 000 EUR par an. L’obligation s’applique aux opérateurs économiques du commerce de détail et de gros, y compris les bars et les restaurants; Le ou les nouveaux actes juridiques prévoient des sanctions pour les entreprises qui ne respectent pas la loi.</w:t>
            </w:r>
          </w:p>
          <w:p w14:paraId="5F37D498" w14:textId="77777777" w:rsidR="00A345F4" w:rsidRDefault="005E2D4E">
            <w:pPr>
              <w:pStyle w:val="P68B1DB1-Normal14"/>
              <w:spacing w:after="0"/>
              <w:jc w:val="both"/>
              <w:rPr>
                <w:noProof/>
              </w:rPr>
            </w:pPr>
            <w:r>
              <w:rPr>
                <w:noProof/>
              </w:rPr>
              <w:t xml:space="preserve">9. Transparence budgétaire et publication d’informations sur les performances de l’ANAF. L'ANAF publie périodiquement: </w:t>
            </w:r>
          </w:p>
          <w:p w14:paraId="7BE3B191" w14:textId="77777777" w:rsidR="00A345F4" w:rsidRDefault="005E2D4E">
            <w:pPr>
              <w:pStyle w:val="P68B1DB1-Normal14"/>
              <w:spacing w:after="0"/>
              <w:jc w:val="both"/>
              <w:rPr>
                <w:noProof/>
              </w:rPr>
            </w:pPr>
            <w:r>
              <w:rPr>
                <w:noProof/>
              </w:rPr>
              <w:t xml:space="preserve">- la structure et le niveau estimés de l’écart de TVA, validés par l’Institut national de la statistique (INS) et le ministère des finances, sur une base semestrielle, avec le soutien de la Banque mondiale (première publication en 2026); </w:t>
            </w:r>
          </w:p>
          <w:p w14:paraId="69200C85" w14:textId="77777777" w:rsidR="00A345F4" w:rsidRDefault="005E2D4E">
            <w:pPr>
              <w:pStyle w:val="P68B1DB1-Normal14"/>
              <w:spacing w:after="0"/>
              <w:jc w:val="both"/>
              <w:rPr>
                <w:noProof/>
              </w:rPr>
            </w:pPr>
            <w:r>
              <w:rPr>
                <w:noProof/>
              </w:rPr>
              <w:t>- Statistiques semestrielles sur les inspections, les montants recouvrés et les saisines pénales.</w:t>
            </w:r>
          </w:p>
        </w:tc>
      </w:tr>
      <w:tr w:rsidR="00A345F4" w14:paraId="7F4BA95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0BB5EA1" w14:textId="77777777" w:rsidR="00A345F4" w:rsidRDefault="005E2D4E">
            <w:pPr>
              <w:pStyle w:val="P68B1DB1-Normal14"/>
              <w:spacing w:after="0" w:line="240" w:lineRule="auto"/>
              <w:jc w:val="center"/>
              <w:rPr>
                <w:noProof/>
              </w:rPr>
            </w:pPr>
            <w:r>
              <w:rPr>
                <w:noProof/>
              </w:rPr>
              <w:t>198</w:t>
            </w:r>
          </w:p>
        </w:tc>
        <w:tc>
          <w:tcPr>
            <w:tcW w:w="1833" w:type="dxa"/>
            <w:tcBorders>
              <w:top w:val="nil"/>
              <w:left w:val="nil"/>
              <w:bottom w:val="single" w:sz="4" w:space="0" w:color="auto"/>
              <w:right w:val="single" w:sz="4" w:space="0" w:color="auto"/>
            </w:tcBorders>
            <w:shd w:val="clear" w:color="auto" w:fill="C6EFCE"/>
            <w:noWrap/>
          </w:tcPr>
          <w:p w14:paraId="2F2A0175" w14:textId="77777777" w:rsidR="00A345F4" w:rsidRDefault="005E2D4E">
            <w:pPr>
              <w:pStyle w:val="P68B1DB1-Normal14"/>
              <w:spacing w:after="0" w:line="240" w:lineRule="auto"/>
              <w:jc w:val="both"/>
              <w:rPr>
                <w:noProof/>
              </w:rPr>
            </w:pPr>
            <w:r>
              <w:rPr>
                <w:noProof/>
              </w:rPr>
              <w:t xml:space="preserve">Réforme 2. Modernisation du système douanier et mise en place de la douane électronique </w:t>
            </w:r>
          </w:p>
        </w:tc>
        <w:tc>
          <w:tcPr>
            <w:tcW w:w="1268" w:type="dxa"/>
            <w:tcBorders>
              <w:top w:val="nil"/>
              <w:left w:val="nil"/>
              <w:bottom w:val="single" w:sz="4" w:space="0" w:color="auto"/>
              <w:right w:val="single" w:sz="4" w:space="0" w:color="auto"/>
            </w:tcBorders>
            <w:shd w:val="clear" w:color="auto" w:fill="C6EFCE"/>
            <w:noWrap/>
          </w:tcPr>
          <w:p w14:paraId="7986BD78"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411F9360" w14:textId="77777777" w:rsidR="00A345F4" w:rsidRDefault="005E2D4E">
            <w:pPr>
              <w:pStyle w:val="P68B1DB1-Normal14"/>
              <w:spacing w:after="0" w:line="240" w:lineRule="auto"/>
              <w:jc w:val="both"/>
              <w:rPr>
                <w:noProof/>
              </w:rPr>
            </w:pPr>
            <w:bookmarkStart w:id="14" w:name="_Hlk81579001"/>
            <w:r>
              <w:rPr>
                <w:noProof/>
              </w:rPr>
              <w:t>Améliorer le fonctionnement de l'administration douanière</w:t>
            </w:r>
          </w:p>
          <w:bookmarkEnd w:id="14"/>
          <w:p w14:paraId="7365A5F6" w14:textId="77777777" w:rsidR="00A345F4" w:rsidRDefault="00A345F4">
            <w:pPr>
              <w:spacing w:after="0" w:line="240" w:lineRule="auto"/>
              <w:jc w:val="both"/>
              <w:rPr>
                <w:rFonts w:ascii="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tcPr>
          <w:p w14:paraId="1D9CB146" w14:textId="77777777" w:rsidR="00A345F4" w:rsidRDefault="005E2D4E">
            <w:pPr>
              <w:pStyle w:val="P68B1DB1-Normal14"/>
              <w:spacing w:after="0" w:line="240" w:lineRule="auto"/>
              <w:jc w:val="both"/>
              <w:rPr>
                <w:noProof/>
              </w:rPr>
            </w:pPr>
            <w:r>
              <w:rPr>
                <w:noProof/>
              </w:rPr>
              <w:t>Acte(s) juridique(s) visant à améliorer le fonctionnement de l’administration douanière</w:t>
            </w:r>
          </w:p>
        </w:tc>
        <w:tc>
          <w:tcPr>
            <w:tcW w:w="1197" w:type="dxa"/>
            <w:tcBorders>
              <w:top w:val="nil"/>
              <w:left w:val="nil"/>
              <w:bottom w:val="single" w:sz="4" w:space="0" w:color="auto"/>
              <w:right w:val="single" w:sz="4" w:space="0" w:color="auto"/>
            </w:tcBorders>
            <w:shd w:val="clear" w:color="auto" w:fill="C6EFCE"/>
            <w:noWrap/>
          </w:tcPr>
          <w:p w14:paraId="1F499B48"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65D6CC41"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7C66D52B"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100CC09E"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544639C0" w14:textId="77777777" w:rsidR="00A345F4" w:rsidRDefault="005E2D4E">
            <w:pPr>
              <w:pStyle w:val="P68B1DB1-Normal14"/>
              <w:spacing w:after="0" w:line="240" w:lineRule="auto"/>
              <w:jc w:val="center"/>
              <w:rPr>
                <w:noProof/>
              </w:rPr>
            </w:pPr>
            <w:r>
              <w:rPr>
                <w:noProof/>
              </w:rPr>
              <w:t>2025</w:t>
            </w:r>
          </w:p>
        </w:tc>
        <w:tc>
          <w:tcPr>
            <w:tcW w:w="3107" w:type="dxa"/>
            <w:tcBorders>
              <w:top w:val="nil"/>
              <w:left w:val="nil"/>
              <w:bottom w:val="single" w:sz="4" w:space="0" w:color="auto"/>
              <w:right w:val="single" w:sz="4" w:space="0" w:color="auto"/>
            </w:tcBorders>
            <w:shd w:val="clear" w:color="auto" w:fill="C6EFCE"/>
            <w:noWrap/>
          </w:tcPr>
          <w:p w14:paraId="2522581D" w14:textId="03F6002C" w:rsidR="00A345F4" w:rsidRDefault="005E2D4E">
            <w:pPr>
              <w:pStyle w:val="P68B1DB1-Normal14"/>
              <w:spacing w:after="0" w:line="240" w:lineRule="auto"/>
              <w:jc w:val="both"/>
              <w:rPr>
                <w:noProof/>
              </w:rPr>
            </w:pPr>
            <w:r>
              <w:rPr>
                <w:noProof/>
              </w:rPr>
              <w:t>Le ou les actes juridiques établissent le système douanier électronique. En particulier, les dispositions suivantes sont prévues:</w:t>
            </w:r>
          </w:p>
          <w:p w14:paraId="319B1073" w14:textId="77777777" w:rsidR="00A345F4" w:rsidRDefault="005E2D4E">
            <w:pPr>
              <w:pStyle w:val="P68B1DB1-Normal14"/>
              <w:numPr>
                <w:ilvl w:val="0"/>
                <w:numId w:val="79"/>
              </w:numPr>
              <w:spacing w:after="0" w:line="240" w:lineRule="auto"/>
              <w:ind w:left="224" w:hanging="218"/>
              <w:jc w:val="both"/>
              <w:rPr>
                <w:noProof/>
              </w:rPr>
            </w:pPr>
            <w:r>
              <w:rPr>
                <w:noProof/>
              </w:rPr>
              <w:t xml:space="preserve">la mise en place de systèmes informatiques douaniers conformes aux exigences du code des douanes de l’Union; </w:t>
            </w:r>
          </w:p>
          <w:p w14:paraId="24D2E34C" w14:textId="77777777" w:rsidR="00A345F4" w:rsidRDefault="005E2D4E">
            <w:pPr>
              <w:pStyle w:val="P68B1DB1-Normal14"/>
              <w:numPr>
                <w:ilvl w:val="0"/>
                <w:numId w:val="79"/>
              </w:numPr>
              <w:spacing w:after="0" w:line="240" w:lineRule="auto"/>
              <w:ind w:left="224" w:hanging="218"/>
              <w:jc w:val="both"/>
              <w:rPr>
                <w:noProof/>
              </w:rPr>
            </w:pPr>
            <w:r>
              <w:rPr>
                <w:noProof/>
              </w:rPr>
              <w:t>concentrer le dédouanement sur l'environnement électronique et réduire les obstacles bureaucratiques;</w:t>
            </w:r>
          </w:p>
          <w:p w14:paraId="49669414" w14:textId="77777777" w:rsidR="00A345F4" w:rsidRDefault="005E2D4E">
            <w:pPr>
              <w:pStyle w:val="P68B1DB1-Normal14"/>
              <w:numPr>
                <w:ilvl w:val="0"/>
                <w:numId w:val="79"/>
              </w:numPr>
              <w:spacing w:after="0" w:line="240" w:lineRule="auto"/>
              <w:ind w:left="224" w:hanging="218"/>
              <w:jc w:val="both"/>
              <w:rPr>
                <w:noProof/>
              </w:rPr>
            </w:pPr>
            <w:r>
              <w:rPr>
                <w:noProof/>
              </w:rPr>
              <w:t>simplification des formalités douanières.</w:t>
            </w:r>
          </w:p>
        </w:tc>
      </w:tr>
      <w:tr w:rsidR="00A345F4" w14:paraId="674F191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4AB7167" w14:textId="77777777" w:rsidR="00A345F4" w:rsidRDefault="005E2D4E">
            <w:pPr>
              <w:pStyle w:val="P68B1DB1-Normal14"/>
              <w:spacing w:after="0" w:line="240" w:lineRule="auto"/>
              <w:jc w:val="center"/>
              <w:rPr>
                <w:noProof/>
              </w:rPr>
            </w:pPr>
            <w:r>
              <w:rPr>
                <w:noProof/>
              </w:rPr>
              <w:t>199</w:t>
            </w:r>
          </w:p>
        </w:tc>
        <w:tc>
          <w:tcPr>
            <w:tcW w:w="1833" w:type="dxa"/>
            <w:tcBorders>
              <w:top w:val="nil"/>
              <w:left w:val="nil"/>
              <w:bottom w:val="single" w:sz="4" w:space="0" w:color="auto"/>
              <w:right w:val="single" w:sz="4" w:space="0" w:color="auto"/>
            </w:tcBorders>
            <w:shd w:val="clear" w:color="auto" w:fill="C6EFCE"/>
            <w:noWrap/>
          </w:tcPr>
          <w:p w14:paraId="102A4254" w14:textId="77777777" w:rsidR="00A345F4" w:rsidRDefault="005E2D4E">
            <w:pPr>
              <w:pStyle w:val="P68B1DB1-Normal14"/>
              <w:spacing w:after="0" w:line="240" w:lineRule="auto"/>
              <w:jc w:val="both"/>
              <w:rPr>
                <w:noProof/>
              </w:rPr>
            </w:pPr>
            <w:r>
              <w:rPr>
                <w:noProof/>
              </w:rPr>
              <w:t xml:space="preserve">Réforme 3. Amélioration du mécanisme de programmation budgétaire </w:t>
            </w:r>
          </w:p>
        </w:tc>
        <w:tc>
          <w:tcPr>
            <w:tcW w:w="1268" w:type="dxa"/>
            <w:tcBorders>
              <w:top w:val="nil"/>
              <w:left w:val="nil"/>
              <w:bottom w:val="single" w:sz="4" w:space="0" w:color="auto"/>
              <w:right w:val="single" w:sz="4" w:space="0" w:color="auto"/>
            </w:tcBorders>
            <w:shd w:val="clear" w:color="auto" w:fill="C6EFCE"/>
            <w:noWrap/>
          </w:tcPr>
          <w:p w14:paraId="403F560D"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58D4F9C7" w14:textId="77777777" w:rsidR="00A345F4" w:rsidRDefault="005E2D4E">
            <w:pPr>
              <w:pStyle w:val="P68B1DB1-Normal14"/>
              <w:spacing w:after="0" w:line="240" w:lineRule="auto"/>
              <w:jc w:val="both"/>
              <w:rPr>
                <w:noProof/>
              </w:rPr>
            </w:pPr>
            <w:r>
              <w:rPr>
                <w:noProof/>
              </w:rPr>
              <w:t>Entrée en vigueur du cadre réglementaire modifié visant à garantir une planification budgétaire pluriannuelle pour les grands projets d’investissement public et à faire procéder à une évaluation ex post des réexamens des dépenses par le conseil budgétaire</w:t>
            </w:r>
          </w:p>
        </w:tc>
        <w:tc>
          <w:tcPr>
            <w:tcW w:w="1560" w:type="dxa"/>
            <w:tcBorders>
              <w:top w:val="nil"/>
              <w:left w:val="nil"/>
              <w:bottom w:val="single" w:sz="4" w:space="0" w:color="auto"/>
              <w:right w:val="single" w:sz="4" w:space="0" w:color="auto"/>
            </w:tcBorders>
            <w:shd w:val="clear" w:color="auto" w:fill="C6EFCE"/>
            <w:noWrap/>
          </w:tcPr>
          <w:p w14:paraId="7D7F24F3" w14:textId="77777777" w:rsidR="00A345F4" w:rsidRDefault="005E2D4E">
            <w:pPr>
              <w:pStyle w:val="P68B1DB1-Normal14"/>
              <w:spacing w:after="0" w:line="240" w:lineRule="auto"/>
              <w:jc w:val="both"/>
              <w:rPr>
                <w:noProof/>
              </w:rPr>
            </w:pPr>
            <w:r>
              <w:rPr>
                <w:noProof/>
              </w:rPr>
              <w:t>Disposition de la loi indiquant l’entrée en vigueur des modifications visant à garantir une planification budgétaire pluriannuelle pour les grands projets d’investissement public</w:t>
            </w:r>
          </w:p>
        </w:tc>
        <w:tc>
          <w:tcPr>
            <w:tcW w:w="1197" w:type="dxa"/>
            <w:tcBorders>
              <w:top w:val="nil"/>
              <w:left w:val="nil"/>
              <w:bottom w:val="single" w:sz="4" w:space="0" w:color="auto"/>
              <w:right w:val="single" w:sz="4" w:space="0" w:color="auto"/>
            </w:tcBorders>
            <w:shd w:val="clear" w:color="auto" w:fill="C6EFCE"/>
            <w:noWrap/>
          </w:tcPr>
          <w:p w14:paraId="11B9806E"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1480C312"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2AC84B7A"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61045B2A"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7F2A3DE9"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129603D1" w14:textId="77777777" w:rsidR="00A345F4" w:rsidRDefault="005E2D4E">
            <w:pPr>
              <w:pStyle w:val="P68B1DB1-Normal14"/>
              <w:spacing w:after="0" w:line="240" w:lineRule="auto"/>
              <w:jc w:val="both"/>
              <w:rPr>
                <w:noProof/>
              </w:rPr>
            </w:pPr>
            <w:r>
              <w:rPr>
                <w:noProof/>
              </w:rPr>
              <w:t>Le nouveau cadre réglementaire modifie:</w:t>
            </w:r>
          </w:p>
          <w:p w14:paraId="201D1942" w14:textId="77777777" w:rsidR="00A345F4" w:rsidRDefault="005E2D4E">
            <w:pPr>
              <w:pStyle w:val="P68B1DB1-Normal14"/>
              <w:spacing w:after="0" w:line="240" w:lineRule="auto"/>
              <w:jc w:val="both"/>
              <w:rPr>
                <w:noProof/>
              </w:rPr>
            </w:pPr>
            <w:r>
              <w:rPr>
                <w:noProof/>
              </w:rPr>
              <w:t>Loi n° 500/2002 sur les finances publiques, telle que modifiée, fixant les critères et les conditions de la construction budgétaire de projets d'investissement public pluriannuels importants, en particulier les dépenses consacrées à des projets d'investissement importants, afin d'assurer le financement jusqu'à leur achèvement.</w:t>
            </w:r>
          </w:p>
          <w:p w14:paraId="175EB286" w14:textId="77777777" w:rsidR="00A345F4" w:rsidRDefault="005E2D4E">
            <w:pPr>
              <w:pStyle w:val="P68B1DB1-Normal14"/>
              <w:spacing w:after="0" w:line="240" w:lineRule="auto"/>
              <w:jc w:val="both"/>
              <w:rPr>
                <w:noProof/>
              </w:rPr>
            </w:pPr>
            <w:r>
              <w:rPr>
                <w:noProof/>
              </w:rPr>
              <w:t>Ordonnance gouvernementale d'urgence n° 88/2013 sur l'adoption de certaines mesures budgétaires et budgétaires pour respecter les engagements convenus avec les organismes internationaux, et modifiant et complétant certains actes législatifs, tels que modifiés, qui actualisent les principes sous-tendant la hiérarchisation des projets d'investissement public importants, nouveaux et en cours en termes d'accessibilité financière et de durabilité, ainsi que de justification économique et sociale; le calendrier du processus de hiérarchisation des investissements publics importants est mis à jour afin d’être lié au calendrier de l’élaboration du budget annuel et pluriannuel; des conditions/sanctions sont mises en place pour les ordonnateurs principaux qui ne respectent pas le calendrier et les règles de hiérarchisation des investissements importants;</w:t>
            </w:r>
          </w:p>
          <w:p w14:paraId="26F38557" w14:textId="77777777" w:rsidR="00A345F4" w:rsidRDefault="005E2D4E">
            <w:pPr>
              <w:pStyle w:val="P68B1DB1-Normal14"/>
              <w:spacing w:after="0" w:line="240" w:lineRule="auto"/>
              <w:jc w:val="both"/>
              <w:rPr>
                <w:noProof/>
              </w:rPr>
            </w:pPr>
            <w:r>
              <w:rPr>
                <w:noProof/>
              </w:rPr>
              <w:t xml:space="preserve">- Décision gouvernementale n° 225/2014 approuvant les règles méthodologiques relatives à la hiérarchisation des projets d'investissement public, telle que modifiée, qui modifie les critères de hiérarchisation applicables aux nouveaux projets d'investissement public importants et aux projets d'investissement public en cours, et par la suite, afin que la budgétisation soit orientée vers l'achèvement, en priorité, des grands projets d'investissement dans les phases avancées de mise en œuvre. </w:t>
            </w:r>
          </w:p>
        </w:tc>
      </w:tr>
      <w:tr w:rsidR="00A345F4" w14:paraId="32AA00D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0829A4A" w14:textId="77777777" w:rsidR="00A345F4" w:rsidRDefault="005E2D4E">
            <w:pPr>
              <w:pStyle w:val="P68B1DB1-Normal14"/>
              <w:spacing w:after="0" w:line="240" w:lineRule="auto"/>
              <w:jc w:val="center"/>
              <w:rPr>
                <w:noProof/>
              </w:rPr>
            </w:pPr>
            <w:r>
              <w:rPr>
                <w:noProof/>
              </w:rPr>
              <w:t>200</w:t>
            </w:r>
          </w:p>
        </w:tc>
        <w:tc>
          <w:tcPr>
            <w:tcW w:w="1833" w:type="dxa"/>
            <w:tcBorders>
              <w:top w:val="nil"/>
              <w:left w:val="nil"/>
              <w:bottom w:val="single" w:sz="4" w:space="0" w:color="auto"/>
              <w:right w:val="single" w:sz="4" w:space="0" w:color="auto"/>
            </w:tcBorders>
            <w:shd w:val="clear" w:color="auto" w:fill="C6EFCE"/>
            <w:noWrap/>
          </w:tcPr>
          <w:p w14:paraId="0D65EA4B" w14:textId="77777777" w:rsidR="00A345F4" w:rsidRDefault="005E2D4E">
            <w:pPr>
              <w:pStyle w:val="P68B1DB1-Normal14"/>
              <w:spacing w:after="0" w:line="240" w:lineRule="auto"/>
              <w:jc w:val="both"/>
              <w:rPr>
                <w:noProof/>
              </w:rPr>
            </w:pPr>
            <w:r>
              <w:rPr>
                <w:noProof/>
              </w:rPr>
              <w:t xml:space="preserve">Réforme 3. Amélioration du mécanisme de programmation budgétaire </w:t>
            </w:r>
          </w:p>
        </w:tc>
        <w:tc>
          <w:tcPr>
            <w:tcW w:w="1268" w:type="dxa"/>
            <w:tcBorders>
              <w:top w:val="nil"/>
              <w:left w:val="nil"/>
              <w:bottom w:val="single" w:sz="4" w:space="0" w:color="auto"/>
              <w:right w:val="single" w:sz="4" w:space="0" w:color="auto"/>
            </w:tcBorders>
            <w:shd w:val="clear" w:color="auto" w:fill="C6EFCE"/>
            <w:noWrap/>
          </w:tcPr>
          <w:p w14:paraId="19D9F7D2"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5A04EC15" w14:textId="77777777" w:rsidR="00A345F4" w:rsidRDefault="005E2D4E">
            <w:pPr>
              <w:pStyle w:val="P68B1DB1-Normal14"/>
              <w:spacing w:after="0" w:line="240" w:lineRule="auto"/>
              <w:jc w:val="both"/>
              <w:rPr>
                <w:noProof/>
              </w:rPr>
            </w:pPr>
            <w:r>
              <w:rPr>
                <w:noProof/>
              </w:rPr>
              <w:t>Entrée en vigueur de la décision du gouvernement relative à l'approbation de la méthodologie pour l'élaboration, le suivi et l'établissement de rapports sur les programmes budgétaires</w:t>
            </w:r>
          </w:p>
        </w:tc>
        <w:tc>
          <w:tcPr>
            <w:tcW w:w="1560" w:type="dxa"/>
            <w:tcBorders>
              <w:top w:val="nil"/>
              <w:left w:val="nil"/>
              <w:bottom w:val="single" w:sz="4" w:space="0" w:color="auto"/>
              <w:right w:val="single" w:sz="4" w:space="0" w:color="auto"/>
            </w:tcBorders>
            <w:shd w:val="clear" w:color="auto" w:fill="C6EFCE"/>
            <w:noWrap/>
          </w:tcPr>
          <w:p w14:paraId="09E1D5B2" w14:textId="77777777" w:rsidR="00A345F4" w:rsidRDefault="005E2D4E">
            <w:pPr>
              <w:pStyle w:val="P68B1DB1-Normal14"/>
              <w:spacing w:after="0" w:line="240" w:lineRule="auto"/>
              <w:jc w:val="both"/>
              <w:rPr>
                <w:noProof/>
              </w:rPr>
            </w:pPr>
            <w:r>
              <w:rPr>
                <w:noProof/>
              </w:rPr>
              <w:t>Disposition de la décision du gouvernement indiquant l’entrée en vigueur de l’acte législatif pour l’approbation de la méthodologie pour l’élaboration, le suivi et l’établissement de rapports sur les programmes budgétaires</w:t>
            </w:r>
          </w:p>
        </w:tc>
        <w:tc>
          <w:tcPr>
            <w:tcW w:w="1197" w:type="dxa"/>
            <w:tcBorders>
              <w:top w:val="nil"/>
              <w:left w:val="nil"/>
              <w:bottom w:val="single" w:sz="4" w:space="0" w:color="auto"/>
              <w:right w:val="single" w:sz="4" w:space="0" w:color="auto"/>
            </w:tcBorders>
            <w:shd w:val="clear" w:color="auto" w:fill="C6EFCE"/>
            <w:noWrap/>
          </w:tcPr>
          <w:p w14:paraId="37CFCF01"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3A451BD3"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08494BEA"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7EF216D0" w14:textId="77777777" w:rsidR="00A345F4" w:rsidRDefault="005E2D4E">
            <w:pPr>
              <w:pStyle w:val="P68B1DB1-Normal14"/>
              <w:spacing w:after="0" w:line="240" w:lineRule="auto"/>
              <w:jc w:val="center"/>
              <w:rPr>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28621C5B"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56E68D06" w14:textId="77777777" w:rsidR="00A345F4" w:rsidRDefault="005E2D4E">
            <w:pPr>
              <w:pStyle w:val="P68B1DB1-Normal14"/>
              <w:spacing w:after="0" w:line="240" w:lineRule="auto"/>
              <w:jc w:val="both"/>
              <w:rPr>
                <w:noProof/>
              </w:rPr>
            </w:pPr>
            <w:r>
              <w:rPr>
                <w:noProof/>
              </w:rPr>
              <w:t>L'acte de décision du gouvernement:</w:t>
            </w:r>
          </w:p>
          <w:p w14:paraId="65BD0155" w14:textId="77777777" w:rsidR="00A345F4" w:rsidRDefault="005E2D4E">
            <w:pPr>
              <w:pStyle w:val="P68B1DB1-Normal14"/>
              <w:spacing w:after="0" w:line="240" w:lineRule="auto"/>
              <w:jc w:val="both"/>
              <w:rPr>
                <w:noProof/>
              </w:rPr>
            </w:pPr>
            <w:r>
              <w:rPr>
                <w:noProof/>
              </w:rPr>
              <w:t>- assurer l'élaboration, le suivi et l'établissement de rapports sur les programmes budgétaires</w:t>
            </w:r>
          </w:p>
          <w:p w14:paraId="1EE91823" w14:textId="77777777" w:rsidR="00A345F4" w:rsidRDefault="005E2D4E">
            <w:pPr>
              <w:pStyle w:val="P68B1DB1-Normal14"/>
              <w:spacing w:after="0" w:line="240" w:lineRule="auto"/>
              <w:jc w:val="both"/>
              <w:rPr>
                <w:rFonts w:eastAsia="Times New Roman"/>
                <w:noProof/>
              </w:rPr>
            </w:pPr>
            <w:r>
              <w:rPr>
                <w:noProof/>
              </w:rPr>
              <w:t>- améliorer la planification budgétaire fondée sur la performance et accroître l'orientation vers les résultats,</w:t>
            </w:r>
          </w:p>
          <w:p w14:paraId="6F4FACA9" w14:textId="77777777" w:rsidR="00A345F4" w:rsidRDefault="005E2D4E">
            <w:pPr>
              <w:pStyle w:val="P68B1DB1-Normal14"/>
              <w:spacing w:after="0" w:line="240" w:lineRule="auto"/>
              <w:jc w:val="both"/>
              <w:rPr>
                <w:rFonts w:eastAsia="Times New Roman"/>
                <w:noProof/>
              </w:rPr>
            </w:pPr>
            <w:r>
              <w:rPr>
                <w:noProof/>
              </w:rPr>
              <w:t>- définir clairement les objectifs, les cibles, les résultats des actions, l'impact des politiques et les indicateurs permettant à la fois des débats ex ante rigoureux sur les politiques publiques à financer et une évaluation transparente et raisonnée de la manière dont les programmes budgétisés ont atteint les objectifs et les cibles des politiques publiques.</w:t>
            </w:r>
          </w:p>
          <w:p w14:paraId="5E9FC734" w14:textId="77777777" w:rsidR="00A345F4" w:rsidRDefault="005E2D4E">
            <w:pPr>
              <w:pStyle w:val="P68B1DB1-Normal14"/>
              <w:spacing w:after="0" w:line="240" w:lineRule="auto"/>
              <w:jc w:val="both"/>
              <w:rPr>
                <w:noProof/>
              </w:rPr>
            </w:pPr>
            <w:r>
              <w:rPr>
                <w:noProof/>
              </w:rPr>
              <w:t xml:space="preserve">Cette décision du gouvernement est liée à la révision de l'application budgétaire _NG. </w:t>
            </w:r>
          </w:p>
        </w:tc>
      </w:tr>
      <w:tr w:rsidR="00A345F4" w14:paraId="22DEC7A5"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3EEE0D1F" w14:textId="77777777" w:rsidR="00A345F4" w:rsidRDefault="005E2D4E">
            <w:pPr>
              <w:pStyle w:val="P68B1DB1-Normal14"/>
              <w:spacing w:after="0" w:line="240" w:lineRule="auto"/>
              <w:jc w:val="center"/>
              <w:rPr>
                <w:noProof/>
              </w:rPr>
            </w:pPr>
            <w:r>
              <w:rPr>
                <w:noProof/>
              </w:rPr>
              <w:t>201</w:t>
            </w:r>
          </w:p>
        </w:tc>
        <w:tc>
          <w:tcPr>
            <w:tcW w:w="1833" w:type="dxa"/>
            <w:tcBorders>
              <w:top w:val="nil"/>
              <w:left w:val="nil"/>
              <w:bottom w:val="single" w:sz="4" w:space="0" w:color="auto"/>
              <w:right w:val="single" w:sz="4" w:space="0" w:color="auto"/>
            </w:tcBorders>
            <w:shd w:val="clear" w:color="auto" w:fill="C6EFCE"/>
            <w:noWrap/>
          </w:tcPr>
          <w:p w14:paraId="4D7A24C5" w14:textId="77777777" w:rsidR="00A345F4" w:rsidRDefault="005E2D4E">
            <w:pPr>
              <w:pStyle w:val="P68B1DB1-Normal14"/>
              <w:spacing w:after="0" w:line="240" w:lineRule="auto"/>
              <w:jc w:val="both"/>
              <w:rPr>
                <w:noProof/>
              </w:rPr>
            </w:pPr>
            <w:r>
              <w:rPr>
                <w:noProof/>
              </w:rPr>
              <w:t xml:space="preserve">Réforme 3. </w:t>
            </w:r>
          </w:p>
          <w:p w14:paraId="61E1707B" w14:textId="77777777" w:rsidR="00A345F4" w:rsidRDefault="005E2D4E">
            <w:pPr>
              <w:pStyle w:val="P68B1DB1-Normal14"/>
              <w:spacing w:after="0" w:line="240" w:lineRule="auto"/>
              <w:jc w:val="both"/>
              <w:rPr>
                <w:noProof/>
              </w:rPr>
            </w:pPr>
            <w:r>
              <w:rPr>
                <w:noProof/>
              </w:rPr>
              <w:t xml:space="preserve">Amélioration du mécanisme de programmation budgétaire </w:t>
            </w:r>
          </w:p>
        </w:tc>
        <w:tc>
          <w:tcPr>
            <w:tcW w:w="1268" w:type="dxa"/>
            <w:tcBorders>
              <w:top w:val="nil"/>
              <w:left w:val="nil"/>
              <w:bottom w:val="single" w:sz="4" w:space="0" w:color="auto"/>
              <w:right w:val="single" w:sz="4" w:space="0" w:color="auto"/>
            </w:tcBorders>
            <w:shd w:val="clear" w:color="auto" w:fill="C6EFCE"/>
            <w:noWrap/>
          </w:tcPr>
          <w:p w14:paraId="20A51380"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77E9CFCB" w14:textId="77777777" w:rsidR="00A345F4" w:rsidRDefault="005E2D4E">
            <w:pPr>
              <w:pStyle w:val="P68B1DB1-Normal14"/>
              <w:spacing w:after="0" w:line="240" w:lineRule="auto"/>
              <w:jc w:val="both"/>
              <w:rPr>
                <w:noProof/>
              </w:rPr>
            </w:pPr>
            <w:r>
              <w:rPr>
                <w:noProof/>
              </w:rPr>
              <w:t>Révision des dépenses dans les secteurs de la santé et de l'éducation</w:t>
            </w:r>
          </w:p>
        </w:tc>
        <w:tc>
          <w:tcPr>
            <w:tcW w:w="1560" w:type="dxa"/>
            <w:tcBorders>
              <w:top w:val="nil"/>
              <w:left w:val="nil"/>
              <w:bottom w:val="single" w:sz="4" w:space="0" w:color="auto"/>
              <w:right w:val="single" w:sz="4" w:space="0" w:color="auto"/>
            </w:tcBorders>
            <w:shd w:val="clear" w:color="auto" w:fill="C6EFCE"/>
            <w:noWrap/>
          </w:tcPr>
          <w:p w14:paraId="5FD584B9" w14:textId="77777777" w:rsidR="00A345F4" w:rsidRDefault="005E2D4E">
            <w:pPr>
              <w:pStyle w:val="P68B1DB1-Normal14"/>
              <w:spacing w:after="0" w:line="240" w:lineRule="auto"/>
              <w:jc w:val="both"/>
              <w:rPr>
                <w:noProof/>
              </w:rPr>
            </w:pPr>
            <w:r>
              <w:rPr>
                <w:noProof/>
              </w:rPr>
              <w:t>Publication de l'analyse des dépenses dans les domaines de l'éducation et de la santé</w:t>
            </w:r>
          </w:p>
        </w:tc>
        <w:tc>
          <w:tcPr>
            <w:tcW w:w="1197" w:type="dxa"/>
            <w:tcBorders>
              <w:top w:val="nil"/>
              <w:left w:val="nil"/>
              <w:bottom w:val="single" w:sz="4" w:space="0" w:color="auto"/>
              <w:right w:val="single" w:sz="4" w:space="0" w:color="auto"/>
            </w:tcBorders>
            <w:shd w:val="clear" w:color="auto" w:fill="C6EFCE"/>
            <w:noWrap/>
          </w:tcPr>
          <w:p w14:paraId="1D518F4A"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5CF2DACE"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6BC0F144"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63F4B523" w14:textId="77777777" w:rsidR="00A345F4" w:rsidRDefault="005E2D4E">
            <w:pPr>
              <w:pStyle w:val="P68B1DB1-Normal14"/>
              <w:spacing w:after="0" w:line="240" w:lineRule="auto"/>
              <w:jc w:val="center"/>
              <w:rPr>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3DD5EE3C" w14:textId="77777777" w:rsidR="00A345F4" w:rsidRDefault="005E2D4E">
            <w:pPr>
              <w:pStyle w:val="P68B1DB1-Normal14"/>
              <w:spacing w:after="0" w:line="240" w:lineRule="auto"/>
              <w:jc w:val="center"/>
              <w:rPr>
                <w:noProof/>
              </w:rPr>
            </w:pPr>
            <w:r>
              <w:rPr>
                <w:noProof/>
              </w:rPr>
              <w:t>2023</w:t>
            </w:r>
          </w:p>
        </w:tc>
        <w:tc>
          <w:tcPr>
            <w:tcW w:w="3107" w:type="dxa"/>
            <w:tcBorders>
              <w:top w:val="nil"/>
              <w:left w:val="nil"/>
              <w:bottom w:val="single" w:sz="4" w:space="0" w:color="auto"/>
              <w:right w:val="single" w:sz="4" w:space="0" w:color="auto"/>
            </w:tcBorders>
            <w:shd w:val="clear" w:color="auto" w:fill="C6EFCE"/>
            <w:noWrap/>
          </w:tcPr>
          <w:p w14:paraId="53214A90" w14:textId="77777777" w:rsidR="00A345F4" w:rsidRDefault="005E2D4E">
            <w:pPr>
              <w:pStyle w:val="P68B1DB1-Normal14"/>
              <w:spacing w:after="0" w:line="240" w:lineRule="auto"/>
              <w:jc w:val="both"/>
              <w:rPr>
                <w:noProof/>
              </w:rPr>
            </w:pPr>
            <w:r>
              <w:rPr>
                <w:noProof/>
              </w:rPr>
              <w:t>L’examen des dépenses dans les secteurs de la santé et de l’éducation s’effectue en trois étapes principales:</w:t>
            </w:r>
          </w:p>
          <w:p w14:paraId="3F365D30" w14:textId="77777777" w:rsidR="00A345F4" w:rsidRDefault="005E2D4E">
            <w:pPr>
              <w:pStyle w:val="P68B1DB1-Normal14"/>
              <w:numPr>
                <w:ilvl w:val="0"/>
                <w:numId w:val="80"/>
              </w:numPr>
              <w:spacing w:after="0" w:line="240" w:lineRule="auto"/>
              <w:contextualSpacing/>
              <w:jc w:val="both"/>
              <w:rPr>
                <w:noProof/>
              </w:rPr>
            </w:pPr>
            <w:r>
              <w:rPr>
                <w:noProof/>
              </w:rPr>
              <w:t xml:space="preserve">Mémorandum du gouvernement présentant l'examen des dépenses en matière de santé et d'éducation, </w:t>
            </w:r>
          </w:p>
          <w:p w14:paraId="23A1E357" w14:textId="77777777" w:rsidR="00A345F4" w:rsidRDefault="005E2D4E">
            <w:pPr>
              <w:pStyle w:val="P68B1DB1-Normal14"/>
              <w:numPr>
                <w:ilvl w:val="0"/>
                <w:numId w:val="80"/>
              </w:numPr>
              <w:spacing w:after="0" w:line="240" w:lineRule="auto"/>
              <w:contextualSpacing/>
              <w:jc w:val="both"/>
              <w:rPr>
                <w:noProof/>
              </w:rPr>
            </w:pPr>
            <w:r>
              <w:rPr>
                <w:noProof/>
              </w:rPr>
              <w:t xml:space="preserve">Création de groupes de travail thématiques avec des représentants du Ministère des finances, du Ministère de la santé, de la Caisse nationale d ' assurance maladie et du Ministère de l ' éducation; </w:t>
            </w:r>
          </w:p>
          <w:p w14:paraId="149B3F79" w14:textId="77777777" w:rsidR="00A345F4" w:rsidRDefault="005E2D4E">
            <w:pPr>
              <w:pStyle w:val="P68B1DB1-Normal14"/>
              <w:numPr>
                <w:ilvl w:val="0"/>
                <w:numId w:val="80"/>
              </w:numPr>
              <w:spacing w:after="0" w:line="240" w:lineRule="auto"/>
              <w:contextualSpacing/>
              <w:jc w:val="both"/>
              <w:rPr>
                <w:noProof/>
              </w:rPr>
            </w:pPr>
            <w:r>
              <w:rPr>
                <w:noProof/>
              </w:rPr>
              <w:t>Collecte de données, finalisation des analyses et présentation des résultats.</w:t>
            </w:r>
          </w:p>
        </w:tc>
      </w:tr>
      <w:tr w:rsidR="00A345F4" w14:paraId="4DBD503A"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79DD1BE" w14:textId="77777777" w:rsidR="00A345F4" w:rsidRDefault="005E2D4E">
            <w:pPr>
              <w:pStyle w:val="P68B1DB1-Normal14"/>
              <w:spacing w:after="0" w:line="240" w:lineRule="auto"/>
              <w:jc w:val="center"/>
              <w:rPr>
                <w:noProof/>
              </w:rPr>
            </w:pPr>
            <w:r>
              <w:rPr>
                <w:noProof/>
              </w:rPr>
              <w:t>202</w:t>
            </w:r>
          </w:p>
        </w:tc>
        <w:tc>
          <w:tcPr>
            <w:tcW w:w="1833" w:type="dxa"/>
            <w:tcBorders>
              <w:top w:val="nil"/>
              <w:left w:val="nil"/>
              <w:bottom w:val="single" w:sz="4" w:space="0" w:color="auto"/>
              <w:right w:val="single" w:sz="4" w:space="0" w:color="auto"/>
            </w:tcBorders>
            <w:shd w:val="clear" w:color="auto" w:fill="C6EFCE"/>
            <w:noWrap/>
          </w:tcPr>
          <w:p w14:paraId="5C8446D4" w14:textId="77777777" w:rsidR="00A345F4" w:rsidRDefault="005E2D4E">
            <w:pPr>
              <w:pStyle w:val="P68B1DB1-Normal14"/>
              <w:spacing w:after="0" w:line="240" w:lineRule="auto"/>
              <w:jc w:val="both"/>
              <w:rPr>
                <w:noProof/>
              </w:rPr>
            </w:pPr>
            <w:r>
              <w:rPr>
                <w:noProof/>
              </w:rPr>
              <w:t xml:space="preserve">Réforme 3. Amélioration du mécanisme de programmation budgétaire </w:t>
            </w:r>
          </w:p>
        </w:tc>
        <w:tc>
          <w:tcPr>
            <w:tcW w:w="1268" w:type="dxa"/>
            <w:tcBorders>
              <w:top w:val="nil"/>
              <w:left w:val="nil"/>
              <w:bottom w:val="single" w:sz="4" w:space="0" w:color="auto"/>
              <w:right w:val="single" w:sz="4" w:space="0" w:color="auto"/>
            </w:tcBorders>
            <w:shd w:val="clear" w:color="auto" w:fill="C6EFCE"/>
            <w:noWrap/>
          </w:tcPr>
          <w:p w14:paraId="599E26EE"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2348523A" w14:textId="77777777" w:rsidR="00A345F4" w:rsidRDefault="005E2D4E">
            <w:pPr>
              <w:pStyle w:val="P68B1DB1-Normal14"/>
              <w:spacing w:after="0" w:line="240" w:lineRule="auto"/>
              <w:jc w:val="both"/>
              <w:rPr>
                <w:noProof/>
              </w:rPr>
            </w:pPr>
            <w:r>
              <w:rPr>
                <w:noProof/>
              </w:rPr>
              <w:t xml:space="preserve">Adoption d’une stratégie et d’un calendrier pluriannuels pour un examen systématique des dépenses dans tous les secteurs </w:t>
            </w:r>
          </w:p>
        </w:tc>
        <w:tc>
          <w:tcPr>
            <w:tcW w:w="1560" w:type="dxa"/>
            <w:tcBorders>
              <w:top w:val="nil"/>
              <w:left w:val="nil"/>
              <w:bottom w:val="single" w:sz="4" w:space="0" w:color="auto"/>
              <w:right w:val="single" w:sz="4" w:space="0" w:color="auto"/>
            </w:tcBorders>
            <w:shd w:val="clear" w:color="auto" w:fill="C6EFCE"/>
            <w:noWrap/>
          </w:tcPr>
          <w:p w14:paraId="288745C7" w14:textId="77777777" w:rsidR="00A345F4" w:rsidRDefault="005E2D4E">
            <w:pPr>
              <w:pStyle w:val="P68B1DB1-Normal14"/>
              <w:spacing w:after="0" w:line="240" w:lineRule="auto"/>
              <w:jc w:val="both"/>
              <w:rPr>
                <w:noProof/>
              </w:rPr>
            </w:pPr>
            <w:r>
              <w:rPr>
                <w:noProof/>
              </w:rPr>
              <w:t xml:space="preserve">Mémorandum approuvé par le Gouvernement et publié </w:t>
            </w:r>
          </w:p>
        </w:tc>
        <w:tc>
          <w:tcPr>
            <w:tcW w:w="1197" w:type="dxa"/>
            <w:tcBorders>
              <w:top w:val="nil"/>
              <w:left w:val="nil"/>
              <w:bottom w:val="single" w:sz="4" w:space="0" w:color="auto"/>
              <w:right w:val="single" w:sz="4" w:space="0" w:color="auto"/>
            </w:tcBorders>
            <w:shd w:val="clear" w:color="auto" w:fill="C6EFCE"/>
            <w:noWrap/>
          </w:tcPr>
          <w:p w14:paraId="688C9A70"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50DAEE6"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28FBA332"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58B06F88" w14:textId="77777777" w:rsidR="00A345F4" w:rsidRDefault="005E2D4E">
            <w:pPr>
              <w:pStyle w:val="P68B1DB1-Normal14"/>
              <w:spacing w:after="0" w:line="240" w:lineRule="auto"/>
              <w:jc w:val="center"/>
              <w:rPr>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03B3A15B" w14:textId="77777777" w:rsidR="00A345F4" w:rsidRDefault="005E2D4E">
            <w:pPr>
              <w:pStyle w:val="P68B1DB1-Normal14"/>
              <w:spacing w:after="0" w:line="240" w:lineRule="auto"/>
              <w:jc w:val="center"/>
              <w:rPr>
                <w:b/>
                <w:bCs/>
                <w:noProof/>
                <w:color w:val="4EA72E" w:themeColor="accent6"/>
              </w:rPr>
            </w:pPr>
            <w:r>
              <w:rPr>
                <w:noProof/>
              </w:rPr>
              <w:t>2024</w:t>
            </w:r>
          </w:p>
        </w:tc>
        <w:tc>
          <w:tcPr>
            <w:tcW w:w="3107" w:type="dxa"/>
            <w:tcBorders>
              <w:top w:val="nil"/>
              <w:left w:val="nil"/>
              <w:bottom w:val="single" w:sz="4" w:space="0" w:color="auto"/>
              <w:right w:val="single" w:sz="4" w:space="0" w:color="auto"/>
            </w:tcBorders>
            <w:shd w:val="clear" w:color="auto" w:fill="C6EFCE"/>
            <w:noWrap/>
          </w:tcPr>
          <w:p w14:paraId="1D41D795" w14:textId="77777777" w:rsidR="00A345F4" w:rsidRDefault="005E2D4E">
            <w:pPr>
              <w:pStyle w:val="P68B1DB1-Normal14"/>
              <w:spacing w:after="0" w:line="240" w:lineRule="auto"/>
              <w:jc w:val="both"/>
              <w:rPr>
                <w:noProof/>
              </w:rPr>
            </w:pPr>
            <w:r>
              <w:rPr>
                <w:noProof/>
              </w:rPr>
              <w:t>Le mémorandum soumis à l'approbation du gouvernement définit les domaines qui feront l'objet d'examens futurs des dépenses, leur calendrier, les institutions responsables et la mise en place de groupes de travail pour chaque domaine considéré.</w:t>
            </w:r>
          </w:p>
          <w:p w14:paraId="01F83976" w14:textId="77777777" w:rsidR="00A345F4" w:rsidRDefault="005E2D4E">
            <w:pPr>
              <w:pStyle w:val="P68B1DB1-Normal14"/>
              <w:spacing w:after="0" w:line="240" w:lineRule="auto"/>
              <w:jc w:val="both"/>
              <w:rPr>
                <w:noProof/>
              </w:rPr>
            </w:pPr>
            <w:r>
              <w:rPr>
                <w:noProof/>
              </w:rPr>
              <w:t>Le projet de budget 2024 reflète les mesures et propositions résultant des réexamens des dépenses en matière de santé et d’éducation.</w:t>
            </w:r>
          </w:p>
          <w:p w14:paraId="2AC11E8A" w14:textId="77777777" w:rsidR="00A345F4" w:rsidRDefault="005E2D4E">
            <w:pPr>
              <w:pStyle w:val="P68B1DB1-Normal14"/>
              <w:spacing w:after="0" w:line="240" w:lineRule="auto"/>
              <w:jc w:val="both"/>
              <w:rPr>
                <w:noProof/>
              </w:rPr>
            </w:pPr>
            <w:r>
              <w:rPr>
                <w:noProof/>
              </w:rPr>
              <w:t>Le ou les actes juridiques chargent le conseil budgétaire d’émettre chaque année un avis sur les résultats de l’analyse des dépenses à partir du budget 2024.</w:t>
            </w:r>
          </w:p>
        </w:tc>
      </w:tr>
      <w:tr w:rsidR="00A345F4" w14:paraId="463CEFD5"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2BBA579" w14:textId="77777777" w:rsidR="00A345F4" w:rsidRDefault="005E2D4E">
            <w:pPr>
              <w:pStyle w:val="P68B1DB1-Normal14"/>
              <w:spacing w:after="0" w:line="240" w:lineRule="auto"/>
              <w:jc w:val="center"/>
              <w:rPr>
                <w:noProof/>
              </w:rPr>
            </w:pPr>
            <w:r>
              <w:rPr>
                <w:noProof/>
              </w:rPr>
              <w:t>205</w:t>
            </w:r>
          </w:p>
        </w:tc>
        <w:tc>
          <w:tcPr>
            <w:tcW w:w="1833" w:type="dxa"/>
            <w:tcBorders>
              <w:top w:val="nil"/>
              <w:left w:val="nil"/>
              <w:bottom w:val="single" w:sz="4" w:space="0" w:color="auto"/>
              <w:right w:val="single" w:sz="4" w:space="0" w:color="auto"/>
            </w:tcBorders>
            <w:shd w:val="clear" w:color="auto" w:fill="C6EFCE"/>
            <w:noWrap/>
          </w:tcPr>
          <w:p w14:paraId="23C7FC15" w14:textId="77777777" w:rsidR="00A345F4" w:rsidRDefault="005E2D4E">
            <w:pPr>
              <w:pStyle w:val="P68B1DB1-Normal14"/>
              <w:spacing w:after="0" w:line="240" w:lineRule="auto"/>
              <w:jc w:val="both"/>
              <w:rPr>
                <w:noProof/>
              </w:rPr>
            </w:pPr>
            <w:r>
              <w:rPr>
                <w:noProof/>
              </w:rPr>
              <w:t xml:space="preserve">Réforme 4. Révision du cadre fiscal </w:t>
            </w:r>
          </w:p>
        </w:tc>
        <w:tc>
          <w:tcPr>
            <w:tcW w:w="1268" w:type="dxa"/>
            <w:tcBorders>
              <w:top w:val="nil"/>
              <w:left w:val="nil"/>
              <w:bottom w:val="single" w:sz="4" w:space="0" w:color="auto"/>
              <w:right w:val="single" w:sz="4" w:space="0" w:color="auto"/>
            </w:tcBorders>
            <w:shd w:val="clear" w:color="auto" w:fill="C6EFCE"/>
            <w:noWrap/>
          </w:tcPr>
          <w:p w14:paraId="4A1E8579"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0FF3569D" w14:textId="77777777" w:rsidR="00A345F4" w:rsidRDefault="005E2D4E">
            <w:pPr>
              <w:pStyle w:val="P68B1DB1-Normal14"/>
              <w:spacing w:after="0" w:line="240" w:lineRule="auto"/>
              <w:jc w:val="both"/>
              <w:rPr>
                <w:noProof/>
              </w:rPr>
            </w:pPr>
            <w:r>
              <w:rPr>
                <w:noProof/>
              </w:rPr>
              <w:t>Analyse du système fiscal roumain dans le but de formuler des recommandations visant à garantir que le système fiscal contribue à promouvoir et à préserver une croissance économique durable</w:t>
            </w:r>
          </w:p>
        </w:tc>
        <w:tc>
          <w:tcPr>
            <w:tcW w:w="1560" w:type="dxa"/>
            <w:tcBorders>
              <w:top w:val="nil"/>
              <w:left w:val="nil"/>
              <w:bottom w:val="single" w:sz="4" w:space="0" w:color="auto"/>
              <w:right w:val="single" w:sz="4" w:space="0" w:color="auto"/>
            </w:tcBorders>
            <w:shd w:val="clear" w:color="auto" w:fill="C6EFCE"/>
            <w:noWrap/>
          </w:tcPr>
          <w:p w14:paraId="054E8ED8" w14:textId="77777777" w:rsidR="00A345F4" w:rsidRDefault="005E2D4E">
            <w:pPr>
              <w:pStyle w:val="P68B1DB1-Normal14"/>
              <w:spacing w:after="0" w:line="240" w:lineRule="auto"/>
              <w:jc w:val="both"/>
              <w:rPr>
                <w:noProof/>
              </w:rPr>
            </w:pPr>
            <w:r>
              <w:rPr>
                <w:noProof/>
              </w:rPr>
              <w:t>Analyse terminée, publication du rapport avec l'analyse et les recommandations, approuvé par/ co-écrit avec les institutions indépendantes fournissant une assistance technique</w:t>
            </w:r>
          </w:p>
        </w:tc>
        <w:tc>
          <w:tcPr>
            <w:tcW w:w="1197" w:type="dxa"/>
            <w:tcBorders>
              <w:top w:val="nil"/>
              <w:left w:val="nil"/>
              <w:bottom w:val="single" w:sz="4" w:space="0" w:color="auto"/>
              <w:right w:val="single" w:sz="4" w:space="0" w:color="auto"/>
            </w:tcBorders>
            <w:shd w:val="clear" w:color="auto" w:fill="C6EFCE"/>
            <w:noWrap/>
          </w:tcPr>
          <w:p w14:paraId="31CAA4B9"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461E2626"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0DAA4A96"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58FC1A9B"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5A959C66"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389DEB11" w14:textId="77777777" w:rsidR="00A345F4" w:rsidRDefault="005E2D4E">
            <w:pPr>
              <w:pStyle w:val="P68B1DB1-Normal14"/>
              <w:spacing w:after="0" w:line="240" w:lineRule="auto"/>
              <w:jc w:val="both"/>
              <w:rPr>
                <w:noProof/>
              </w:rPr>
            </w:pPr>
            <w:r>
              <w:rPr>
                <w:noProof/>
              </w:rPr>
              <w:t xml:space="preserve">Le ministère des finances, avec l’aide de services d’assistance technique, de conseil et de consultation, procède à l’analyse de la manière d’améliorer la structure du système fiscal/de la législation fiscale roumain(e) afin de garantir que le système fiscal contribue à promouvoir et à préserver une croissance économique durable. L'accent est mis sur: </w:t>
            </w:r>
          </w:p>
          <w:p w14:paraId="1D4FC83D" w14:textId="77777777" w:rsidR="00A345F4" w:rsidRDefault="005E2D4E">
            <w:pPr>
              <w:pStyle w:val="P68B1DB1-Normal14"/>
              <w:spacing w:after="0" w:line="240" w:lineRule="auto"/>
              <w:jc w:val="both"/>
              <w:rPr>
                <w:noProof/>
              </w:rPr>
            </w:pPr>
            <w:r>
              <w:rPr>
                <w:noProof/>
              </w:rPr>
              <w:t xml:space="preserve">- sur l'élimination progressive des incitations fiscales et des lacunes en matière d'impôt sur le revenu, d'impôt sur les sociétés (y compris les régimes spéciaux susceptibles de bénéficier des exceptions), </w:t>
            </w:r>
          </w:p>
          <w:p w14:paraId="18C19691" w14:textId="77777777" w:rsidR="00A345F4" w:rsidRDefault="005E2D4E">
            <w:pPr>
              <w:pStyle w:val="P68B1DB1-Normal14"/>
              <w:spacing w:after="0" w:line="240" w:lineRule="auto"/>
              <w:jc w:val="both"/>
              <w:rPr>
                <w:noProof/>
              </w:rPr>
            </w:pPr>
            <w:r>
              <w:rPr>
                <w:noProof/>
              </w:rPr>
              <w:t xml:space="preserve">- sur les cotisations sociales et l'impôt foncier (c'est-à-dire les impôts locaux), et </w:t>
            </w:r>
          </w:p>
          <w:p w14:paraId="55B9FA50" w14:textId="77777777" w:rsidR="00A345F4" w:rsidRDefault="005E2D4E">
            <w:pPr>
              <w:pStyle w:val="P68B1DB1-Normal14"/>
              <w:spacing w:after="0" w:line="240" w:lineRule="auto"/>
              <w:jc w:val="both"/>
              <w:rPr>
                <w:noProof/>
              </w:rPr>
            </w:pPr>
            <w:r>
              <w:rPr>
                <w:noProof/>
              </w:rPr>
              <w:t xml:space="preserve">- sur la réorientation de la fiscalité vers des taxes vertes, en tenant compte des effets distributifs. </w:t>
            </w:r>
          </w:p>
          <w:p w14:paraId="5AC4AD65" w14:textId="77777777" w:rsidR="00A345F4" w:rsidRDefault="005E2D4E">
            <w:pPr>
              <w:pStyle w:val="P68B1DB1-Normal14"/>
              <w:spacing w:after="0" w:line="240" w:lineRule="auto"/>
              <w:jc w:val="both"/>
              <w:rPr>
                <w:noProof/>
              </w:rPr>
            </w:pPr>
            <w:r>
              <w:rPr>
                <w:noProof/>
              </w:rPr>
              <w:t>L'analyse et les recommandations sont publiées par le ministère des finances.</w:t>
            </w:r>
          </w:p>
        </w:tc>
      </w:tr>
      <w:tr w:rsidR="00A345F4" w14:paraId="4FCFA73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AC986B0" w14:textId="77777777" w:rsidR="00A345F4" w:rsidRDefault="005E2D4E">
            <w:pPr>
              <w:pStyle w:val="P68B1DB1-Normal14"/>
              <w:spacing w:after="0" w:line="240" w:lineRule="auto"/>
              <w:jc w:val="center"/>
              <w:rPr>
                <w:noProof/>
              </w:rPr>
            </w:pPr>
            <w:r>
              <w:rPr>
                <w:noProof/>
              </w:rPr>
              <w:t>206</w:t>
            </w:r>
          </w:p>
        </w:tc>
        <w:tc>
          <w:tcPr>
            <w:tcW w:w="1833" w:type="dxa"/>
            <w:tcBorders>
              <w:top w:val="nil"/>
              <w:left w:val="nil"/>
              <w:bottom w:val="single" w:sz="4" w:space="0" w:color="auto"/>
              <w:right w:val="single" w:sz="4" w:space="0" w:color="auto"/>
            </w:tcBorders>
            <w:shd w:val="clear" w:color="auto" w:fill="C6EFCE"/>
            <w:noWrap/>
          </w:tcPr>
          <w:p w14:paraId="1040CC48" w14:textId="77777777" w:rsidR="00A345F4" w:rsidRDefault="005E2D4E">
            <w:pPr>
              <w:pStyle w:val="P68B1DB1-Normal14"/>
              <w:spacing w:after="0" w:line="240" w:lineRule="auto"/>
              <w:jc w:val="both"/>
              <w:rPr>
                <w:noProof/>
              </w:rPr>
            </w:pPr>
            <w:r>
              <w:rPr>
                <w:noProof/>
              </w:rPr>
              <w:t>Réforme 4. Révision du cadre fiscal</w:t>
            </w:r>
          </w:p>
        </w:tc>
        <w:tc>
          <w:tcPr>
            <w:tcW w:w="1268" w:type="dxa"/>
            <w:tcBorders>
              <w:top w:val="nil"/>
              <w:left w:val="nil"/>
              <w:bottom w:val="single" w:sz="4" w:space="0" w:color="auto"/>
              <w:right w:val="single" w:sz="4" w:space="0" w:color="auto"/>
            </w:tcBorders>
            <w:shd w:val="clear" w:color="auto" w:fill="C6EFCE"/>
            <w:noWrap/>
          </w:tcPr>
          <w:p w14:paraId="20E99E6E"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3D6FA53F" w14:textId="77777777" w:rsidR="00A345F4" w:rsidRDefault="005E2D4E">
            <w:pPr>
              <w:pStyle w:val="P68B1DB1-Normal14"/>
              <w:spacing w:after="0" w:line="240" w:lineRule="auto"/>
              <w:jc w:val="both"/>
              <w:rPr>
                <w:noProof/>
              </w:rPr>
            </w:pPr>
            <w:r>
              <w:rPr>
                <w:noProof/>
              </w:rPr>
              <w:t xml:space="preserve">Entrée en vigueur des modifications du code fiscal réduisant progressivement le champ d’application du régime fiscal spécial pour les microentreprises </w:t>
            </w:r>
          </w:p>
        </w:tc>
        <w:tc>
          <w:tcPr>
            <w:tcW w:w="1560" w:type="dxa"/>
            <w:tcBorders>
              <w:top w:val="nil"/>
              <w:left w:val="nil"/>
              <w:bottom w:val="single" w:sz="4" w:space="0" w:color="auto"/>
              <w:right w:val="single" w:sz="4" w:space="0" w:color="auto"/>
            </w:tcBorders>
            <w:shd w:val="clear" w:color="auto" w:fill="C6EFCE"/>
            <w:noWrap/>
          </w:tcPr>
          <w:p w14:paraId="7F234011" w14:textId="77777777" w:rsidR="00A345F4" w:rsidRDefault="005E2D4E">
            <w:pPr>
              <w:pStyle w:val="P68B1DB1-Normal14"/>
              <w:spacing w:after="0" w:line="240" w:lineRule="auto"/>
              <w:jc w:val="both"/>
              <w:rPr>
                <w:noProof/>
              </w:rPr>
            </w:pPr>
            <w:r>
              <w:rPr>
                <w:noProof/>
              </w:rPr>
              <w:t xml:space="preserve">Disposition de la loi indiquant l’entrée en vigueur des modifications du code fiscal </w:t>
            </w:r>
          </w:p>
        </w:tc>
        <w:tc>
          <w:tcPr>
            <w:tcW w:w="1197" w:type="dxa"/>
            <w:tcBorders>
              <w:top w:val="nil"/>
              <w:left w:val="nil"/>
              <w:bottom w:val="single" w:sz="4" w:space="0" w:color="auto"/>
              <w:right w:val="single" w:sz="4" w:space="0" w:color="auto"/>
            </w:tcBorders>
            <w:shd w:val="clear" w:color="auto" w:fill="C6EFCE"/>
            <w:noWrap/>
          </w:tcPr>
          <w:p w14:paraId="065DD8BF"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5950C192"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0A1EE1FF"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5DD0B2F3"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2A6E00C6"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5920865E" w14:textId="77777777" w:rsidR="00A345F4" w:rsidRDefault="005E2D4E">
            <w:pPr>
              <w:pStyle w:val="P68B1DB1-Normal14"/>
              <w:spacing w:after="0" w:line="240" w:lineRule="auto"/>
              <w:jc w:val="both"/>
              <w:rPr>
                <w:noProof/>
              </w:rPr>
            </w:pPr>
            <w:r>
              <w:rPr>
                <w:noProof/>
              </w:rPr>
              <w:t>La nouvelle loi modifie le code fiscal dans le but de réduire progressivement le champ d’application du régime fiscal spécial pour les microentreprises. La réduction des dispositions particulières débutera au premier trimestre 2023 et sera achevée au quatrième trimestre 2024.</w:t>
            </w:r>
          </w:p>
        </w:tc>
      </w:tr>
      <w:tr w:rsidR="00A345F4" w14:paraId="40E77BAD"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C4E54AC" w14:textId="77777777" w:rsidR="00A345F4" w:rsidRDefault="005E2D4E">
            <w:pPr>
              <w:pStyle w:val="P68B1DB1-Normal14"/>
              <w:spacing w:after="0" w:line="240" w:lineRule="auto"/>
              <w:jc w:val="center"/>
              <w:rPr>
                <w:noProof/>
              </w:rPr>
            </w:pPr>
            <w:r>
              <w:rPr>
                <w:noProof/>
              </w:rPr>
              <w:t>207</w:t>
            </w:r>
          </w:p>
        </w:tc>
        <w:tc>
          <w:tcPr>
            <w:tcW w:w="1833" w:type="dxa"/>
            <w:tcBorders>
              <w:top w:val="nil"/>
              <w:left w:val="nil"/>
              <w:bottom w:val="single" w:sz="4" w:space="0" w:color="auto"/>
              <w:right w:val="single" w:sz="4" w:space="0" w:color="auto"/>
            </w:tcBorders>
            <w:shd w:val="clear" w:color="auto" w:fill="C6EFCE"/>
            <w:noWrap/>
          </w:tcPr>
          <w:p w14:paraId="14134213" w14:textId="77777777" w:rsidR="00A345F4" w:rsidRDefault="005E2D4E">
            <w:pPr>
              <w:pStyle w:val="P68B1DB1-Normal14"/>
              <w:spacing w:after="0" w:line="240" w:lineRule="auto"/>
              <w:jc w:val="both"/>
              <w:rPr>
                <w:noProof/>
              </w:rPr>
            </w:pPr>
            <w:r>
              <w:rPr>
                <w:noProof/>
              </w:rPr>
              <w:t>Réforme 4. Révision du cadre fiscal</w:t>
            </w:r>
          </w:p>
        </w:tc>
        <w:tc>
          <w:tcPr>
            <w:tcW w:w="1268" w:type="dxa"/>
            <w:tcBorders>
              <w:top w:val="nil"/>
              <w:left w:val="nil"/>
              <w:bottom w:val="single" w:sz="4" w:space="0" w:color="auto"/>
              <w:right w:val="single" w:sz="4" w:space="0" w:color="auto"/>
            </w:tcBorders>
            <w:shd w:val="clear" w:color="auto" w:fill="C6EFCE"/>
            <w:noWrap/>
          </w:tcPr>
          <w:p w14:paraId="41DA827B"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76CC8FA2" w14:textId="77777777" w:rsidR="00A345F4" w:rsidRDefault="005E2D4E">
            <w:pPr>
              <w:pStyle w:val="P68B1DB1-Normal14"/>
              <w:spacing w:after="0" w:line="240" w:lineRule="auto"/>
              <w:jc w:val="both"/>
              <w:rPr>
                <w:noProof/>
              </w:rPr>
            </w:pPr>
            <w:r>
              <w:rPr>
                <w:noProof/>
              </w:rPr>
              <w:t>Acte(s) juridique(s) visant à réduire et/ou éliminer d’autres incitations fiscales dans le but de simplifier et de rendre plus efficace le système fiscal</w:t>
            </w:r>
          </w:p>
          <w:p w14:paraId="20AF29B9" w14:textId="77777777" w:rsidR="00A345F4" w:rsidRDefault="005E2D4E">
            <w:pPr>
              <w:pStyle w:val="P68B1DB1-Normal14"/>
              <w:spacing w:before="120" w:after="0" w:line="240" w:lineRule="auto"/>
              <w:jc w:val="both"/>
              <w:rPr>
                <w:noProof/>
              </w:rPr>
            </w:pPr>
            <w:r>
              <w:rPr>
                <w:noProof/>
              </w:rPr>
              <w:t>Législation visant à étendre la fiscalité verte</w:t>
            </w:r>
          </w:p>
        </w:tc>
        <w:tc>
          <w:tcPr>
            <w:tcW w:w="1560" w:type="dxa"/>
            <w:tcBorders>
              <w:top w:val="nil"/>
              <w:left w:val="nil"/>
              <w:bottom w:val="single" w:sz="4" w:space="0" w:color="auto"/>
              <w:right w:val="single" w:sz="4" w:space="0" w:color="auto"/>
            </w:tcBorders>
            <w:shd w:val="clear" w:color="auto" w:fill="C6EFCE"/>
            <w:noWrap/>
          </w:tcPr>
          <w:p w14:paraId="7AE05906" w14:textId="08B93BEC" w:rsidR="00A345F4" w:rsidRDefault="005E2D4E">
            <w:pPr>
              <w:pStyle w:val="P68B1DB1-Normal14"/>
              <w:spacing w:after="0" w:line="240" w:lineRule="auto"/>
              <w:jc w:val="both"/>
              <w:rPr>
                <w:noProof/>
              </w:rPr>
            </w:pPr>
            <w:r>
              <w:rPr>
                <w:noProof/>
              </w:rPr>
              <w:t>Acte(s) juridique(s) visant à réduire et/ou éliminer les incitations fiscales et à étendre la fiscalité verte</w:t>
            </w:r>
          </w:p>
        </w:tc>
        <w:tc>
          <w:tcPr>
            <w:tcW w:w="1197" w:type="dxa"/>
            <w:tcBorders>
              <w:top w:val="nil"/>
              <w:left w:val="nil"/>
              <w:bottom w:val="single" w:sz="4" w:space="0" w:color="auto"/>
              <w:right w:val="single" w:sz="4" w:space="0" w:color="auto"/>
            </w:tcBorders>
            <w:shd w:val="clear" w:color="auto" w:fill="C6EFCE"/>
            <w:noWrap/>
          </w:tcPr>
          <w:p w14:paraId="0BC42B93"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FC86B8F"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46D33FE4"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3146D9E2" w14:textId="77777777" w:rsidR="00A345F4" w:rsidRDefault="005E2D4E">
            <w:pPr>
              <w:pStyle w:val="P68B1DB1-Normal14"/>
              <w:spacing w:after="0" w:line="240" w:lineRule="auto"/>
              <w:jc w:val="center"/>
              <w:rPr>
                <w:noProof/>
              </w:rPr>
            </w:pPr>
            <w:r>
              <w:rPr>
                <w:noProof/>
              </w:rPr>
              <w:t>T1</w:t>
            </w:r>
          </w:p>
        </w:tc>
        <w:tc>
          <w:tcPr>
            <w:tcW w:w="840" w:type="dxa"/>
            <w:tcBorders>
              <w:top w:val="nil"/>
              <w:left w:val="nil"/>
              <w:bottom w:val="single" w:sz="4" w:space="0" w:color="auto"/>
              <w:right w:val="single" w:sz="4" w:space="0" w:color="auto"/>
            </w:tcBorders>
            <w:shd w:val="clear" w:color="auto" w:fill="C6EFCE"/>
            <w:noWrap/>
          </w:tcPr>
          <w:p w14:paraId="06217498" w14:textId="77777777" w:rsidR="00A345F4" w:rsidRDefault="005E2D4E">
            <w:pPr>
              <w:pStyle w:val="P68B1DB1-Normal14"/>
              <w:spacing w:after="0" w:line="240" w:lineRule="auto"/>
              <w:jc w:val="center"/>
              <w:rPr>
                <w:b/>
                <w:bCs/>
                <w:noProof/>
                <w:color w:val="00B050"/>
              </w:rPr>
            </w:pPr>
            <w:r>
              <w:rPr>
                <w:noProof/>
              </w:rPr>
              <w:t>2025</w:t>
            </w:r>
          </w:p>
        </w:tc>
        <w:tc>
          <w:tcPr>
            <w:tcW w:w="3107" w:type="dxa"/>
            <w:tcBorders>
              <w:top w:val="nil"/>
              <w:left w:val="nil"/>
              <w:bottom w:val="single" w:sz="4" w:space="0" w:color="auto"/>
              <w:right w:val="single" w:sz="4" w:space="0" w:color="auto"/>
            </w:tcBorders>
            <w:shd w:val="clear" w:color="auto" w:fill="C6EFCE"/>
            <w:noWrap/>
          </w:tcPr>
          <w:p w14:paraId="4C829541" w14:textId="6B3BB1EE" w:rsidR="00A345F4" w:rsidRDefault="005E2D4E">
            <w:pPr>
              <w:pStyle w:val="P68B1DB1-Normal14"/>
              <w:spacing w:after="0" w:line="240" w:lineRule="auto"/>
              <w:jc w:val="both"/>
              <w:rPr>
                <w:rFonts w:eastAsia="Times New Roman"/>
                <w:noProof/>
              </w:rPr>
            </w:pPr>
            <w:r>
              <w:rPr>
                <w:noProof/>
              </w:rPr>
              <w:t xml:space="preserve">Le ou les actes juridiques mettent en œuvre les recommandations du réexamen du système fiscal (voir jalon 205) afin de garantir que le système fiscal contribue à promouvoir et à préserver une croissance économique durable. Le ou les actes juridiques réduisent progressivement les incitations fiscales en faveur du personnel employé dans le secteur de la construction. </w:t>
            </w:r>
          </w:p>
          <w:p w14:paraId="48A4B4A1" w14:textId="77777777" w:rsidR="00A345F4" w:rsidRDefault="005E2D4E">
            <w:pPr>
              <w:pStyle w:val="P68B1DB1-Normal19"/>
              <w:spacing w:after="0" w:line="240" w:lineRule="auto"/>
              <w:jc w:val="both"/>
              <w:rPr>
                <w:noProof/>
              </w:rPr>
            </w:pPr>
            <w:r>
              <w:rPr>
                <w:noProof/>
              </w:rPr>
              <w:t>Le ou les actes juridiques simplifient les règles fiscales afin de faciliter le respect et l’administration, ainsi que l’élimination des exonérations et des traitements préférentiels;</w:t>
            </w:r>
          </w:p>
          <w:p w14:paraId="71B27268" w14:textId="77777777" w:rsidR="00A345F4" w:rsidRDefault="005E2D4E">
            <w:pPr>
              <w:pStyle w:val="P68B1DB1-Normal19"/>
              <w:spacing w:after="0" w:line="240" w:lineRule="auto"/>
              <w:jc w:val="both"/>
              <w:rPr>
                <w:noProof/>
              </w:rPr>
            </w:pPr>
            <w:r>
              <w:rPr>
                <w:noProof/>
              </w:rPr>
              <w:t>Le ou les actes juridiques permettent un système fiscal plus efficace et une répartition plus équitable de la charge fiscale.</w:t>
            </w:r>
          </w:p>
          <w:p w14:paraId="65DBEB87" w14:textId="214E4C0D" w:rsidR="00A345F4" w:rsidRDefault="005E2D4E">
            <w:pPr>
              <w:pStyle w:val="P68B1DB1-Normal14"/>
              <w:spacing w:after="0" w:line="240" w:lineRule="auto"/>
              <w:jc w:val="both"/>
              <w:rPr>
                <w:noProof/>
              </w:rPr>
            </w:pPr>
            <w:r>
              <w:rPr>
                <w:noProof/>
              </w:rPr>
              <w:t>Le ou les actes juridiques modifient l’impôt foncier en estimant l’assiette fiscale aussi proche que possible de la valeur vénale du bien. Déterminer automatiquement la valeur imposable des biens immobiliers soumis à l'impôt local et mettre fin à la pratique consistant à utiliser une base imposable qui n'est pas liée à la valeur de marché. En outre, encourager l’imposition à titre gratuit de quotas par les autorités locales dans des fourchettes définies au niveau central. Éliminer l'arbitrage potentiel entre les deux régimes fiscaux applicables aux particuliers et aux personnes morales propriétaires de biens immobiliers non résidentiels (commerciaux).</w:t>
            </w:r>
          </w:p>
        </w:tc>
      </w:tr>
      <w:tr w:rsidR="00A345F4" w14:paraId="0D0DD82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B806954" w14:textId="77777777" w:rsidR="00A345F4" w:rsidRDefault="005E2D4E">
            <w:pPr>
              <w:pStyle w:val="P68B1DB1-Normal14"/>
              <w:spacing w:after="0" w:line="240" w:lineRule="auto"/>
              <w:jc w:val="center"/>
              <w:rPr>
                <w:noProof/>
              </w:rPr>
            </w:pPr>
            <w:r>
              <w:rPr>
                <w:noProof/>
              </w:rPr>
              <w:t>209</w:t>
            </w:r>
          </w:p>
        </w:tc>
        <w:tc>
          <w:tcPr>
            <w:tcW w:w="1833" w:type="dxa"/>
            <w:tcBorders>
              <w:top w:val="nil"/>
              <w:left w:val="nil"/>
              <w:bottom w:val="single" w:sz="4" w:space="0" w:color="auto"/>
              <w:right w:val="single" w:sz="4" w:space="0" w:color="auto"/>
            </w:tcBorders>
            <w:shd w:val="clear" w:color="auto" w:fill="C6EFCE"/>
            <w:noWrap/>
          </w:tcPr>
          <w:p w14:paraId="585567F2" w14:textId="77777777" w:rsidR="00A345F4" w:rsidRDefault="005E2D4E">
            <w:pPr>
              <w:pStyle w:val="P68B1DB1-Normal14"/>
              <w:spacing w:after="0" w:line="240" w:lineRule="auto"/>
              <w:jc w:val="both"/>
              <w:rPr>
                <w:noProof/>
              </w:rPr>
            </w:pPr>
            <w:r>
              <w:rPr>
                <w:noProof/>
              </w:rPr>
              <w:t xml:space="preserve">Réforme 5. Création de la Banque nationale de développement </w:t>
            </w:r>
          </w:p>
        </w:tc>
        <w:tc>
          <w:tcPr>
            <w:tcW w:w="1268" w:type="dxa"/>
            <w:tcBorders>
              <w:top w:val="nil"/>
              <w:left w:val="nil"/>
              <w:bottom w:val="single" w:sz="4" w:space="0" w:color="auto"/>
              <w:right w:val="single" w:sz="4" w:space="0" w:color="auto"/>
            </w:tcBorders>
            <w:shd w:val="clear" w:color="auto" w:fill="C6EFCE"/>
            <w:noWrap/>
          </w:tcPr>
          <w:p w14:paraId="5F81A41A"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0B815696" w14:textId="498B778E" w:rsidR="00A345F4" w:rsidRDefault="005E2D4E">
            <w:pPr>
              <w:pStyle w:val="P68B1DB1-Normal14"/>
              <w:spacing w:after="0" w:line="240" w:lineRule="auto"/>
              <w:jc w:val="both"/>
              <w:rPr>
                <w:noProof/>
              </w:rPr>
            </w:pPr>
            <w:r>
              <w:rPr>
                <w:noProof/>
              </w:rPr>
              <w:t xml:space="preserve">Création de la Banque nationale de développement </w:t>
            </w:r>
          </w:p>
          <w:p w14:paraId="7BE3637F" w14:textId="77777777" w:rsidR="00A345F4" w:rsidRDefault="00A345F4">
            <w:pPr>
              <w:spacing w:after="0" w:line="240" w:lineRule="auto"/>
              <w:jc w:val="both"/>
              <w:rPr>
                <w:rFonts w:ascii="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tcPr>
          <w:p w14:paraId="5D6D0961" w14:textId="77777777" w:rsidR="00A345F4" w:rsidRDefault="005E2D4E">
            <w:pPr>
              <w:pStyle w:val="P68B1DB1-Normal14"/>
              <w:spacing w:after="0" w:line="240" w:lineRule="auto"/>
              <w:jc w:val="both"/>
              <w:rPr>
                <w:noProof/>
              </w:rPr>
            </w:pPr>
            <w:r>
              <w:rPr>
                <w:noProof/>
              </w:rPr>
              <w:t xml:space="preserve">Inscription de la Banque nationale de développement au registre du commerce </w:t>
            </w:r>
          </w:p>
          <w:p w14:paraId="3B0DAD06"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16B39068"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01B7955D"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7AE9D15F"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77121961"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0C64965A" w14:textId="77777777" w:rsidR="00A345F4" w:rsidRDefault="005E2D4E">
            <w:pPr>
              <w:pStyle w:val="P68B1DB1-Normal14"/>
              <w:spacing w:after="0" w:line="240" w:lineRule="auto"/>
              <w:jc w:val="center"/>
              <w:rPr>
                <w:noProof/>
              </w:rPr>
            </w:pPr>
            <w:r>
              <w:rPr>
                <w:noProof/>
              </w:rPr>
              <w:t>2024</w:t>
            </w:r>
          </w:p>
        </w:tc>
        <w:tc>
          <w:tcPr>
            <w:tcW w:w="3107" w:type="dxa"/>
            <w:tcBorders>
              <w:top w:val="nil"/>
              <w:left w:val="nil"/>
              <w:bottom w:val="single" w:sz="4" w:space="0" w:color="auto"/>
              <w:right w:val="single" w:sz="4" w:space="0" w:color="auto"/>
            </w:tcBorders>
            <w:shd w:val="clear" w:color="auto" w:fill="C6EFCE"/>
            <w:noWrap/>
          </w:tcPr>
          <w:p w14:paraId="09E8B4C5" w14:textId="77777777" w:rsidR="00A345F4" w:rsidRDefault="005E2D4E">
            <w:pPr>
              <w:pStyle w:val="P68B1DB1-Normal14"/>
              <w:spacing w:after="0" w:line="240" w:lineRule="auto"/>
              <w:jc w:val="both"/>
              <w:rPr>
                <w:noProof/>
              </w:rPr>
            </w:pPr>
            <w:r>
              <w:rPr>
                <w:noProof/>
              </w:rPr>
              <w:t xml:space="preserve">La Banque nationale de développement (établissement de crédit public à 100 %) est inscrite au registre du commerce et exemptée de l'application de la directive 2013/36/UE du Parlement européen et du Conseil du 26 juin 2013. Il est fonctionnel et dispose d’un personnel formé (couvrant les fonctions critiques au sein du Front Office, du Back Office et des fonctions d’appui) capable de fournir les premiers instruments financiers. </w:t>
            </w:r>
          </w:p>
          <w:p w14:paraId="3F6B9447" w14:textId="77777777" w:rsidR="00A345F4" w:rsidRDefault="005E2D4E">
            <w:pPr>
              <w:pStyle w:val="P68B1DB1-Normal14"/>
              <w:spacing w:before="120" w:after="120" w:line="240" w:lineRule="auto"/>
              <w:jc w:val="both"/>
              <w:rPr>
                <w:noProof/>
              </w:rPr>
            </w:pPr>
            <w:r>
              <w:rPr>
                <w:noProof/>
              </w:rPr>
              <w:t xml:space="preserve">Afin de garantir que la mesure est conforme aux orientations techniques «Ne pas causer de préjudice important» (2021/C58/01), la stratégie d’investissement et de prêt de la Banque nationale de développement: </w:t>
            </w:r>
          </w:p>
          <w:p w14:paraId="1D242FCD" w14:textId="77777777" w:rsidR="00A345F4" w:rsidRDefault="005E2D4E">
            <w:pPr>
              <w:pStyle w:val="P68B1DB1-Normal14"/>
              <w:numPr>
                <w:ilvl w:val="0"/>
                <w:numId w:val="2"/>
              </w:numPr>
              <w:spacing w:before="120" w:after="120" w:line="240" w:lineRule="auto"/>
              <w:ind w:left="360"/>
              <w:jc w:val="both"/>
              <w:rPr>
                <w:noProof/>
              </w:rPr>
            </w:pPr>
            <w:r>
              <w:rPr>
                <w:noProof/>
              </w:rPr>
              <w:t>exiger l’application des orientations techniques de la Commission sur l’évaluation de la durabilité pour le Fonds InvestEU; et</w:t>
            </w:r>
          </w:p>
          <w:p w14:paraId="104A944E" w14:textId="77777777" w:rsidR="00A345F4" w:rsidRDefault="005E2D4E">
            <w:pPr>
              <w:pStyle w:val="P68B1DB1-Normal14"/>
              <w:numPr>
                <w:ilvl w:val="0"/>
                <w:numId w:val="2"/>
              </w:numPr>
              <w:spacing w:before="120" w:after="120" w:line="240" w:lineRule="auto"/>
              <w:ind w:left="360"/>
              <w:jc w:val="both"/>
              <w:rPr>
                <w:noProof/>
              </w:rPr>
            </w:pPr>
            <w:r>
              <w:rPr>
                <w:noProof/>
              </w:rPr>
              <w:t>exclure la liste suivante d’activités et d’actifs de l’éligibilité au moyen d’une liste d’exclusion: i) les activités et les actifs liés aux combustibles fossiles, y compris leur utilisation en aval;</w:t>
            </w:r>
            <w:r w:rsidRPr="00E75F9B">
              <w:rPr>
                <w:noProof/>
                <w:vertAlign w:val="superscript"/>
              </w:rPr>
              <w:footnoteReference w:id="5"/>
            </w:r>
            <w:r>
              <w:rPr>
                <w:noProof/>
              </w:rPr>
              <w:t xml:space="preserve"> ii) les activités et les actifs relevant du système d’échange de quotas d’émission (SEQE) de l’UE permettant d’atteindre des émissions de gaz à effet de serre prévues qui ne sont pas inférieures aux référentiels pertinents;</w:t>
            </w:r>
            <w:r w:rsidRPr="00E75F9B">
              <w:rPr>
                <w:noProof/>
                <w:vertAlign w:val="superscript"/>
              </w:rPr>
              <w:footnoteReference w:id="6"/>
            </w:r>
            <w:r>
              <w:rPr>
                <w:noProof/>
              </w:rPr>
              <w:t xml:space="preserve"> iii) les activités et les actifs liés aux décharges de déchets, aux incinérateurs</w:t>
            </w:r>
            <w:r w:rsidRPr="00E75F9B">
              <w:rPr>
                <w:noProof/>
                <w:vertAlign w:val="superscript"/>
              </w:rPr>
              <w:footnoteReference w:id="7"/>
            </w:r>
            <w:r>
              <w:rPr>
                <w:noProof/>
              </w:rPr>
              <w:t xml:space="preserve"> et aux usines de traitement biologique mécanique;</w:t>
            </w:r>
            <w:r w:rsidRPr="00E75F9B">
              <w:rPr>
                <w:noProof/>
                <w:vertAlign w:val="superscript"/>
              </w:rPr>
              <w:footnoteReference w:id="8"/>
            </w:r>
            <w:r>
              <w:rPr>
                <w:noProof/>
              </w:rPr>
              <w:t xml:space="preserve"> et iv) les activités et les actifs pour lesquels l’élimination à long terme des déchets est susceptible de nuire à l’environnement; et</w:t>
            </w:r>
          </w:p>
          <w:p w14:paraId="18283D18" w14:textId="77777777" w:rsidR="00A345F4" w:rsidRDefault="005E2D4E">
            <w:pPr>
              <w:pStyle w:val="P68B1DB1-Normal14"/>
              <w:numPr>
                <w:ilvl w:val="0"/>
                <w:numId w:val="2"/>
              </w:numPr>
              <w:spacing w:before="120" w:after="120" w:line="240" w:lineRule="auto"/>
              <w:ind w:left="360"/>
              <w:jc w:val="both"/>
              <w:rPr>
                <w:noProof/>
              </w:rPr>
            </w:pPr>
            <w:r>
              <w:rPr>
                <w:noProof/>
              </w:rPr>
              <w:t>exiger de la Banque nationale de développement qu’elle vérifie la conformité juridique avec la législation environnementale pertinente de l’Union et des États membres pour toutes les transactions, y compris celles qui ne sont pas soumises à l’évaluation de la durabilité; et</w:t>
            </w:r>
          </w:p>
          <w:p w14:paraId="5ABC8381" w14:textId="77777777" w:rsidR="00A345F4" w:rsidRDefault="005E2D4E">
            <w:pPr>
              <w:pStyle w:val="P68B1DB1-Normal14"/>
              <w:numPr>
                <w:ilvl w:val="0"/>
                <w:numId w:val="2"/>
              </w:numPr>
              <w:spacing w:before="120" w:after="120" w:line="240" w:lineRule="auto"/>
              <w:ind w:left="360"/>
              <w:jc w:val="both"/>
              <w:rPr>
                <w:noProof/>
              </w:rPr>
            </w:pPr>
            <w:r>
              <w:rPr>
                <w:noProof/>
              </w:rPr>
              <w:t xml:space="preserve">exiger des bénéficiaires d’un soutien en fonds propres et d’un financement d’entreprise à usage général qui tirent plus de 50 % de leurs recettes au cours de l’exercice précédent d’activités et/ou d’actifs figurant sur la liste d’exclusion qu’ils adoptent et publient des plans de transition écologique. </w:t>
            </w:r>
          </w:p>
        </w:tc>
      </w:tr>
      <w:tr w:rsidR="00A345F4" w14:paraId="30A9DD1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7297C3F" w14:textId="77777777" w:rsidR="00A345F4" w:rsidRDefault="005E2D4E">
            <w:pPr>
              <w:pStyle w:val="P68B1DB1-Normal14"/>
              <w:spacing w:after="0" w:line="240" w:lineRule="auto"/>
              <w:jc w:val="center"/>
              <w:rPr>
                <w:noProof/>
              </w:rPr>
            </w:pPr>
            <w:r>
              <w:rPr>
                <w:noProof/>
              </w:rPr>
              <w:t>210</w:t>
            </w:r>
          </w:p>
        </w:tc>
        <w:tc>
          <w:tcPr>
            <w:tcW w:w="1833" w:type="dxa"/>
            <w:tcBorders>
              <w:top w:val="nil"/>
              <w:left w:val="nil"/>
              <w:bottom w:val="single" w:sz="4" w:space="0" w:color="auto"/>
              <w:right w:val="single" w:sz="4" w:space="0" w:color="auto"/>
            </w:tcBorders>
            <w:shd w:val="clear" w:color="auto" w:fill="C6EFCE"/>
            <w:noWrap/>
          </w:tcPr>
          <w:p w14:paraId="3D906C4E" w14:textId="77777777" w:rsidR="00A345F4" w:rsidRDefault="005E2D4E">
            <w:pPr>
              <w:pStyle w:val="P68B1DB1-Normal14"/>
              <w:spacing w:after="0" w:line="240" w:lineRule="auto"/>
              <w:jc w:val="both"/>
              <w:rPr>
                <w:noProof/>
              </w:rPr>
            </w:pPr>
            <w:r>
              <w:rPr>
                <w:noProof/>
              </w:rPr>
              <w:t xml:space="preserve">Réforme 5. Création de la Banque nationale de développement </w:t>
            </w:r>
          </w:p>
        </w:tc>
        <w:tc>
          <w:tcPr>
            <w:tcW w:w="1268" w:type="dxa"/>
            <w:tcBorders>
              <w:top w:val="nil"/>
              <w:left w:val="nil"/>
              <w:bottom w:val="single" w:sz="4" w:space="0" w:color="auto"/>
              <w:right w:val="single" w:sz="4" w:space="0" w:color="auto"/>
            </w:tcBorders>
            <w:shd w:val="clear" w:color="auto" w:fill="C6EFCE"/>
            <w:noWrap/>
          </w:tcPr>
          <w:p w14:paraId="6897C9FF"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222D176D" w14:textId="77777777" w:rsidR="00A345F4" w:rsidRDefault="005E2D4E">
            <w:pPr>
              <w:pStyle w:val="P68B1DB1-Normal14"/>
              <w:spacing w:after="0" w:line="240" w:lineRule="auto"/>
              <w:jc w:val="both"/>
              <w:rPr>
                <w:noProof/>
              </w:rPr>
            </w:pPr>
            <w:r>
              <w:rPr>
                <w:noProof/>
              </w:rPr>
              <w:t xml:space="preserve">La Banque nationale de développement fait l'objet d'une évaluation des piliers </w:t>
            </w:r>
          </w:p>
        </w:tc>
        <w:tc>
          <w:tcPr>
            <w:tcW w:w="1560" w:type="dxa"/>
            <w:tcBorders>
              <w:top w:val="nil"/>
              <w:left w:val="nil"/>
              <w:bottom w:val="single" w:sz="4" w:space="0" w:color="auto"/>
              <w:right w:val="single" w:sz="4" w:space="0" w:color="auto"/>
            </w:tcBorders>
            <w:shd w:val="clear" w:color="auto" w:fill="C6EFCE"/>
            <w:noWrap/>
          </w:tcPr>
          <w:p w14:paraId="36E877A1" w14:textId="77777777" w:rsidR="00A345F4" w:rsidRDefault="005E2D4E">
            <w:pPr>
              <w:pStyle w:val="P68B1DB1-Normal14"/>
              <w:spacing w:after="0" w:line="240" w:lineRule="auto"/>
              <w:jc w:val="both"/>
              <w:rPr>
                <w:noProof/>
              </w:rPr>
            </w:pPr>
            <w:r>
              <w:rPr>
                <w:noProof/>
              </w:rPr>
              <w:t xml:space="preserve">La Banque nationale de développement fait l’objet d’une évaluation des piliers pour mettre en œuvre les fonds de l’UE </w:t>
            </w:r>
          </w:p>
        </w:tc>
        <w:tc>
          <w:tcPr>
            <w:tcW w:w="1197" w:type="dxa"/>
            <w:tcBorders>
              <w:top w:val="nil"/>
              <w:left w:val="nil"/>
              <w:bottom w:val="single" w:sz="4" w:space="0" w:color="auto"/>
              <w:right w:val="single" w:sz="4" w:space="0" w:color="auto"/>
            </w:tcBorders>
            <w:shd w:val="clear" w:color="auto" w:fill="C6EFCE"/>
            <w:noWrap/>
          </w:tcPr>
          <w:p w14:paraId="0F423CD3"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B241C40"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335CCCE5"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0A2D3A99" w14:textId="77777777" w:rsidR="00A345F4" w:rsidRDefault="005E2D4E">
            <w:pPr>
              <w:pStyle w:val="P68B1DB1-Normal14"/>
              <w:spacing w:after="0" w:line="240" w:lineRule="auto"/>
              <w:jc w:val="center"/>
              <w:rPr>
                <w:noProof/>
              </w:rPr>
            </w:pPr>
            <w:r>
              <w:rPr>
                <w:noProof/>
              </w:rPr>
              <w:t>T1</w:t>
            </w:r>
          </w:p>
        </w:tc>
        <w:tc>
          <w:tcPr>
            <w:tcW w:w="840" w:type="dxa"/>
            <w:tcBorders>
              <w:top w:val="nil"/>
              <w:left w:val="nil"/>
              <w:bottom w:val="single" w:sz="4" w:space="0" w:color="auto"/>
              <w:right w:val="single" w:sz="4" w:space="0" w:color="auto"/>
            </w:tcBorders>
            <w:shd w:val="clear" w:color="auto" w:fill="C6EFCE"/>
            <w:noWrap/>
          </w:tcPr>
          <w:p w14:paraId="042DA50D" w14:textId="77777777" w:rsidR="00A345F4" w:rsidRDefault="005E2D4E">
            <w:pPr>
              <w:pStyle w:val="P68B1DB1-Normal14"/>
              <w:spacing w:after="0" w:line="240" w:lineRule="auto"/>
              <w:jc w:val="center"/>
              <w:rPr>
                <w:noProof/>
              </w:rPr>
            </w:pPr>
            <w:r>
              <w:rPr>
                <w:noProof/>
              </w:rPr>
              <w:t>2026</w:t>
            </w:r>
          </w:p>
        </w:tc>
        <w:tc>
          <w:tcPr>
            <w:tcW w:w="3107" w:type="dxa"/>
            <w:tcBorders>
              <w:top w:val="nil"/>
              <w:left w:val="nil"/>
              <w:bottom w:val="single" w:sz="4" w:space="0" w:color="auto"/>
              <w:right w:val="single" w:sz="4" w:space="0" w:color="auto"/>
            </w:tcBorders>
            <w:shd w:val="clear" w:color="auto" w:fill="C6EFCE"/>
            <w:noWrap/>
          </w:tcPr>
          <w:p w14:paraId="6621904E" w14:textId="77777777" w:rsidR="00A345F4" w:rsidRDefault="005E2D4E">
            <w:pPr>
              <w:pStyle w:val="P68B1DB1-Normal14"/>
              <w:spacing w:after="0" w:line="240" w:lineRule="auto"/>
              <w:jc w:val="both"/>
              <w:rPr>
                <w:noProof/>
              </w:rPr>
            </w:pPr>
            <w:r>
              <w:rPr>
                <w:noProof/>
              </w:rPr>
              <w:t>Rapport d’évaluation des piliers présenté par un auditeur externe indépendant.</w:t>
            </w:r>
          </w:p>
        </w:tc>
      </w:tr>
      <w:tr w:rsidR="00A345F4" w14:paraId="3B59121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F93DCF9" w14:textId="77777777" w:rsidR="00A345F4" w:rsidRDefault="005E2D4E">
            <w:pPr>
              <w:pStyle w:val="P68B1DB1-Normal14"/>
              <w:spacing w:after="0" w:line="240" w:lineRule="auto"/>
              <w:jc w:val="center"/>
              <w:rPr>
                <w:noProof/>
              </w:rPr>
            </w:pPr>
            <w:r>
              <w:rPr>
                <w:noProof/>
              </w:rPr>
              <w:t>211</w:t>
            </w:r>
          </w:p>
        </w:tc>
        <w:tc>
          <w:tcPr>
            <w:tcW w:w="1833" w:type="dxa"/>
            <w:tcBorders>
              <w:top w:val="nil"/>
              <w:left w:val="nil"/>
              <w:bottom w:val="single" w:sz="4" w:space="0" w:color="auto"/>
              <w:right w:val="single" w:sz="4" w:space="0" w:color="auto"/>
            </w:tcBorders>
            <w:shd w:val="clear" w:color="auto" w:fill="C6EFCE"/>
            <w:noWrap/>
          </w:tcPr>
          <w:p w14:paraId="669134F1" w14:textId="77777777" w:rsidR="00A345F4" w:rsidRDefault="005E2D4E">
            <w:pPr>
              <w:pStyle w:val="P68B1DB1-Normal14"/>
              <w:spacing w:after="0" w:line="240" w:lineRule="auto"/>
              <w:jc w:val="both"/>
              <w:rPr>
                <w:noProof/>
              </w:rPr>
            </w:pPr>
            <w:r>
              <w:rPr>
                <w:noProof/>
              </w:rPr>
              <w:t>Réforme 6. Réforme du système public de retraite</w:t>
            </w:r>
          </w:p>
        </w:tc>
        <w:tc>
          <w:tcPr>
            <w:tcW w:w="1268" w:type="dxa"/>
            <w:tcBorders>
              <w:top w:val="nil"/>
              <w:left w:val="nil"/>
              <w:bottom w:val="single" w:sz="4" w:space="0" w:color="auto"/>
              <w:right w:val="single" w:sz="4" w:space="0" w:color="auto"/>
            </w:tcBorders>
            <w:shd w:val="clear" w:color="auto" w:fill="C6EFCE"/>
            <w:noWrap/>
          </w:tcPr>
          <w:p w14:paraId="6BA8DE62"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486857D4" w14:textId="77777777" w:rsidR="00A345F4" w:rsidRDefault="005E2D4E">
            <w:pPr>
              <w:pStyle w:val="P68B1DB1-Normal14"/>
              <w:spacing w:after="0" w:line="240" w:lineRule="auto"/>
              <w:jc w:val="both"/>
              <w:rPr>
                <w:noProof/>
              </w:rPr>
            </w:pPr>
            <w:r>
              <w:rPr>
                <w:noProof/>
              </w:rPr>
              <w:t xml:space="preserve">Assistance technique contractuelle fournie par une entité qui doit être sélectionnée conformément à la législation nationale en matière de marchés publics </w:t>
            </w:r>
          </w:p>
        </w:tc>
        <w:tc>
          <w:tcPr>
            <w:tcW w:w="1560" w:type="dxa"/>
            <w:tcBorders>
              <w:top w:val="nil"/>
              <w:left w:val="nil"/>
              <w:bottom w:val="single" w:sz="4" w:space="0" w:color="auto"/>
              <w:right w:val="single" w:sz="4" w:space="0" w:color="auto"/>
            </w:tcBorders>
            <w:shd w:val="clear" w:color="auto" w:fill="C6EFCE"/>
            <w:noWrap/>
          </w:tcPr>
          <w:p w14:paraId="65FE2E2A" w14:textId="77777777" w:rsidR="00A345F4" w:rsidRDefault="005E2D4E">
            <w:pPr>
              <w:pStyle w:val="P68B1DB1-Normal14"/>
              <w:spacing w:after="0" w:line="240" w:lineRule="auto"/>
              <w:jc w:val="both"/>
              <w:rPr>
                <w:noProof/>
              </w:rPr>
            </w:pPr>
            <w:r>
              <w:rPr>
                <w:noProof/>
              </w:rPr>
              <w:t>Signature du contrat</w:t>
            </w:r>
          </w:p>
        </w:tc>
        <w:tc>
          <w:tcPr>
            <w:tcW w:w="1197" w:type="dxa"/>
            <w:tcBorders>
              <w:top w:val="nil"/>
              <w:left w:val="nil"/>
              <w:bottom w:val="single" w:sz="4" w:space="0" w:color="auto"/>
              <w:right w:val="single" w:sz="4" w:space="0" w:color="auto"/>
            </w:tcBorders>
            <w:shd w:val="clear" w:color="auto" w:fill="C6EFCE"/>
            <w:noWrap/>
          </w:tcPr>
          <w:p w14:paraId="633DEC67" w14:textId="77777777" w:rsidR="00A345F4" w:rsidRDefault="00A345F4">
            <w:pPr>
              <w:spacing w:after="0"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59A321E1" w14:textId="77777777" w:rsidR="00A345F4" w:rsidRDefault="00A345F4">
            <w:pPr>
              <w:spacing w:after="0"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6257953F" w14:textId="77777777" w:rsidR="00A345F4" w:rsidRDefault="00A345F4">
            <w:pPr>
              <w:spacing w:after="0"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550569ED"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4BBD9358" w14:textId="77777777" w:rsidR="00A345F4" w:rsidRDefault="005E2D4E">
            <w:pPr>
              <w:pStyle w:val="P68B1DB1-Normal14"/>
              <w:spacing w:after="0" w:line="240" w:lineRule="auto"/>
              <w:jc w:val="center"/>
              <w:rPr>
                <w:noProof/>
              </w:rPr>
            </w:pPr>
            <w:r>
              <w:rPr>
                <w:noProof/>
              </w:rPr>
              <w:t>2021</w:t>
            </w:r>
          </w:p>
        </w:tc>
        <w:tc>
          <w:tcPr>
            <w:tcW w:w="3107" w:type="dxa"/>
            <w:tcBorders>
              <w:top w:val="nil"/>
              <w:left w:val="nil"/>
              <w:bottom w:val="single" w:sz="4" w:space="0" w:color="auto"/>
              <w:right w:val="single" w:sz="4" w:space="0" w:color="auto"/>
            </w:tcBorders>
            <w:shd w:val="clear" w:color="auto" w:fill="C6EFCE"/>
            <w:noWrap/>
          </w:tcPr>
          <w:p w14:paraId="42CA868A" w14:textId="77777777" w:rsidR="00A345F4" w:rsidRDefault="005E2D4E">
            <w:pPr>
              <w:pStyle w:val="P68B1DB1-Normal14"/>
              <w:spacing w:after="0" w:line="240" w:lineRule="auto"/>
              <w:jc w:val="both"/>
              <w:rPr>
                <w:noProof/>
              </w:rPr>
            </w:pPr>
            <w:r>
              <w:rPr>
                <w:noProof/>
              </w:rPr>
              <w:t>Signature du contrat d’assistance technique avec l’entité sélectionnée afin de préparer une analyse et des propositions en vue d’une réforme du système de retraites – régime général et régimes spéciaux – conforme aux principes promis dans le plan national pour la reprise et la résilience. La nouvelle législation:</w:t>
            </w:r>
          </w:p>
          <w:p w14:paraId="6E98215D" w14:textId="77777777" w:rsidR="00A345F4" w:rsidRDefault="005E2D4E">
            <w:pPr>
              <w:pStyle w:val="P68B1DB1-Normal14"/>
              <w:numPr>
                <w:ilvl w:val="0"/>
                <w:numId w:val="79"/>
              </w:numPr>
              <w:spacing w:after="0" w:line="240" w:lineRule="auto"/>
              <w:ind w:left="224" w:hanging="218"/>
              <w:jc w:val="both"/>
              <w:rPr>
                <w:noProof/>
              </w:rPr>
            </w:pPr>
            <w:r>
              <w:rPr>
                <w:noProof/>
              </w:rPr>
              <w:t>introduire une nouvelle formule de calcul pour les nouvelles pensions et les pensions en cours de paiement. Les paramètres de la formule sont soigneusement choisis conformément à l’objectif pour le total des dépenses publiques brutes de retraite en pourcentage du PIB (9,4 % du PIB à long terme, c’est-à-dire entre 2022 et 2030). En outre, ils n’autorisent pas d’augmentations ad hoc des niveaux de pension;</w:t>
            </w:r>
          </w:p>
          <w:p w14:paraId="5D44E6B1" w14:textId="77777777" w:rsidR="00A345F4" w:rsidRDefault="005E2D4E">
            <w:pPr>
              <w:pStyle w:val="P68B1DB1-Normal14"/>
              <w:numPr>
                <w:ilvl w:val="0"/>
                <w:numId w:val="79"/>
              </w:numPr>
              <w:spacing w:after="0" w:line="240" w:lineRule="auto"/>
              <w:ind w:left="224" w:hanging="218"/>
              <w:jc w:val="both"/>
              <w:rPr>
                <w:noProof/>
              </w:rPr>
            </w:pPr>
            <w:r>
              <w:rPr>
                <w:noProof/>
              </w:rPr>
              <w:t>introduire une nouvelle règle d’indexation des retraites conforme aux dépenses de retraite en pourcentage de l’objectif du PIB et des mécanismes contre l’indexation ad hoc;</w:t>
            </w:r>
          </w:p>
          <w:p w14:paraId="37530285" w14:textId="77777777" w:rsidR="00A345F4" w:rsidRDefault="005E2D4E">
            <w:pPr>
              <w:pStyle w:val="P68B1DB1-Normal14"/>
              <w:numPr>
                <w:ilvl w:val="0"/>
                <w:numId w:val="79"/>
              </w:numPr>
              <w:spacing w:after="0" w:line="240" w:lineRule="auto"/>
              <w:ind w:left="224" w:hanging="218"/>
              <w:jc w:val="both"/>
              <w:rPr>
                <w:noProof/>
              </w:rPr>
            </w:pPr>
            <w:r>
              <w:rPr>
                <w:noProof/>
              </w:rPr>
              <w:t>réduire considérablement les possibilités de retraite anticipée, introduire des incitations à étendre la vie active et à relever volontairement l’âge normal de départ à la retraite jusqu’à 70 ans, conformément à l’augmentation de l’espérance de vie, et égaliser l’âge légal de départ à la retraite pour les hommes et les femmes à 65 ans d’ici à 2035;</w:t>
            </w:r>
          </w:p>
          <w:p w14:paraId="06948994" w14:textId="77777777" w:rsidR="00A345F4" w:rsidRDefault="005E2D4E">
            <w:pPr>
              <w:pStyle w:val="P68B1DB1-Normal14"/>
              <w:numPr>
                <w:ilvl w:val="0"/>
                <w:numId w:val="79"/>
              </w:numPr>
              <w:spacing w:after="0" w:line="240" w:lineRule="auto"/>
              <w:ind w:left="224" w:hanging="218"/>
              <w:jc w:val="both"/>
              <w:rPr>
                <w:noProof/>
              </w:rPr>
            </w:pPr>
            <w:r>
              <w:rPr>
                <w:noProof/>
              </w:rPr>
              <w:t>introduire des incitations au report de la retraite;</w:t>
            </w:r>
          </w:p>
          <w:p w14:paraId="0B6E9D67" w14:textId="77777777" w:rsidR="00A345F4" w:rsidRDefault="005E2D4E">
            <w:pPr>
              <w:pStyle w:val="P68B1DB1-Normal14"/>
              <w:numPr>
                <w:ilvl w:val="0"/>
                <w:numId w:val="79"/>
              </w:numPr>
              <w:spacing w:after="0" w:line="240" w:lineRule="auto"/>
              <w:ind w:left="224" w:hanging="218"/>
              <w:jc w:val="both"/>
              <w:rPr>
                <w:noProof/>
              </w:rPr>
            </w:pPr>
            <w:r>
              <w:rPr>
                <w:noProof/>
              </w:rPr>
              <w:t>réviser les pensions spéciales pour les aligner sur le principe contributif;</w:t>
            </w:r>
          </w:p>
          <w:p w14:paraId="2D993975" w14:textId="77777777" w:rsidR="00A345F4" w:rsidRDefault="005E2D4E">
            <w:pPr>
              <w:pStyle w:val="P68B1DB1-Normal14"/>
              <w:numPr>
                <w:ilvl w:val="0"/>
                <w:numId w:val="79"/>
              </w:numPr>
              <w:spacing w:after="0" w:line="240" w:lineRule="auto"/>
              <w:ind w:left="224" w:hanging="218"/>
              <w:jc w:val="both"/>
              <w:rPr>
                <w:noProof/>
              </w:rPr>
            </w:pPr>
            <w:r>
              <w:rPr>
                <w:noProof/>
              </w:rPr>
              <w:t>renforcer le principe contributif du système;</w:t>
            </w:r>
          </w:p>
          <w:p w14:paraId="6A3E0A74" w14:textId="77777777" w:rsidR="00A345F4" w:rsidRDefault="005E2D4E">
            <w:pPr>
              <w:pStyle w:val="P68B1DB1-Normal14"/>
              <w:numPr>
                <w:ilvl w:val="0"/>
                <w:numId w:val="79"/>
              </w:numPr>
              <w:spacing w:after="0" w:line="240" w:lineRule="auto"/>
              <w:ind w:left="224" w:hanging="218"/>
              <w:jc w:val="both"/>
              <w:rPr>
                <w:noProof/>
              </w:rPr>
            </w:pPr>
            <w:r>
              <w:rPr>
                <w:noProof/>
              </w:rPr>
              <w:t>accroître l'adéquation des pensions minimales et inférieures, en particulier pour les personnes en dessous du seuil de pauvreté;</w:t>
            </w:r>
          </w:p>
          <w:p w14:paraId="6923F2E2" w14:textId="77777777" w:rsidR="00A345F4" w:rsidRDefault="005E2D4E">
            <w:pPr>
              <w:pStyle w:val="P68B1DB1-Normal14"/>
              <w:numPr>
                <w:ilvl w:val="0"/>
                <w:numId w:val="79"/>
              </w:numPr>
              <w:spacing w:after="0" w:line="240" w:lineRule="auto"/>
              <w:ind w:left="224" w:hanging="218"/>
              <w:jc w:val="both"/>
              <w:rPr>
                <w:noProof/>
              </w:rPr>
            </w:pPr>
            <w:r>
              <w:rPr>
                <w:noProof/>
              </w:rPr>
              <w:t>assurer la viabilité financière du pilier II du système de retraite en augmentant les cotisations à ce pilier.</w:t>
            </w:r>
          </w:p>
          <w:p w14:paraId="2329B3C7" w14:textId="77777777" w:rsidR="00A345F4" w:rsidRDefault="005E2D4E">
            <w:pPr>
              <w:pStyle w:val="P68B1DB1-Normal14"/>
              <w:spacing w:after="0" w:line="240" w:lineRule="auto"/>
              <w:jc w:val="both"/>
              <w:rPr>
                <w:noProof/>
              </w:rPr>
            </w:pPr>
            <w:r>
              <w:rPr>
                <w:noProof/>
              </w:rPr>
              <w:t>L'assistance technique comprend une analyse d'impact des différentes options de réforme proposées (projections à long terme).</w:t>
            </w:r>
          </w:p>
          <w:p w14:paraId="11E28D72" w14:textId="77777777" w:rsidR="00A345F4" w:rsidRDefault="005E2D4E">
            <w:pPr>
              <w:pStyle w:val="P68B1DB1-Normal14"/>
              <w:spacing w:after="0" w:line="240" w:lineRule="auto"/>
              <w:jc w:val="both"/>
              <w:rPr>
                <w:noProof/>
              </w:rPr>
            </w:pPr>
            <w:r>
              <w:rPr>
                <w:noProof/>
              </w:rPr>
              <w:t>Le prestataire d’assistance technique soutient l’élaboration de la réforme des retraites.</w:t>
            </w:r>
          </w:p>
        </w:tc>
      </w:tr>
      <w:tr w:rsidR="00A345F4" w14:paraId="4D9A15F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3173D90" w14:textId="77777777" w:rsidR="00A345F4" w:rsidRDefault="005E2D4E">
            <w:pPr>
              <w:pStyle w:val="P68B1DB1-Normal14"/>
              <w:spacing w:after="0" w:line="240" w:lineRule="auto"/>
              <w:jc w:val="center"/>
              <w:rPr>
                <w:noProof/>
              </w:rPr>
            </w:pPr>
            <w:r>
              <w:rPr>
                <w:noProof/>
              </w:rPr>
              <w:t>212</w:t>
            </w:r>
          </w:p>
        </w:tc>
        <w:tc>
          <w:tcPr>
            <w:tcW w:w="1833" w:type="dxa"/>
            <w:tcBorders>
              <w:top w:val="nil"/>
              <w:left w:val="nil"/>
              <w:bottom w:val="single" w:sz="4" w:space="0" w:color="auto"/>
              <w:right w:val="single" w:sz="4" w:space="0" w:color="auto"/>
            </w:tcBorders>
            <w:shd w:val="clear" w:color="auto" w:fill="C6EFCE"/>
            <w:noWrap/>
          </w:tcPr>
          <w:p w14:paraId="0DA1B547" w14:textId="77777777" w:rsidR="00A345F4" w:rsidRDefault="005E2D4E">
            <w:pPr>
              <w:pStyle w:val="P68B1DB1-Normal14"/>
              <w:spacing w:after="0" w:line="240" w:lineRule="auto"/>
              <w:jc w:val="both"/>
              <w:rPr>
                <w:noProof/>
              </w:rPr>
            </w:pPr>
            <w:r>
              <w:rPr>
                <w:noProof/>
              </w:rPr>
              <w:t>Réforme 6. Réforme du système public de retraite</w:t>
            </w:r>
          </w:p>
        </w:tc>
        <w:tc>
          <w:tcPr>
            <w:tcW w:w="1268" w:type="dxa"/>
            <w:tcBorders>
              <w:top w:val="nil"/>
              <w:left w:val="nil"/>
              <w:bottom w:val="single" w:sz="4" w:space="0" w:color="auto"/>
              <w:right w:val="single" w:sz="4" w:space="0" w:color="auto"/>
            </w:tcBorders>
            <w:shd w:val="clear" w:color="auto" w:fill="C6EFCE"/>
            <w:noWrap/>
          </w:tcPr>
          <w:p w14:paraId="0FB410DB"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09F74D8C" w14:textId="77777777" w:rsidR="00A345F4" w:rsidRDefault="005E2D4E">
            <w:pPr>
              <w:pStyle w:val="P68B1DB1-Normal14"/>
              <w:spacing w:after="0" w:line="240" w:lineRule="auto"/>
              <w:jc w:val="both"/>
              <w:rPr>
                <w:noProof/>
              </w:rPr>
            </w:pPr>
            <w:r>
              <w:rPr>
                <w:noProof/>
              </w:rPr>
              <w:t>Entrée en vigueur d’un arrêté ministériel portant création d’un comité de suivi chargé d’examiner, avec le soutien du prestataire d’assistance technique, le système de retraite et les interventions politiques dans le système de retraite</w:t>
            </w:r>
          </w:p>
        </w:tc>
        <w:tc>
          <w:tcPr>
            <w:tcW w:w="1560" w:type="dxa"/>
            <w:tcBorders>
              <w:top w:val="nil"/>
              <w:left w:val="nil"/>
              <w:bottom w:val="single" w:sz="4" w:space="0" w:color="auto"/>
              <w:right w:val="single" w:sz="4" w:space="0" w:color="auto"/>
            </w:tcBorders>
            <w:shd w:val="clear" w:color="auto" w:fill="C6EFCE"/>
            <w:noWrap/>
          </w:tcPr>
          <w:p w14:paraId="6F6698DF" w14:textId="77777777" w:rsidR="00A345F4" w:rsidRDefault="005E2D4E">
            <w:pPr>
              <w:pStyle w:val="P68B1DB1-Normal14"/>
              <w:spacing w:after="0" w:line="240" w:lineRule="auto"/>
              <w:jc w:val="both"/>
              <w:rPr>
                <w:noProof/>
              </w:rPr>
            </w:pPr>
            <w:r>
              <w:rPr>
                <w:noProof/>
              </w:rPr>
              <w:t>Disposition de l'arrêté ministériel commun indiquant l'entrée en vigueur de l'arrêté ministériel commun</w:t>
            </w:r>
          </w:p>
        </w:tc>
        <w:tc>
          <w:tcPr>
            <w:tcW w:w="1197" w:type="dxa"/>
            <w:tcBorders>
              <w:top w:val="nil"/>
              <w:left w:val="nil"/>
              <w:bottom w:val="single" w:sz="4" w:space="0" w:color="auto"/>
              <w:right w:val="single" w:sz="4" w:space="0" w:color="auto"/>
            </w:tcBorders>
            <w:shd w:val="clear" w:color="auto" w:fill="C6EFCE"/>
            <w:noWrap/>
          </w:tcPr>
          <w:p w14:paraId="4E0398E0" w14:textId="77777777" w:rsidR="00A345F4" w:rsidRDefault="00A345F4">
            <w:pPr>
              <w:spacing w:after="0"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B0C9892" w14:textId="77777777" w:rsidR="00A345F4" w:rsidRDefault="00A345F4">
            <w:pPr>
              <w:spacing w:after="0"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2D461905" w14:textId="77777777" w:rsidR="00A345F4" w:rsidRDefault="00A345F4">
            <w:pPr>
              <w:spacing w:after="0"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753A9195"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62EFE6E1" w14:textId="77777777" w:rsidR="00A345F4" w:rsidRDefault="005E2D4E">
            <w:pPr>
              <w:pStyle w:val="P68B1DB1-Normal14"/>
              <w:spacing w:after="0" w:line="240" w:lineRule="auto"/>
              <w:jc w:val="center"/>
              <w:rPr>
                <w:noProof/>
              </w:rPr>
            </w:pPr>
            <w:r>
              <w:rPr>
                <w:noProof/>
              </w:rPr>
              <w:t>2021</w:t>
            </w:r>
          </w:p>
        </w:tc>
        <w:tc>
          <w:tcPr>
            <w:tcW w:w="3107" w:type="dxa"/>
            <w:tcBorders>
              <w:top w:val="nil"/>
              <w:left w:val="nil"/>
              <w:bottom w:val="single" w:sz="4" w:space="0" w:color="auto"/>
              <w:right w:val="single" w:sz="4" w:space="0" w:color="auto"/>
            </w:tcBorders>
            <w:shd w:val="clear" w:color="auto" w:fill="C6EFCE"/>
            <w:noWrap/>
          </w:tcPr>
          <w:p w14:paraId="2879395B" w14:textId="77777777" w:rsidR="00A345F4" w:rsidRDefault="005E2D4E">
            <w:pPr>
              <w:pStyle w:val="P68B1DB1-Normal14"/>
              <w:spacing w:after="0" w:line="240" w:lineRule="auto"/>
              <w:jc w:val="both"/>
              <w:rPr>
                <w:noProof/>
              </w:rPr>
            </w:pPr>
            <w:r>
              <w:rPr>
                <w:noProof/>
              </w:rPr>
              <w:t>Le comité de suivi est institué par arrêté ministériel commun (ministère des finances et ministère du travail et de la protection sociale) et est composé d'experts du ministère du travail et de la protection sociale, de la Maison nationale des pensions publiques et du ministère des finances. En outre, des experts du conseil budgétaire sont invités à y participer. Il travaille en étroite collaboration avec le prestataire d'assistance technique.</w:t>
            </w:r>
          </w:p>
        </w:tc>
      </w:tr>
      <w:tr w:rsidR="00A345F4" w14:paraId="6CCA58B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B48E677" w14:textId="77777777" w:rsidR="00A345F4" w:rsidRDefault="005E2D4E">
            <w:pPr>
              <w:pStyle w:val="P68B1DB1-Normal14"/>
              <w:spacing w:after="0" w:line="240" w:lineRule="auto"/>
              <w:jc w:val="center"/>
              <w:rPr>
                <w:noProof/>
              </w:rPr>
            </w:pPr>
            <w:r>
              <w:rPr>
                <w:noProof/>
              </w:rPr>
              <w:t>213</w:t>
            </w:r>
          </w:p>
        </w:tc>
        <w:tc>
          <w:tcPr>
            <w:tcW w:w="1833" w:type="dxa"/>
            <w:tcBorders>
              <w:top w:val="nil"/>
              <w:left w:val="nil"/>
              <w:bottom w:val="single" w:sz="4" w:space="0" w:color="auto"/>
              <w:right w:val="single" w:sz="4" w:space="0" w:color="auto"/>
            </w:tcBorders>
            <w:shd w:val="clear" w:color="auto" w:fill="C6EFCE"/>
            <w:noWrap/>
          </w:tcPr>
          <w:p w14:paraId="26BE3F3F" w14:textId="77777777" w:rsidR="00A345F4" w:rsidRDefault="005E2D4E">
            <w:pPr>
              <w:pStyle w:val="P68B1DB1-Normal14"/>
              <w:spacing w:after="0" w:line="240" w:lineRule="auto"/>
              <w:jc w:val="both"/>
              <w:rPr>
                <w:noProof/>
              </w:rPr>
            </w:pPr>
            <w:r>
              <w:rPr>
                <w:noProof/>
              </w:rPr>
              <w:t>Réforme 6. Réforme du système public de retraite</w:t>
            </w:r>
          </w:p>
        </w:tc>
        <w:tc>
          <w:tcPr>
            <w:tcW w:w="1268" w:type="dxa"/>
            <w:tcBorders>
              <w:top w:val="nil"/>
              <w:left w:val="nil"/>
              <w:bottom w:val="single" w:sz="4" w:space="0" w:color="auto"/>
              <w:right w:val="single" w:sz="4" w:space="0" w:color="auto"/>
            </w:tcBorders>
            <w:shd w:val="clear" w:color="auto" w:fill="C6EFCE"/>
            <w:noWrap/>
          </w:tcPr>
          <w:p w14:paraId="6B8D0975"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1CB0C8D7" w14:textId="77777777" w:rsidR="00A345F4" w:rsidRDefault="005E2D4E">
            <w:pPr>
              <w:pStyle w:val="P68B1DB1-Normal14"/>
              <w:spacing w:after="0" w:line="240" w:lineRule="auto"/>
              <w:jc w:val="both"/>
              <w:rPr>
                <w:noProof/>
              </w:rPr>
            </w:pPr>
            <w:r>
              <w:rPr>
                <w:noProof/>
              </w:rPr>
              <w:t>Entrée en vigueur des modifications du cadre réglementaire visant à garantir la viabilité des retraites du deuxième pilier</w:t>
            </w:r>
          </w:p>
        </w:tc>
        <w:tc>
          <w:tcPr>
            <w:tcW w:w="1560" w:type="dxa"/>
            <w:tcBorders>
              <w:top w:val="nil"/>
              <w:left w:val="nil"/>
              <w:bottom w:val="single" w:sz="4" w:space="0" w:color="auto"/>
              <w:right w:val="single" w:sz="4" w:space="0" w:color="auto"/>
            </w:tcBorders>
            <w:shd w:val="clear" w:color="auto" w:fill="C6EFCE"/>
            <w:noWrap/>
          </w:tcPr>
          <w:p w14:paraId="451592FB" w14:textId="77777777" w:rsidR="00A345F4" w:rsidRDefault="005E2D4E">
            <w:pPr>
              <w:pStyle w:val="P68B1DB1-Normal14"/>
              <w:spacing w:after="0" w:line="240" w:lineRule="auto"/>
              <w:jc w:val="both"/>
              <w:rPr>
                <w:noProof/>
              </w:rPr>
            </w:pPr>
            <w:r>
              <w:rPr>
                <w:noProof/>
              </w:rPr>
              <w:t>Disposition du cadre réglementaire indiquant l’entrée en vigueur de la législation</w:t>
            </w:r>
          </w:p>
        </w:tc>
        <w:tc>
          <w:tcPr>
            <w:tcW w:w="1197" w:type="dxa"/>
            <w:tcBorders>
              <w:top w:val="nil"/>
              <w:left w:val="nil"/>
              <w:bottom w:val="single" w:sz="4" w:space="0" w:color="auto"/>
              <w:right w:val="single" w:sz="4" w:space="0" w:color="auto"/>
            </w:tcBorders>
            <w:shd w:val="clear" w:color="auto" w:fill="C6EFCE"/>
            <w:noWrap/>
          </w:tcPr>
          <w:p w14:paraId="67B48DD5" w14:textId="77777777" w:rsidR="00A345F4" w:rsidRDefault="00A345F4">
            <w:pPr>
              <w:spacing w:after="0"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14B21EBD" w14:textId="77777777" w:rsidR="00A345F4" w:rsidRDefault="00A345F4">
            <w:pPr>
              <w:spacing w:after="0"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105203E4" w14:textId="77777777" w:rsidR="00A345F4" w:rsidRDefault="00A345F4">
            <w:pPr>
              <w:spacing w:after="0"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356C0364" w14:textId="77777777" w:rsidR="00A345F4" w:rsidRDefault="005E2D4E">
            <w:pPr>
              <w:pStyle w:val="P68B1DB1-Normal14"/>
              <w:spacing w:after="0" w:line="240" w:lineRule="auto"/>
              <w:jc w:val="center"/>
              <w:rPr>
                <w:noProof/>
              </w:rPr>
            </w:pPr>
            <w:r>
              <w:rPr>
                <w:noProof/>
              </w:rPr>
              <w:t>T1</w:t>
            </w:r>
          </w:p>
        </w:tc>
        <w:tc>
          <w:tcPr>
            <w:tcW w:w="840" w:type="dxa"/>
            <w:tcBorders>
              <w:top w:val="nil"/>
              <w:left w:val="nil"/>
              <w:bottom w:val="single" w:sz="4" w:space="0" w:color="auto"/>
              <w:right w:val="single" w:sz="4" w:space="0" w:color="auto"/>
            </w:tcBorders>
            <w:shd w:val="clear" w:color="auto" w:fill="C6EFCE"/>
            <w:noWrap/>
          </w:tcPr>
          <w:p w14:paraId="0BCAEAB3"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029A8091" w14:textId="77777777" w:rsidR="00A345F4" w:rsidRDefault="005E2D4E">
            <w:pPr>
              <w:pStyle w:val="P68B1DB1-Normal14"/>
              <w:spacing w:after="0" w:line="240" w:lineRule="auto"/>
              <w:jc w:val="both"/>
              <w:rPr>
                <w:noProof/>
              </w:rPr>
            </w:pPr>
            <w:r>
              <w:rPr>
                <w:noProof/>
              </w:rPr>
              <w:t>Le nouveau cadre législatif:</w:t>
            </w:r>
          </w:p>
          <w:p w14:paraId="7C42DC3E" w14:textId="77777777" w:rsidR="00A345F4" w:rsidRDefault="005E2D4E">
            <w:pPr>
              <w:pStyle w:val="P68B1DB1-Normal14"/>
              <w:spacing w:after="0" w:line="240" w:lineRule="auto"/>
              <w:jc w:val="both"/>
              <w:rPr>
                <w:noProof/>
              </w:rPr>
            </w:pPr>
            <w:r>
              <w:rPr>
                <w:noProof/>
              </w:rPr>
              <w:t>- garantir la viabilité budgétaire du pilier II par une augmentation des contributions conformément aux dispositions de la stratégie budgétaire;</w:t>
            </w:r>
          </w:p>
          <w:p w14:paraId="2C081EC1" w14:textId="77777777" w:rsidR="00A345F4" w:rsidRDefault="005E2D4E">
            <w:pPr>
              <w:pStyle w:val="P68B1DB1-Normal14"/>
              <w:spacing w:after="0" w:line="240" w:lineRule="auto"/>
              <w:jc w:val="both"/>
              <w:rPr>
                <w:noProof/>
              </w:rPr>
            </w:pPr>
            <w:r>
              <w:rPr>
                <w:noProof/>
              </w:rPr>
              <w:t xml:space="preserve">- Numériser le fonctionnement du système de retraite privé </w:t>
            </w:r>
          </w:p>
          <w:p w14:paraId="4E908FA1" w14:textId="77777777" w:rsidR="00A345F4" w:rsidRDefault="005E2D4E">
            <w:pPr>
              <w:pStyle w:val="P68B1DB1-Normal14"/>
              <w:spacing w:after="0" w:line="240" w:lineRule="auto"/>
              <w:jc w:val="both"/>
              <w:rPr>
                <w:noProof/>
              </w:rPr>
            </w:pPr>
            <w:r>
              <w:rPr>
                <w:noProof/>
              </w:rPr>
              <w:t>- Diversifier les investissements dans les retraites du pilier II.</w:t>
            </w:r>
          </w:p>
          <w:p w14:paraId="1AE2F233" w14:textId="77777777" w:rsidR="00A345F4" w:rsidRDefault="005E2D4E">
            <w:pPr>
              <w:pStyle w:val="P68B1DB1-Normal14"/>
              <w:spacing w:after="0" w:line="240" w:lineRule="auto"/>
              <w:jc w:val="both"/>
              <w:rPr>
                <w:noProof/>
              </w:rPr>
            </w:pPr>
            <w:r>
              <w:rPr>
                <w:noProof/>
              </w:rPr>
              <w:t>En ce qui concerne les investissements dans les retraites du pilier II, le gouvernement:</w:t>
            </w:r>
          </w:p>
          <w:p w14:paraId="0F7258C9" w14:textId="77777777" w:rsidR="00A345F4" w:rsidRDefault="005E2D4E">
            <w:pPr>
              <w:pStyle w:val="P68B1DB1-Normal14"/>
              <w:spacing w:after="0" w:line="240" w:lineRule="auto"/>
              <w:jc w:val="both"/>
              <w:rPr>
                <w:noProof/>
              </w:rPr>
            </w:pPr>
            <w:r>
              <w:rPr>
                <w:noProof/>
              </w:rPr>
              <w:t>- étudier la possibilité d’assouplir le régime réglementaire applicable aux investissements des fonds de pension gérés par le secteur privé en réduisant les restrictions quantitatives en matière d’investissement et en réduisant les restrictions budgétaires en matière de risques applicables aux fonds de pension gérés par le secteur privé;</w:t>
            </w:r>
          </w:p>
          <w:p w14:paraId="30C4CAB9" w14:textId="77777777" w:rsidR="00A345F4" w:rsidRDefault="005E2D4E">
            <w:pPr>
              <w:pStyle w:val="P68B1DB1-Normal14"/>
              <w:spacing w:after="0" w:line="240" w:lineRule="auto"/>
              <w:jc w:val="both"/>
              <w:rPr>
                <w:noProof/>
              </w:rPr>
            </w:pPr>
            <w:r>
              <w:rPr>
                <w:noProof/>
              </w:rPr>
              <w:t>- Préserver l'indépendance des gestionnaires de pension dans la détermination de leur stratégie d'investissement</w:t>
            </w:r>
          </w:p>
          <w:p w14:paraId="08A1DB6D" w14:textId="77777777" w:rsidR="00A345F4" w:rsidRDefault="005E2D4E">
            <w:pPr>
              <w:pStyle w:val="P68B1DB1-Normal14"/>
              <w:spacing w:after="0" w:line="240" w:lineRule="auto"/>
              <w:jc w:val="both"/>
              <w:rPr>
                <w:noProof/>
              </w:rPr>
            </w:pPr>
            <w:r>
              <w:rPr>
                <w:noProof/>
              </w:rPr>
              <w:t>Réglementer les ajustements futurs du régime d'investissement des fonds de pension privés qui contribuent à une structure flexible qui encourage les gestionnaires de pension à diversifier correctement leurs portefeuilles afin d'obtenir un rendement équitable des investissements ajusté en fonction du risque.</w:t>
            </w:r>
          </w:p>
          <w:p w14:paraId="446B8B43" w14:textId="77777777" w:rsidR="00A345F4" w:rsidRDefault="005E2D4E">
            <w:pPr>
              <w:pStyle w:val="P68B1DB1-Normal14"/>
              <w:spacing w:after="0" w:line="240" w:lineRule="auto"/>
              <w:jc w:val="both"/>
              <w:rPr>
                <w:noProof/>
              </w:rPr>
            </w:pPr>
            <w:r>
              <w:rPr>
                <w:noProof/>
              </w:rPr>
              <w:t>- Accroître l’accès des entreprises au marché des capitaux, faciliter la cotation de nouveaux émetteurs et recourir davantage à des sources privées de financement, y compris les actifs des fonds de pension. Cela conduirait à un meilleur écosystème d’investissement pour les gestionnaires de fonds de pension et à des possibilités accrues de diversification adéquate des portefeuilles de fonds de pension.</w:t>
            </w:r>
          </w:p>
        </w:tc>
      </w:tr>
      <w:tr w:rsidR="00A345F4" w14:paraId="3DA4C1A7"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9B93F7D" w14:textId="77777777" w:rsidR="00A345F4" w:rsidRDefault="005E2D4E">
            <w:pPr>
              <w:pStyle w:val="P68B1DB1-Normal14"/>
              <w:spacing w:after="0" w:line="240" w:lineRule="auto"/>
              <w:jc w:val="center"/>
              <w:rPr>
                <w:noProof/>
              </w:rPr>
            </w:pPr>
            <w:r>
              <w:rPr>
                <w:noProof/>
              </w:rPr>
              <w:t>214</w:t>
            </w:r>
          </w:p>
        </w:tc>
        <w:tc>
          <w:tcPr>
            <w:tcW w:w="1833" w:type="dxa"/>
            <w:tcBorders>
              <w:top w:val="nil"/>
              <w:left w:val="nil"/>
              <w:bottom w:val="single" w:sz="4" w:space="0" w:color="auto"/>
              <w:right w:val="single" w:sz="4" w:space="0" w:color="auto"/>
            </w:tcBorders>
            <w:shd w:val="clear" w:color="auto" w:fill="C6EFCE"/>
            <w:noWrap/>
          </w:tcPr>
          <w:p w14:paraId="42C57973" w14:textId="77777777" w:rsidR="00A345F4" w:rsidRDefault="005E2D4E">
            <w:pPr>
              <w:pStyle w:val="P68B1DB1-Normal14"/>
              <w:spacing w:after="0" w:line="240" w:lineRule="auto"/>
              <w:jc w:val="both"/>
              <w:rPr>
                <w:noProof/>
              </w:rPr>
            </w:pPr>
            <w:r>
              <w:rPr>
                <w:noProof/>
              </w:rPr>
              <w:t>Réforme 6. Réforme du système public de retraite</w:t>
            </w:r>
          </w:p>
        </w:tc>
        <w:tc>
          <w:tcPr>
            <w:tcW w:w="1268" w:type="dxa"/>
            <w:tcBorders>
              <w:top w:val="nil"/>
              <w:left w:val="nil"/>
              <w:bottom w:val="single" w:sz="4" w:space="0" w:color="auto"/>
              <w:right w:val="single" w:sz="4" w:space="0" w:color="auto"/>
            </w:tcBorders>
            <w:shd w:val="clear" w:color="auto" w:fill="C6EFCE"/>
            <w:noWrap/>
          </w:tcPr>
          <w:p w14:paraId="2CD0FEDB"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68CDD55F" w14:textId="77777777" w:rsidR="00A345F4" w:rsidRDefault="005E2D4E">
            <w:pPr>
              <w:pStyle w:val="P68B1DB1-Normal14"/>
              <w:spacing w:after="0" w:line="240" w:lineRule="auto"/>
              <w:jc w:val="both"/>
              <w:rPr>
                <w:noProof/>
              </w:rPr>
            </w:pPr>
            <w:r>
              <w:rPr>
                <w:noProof/>
              </w:rPr>
              <w:t>Acte(s) juridique(s) relatif(s) au système de retraite</w:t>
            </w:r>
          </w:p>
        </w:tc>
        <w:tc>
          <w:tcPr>
            <w:tcW w:w="1560" w:type="dxa"/>
            <w:tcBorders>
              <w:top w:val="nil"/>
              <w:left w:val="nil"/>
              <w:bottom w:val="single" w:sz="4" w:space="0" w:color="auto"/>
              <w:right w:val="single" w:sz="4" w:space="0" w:color="auto"/>
            </w:tcBorders>
            <w:shd w:val="clear" w:color="auto" w:fill="C6EFCE"/>
            <w:noWrap/>
          </w:tcPr>
          <w:p w14:paraId="3B7F9818" w14:textId="77777777" w:rsidR="00A345F4" w:rsidRDefault="005E2D4E">
            <w:pPr>
              <w:pStyle w:val="P68B1DB1-Normal14"/>
              <w:spacing w:after="0" w:line="240" w:lineRule="auto"/>
              <w:jc w:val="both"/>
              <w:rPr>
                <w:noProof/>
              </w:rPr>
            </w:pPr>
            <w:r>
              <w:rPr>
                <w:noProof/>
              </w:rPr>
              <w:t>Entrée en vigueur du ou des actes juridiques relatifs au système de retraite</w:t>
            </w:r>
          </w:p>
        </w:tc>
        <w:tc>
          <w:tcPr>
            <w:tcW w:w="1197" w:type="dxa"/>
            <w:tcBorders>
              <w:top w:val="nil"/>
              <w:left w:val="nil"/>
              <w:bottom w:val="single" w:sz="4" w:space="0" w:color="auto"/>
              <w:right w:val="single" w:sz="4" w:space="0" w:color="auto"/>
            </w:tcBorders>
            <w:shd w:val="clear" w:color="auto" w:fill="C6EFCE"/>
            <w:noWrap/>
          </w:tcPr>
          <w:p w14:paraId="28FAB0DA" w14:textId="77777777" w:rsidR="00A345F4" w:rsidRDefault="00A345F4">
            <w:pPr>
              <w:spacing w:after="0"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345F76C2" w14:textId="77777777" w:rsidR="00A345F4" w:rsidRDefault="00A345F4">
            <w:pPr>
              <w:spacing w:after="0"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4D5BC8F7" w14:textId="77777777" w:rsidR="00A345F4" w:rsidRDefault="00A345F4">
            <w:pPr>
              <w:spacing w:after="0"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5539996D" w14:textId="77777777" w:rsidR="00A345F4" w:rsidRDefault="005E2D4E">
            <w:pPr>
              <w:pStyle w:val="P68B1DB1-Normal14"/>
              <w:spacing w:after="0" w:line="240" w:lineRule="auto"/>
              <w:jc w:val="center"/>
              <w:rPr>
                <w:noProof/>
              </w:rPr>
            </w:pPr>
            <w:r>
              <w:rPr>
                <w:noProof/>
              </w:rPr>
              <w:t>T1</w:t>
            </w:r>
          </w:p>
        </w:tc>
        <w:tc>
          <w:tcPr>
            <w:tcW w:w="840" w:type="dxa"/>
            <w:tcBorders>
              <w:top w:val="nil"/>
              <w:left w:val="nil"/>
              <w:bottom w:val="single" w:sz="4" w:space="0" w:color="auto"/>
              <w:right w:val="single" w:sz="4" w:space="0" w:color="auto"/>
            </w:tcBorders>
            <w:shd w:val="clear" w:color="auto" w:fill="C6EFCE"/>
            <w:noWrap/>
          </w:tcPr>
          <w:p w14:paraId="1DBFC171" w14:textId="77777777" w:rsidR="00A345F4" w:rsidRDefault="005E2D4E">
            <w:pPr>
              <w:pStyle w:val="P68B1DB1-Normal14"/>
              <w:spacing w:after="0" w:line="240" w:lineRule="auto"/>
              <w:jc w:val="center"/>
              <w:rPr>
                <w:noProof/>
              </w:rPr>
            </w:pPr>
            <w:r>
              <w:rPr>
                <w:noProof/>
              </w:rPr>
              <w:t>2023</w:t>
            </w:r>
          </w:p>
        </w:tc>
        <w:tc>
          <w:tcPr>
            <w:tcW w:w="3107" w:type="dxa"/>
            <w:tcBorders>
              <w:top w:val="nil"/>
              <w:left w:val="nil"/>
              <w:bottom w:val="single" w:sz="4" w:space="0" w:color="auto"/>
              <w:right w:val="single" w:sz="4" w:space="0" w:color="auto"/>
            </w:tcBorders>
            <w:shd w:val="clear" w:color="auto" w:fill="C6EFCE"/>
            <w:noWrap/>
          </w:tcPr>
          <w:p w14:paraId="606CD388" w14:textId="77777777" w:rsidR="00A345F4" w:rsidRDefault="005E2D4E">
            <w:pPr>
              <w:pStyle w:val="P68B1DB1-Normal14"/>
              <w:spacing w:after="0" w:line="240" w:lineRule="auto"/>
              <w:jc w:val="both"/>
              <w:rPr>
                <w:noProof/>
              </w:rPr>
            </w:pPr>
            <w:r>
              <w:rPr>
                <w:noProof/>
              </w:rPr>
              <w:t>Le ou les actes juridiques garantissent la viabilité budgétaire du système de retraite, ainsi que l’équité, le respect du principe contributif, l’adéquation des pensions faibles/minimales/sociales (y compris celles relatives à la période de cotisation fixe de 25 ans).</w:t>
            </w:r>
          </w:p>
          <w:p w14:paraId="49FBED2F" w14:textId="77777777" w:rsidR="00A345F4" w:rsidRDefault="005E2D4E">
            <w:pPr>
              <w:pStyle w:val="P68B1DB1-Normal14"/>
              <w:spacing w:after="0" w:line="240" w:lineRule="auto"/>
              <w:jc w:val="both"/>
              <w:rPr>
                <w:noProof/>
              </w:rPr>
            </w:pPr>
            <w:r>
              <w:rPr>
                <w:noProof/>
              </w:rPr>
              <w:t>Toute modification de la loi qui entraînerait un écart par rapport aux projections de référence établies après l’adoption de la réforme par le gouvernement s’accompagne de mesures compensatoires visant à maintenir les dépenses de retraite (en pourcentage du PIB) conformément à la trajectoire de référence.</w:t>
            </w:r>
          </w:p>
          <w:p w14:paraId="60C709AD" w14:textId="77777777" w:rsidR="00A345F4" w:rsidRDefault="005E2D4E">
            <w:pPr>
              <w:pStyle w:val="P68B1DB1-Normal14"/>
              <w:spacing w:after="0" w:line="240" w:lineRule="auto"/>
              <w:jc w:val="both"/>
              <w:rPr>
                <w:noProof/>
              </w:rPr>
            </w:pPr>
            <w:r>
              <w:rPr>
                <w:noProof/>
              </w:rPr>
              <w:t>S'appuyant sur l'assistance technique (étape 211), la réforme comporte au moins les éléments suivants:</w:t>
            </w:r>
          </w:p>
          <w:p w14:paraId="4ECB1760" w14:textId="77777777" w:rsidR="00A345F4" w:rsidRDefault="005E2D4E">
            <w:pPr>
              <w:pStyle w:val="P68B1DB1-Normal14"/>
              <w:numPr>
                <w:ilvl w:val="0"/>
                <w:numId w:val="81"/>
              </w:numPr>
              <w:spacing w:before="120" w:after="0" w:line="240" w:lineRule="auto"/>
              <w:contextualSpacing/>
              <w:jc w:val="both"/>
              <w:rPr>
                <w:noProof/>
              </w:rPr>
            </w:pPr>
            <w:r>
              <w:rPr>
                <w:noProof/>
              </w:rPr>
              <w:t xml:space="preserve">Introduire une nouvelle formule de calcul pour les nouvelles pensions et les pensions en cours de paiement. Les paramètres de la formule sont choisis pour garantir la viabilité budgétaire de l’évolution des dépenses de retraite et du système de retraite en général, à moyen et à long terme (jusqu’en 2070). En outre, ils ne permettent pas d'augmenter ponctuellement le niveau des pensions. La formule détaillée élimine a priori l’indice de correction, se fonde sur le nombre de points obtenus par chaque bénéficiaire conformément au principe contributif et applique un mécanisme d’indexation des pensions qui ne permet plus d’augmentations ad hoc. </w:t>
            </w:r>
          </w:p>
          <w:p w14:paraId="604C9C6F" w14:textId="77777777" w:rsidR="00A345F4" w:rsidRDefault="005E2D4E">
            <w:pPr>
              <w:pStyle w:val="P68B1DB1-Normal14"/>
              <w:spacing w:before="120" w:after="0" w:line="240" w:lineRule="auto"/>
              <w:ind w:left="360"/>
              <w:contextualSpacing/>
              <w:jc w:val="both"/>
              <w:rPr>
                <w:noProof/>
              </w:rPr>
            </w:pPr>
            <w:r>
              <w:rPr>
                <w:noProof/>
              </w:rPr>
              <w:t>La formule détaillée de calcul des pensions:</w:t>
            </w:r>
          </w:p>
          <w:p w14:paraId="761A3100" w14:textId="77777777" w:rsidR="00A345F4" w:rsidRDefault="005E2D4E">
            <w:pPr>
              <w:pStyle w:val="P68B1DB1-Normal14"/>
              <w:numPr>
                <w:ilvl w:val="0"/>
                <w:numId w:val="82"/>
              </w:numPr>
              <w:spacing w:before="120" w:after="0" w:line="240" w:lineRule="auto"/>
              <w:contextualSpacing/>
              <w:jc w:val="both"/>
              <w:rPr>
                <w:noProof/>
              </w:rPr>
            </w:pPr>
            <w:r>
              <w:rPr>
                <w:noProof/>
              </w:rPr>
              <w:t xml:space="preserve">déterminer, pour les retraités actuels et futurs, un certain nombre de points sur la base des cotisations versées au système au cours de la vie active; </w:t>
            </w:r>
          </w:p>
          <w:p w14:paraId="65D6D5AB" w14:textId="77777777" w:rsidR="00A345F4" w:rsidRDefault="005E2D4E">
            <w:pPr>
              <w:pStyle w:val="P68B1DB1-Normal14"/>
              <w:numPr>
                <w:ilvl w:val="0"/>
                <w:numId w:val="82"/>
              </w:numPr>
              <w:spacing w:before="120" w:after="0" w:line="240" w:lineRule="auto"/>
              <w:contextualSpacing/>
              <w:jc w:val="both"/>
              <w:rPr>
                <w:noProof/>
              </w:rPr>
            </w:pPr>
            <w:r>
              <w:rPr>
                <w:noProof/>
              </w:rPr>
              <w:t xml:space="preserve">a) Fixer l ' âge légal de la retraite à 65 ans, tant pour les hommes que pour les femmes, à compter du 1er janvier 2035; </w:t>
            </w:r>
          </w:p>
          <w:p w14:paraId="7DCFE6F2" w14:textId="77777777" w:rsidR="00A345F4" w:rsidRDefault="005E2D4E">
            <w:pPr>
              <w:pStyle w:val="P68B1DB1-Normal14"/>
              <w:numPr>
                <w:ilvl w:val="0"/>
                <w:numId w:val="82"/>
              </w:numPr>
              <w:spacing w:before="120" w:after="0" w:line="240" w:lineRule="auto"/>
              <w:contextualSpacing/>
              <w:jc w:val="both"/>
              <w:rPr>
                <w:noProof/>
              </w:rPr>
            </w:pPr>
            <w:r>
              <w:rPr>
                <w:noProof/>
              </w:rPr>
              <w:t xml:space="preserve">Établir une période minimale de cotisation de 15 ans, tant pour les femmes que pour les hommes; </w:t>
            </w:r>
          </w:p>
          <w:p w14:paraId="2BDBCC59" w14:textId="77777777" w:rsidR="00A345F4" w:rsidRDefault="005E2D4E">
            <w:pPr>
              <w:pStyle w:val="P68B1DB1-Normal14"/>
              <w:numPr>
                <w:ilvl w:val="0"/>
                <w:numId w:val="82"/>
              </w:numPr>
              <w:spacing w:before="120" w:after="0" w:line="240" w:lineRule="auto"/>
              <w:contextualSpacing/>
              <w:jc w:val="both"/>
              <w:rPr>
                <w:noProof/>
              </w:rPr>
            </w:pPr>
            <w:r>
              <w:rPr>
                <w:noProof/>
              </w:rPr>
              <w:t xml:space="preserve">Établir une période de cotisation complète de 35 ans, tant pour les femmes que pour les hommes, d'ici 2030; </w:t>
            </w:r>
          </w:p>
          <w:p w14:paraId="2A3B44AE" w14:textId="77777777" w:rsidR="00A345F4" w:rsidRDefault="005E2D4E">
            <w:pPr>
              <w:pStyle w:val="P68B1DB1-Normal14"/>
              <w:numPr>
                <w:ilvl w:val="0"/>
                <w:numId w:val="82"/>
              </w:numPr>
              <w:spacing w:before="120" w:after="0" w:line="240" w:lineRule="auto"/>
              <w:contextualSpacing/>
              <w:jc w:val="both"/>
              <w:rPr>
                <w:noProof/>
              </w:rPr>
            </w:pPr>
            <w:r>
              <w:rPr>
                <w:noProof/>
              </w:rPr>
              <w:t>établir que la période minimale de cotisation, la période de cotisation complète et l'âge légal de départ à la retraite seront modifiés en fonction de l'évolution de l'espérance de vie en Roumanie;</w:t>
            </w:r>
          </w:p>
          <w:p w14:paraId="3EC69297" w14:textId="77777777" w:rsidR="00A345F4" w:rsidRDefault="005E2D4E">
            <w:pPr>
              <w:pStyle w:val="P68B1DB1-Normal14"/>
              <w:numPr>
                <w:ilvl w:val="0"/>
                <w:numId w:val="82"/>
              </w:numPr>
              <w:spacing w:before="120" w:after="0" w:line="240" w:lineRule="auto"/>
              <w:contextualSpacing/>
              <w:jc w:val="both"/>
              <w:rPr>
                <w:noProof/>
              </w:rPr>
            </w:pPr>
            <w:r>
              <w:rPr>
                <w:noProof/>
              </w:rPr>
              <w:t xml:space="preserve">La valeur initiale du point de référence, au moment de l'entrée en vigueur de la réforme, est fixée à un maximum de 81 lei. </w:t>
            </w:r>
          </w:p>
          <w:p w14:paraId="62F27A5A" w14:textId="77777777" w:rsidR="00A345F4" w:rsidRDefault="005E2D4E">
            <w:pPr>
              <w:pStyle w:val="P68B1DB1-Normal14"/>
              <w:spacing w:before="120" w:after="0" w:line="240" w:lineRule="auto"/>
              <w:ind w:left="720"/>
              <w:contextualSpacing/>
              <w:jc w:val="both"/>
              <w:rPr>
                <w:noProof/>
              </w:rPr>
            </w:pPr>
            <w:r>
              <w:rPr>
                <w:noProof/>
              </w:rPr>
              <w:t>Au cours d’une période de transition, les retraités pour lesquels la nouvelle formule conduirait à une pension théoriquement inférieure (par rapport à la période précédant immédiatement l’entrée en vigueur de la réforme) verront leurs prestations de retraite gelées (en termes nominaux) jusqu’à ce que la prestation de retraite théorique post-réforme atteigne (au moyen de règles d’indexation) un montant égal à la pension nominale gelée.</w:t>
            </w:r>
          </w:p>
          <w:p w14:paraId="0B4CC430" w14:textId="77777777" w:rsidR="00A345F4" w:rsidRDefault="005E2D4E">
            <w:pPr>
              <w:pStyle w:val="P68B1DB1-Normal14"/>
              <w:numPr>
                <w:ilvl w:val="0"/>
                <w:numId w:val="81"/>
              </w:numPr>
              <w:spacing w:before="120" w:after="0" w:line="240" w:lineRule="auto"/>
              <w:contextualSpacing/>
              <w:jc w:val="both"/>
              <w:rPr>
                <w:noProof/>
              </w:rPr>
            </w:pPr>
            <w:r>
              <w:rPr>
                <w:noProof/>
              </w:rPr>
              <w:t xml:space="preserve">La loi révise les règles d'indexation des pensions. En particulier: </w:t>
            </w:r>
          </w:p>
          <w:p w14:paraId="1B0F11B9" w14:textId="77777777" w:rsidR="00A345F4" w:rsidRDefault="005E2D4E">
            <w:pPr>
              <w:pStyle w:val="P68B1DB1-Normal14"/>
              <w:numPr>
                <w:ilvl w:val="0"/>
                <w:numId w:val="83"/>
              </w:numPr>
              <w:spacing w:before="120" w:after="0" w:line="240" w:lineRule="auto"/>
              <w:contextualSpacing/>
              <w:jc w:val="both"/>
              <w:rPr>
                <w:noProof/>
              </w:rPr>
            </w:pPr>
            <w:r>
              <w:rPr>
                <w:noProof/>
              </w:rPr>
              <w:t>La loi prévoit un mécanisme d’indexation des pensions qui ne permet pas d’augmentations ad hoc;</w:t>
            </w:r>
          </w:p>
          <w:p w14:paraId="2C27A719" w14:textId="77777777" w:rsidR="00A345F4" w:rsidRDefault="005E2D4E">
            <w:pPr>
              <w:pStyle w:val="P68B1DB1-Normal14"/>
              <w:numPr>
                <w:ilvl w:val="0"/>
                <w:numId w:val="83"/>
              </w:numPr>
              <w:spacing w:before="120" w:after="0" w:line="240" w:lineRule="auto"/>
              <w:contextualSpacing/>
              <w:jc w:val="both"/>
              <w:rPr>
                <w:noProof/>
              </w:rPr>
            </w:pPr>
            <w:r>
              <w:rPr>
                <w:noProof/>
              </w:rPr>
              <w:t>Le taux d'indexation est égal à l'inflation majorée de 50 % de la croissance des salaires réels au cours de l'année t-1. Elle est soumise à un plafond et à un plancher;</w:t>
            </w:r>
          </w:p>
          <w:p w14:paraId="0842291A" w14:textId="77777777" w:rsidR="00A345F4" w:rsidRDefault="005E2D4E">
            <w:pPr>
              <w:pStyle w:val="P68B1DB1-Normal14"/>
              <w:numPr>
                <w:ilvl w:val="0"/>
                <w:numId w:val="83"/>
              </w:numPr>
              <w:spacing w:before="120" w:after="0" w:line="240" w:lineRule="auto"/>
              <w:contextualSpacing/>
              <w:jc w:val="both"/>
              <w:rPr>
                <w:noProof/>
              </w:rPr>
            </w:pPr>
            <w:r>
              <w:rPr>
                <w:noProof/>
              </w:rPr>
              <w:t xml:space="preserve">Le taux d'indexation ne doit pas être inférieur à l'inflation (plancher); </w:t>
            </w:r>
          </w:p>
          <w:p w14:paraId="6D2F74B4" w14:textId="77777777" w:rsidR="00A345F4" w:rsidRDefault="005E2D4E">
            <w:pPr>
              <w:pStyle w:val="P68B1DB1-Normal14"/>
              <w:numPr>
                <w:ilvl w:val="0"/>
                <w:numId w:val="83"/>
              </w:numPr>
              <w:spacing w:before="120" w:after="0" w:line="240" w:lineRule="auto"/>
              <w:contextualSpacing/>
              <w:jc w:val="both"/>
              <w:rPr>
                <w:noProof/>
              </w:rPr>
            </w:pPr>
            <w:r>
              <w:rPr>
                <w:noProof/>
              </w:rPr>
              <w:t>Si le taux d'indexation produit par la règle est à la fois supérieur à l'inflation et au taux de croissance des recettes totales du système de retraite, le taux d'indexation est plafonné à ce dernier (plafond);</w:t>
            </w:r>
          </w:p>
          <w:p w14:paraId="509D0850" w14:textId="77777777" w:rsidR="00A345F4" w:rsidRDefault="005E2D4E">
            <w:pPr>
              <w:pStyle w:val="P68B1DB1-Normal14"/>
              <w:numPr>
                <w:ilvl w:val="0"/>
                <w:numId w:val="83"/>
              </w:numPr>
              <w:spacing w:before="120" w:after="0" w:line="240" w:lineRule="auto"/>
              <w:contextualSpacing/>
              <w:jc w:val="both"/>
              <w:rPr>
                <w:noProof/>
              </w:rPr>
            </w:pPr>
            <w:r>
              <w:rPr>
                <w:noProof/>
              </w:rPr>
              <w:t xml:space="preserve">Chaque année, en juin, le conseil budgétaire établit un rapport vérifiant si les règles d’indexation ont été pleinement appliquées. En cas d’écart par rapport aux règles d’indexation, le rapport quantifie l’incidence budgétaire. Ce rapport est rendu public; </w:t>
            </w:r>
          </w:p>
          <w:p w14:paraId="3354C6B2" w14:textId="77777777" w:rsidR="00A345F4" w:rsidRDefault="005E2D4E">
            <w:pPr>
              <w:pStyle w:val="P68B1DB1-Normal14"/>
              <w:numPr>
                <w:ilvl w:val="0"/>
                <w:numId w:val="83"/>
              </w:numPr>
              <w:spacing w:before="120" w:after="0" w:line="240" w:lineRule="auto"/>
              <w:contextualSpacing/>
              <w:jc w:val="both"/>
              <w:rPr>
                <w:noProof/>
              </w:rPr>
            </w:pPr>
            <w:r>
              <w:rPr>
                <w:noProof/>
              </w:rPr>
              <w:t>Si le rapport identifie des écarts par rapport aux règles d'indexation prévues par la loi, le gouvernement est tenu par la loi d'adopter des mesures de compensation (modifications des paramètres ou augmentations des cotisations) pour neutraliser l'impact budgétaire, en valeur actuelle nette, de toute augmentation ponctuelle des pensions. Par défaut, les cotisations sociales seront augmentées pour compenser l’incidence budgétaire, en valeur actuelle nette, de toute augmentation ad hoc des retraites (c’est-à-dire toute augmentation allant au-delà des règles d’indexation).</w:t>
            </w:r>
          </w:p>
          <w:p w14:paraId="56576824" w14:textId="77777777" w:rsidR="00A345F4" w:rsidRDefault="005E2D4E">
            <w:pPr>
              <w:pStyle w:val="P68B1DB1-Normal14"/>
              <w:numPr>
                <w:ilvl w:val="0"/>
                <w:numId w:val="81"/>
              </w:numPr>
              <w:spacing w:line="259" w:lineRule="auto"/>
              <w:contextualSpacing/>
              <w:jc w:val="both"/>
              <w:rPr>
                <w:noProof/>
              </w:rPr>
            </w:pPr>
            <w:r>
              <w:rPr>
                <w:noProof/>
              </w:rPr>
              <w:t xml:space="preserve">La loi prévoit une convergence progressive de l'âge légal de départ à la retraite des femmes vers celui des hommes (actuellement 65 ans). Cette convergence débutera en 2024, se poursuivra de manière linéaire et sera achevée d’ici à 2035. </w:t>
            </w:r>
          </w:p>
          <w:p w14:paraId="7242FFDF" w14:textId="77777777" w:rsidR="00A345F4" w:rsidRDefault="005E2D4E">
            <w:pPr>
              <w:pStyle w:val="P68B1DB1-Normal14"/>
              <w:numPr>
                <w:ilvl w:val="0"/>
                <w:numId w:val="81"/>
              </w:numPr>
              <w:spacing w:after="0" w:line="259" w:lineRule="auto"/>
              <w:ind w:left="357" w:hanging="357"/>
              <w:contextualSpacing/>
              <w:jc w:val="both"/>
              <w:rPr>
                <w:noProof/>
              </w:rPr>
            </w:pPr>
            <w:r>
              <w:rPr>
                <w:noProof/>
              </w:rPr>
              <w:t>La loi prévoit des incitations à travailler plus longtemps, jusqu'à l'âge légal de la retraite et au-delà, et jusqu'à 70 ans. En particulier: des points supplémentaires sont attribués chaque année lorsque la période contributive est supérieure à vingt-cinq ans: 0,50 point pour chaque année sur 25 ans; 0,75 point pour chaque année sur 30 ans; un point pour chaque année sur 35 ans.</w:t>
            </w:r>
          </w:p>
          <w:p w14:paraId="0F5F0334" w14:textId="77777777" w:rsidR="00A345F4" w:rsidRDefault="005E2D4E">
            <w:pPr>
              <w:pStyle w:val="P68B1DB1-Normal14"/>
              <w:numPr>
                <w:ilvl w:val="0"/>
                <w:numId w:val="81"/>
              </w:numPr>
              <w:spacing w:after="0" w:line="240" w:lineRule="auto"/>
              <w:ind w:left="357" w:hanging="357"/>
              <w:contextualSpacing/>
              <w:jc w:val="both"/>
              <w:rPr>
                <w:noProof/>
              </w:rPr>
            </w:pPr>
            <w:r>
              <w:rPr>
                <w:noProof/>
              </w:rPr>
              <w:t>La loi réexamine les conditions de préretraite en raison de conditions de travail «spéciales» ou «particulières»:</w:t>
            </w:r>
          </w:p>
          <w:p w14:paraId="4B0A98AA" w14:textId="77777777" w:rsidR="00A345F4" w:rsidRDefault="005E2D4E">
            <w:pPr>
              <w:pStyle w:val="P68B1DB1-Normal14"/>
              <w:numPr>
                <w:ilvl w:val="0"/>
                <w:numId w:val="79"/>
              </w:numPr>
              <w:spacing w:before="120" w:after="0" w:line="240" w:lineRule="auto"/>
              <w:contextualSpacing/>
              <w:jc w:val="both"/>
              <w:rPr>
                <w:noProof/>
              </w:rPr>
            </w:pPr>
            <w:r>
              <w:rPr>
                <w:noProof/>
              </w:rPr>
              <w:t xml:space="preserve">La réduction maximale de l'âge normal de la retraite pour les activités exercées dans des conditions particulières est ramenée à dix ans et la réduction maximale de l'âge normal de la retraite pour les activités exercées dans des conditions particulières est ramenée à sept ans. </w:t>
            </w:r>
          </w:p>
          <w:p w14:paraId="708F8321" w14:textId="77777777" w:rsidR="00A345F4" w:rsidRDefault="005E2D4E">
            <w:pPr>
              <w:pStyle w:val="P68B1DB1-Normal14"/>
              <w:numPr>
                <w:ilvl w:val="0"/>
                <w:numId w:val="79"/>
              </w:numPr>
              <w:spacing w:before="120" w:after="0" w:line="240" w:lineRule="auto"/>
              <w:contextualSpacing/>
              <w:jc w:val="both"/>
              <w:rPr>
                <w:noProof/>
              </w:rPr>
            </w:pPr>
            <w:r>
              <w:rPr>
                <w:noProof/>
              </w:rPr>
              <w:t xml:space="preserve">Les primes de prestations accordées pour les années de travail accomplies dans des conditions particulières de travail sont fixées à un nombre fixe de points, à savoir 0,25 et 0,50 point pour chaque année accomplie dans des conditions particulières de travail. </w:t>
            </w:r>
          </w:p>
          <w:p w14:paraId="4CA66CDE" w14:textId="77777777" w:rsidR="00A345F4" w:rsidRDefault="005E2D4E">
            <w:pPr>
              <w:pStyle w:val="P68B1DB1-Normal14"/>
              <w:numPr>
                <w:ilvl w:val="0"/>
                <w:numId w:val="79"/>
              </w:numPr>
              <w:spacing w:before="120" w:after="0" w:line="240" w:lineRule="auto"/>
              <w:contextualSpacing/>
              <w:jc w:val="both"/>
              <w:rPr>
                <w:noProof/>
              </w:rPr>
            </w:pPr>
            <w:r>
              <w:rPr>
                <w:noProof/>
              </w:rPr>
              <w:t>La liste des unités dont les activités permettent de bénéficier du statut de «conditions spéciales» devrait être réduite de plus de la moitié.</w:t>
            </w:r>
          </w:p>
          <w:p w14:paraId="27AB5F6F" w14:textId="77777777" w:rsidR="00A345F4" w:rsidRDefault="005E2D4E">
            <w:pPr>
              <w:pStyle w:val="P68B1DB1-Normal14"/>
              <w:numPr>
                <w:ilvl w:val="0"/>
                <w:numId w:val="81"/>
              </w:numPr>
              <w:spacing w:line="259" w:lineRule="auto"/>
              <w:contextualSpacing/>
              <w:jc w:val="both"/>
              <w:rPr>
                <w:noProof/>
              </w:rPr>
            </w:pPr>
            <w:r>
              <w:rPr>
                <w:noProof/>
              </w:rPr>
              <w:t xml:space="preserve">La viabilité budgétaire du système est également soutenue par un «mécanisme de freinage» intégré dans la législation. En particulier: </w:t>
            </w:r>
          </w:p>
          <w:p w14:paraId="7478F68B" w14:textId="77777777" w:rsidR="00A345F4" w:rsidRDefault="005E2D4E">
            <w:pPr>
              <w:pStyle w:val="P68B1DB1-Normal14"/>
              <w:numPr>
                <w:ilvl w:val="0"/>
                <w:numId w:val="79"/>
              </w:numPr>
              <w:spacing w:before="120" w:after="0" w:line="240" w:lineRule="auto"/>
              <w:contextualSpacing/>
              <w:jc w:val="both"/>
              <w:rPr>
                <w:noProof/>
              </w:rPr>
            </w:pPr>
            <w:r>
              <w:rPr>
                <w:noProof/>
              </w:rPr>
              <w:t xml:space="preserve">Ce mécanisme prévoit des examens périodiques (tous les trois ans) de l’évolution et des projections des dépenses de retraite et de l’équilibre du système, effectués par le conseil budgétaire, sur la base des projections du groupe de travail sur le vieillissement. Le ministère du Travail et le ministère des Finances transmettent toutes les données nécessaires en temps opportun. Cet examen est rendu public. </w:t>
            </w:r>
          </w:p>
          <w:p w14:paraId="5F972ECD" w14:textId="77777777" w:rsidR="00A345F4" w:rsidRDefault="005E2D4E">
            <w:pPr>
              <w:pStyle w:val="P68B1DB1-Normal14"/>
              <w:numPr>
                <w:ilvl w:val="0"/>
                <w:numId w:val="79"/>
              </w:numPr>
              <w:spacing w:before="120" w:after="0" w:line="240" w:lineRule="auto"/>
              <w:contextualSpacing/>
              <w:jc w:val="both"/>
              <w:rPr>
                <w:noProof/>
              </w:rPr>
            </w:pPr>
            <w:r>
              <w:rPr>
                <w:noProof/>
              </w:rPr>
              <w:t>Si l’examen met en évidence des écarts par rapport à la «voie de référence» établie par le prestataire d’assistance technique au moment de l’adoption de la réforme par le gouvernement, celui-ci est tenu d’adopter des mesures (modifications des paramètres) pour remettre les dépenses de retraite (en pourcentage du PIB) sur la bonne voie par rapport à la trajectoire de référence. Par défaut, les cotisations sociales seront augmentées pour compenser l’incidence budgétaire, en valeur actuelle nette, de tout écart par rapport à la trajectoire de référence pour les dépenses de retraite.</w:t>
            </w:r>
          </w:p>
          <w:p w14:paraId="45EB5580" w14:textId="77777777" w:rsidR="00A345F4" w:rsidRDefault="005E2D4E">
            <w:pPr>
              <w:pStyle w:val="P68B1DB1-Normal14"/>
              <w:numPr>
                <w:ilvl w:val="0"/>
                <w:numId w:val="79"/>
              </w:numPr>
              <w:spacing w:before="120" w:after="0" w:line="240" w:lineRule="auto"/>
              <w:contextualSpacing/>
              <w:jc w:val="both"/>
              <w:rPr>
                <w:noProof/>
              </w:rPr>
            </w:pPr>
            <w:r>
              <w:rPr>
                <w:noProof/>
              </w:rPr>
              <w:t>Le premier réexamen a lieu en 2027.</w:t>
            </w:r>
          </w:p>
          <w:p w14:paraId="703BDFF8" w14:textId="77777777" w:rsidR="00A345F4" w:rsidRDefault="005E2D4E">
            <w:pPr>
              <w:pStyle w:val="P68B1DB1-Normal14"/>
              <w:numPr>
                <w:ilvl w:val="0"/>
                <w:numId w:val="81"/>
              </w:numPr>
              <w:spacing w:after="0" w:line="240" w:lineRule="auto"/>
              <w:ind w:left="357" w:hanging="357"/>
              <w:contextualSpacing/>
              <w:jc w:val="both"/>
              <w:rPr>
                <w:noProof/>
              </w:rPr>
            </w:pPr>
            <w:r>
              <w:rPr>
                <w:noProof/>
              </w:rPr>
              <w:t xml:space="preserve">La réforme introduit des dispositions garantissant que les paramètres clés du système sont ajustés périodiquement pour tenir compte de l'évolution de l'espérance de vie. En particulier: </w:t>
            </w:r>
          </w:p>
          <w:p w14:paraId="440C3071" w14:textId="77777777" w:rsidR="00A345F4" w:rsidRDefault="005E2D4E">
            <w:pPr>
              <w:pStyle w:val="P68B1DB1-Normal14"/>
              <w:numPr>
                <w:ilvl w:val="0"/>
                <w:numId w:val="79"/>
              </w:numPr>
              <w:spacing w:after="0" w:line="240" w:lineRule="auto"/>
              <w:ind w:left="714" w:hanging="357"/>
              <w:contextualSpacing/>
              <w:jc w:val="both"/>
              <w:rPr>
                <w:noProof/>
              </w:rPr>
            </w:pPr>
            <w:r>
              <w:rPr>
                <w:noProof/>
              </w:rPr>
              <w:t xml:space="preserve">La période minimale de cotisation, la période de cotisation pour une pension complète, l'âge légal de départ à la retraite et tous les autres paramètres relatifs au temps doivent évoluer d'une fraction (50 pct) de tout changement observé dans l'espérance de vie (à la retraite). </w:t>
            </w:r>
          </w:p>
          <w:p w14:paraId="22AB48ED" w14:textId="77777777" w:rsidR="00A345F4" w:rsidRDefault="005E2D4E">
            <w:pPr>
              <w:pStyle w:val="P68B1DB1-Normal14"/>
              <w:numPr>
                <w:ilvl w:val="0"/>
                <w:numId w:val="79"/>
              </w:numPr>
              <w:spacing w:before="120" w:after="0" w:line="240" w:lineRule="auto"/>
              <w:contextualSpacing/>
              <w:jc w:val="both"/>
              <w:rPr>
                <w:noProof/>
              </w:rPr>
            </w:pPr>
            <w:r>
              <w:rPr>
                <w:noProof/>
              </w:rPr>
              <w:t>Lorsque de nouvelles projections de l'AWG seront disponibles, tous les trois ans, le Conseil budgétaire rédigera un rapport examinant si les paramètres du système de retraite ont été ajustés conformément à la loi et l'évolution de l'espérance de vie à la retraite. Ce rapport est rendu public.</w:t>
            </w:r>
          </w:p>
          <w:p w14:paraId="201978D4" w14:textId="77777777" w:rsidR="00A345F4" w:rsidRDefault="005E2D4E">
            <w:pPr>
              <w:pStyle w:val="P68B1DB1-Normal14"/>
              <w:numPr>
                <w:ilvl w:val="0"/>
                <w:numId w:val="79"/>
              </w:numPr>
              <w:spacing w:before="120" w:after="0" w:line="240" w:lineRule="auto"/>
              <w:contextualSpacing/>
              <w:jc w:val="both"/>
              <w:rPr>
                <w:noProof/>
              </w:rPr>
            </w:pPr>
            <w:r>
              <w:rPr>
                <w:noProof/>
              </w:rPr>
              <w:t xml:space="preserve">Si le rapport identifie des écarts par rapport à la règle, le gouvernement est tenu par la loi d'ajuster les paramètres du système. </w:t>
            </w:r>
          </w:p>
          <w:p w14:paraId="0C3D107F" w14:textId="77777777" w:rsidR="00A345F4" w:rsidRDefault="005E2D4E">
            <w:pPr>
              <w:pStyle w:val="P68B1DB1-Normal14"/>
              <w:numPr>
                <w:ilvl w:val="0"/>
                <w:numId w:val="79"/>
              </w:numPr>
              <w:spacing w:before="120" w:after="0" w:line="240" w:lineRule="auto"/>
              <w:ind w:left="714" w:hanging="357"/>
              <w:contextualSpacing/>
              <w:jc w:val="both"/>
              <w:rPr>
                <w:noProof/>
              </w:rPr>
            </w:pPr>
            <w:r>
              <w:rPr>
                <w:noProof/>
              </w:rPr>
              <w:t>Le premier réexamen a lieu en 2027.</w:t>
            </w:r>
          </w:p>
          <w:p w14:paraId="1DAE8373" w14:textId="77777777" w:rsidR="00A345F4" w:rsidRDefault="005E2D4E">
            <w:pPr>
              <w:pStyle w:val="P68B1DB1-Normal14"/>
              <w:numPr>
                <w:ilvl w:val="0"/>
                <w:numId w:val="81"/>
              </w:numPr>
              <w:spacing w:after="0" w:line="240" w:lineRule="auto"/>
              <w:ind w:left="221" w:hanging="181"/>
              <w:contextualSpacing/>
              <w:jc w:val="both"/>
              <w:rPr>
                <w:noProof/>
              </w:rPr>
            </w:pPr>
            <w:r>
              <w:rPr>
                <w:noProof/>
              </w:rPr>
              <w:t>La loi augmente l'adéquation des pensions minimales et inférieures, en particulier pour les personnes en dessous du seuil de pauvreté;</w:t>
            </w:r>
          </w:p>
          <w:p w14:paraId="6331C52A" w14:textId="77777777" w:rsidR="00A345F4" w:rsidRDefault="005E2D4E">
            <w:pPr>
              <w:pStyle w:val="P68B1DB1-Normal14"/>
              <w:numPr>
                <w:ilvl w:val="0"/>
                <w:numId w:val="81"/>
              </w:numPr>
              <w:spacing w:before="120" w:after="0" w:line="240" w:lineRule="auto"/>
              <w:ind w:left="224" w:hanging="184"/>
              <w:contextualSpacing/>
              <w:jc w:val="both"/>
              <w:rPr>
                <w:noProof/>
              </w:rPr>
            </w:pPr>
            <w:r>
              <w:rPr>
                <w:noProof/>
              </w:rPr>
              <w:t>La loi garantit la viabilité financière du pilier II du système de retraite en augmentant les cotisations à ce pilier.</w:t>
            </w:r>
          </w:p>
          <w:p w14:paraId="481AFE10" w14:textId="63F71055" w:rsidR="00A345F4" w:rsidRDefault="005E2D4E">
            <w:pPr>
              <w:pStyle w:val="P68B1DB1-ListParagraph29"/>
              <w:numPr>
                <w:ilvl w:val="0"/>
                <w:numId w:val="81"/>
              </w:numPr>
              <w:spacing w:before="120" w:after="0" w:line="240" w:lineRule="auto"/>
              <w:jc w:val="both"/>
              <w:rPr>
                <w:noProof/>
              </w:rPr>
            </w:pPr>
            <w:r>
              <w:rPr>
                <w:noProof/>
              </w:rPr>
              <w:t>Ce train de mesures peut comprendre des lois distinctes concernant le régime général et les pensions spéciales.</w:t>
            </w:r>
          </w:p>
          <w:p w14:paraId="4E917790" w14:textId="77777777" w:rsidR="00A345F4" w:rsidRDefault="005E2D4E">
            <w:pPr>
              <w:pStyle w:val="P68B1DB1-Normal14"/>
              <w:spacing w:after="0" w:line="240" w:lineRule="auto"/>
              <w:jc w:val="both"/>
              <w:rPr>
                <w:noProof/>
              </w:rPr>
            </w:pPr>
            <w:r>
              <w:rPr>
                <w:noProof/>
              </w:rPr>
              <w:t>Une analyse ex post de la législation adoptée par le prestataire d’assistance technique, qui établit, après l’adoption de la réforme par le gouvernement, des projections de référence pour les dépenses totales de retraite (en pourcentage du PIB) et la viabilité budgétaire du système à moyen et long terme (2024-2070) est rendue publique.</w:t>
            </w:r>
          </w:p>
        </w:tc>
      </w:tr>
      <w:tr w:rsidR="00A345F4" w14:paraId="0D488FEC"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4A6048C" w14:textId="77777777" w:rsidR="00A345F4" w:rsidRDefault="005E2D4E">
            <w:pPr>
              <w:pStyle w:val="P68B1DB1-Normal14"/>
              <w:spacing w:after="0" w:line="240" w:lineRule="auto"/>
              <w:jc w:val="center"/>
              <w:rPr>
                <w:noProof/>
              </w:rPr>
            </w:pPr>
            <w:r>
              <w:rPr>
                <w:noProof/>
              </w:rPr>
              <w:t>215</w:t>
            </w:r>
          </w:p>
        </w:tc>
        <w:tc>
          <w:tcPr>
            <w:tcW w:w="1833" w:type="dxa"/>
            <w:tcBorders>
              <w:top w:val="nil"/>
              <w:left w:val="nil"/>
              <w:bottom w:val="single" w:sz="4" w:space="0" w:color="auto"/>
              <w:right w:val="single" w:sz="4" w:space="0" w:color="auto"/>
            </w:tcBorders>
            <w:shd w:val="clear" w:color="auto" w:fill="C6EFCE"/>
            <w:noWrap/>
          </w:tcPr>
          <w:p w14:paraId="200969BE" w14:textId="77777777" w:rsidR="00A345F4" w:rsidRDefault="005E2D4E">
            <w:pPr>
              <w:pStyle w:val="P68B1DB1-Normal14"/>
              <w:spacing w:after="0" w:line="240" w:lineRule="auto"/>
              <w:jc w:val="both"/>
              <w:rPr>
                <w:noProof/>
              </w:rPr>
            </w:pPr>
            <w:r>
              <w:rPr>
                <w:noProof/>
              </w:rPr>
              <w:t>Réforme 6. Réforme du système public de retraite</w:t>
            </w:r>
          </w:p>
        </w:tc>
        <w:tc>
          <w:tcPr>
            <w:tcW w:w="1268" w:type="dxa"/>
            <w:tcBorders>
              <w:top w:val="nil"/>
              <w:left w:val="nil"/>
              <w:bottom w:val="single" w:sz="4" w:space="0" w:color="auto"/>
              <w:right w:val="single" w:sz="4" w:space="0" w:color="auto"/>
            </w:tcBorders>
            <w:shd w:val="clear" w:color="auto" w:fill="C6EFCE"/>
            <w:noWrap/>
          </w:tcPr>
          <w:p w14:paraId="242A73AB"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0BA43234" w14:textId="77777777" w:rsidR="00A345F4" w:rsidRDefault="005E2D4E">
            <w:pPr>
              <w:pStyle w:val="P68B1DB1-Normal14"/>
              <w:spacing w:after="0" w:line="240" w:lineRule="auto"/>
              <w:jc w:val="both"/>
              <w:rPr>
                <w:noProof/>
              </w:rPr>
            </w:pPr>
            <w:r>
              <w:rPr>
                <w:noProof/>
              </w:rPr>
              <w:t>Entrée en vigueur du cadre législatif pour la réduction des dépenses relatives aux pensions spéciales</w:t>
            </w:r>
          </w:p>
        </w:tc>
        <w:tc>
          <w:tcPr>
            <w:tcW w:w="1560" w:type="dxa"/>
            <w:tcBorders>
              <w:top w:val="nil"/>
              <w:left w:val="nil"/>
              <w:bottom w:val="single" w:sz="4" w:space="0" w:color="auto"/>
              <w:right w:val="single" w:sz="4" w:space="0" w:color="auto"/>
            </w:tcBorders>
            <w:shd w:val="clear" w:color="auto" w:fill="C6EFCE"/>
            <w:noWrap/>
          </w:tcPr>
          <w:p w14:paraId="3526A884" w14:textId="77777777" w:rsidR="00A345F4" w:rsidRDefault="005E2D4E">
            <w:pPr>
              <w:pStyle w:val="P68B1DB1-Normal14"/>
              <w:spacing w:after="0" w:line="240" w:lineRule="auto"/>
              <w:jc w:val="both"/>
              <w:rPr>
                <w:noProof/>
              </w:rPr>
            </w:pPr>
            <w:r>
              <w:rPr>
                <w:noProof/>
              </w:rPr>
              <w:t>Disposition de la loi indiquant l'entrée en vigueur du cadre législatif pour la réduction des dépenses de pensions spéciales</w:t>
            </w:r>
          </w:p>
        </w:tc>
        <w:tc>
          <w:tcPr>
            <w:tcW w:w="1197" w:type="dxa"/>
            <w:tcBorders>
              <w:top w:val="nil"/>
              <w:left w:val="nil"/>
              <w:bottom w:val="single" w:sz="4" w:space="0" w:color="auto"/>
              <w:right w:val="single" w:sz="4" w:space="0" w:color="auto"/>
            </w:tcBorders>
            <w:shd w:val="clear" w:color="auto" w:fill="C6EFCE"/>
            <w:noWrap/>
          </w:tcPr>
          <w:p w14:paraId="271BAF90" w14:textId="77777777" w:rsidR="00A345F4" w:rsidRDefault="00A345F4">
            <w:pPr>
              <w:spacing w:after="0"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6C2AF875" w14:textId="77777777" w:rsidR="00A345F4" w:rsidRDefault="00A345F4">
            <w:pPr>
              <w:spacing w:after="0"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478A95D7" w14:textId="77777777" w:rsidR="00A345F4" w:rsidRDefault="00A345F4">
            <w:pPr>
              <w:spacing w:after="0"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2AA34454"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54812195"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78F22D83" w14:textId="77777777" w:rsidR="00A345F4" w:rsidRDefault="005E2D4E">
            <w:pPr>
              <w:pStyle w:val="P68B1DB1-Normal14"/>
              <w:spacing w:after="0" w:line="240" w:lineRule="auto"/>
              <w:jc w:val="both"/>
              <w:rPr>
                <w:noProof/>
              </w:rPr>
            </w:pPr>
            <w:r>
              <w:rPr>
                <w:noProof/>
              </w:rPr>
              <w:t>Le nouveau cadre législatif réexamine les pensions spéciales et les met en conformité avec le principe contributif.</w:t>
            </w:r>
          </w:p>
          <w:p w14:paraId="7DC8F95D" w14:textId="77777777" w:rsidR="00A345F4" w:rsidRDefault="005E2D4E">
            <w:pPr>
              <w:pStyle w:val="P68B1DB1-Normal14"/>
              <w:numPr>
                <w:ilvl w:val="0"/>
                <w:numId w:val="84"/>
              </w:numPr>
              <w:spacing w:before="120" w:after="0" w:line="240" w:lineRule="auto"/>
              <w:contextualSpacing/>
              <w:jc w:val="both"/>
              <w:rPr>
                <w:noProof/>
              </w:rPr>
            </w:pPr>
            <w:r>
              <w:rPr>
                <w:noProof/>
              </w:rPr>
              <w:t>Aucune nouvelle catégorie de pensions spéciales n'est créée et les catégories actuelles sont rationalisées.</w:t>
            </w:r>
          </w:p>
          <w:p w14:paraId="221371E1" w14:textId="77777777" w:rsidR="00A345F4" w:rsidRDefault="005E2D4E">
            <w:pPr>
              <w:pStyle w:val="P68B1DB1-Normal14"/>
              <w:numPr>
                <w:ilvl w:val="0"/>
                <w:numId w:val="84"/>
              </w:numPr>
              <w:spacing w:before="120" w:after="0" w:line="240" w:lineRule="auto"/>
              <w:contextualSpacing/>
              <w:jc w:val="both"/>
              <w:rPr>
                <w:noProof/>
              </w:rPr>
            </w:pPr>
            <w:r>
              <w:rPr>
                <w:noProof/>
              </w:rPr>
              <w:t>Les pensions spéciales courantes sont calculées sur la base du principe contributif, de l'ancienneté dans la profession et du réajustement du pourcentage lié au revenu obtenu. La période minimale de cotisation est similaire à celle appliquée dans le fonds de pension public.</w:t>
            </w:r>
          </w:p>
          <w:p w14:paraId="5F047969" w14:textId="77777777" w:rsidR="00A345F4" w:rsidRDefault="005E2D4E">
            <w:pPr>
              <w:pStyle w:val="P68B1DB1-Normal14"/>
              <w:numPr>
                <w:ilvl w:val="0"/>
                <w:numId w:val="84"/>
              </w:numPr>
              <w:spacing w:before="120" w:after="0" w:line="240" w:lineRule="auto"/>
              <w:contextualSpacing/>
              <w:jc w:val="both"/>
              <w:rPr>
                <w:noProof/>
              </w:rPr>
            </w:pPr>
            <w:r>
              <w:rPr>
                <w:noProof/>
              </w:rPr>
              <w:t xml:space="preserve">La protection des décisions de la Cour constitutionnelle ne vise que les pensions des magistrats et non d'autres catégories et ne vise que les limites explicites dans les arguments de la Cour. </w:t>
            </w:r>
          </w:p>
          <w:p w14:paraId="49B2A595" w14:textId="77777777" w:rsidR="00A345F4" w:rsidRDefault="005E2D4E">
            <w:pPr>
              <w:pStyle w:val="P68B1DB1-Normal14"/>
              <w:spacing w:after="0" w:line="240" w:lineRule="auto"/>
              <w:jc w:val="both"/>
              <w:rPr>
                <w:noProof/>
              </w:rPr>
            </w:pPr>
            <w:r>
              <w:rPr>
                <w:noProof/>
              </w:rPr>
              <w:t xml:space="preserve">Aucune pension spéciale ne peut dépasser les revenus obtenus au cours de la période de cotisation. </w:t>
            </w:r>
          </w:p>
          <w:p w14:paraId="6587294E" w14:textId="05689769" w:rsidR="00A345F4" w:rsidRDefault="005E2D4E">
            <w:pPr>
              <w:pStyle w:val="P68B1DB1-Normal14"/>
              <w:spacing w:before="120" w:after="120" w:line="240" w:lineRule="auto"/>
              <w:jc w:val="both"/>
              <w:rPr>
                <w:noProof/>
              </w:rPr>
            </w:pPr>
            <w:r>
              <w:rPr>
                <w:noProof/>
              </w:rPr>
              <w:t>Une analyse des pensions spéciales est également effectuée en vue de corriger les inégalités entre les bénéficiaires de ces catégories de pensions et les bénéficiaires du système public de pensions du point de vue de l'aspect contributif.</w:t>
            </w:r>
          </w:p>
        </w:tc>
      </w:tr>
      <w:tr w:rsidR="00A345F4" w14:paraId="50D6CEFD"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hideMark/>
          </w:tcPr>
          <w:p w14:paraId="33C60A81" w14:textId="77777777" w:rsidR="00A345F4" w:rsidRDefault="005E2D4E">
            <w:pPr>
              <w:pStyle w:val="P68B1DB1-Normal14"/>
              <w:spacing w:after="0" w:line="240" w:lineRule="auto"/>
              <w:jc w:val="center"/>
              <w:rPr>
                <w:rFonts w:eastAsia="Times New Roman"/>
                <w:noProof/>
              </w:rPr>
            </w:pPr>
            <w:r>
              <w:rPr>
                <w:noProof/>
              </w:rPr>
              <w:t>216</w:t>
            </w:r>
          </w:p>
        </w:tc>
        <w:tc>
          <w:tcPr>
            <w:tcW w:w="1833" w:type="dxa"/>
            <w:tcBorders>
              <w:top w:val="nil"/>
              <w:left w:val="nil"/>
              <w:bottom w:val="single" w:sz="4" w:space="0" w:color="auto"/>
              <w:right w:val="single" w:sz="4" w:space="0" w:color="auto"/>
            </w:tcBorders>
            <w:shd w:val="clear" w:color="auto" w:fill="C6EFCE"/>
            <w:noWrap/>
            <w:hideMark/>
          </w:tcPr>
          <w:p w14:paraId="4F8DD26D" w14:textId="77777777" w:rsidR="00A345F4" w:rsidRDefault="005E2D4E">
            <w:pPr>
              <w:pStyle w:val="P68B1DB1-Normal14"/>
              <w:spacing w:after="0" w:line="240" w:lineRule="auto"/>
              <w:jc w:val="both"/>
              <w:rPr>
                <w:rFonts w:eastAsia="Times New Roman"/>
                <w:noProof/>
              </w:rPr>
            </w:pPr>
            <w:r>
              <w:rPr>
                <w:noProof/>
              </w:rPr>
              <w:t xml:space="preserve">Investissement 1. Faciliter le respect des règles par les contribuables grâce à l’accès aux services numériques </w:t>
            </w:r>
          </w:p>
        </w:tc>
        <w:tc>
          <w:tcPr>
            <w:tcW w:w="1268" w:type="dxa"/>
            <w:tcBorders>
              <w:top w:val="nil"/>
              <w:left w:val="nil"/>
              <w:bottom w:val="single" w:sz="4" w:space="0" w:color="auto"/>
              <w:right w:val="single" w:sz="4" w:space="0" w:color="auto"/>
            </w:tcBorders>
            <w:shd w:val="clear" w:color="auto" w:fill="C6EFCE"/>
            <w:noWrap/>
            <w:hideMark/>
          </w:tcPr>
          <w:p w14:paraId="0ECE7817" w14:textId="77777777" w:rsidR="00A345F4" w:rsidRDefault="005E2D4E">
            <w:pPr>
              <w:pStyle w:val="P68B1DB1-Normal14"/>
              <w:spacing w:after="0" w:line="240" w:lineRule="auto"/>
              <w:jc w:val="center"/>
              <w:rPr>
                <w:rFonts w:eastAsia="Times New Roman"/>
                <w:noProof/>
              </w:rPr>
            </w:pPr>
            <w:r>
              <w:rPr>
                <w:noProof/>
              </w:rPr>
              <w:t>Étape</w:t>
            </w:r>
          </w:p>
        </w:tc>
        <w:tc>
          <w:tcPr>
            <w:tcW w:w="1557" w:type="dxa"/>
            <w:tcBorders>
              <w:top w:val="nil"/>
              <w:left w:val="nil"/>
              <w:bottom w:val="single" w:sz="4" w:space="0" w:color="auto"/>
              <w:right w:val="single" w:sz="4" w:space="0" w:color="auto"/>
            </w:tcBorders>
            <w:shd w:val="clear" w:color="auto" w:fill="C6EFCE"/>
            <w:noWrap/>
            <w:hideMark/>
          </w:tcPr>
          <w:p w14:paraId="21E1D1B0" w14:textId="77777777" w:rsidR="00A345F4" w:rsidRDefault="005E2D4E">
            <w:pPr>
              <w:pStyle w:val="P68B1DB1-Normal14"/>
              <w:spacing w:after="0" w:line="240" w:lineRule="auto"/>
              <w:jc w:val="both"/>
              <w:rPr>
                <w:noProof/>
              </w:rPr>
            </w:pPr>
            <w:r>
              <w:rPr>
                <w:noProof/>
              </w:rPr>
              <w:t>Les services numériques et les systèmes électroniques critiques sont fonctionnels</w:t>
            </w:r>
          </w:p>
          <w:p w14:paraId="6F3623C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hideMark/>
          </w:tcPr>
          <w:p w14:paraId="0B077724" w14:textId="77777777" w:rsidR="00A345F4" w:rsidRDefault="005E2D4E">
            <w:pPr>
              <w:pStyle w:val="P68B1DB1-Normal14"/>
              <w:spacing w:after="0" w:line="240" w:lineRule="auto"/>
              <w:jc w:val="both"/>
              <w:rPr>
                <w:rFonts w:eastAsia="Times New Roman"/>
                <w:noProof/>
              </w:rPr>
            </w:pPr>
            <w:r>
              <w:rPr>
                <w:noProof/>
              </w:rPr>
              <w:t>Les services numériques et les systèmes électroniques sont fonctionnels</w:t>
            </w:r>
          </w:p>
        </w:tc>
        <w:tc>
          <w:tcPr>
            <w:tcW w:w="1197" w:type="dxa"/>
            <w:tcBorders>
              <w:top w:val="nil"/>
              <w:left w:val="nil"/>
              <w:bottom w:val="single" w:sz="4" w:space="0" w:color="auto"/>
              <w:right w:val="single" w:sz="4" w:space="0" w:color="auto"/>
            </w:tcBorders>
            <w:shd w:val="clear" w:color="auto" w:fill="C6EFCE"/>
            <w:noWrap/>
            <w:hideMark/>
          </w:tcPr>
          <w:p w14:paraId="38725EA5" w14:textId="77777777" w:rsidR="00A345F4" w:rsidRDefault="00A345F4">
            <w:pPr>
              <w:spacing w:after="0"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hideMark/>
          </w:tcPr>
          <w:p w14:paraId="16A5AD1F" w14:textId="77777777" w:rsidR="00A345F4" w:rsidRDefault="00A345F4">
            <w:pPr>
              <w:spacing w:after="0"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hideMark/>
          </w:tcPr>
          <w:p w14:paraId="6CEF352F" w14:textId="77777777" w:rsidR="00A345F4" w:rsidRDefault="00A345F4">
            <w:pPr>
              <w:spacing w:after="0"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hideMark/>
          </w:tcPr>
          <w:p w14:paraId="2FD82B62" w14:textId="77777777" w:rsidR="00A345F4" w:rsidRDefault="005E2D4E">
            <w:pPr>
              <w:pStyle w:val="P68B1DB1-Normal14"/>
              <w:spacing w:after="0" w:line="240" w:lineRule="auto"/>
              <w:jc w:val="center"/>
              <w:rPr>
                <w:rFonts w:eastAsia="Times New Roman"/>
                <w:noProof/>
              </w:rPr>
            </w:pPr>
            <w:r>
              <w:rPr>
                <w:noProof/>
              </w:rPr>
              <w:t>T2</w:t>
            </w:r>
          </w:p>
        </w:tc>
        <w:tc>
          <w:tcPr>
            <w:tcW w:w="840" w:type="dxa"/>
            <w:tcBorders>
              <w:top w:val="nil"/>
              <w:left w:val="nil"/>
              <w:bottom w:val="single" w:sz="4" w:space="0" w:color="auto"/>
              <w:right w:val="single" w:sz="4" w:space="0" w:color="auto"/>
            </w:tcBorders>
            <w:shd w:val="clear" w:color="auto" w:fill="C6EFCE"/>
            <w:noWrap/>
            <w:hideMark/>
          </w:tcPr>
          <w:p w14:paraId="13052A3E" w14:textId="77777777" w:rsidR="00A345F4" w:rsidRDefault="005E2D4E">
            <w:pPr>
              <w:pStyle w:val="P68B1DB1-Normal14"/>
              <w:spacing w:after="0" w:line="240" w:lineRule="auto"/>
              <w:jc w:val="center"/>
              <w:rPr>
                <w:rFonts w:eastAsia="Times New Roman"/>
                <w:noProof/>
              </w:rPr>
            </w:pPr>
            <w:r>
              <w:rPr>
                <w:noProof/>
              </w:rPr>
              <w:t>2026</w:t>
            </w:r>
          </w:p>
        </w:tc>
        <w:tc>
          <w:tcPr>
            <w:tcW w:w="3107" w:type="dxa"/>
            <w:tcBorders>
              <w:top w:val="nil"/>
              <w:left w:val="nil"/>
              <w:bottom w:val="single" w:sz="4" w:space="0" w:color="auto"/>
              <w:right w:val="single" w:sz="4" w:space="0" w:color="auto"/>
            </w:tcBorders>
            <w:shd w:val="clear" w:color="auto" w:fill="C6EFCE"/>
            <w:noWrap/>
            <w:hideMark/>
          </w:tcPr>
          <w:p w14:paraId="4832459E" w14:textId="77777777" w:rsidR="00A345F4" w:rsidRDefault="005E2D4E">
            <w:pPr>
              <w:pStyle w:val="P68B1DB1-Normal14"/>
              <w:spacing w:after="0" w:line="240" w:lineRule="auto"/>
              <w:jc w:val="both"/>
              <w:rPr>
                <w:noProof/>
              </w:rPr>
            </w:pPr>
            <w:r>
              <w:rPr>
                <w:noProof/>
              </w:rPr>
              <w:t>Les services numériques et les systèmes électroniques suivants sont mis en place/étendus et fonctionnent:</w:t>
            </w:r>
          </w:p>
          <w:p w14:paraId="4BA5A7F9" w14:textId="77777777" w:rsidR="00A345F4" w:rsidRDefault="005E2D4E">
            <w:pPr>
              <w:pStyle w:val="P68B1DB1-Normal14"/>
              <w:tabs>
                <w:tab w:val="left" w:pos="201"/>
              </w:tabs>
              <w:spacing w:before="120" w:after="0"/>
              <w:contextualSpacing/>
              <w:jc w:val="both"/>
              <w:rPr>
                <w:noProof/>
              </w:rPr>
            </w:pPr>
            <w:r>
              <w:rPr>
                <w:noProof/>
              </w:rPr>
              <w:t>-Espace privé virtuel (SPV) pour l’interaction numérique entre l’administration fiscale et les contribuables, créant la possibilité de communiquer avec les contribuables par l’intermédiaire de SPV en ce qui concerne l’interaction vidéo, et lancement d’un chatbot.</w:t>
            </w:r>
          </w:p>
          <w:p w14:paraId="2D29D2AD" w14:textId="77777777" w:rsidR="00A345F4" w:rsidRDefault="005E2D4E">
            <w:pPr>
              <w:pStyle w:val="P68B1DB1-Normal14"/>
              <w:tabs>
                <w:tab w:val="left" w:pos="201"/>
              </w:tabs>
              <w:spacing w:before="120" w:after="0"/>
              <w:contextualSpacing/>
              <w:jc w:val="both"/>
              <w:rPr>
                <w:noProof/>
              </w:rPr>
            </w:pPr>
            <w:r>
              <w:rPr>
                <w:noProof/>
              </w:rPr>
              <w:t>-Le centre d’appels est fonctionnel et fournit des services électroniques et téléphoniques aux contribuables.</w:t>
            </w:r>
          </w:p>
          <w:p w14:paraId="3883FACF" w14:textId="4EFF2B3D" w:rsidR="00A345F4" w:rsidRDefault="005E2D4E">
            <w:pPr>
              <w:pStyle w:val="P68B1DB1-Normal14"/>
              <w:tabs>
                <w:tab w:val="left" w:pos="201"/>
              </w:tabs>
              <w:spacing w:before="120" w:after="0"/>
              <w:contextualSpacing/>
              <w:jc w:val="both"/>
              <w:rPr>
                <w:noProof/>
              </w:rPr>
            </w:pPr>
            <w:r>
              <w:rPr>
                <w:noProof/>
              </w:rPr>
              <w:t>- guichet unique – guichet unique qui améliorera la prestation de services et simplifiera les procédures de déclaration et de paiement de la taxe sur la valeur ajoutée (TVA).</w:t>
            </w:r>
          </w:p>
          <w:p w14:paraId="3A39A760" w14:textId="371D34E9" w:rsidR="00A345F4" w:rsidRDefault="005E2D4E">
            <w:pPr>
              <w:pStyle w:val="P68B1DB1-Normal14"/>
              <w:tabs>
                <w:tab w:val="left" w:pos="201"/>
              </w:tabs>
              <w:spacing w:before="120" w:after="0"/>
              <w:contextualSpacing/>
              <w:jc w:val="both"/>
              <w:rPr>
                <w:noProof/>
              </w:rPr>
            </w:pPr>
            <w:r>
              <w:rPr>
                <w:noProof/>
              </w:rPr>
              <w:t xml:space="preserve">-Le système d’échange d’informations sur la taxe à valeur ajoutée est en ligne et accessible. </w:t>
            </w:r>
          </w:p>
        </w:tc>
      </w:tr>
      <w:tr w:rsidR="00A345F4" w14:paraId="7DDF2CF1"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hideMark/>
          </w:tcPr>
          <w:p w14:paraId="5BCF93D4" w14:textId="77777777" w:rsidR="00A345F4" w:rsidRDefault="005E2D4E">
            <w:pPr>
              <w:pStyle w:val="P68B1DB1-Normal14"/>
              <w:spacing w:after="0" w:line="240" w:lineRule="auto"/>
              <w:jc w:val="center"/>
              <w:rPr>
                <w:rFonts w:eastAsia="Times New Roman"/>
                <w:noProof/>
              </w:rPr>
            </w:pPr>
            <w:r>
              <w:rPr>
                <w:noProof/>
              </w:rPr>
              <w:t>217</w:t>
            </w:r>
          </w:p>
        </w:tc>
        <w:tc>
          <w:tcPr>
            <w:tcW w:w="1833" w:type="dxa"/>
            <w:tcBorders>
              <w:top w:val="nil"/>
              <w:left w:val="nil"/>
              <w:bottom w:val="single" w:sz="4" w:space="0" w:color="auto"/>
              <w:right w:val="single" w:sz="4" w:space="0" w:color="auto"/>
            </w:tcBorders>
            <w:shd w:val="clear" w:color="auto" w:fill="C6EFCE"/>
            <w:noWrap/>
            <w:hideMark/>
          </w:tcPr>
          <w:p w14:paraId="456716A3" w14:textId="31B5C7CF" w:rsidR="00A345F4" w:rsidRDefault="005E2D4E">
            <w:pPr>
              <w:pStyle w:val="P68B1DB1-Normal14"/>
              <w:spacing w:after="0" w:line="240" w:lineRule="auto"/>
              <w:jc w:val="both"/>
              <w:rPr>
                <w:rFonts w:eastAsia="Times New Roman"/>
                <w:noProof/>
              </w:rPr>
            </w:pPr>
            <w:r>
              <w:rPr>
                <w:noProof/>
              </w:rPr>
              <w:t xml:space="preserve">Investissement 1. Faciliter le respect des règles par les contribuables grâce à l’accès aux services numériques </w:t>
            </w:r>
          </w:p>
        </w:tc>
        <w:tc>
          <w:tcPr>
            <w:tcW w:w="1268" w:type="dxa"/>
            <w:tcBorders>
              <w:top w:val="nil"/>
              <w:left w:val="nil"/>
              <w:bottom w:val="single" w:sz="4" w:space="0" w:color="auto"/>
              <w:right w:val="single" w:sz="4" w:space="0" w:color="auto"/>
            </w:tcBorders>
            <w:shd w:val="clear" w:color="auto" w:fill="C6EFCE"/>
            <w:noWrap/>
            <w:hideMark/>
          </w:tcPr>
          <w:p w14:paraId="1EDC5744" w14:textId="77777777" w:rsidR="00A345F4" w:rsidRDefault="005E2D4E">
            <w:pPr>
              <w:pStyle w:val="P68B1DB1-Normal14"/>
              <w:spacing w:after="0" w:line="240" w:lineRule="auto"/>
              <w:jc w:val="center"/>
              <w:rPr>
                <w:rFonts w:eastAsia="Times New Roman"/>
                <w:noProof/>
              </w:rPr>
            </w:pPr>
            <w:r>
              <w:rPr>
                <w:noProof/>
              </w:rPr>
              <w:t>Objectif</w:t>
            </w:r>
          </w:p>
        </w:tc>
        <w:tc>
          <w:tcPr>
            <w:tcW w:w="1557" w:type="dxa"/>
            <w:tcBorders>
              <w:top w:val="nil"/>
              <w:left w:val="nil"/>
              <w:bottom w:val="single" w:sz="4" w:space="0" w:color="auto"/>
              <w:right w:val="single" w:sz="4" w:space="0" w:color="auto"/>
            </w:tcBorders>
            <w:shd w:val="clear" w:color="auto" w:fill="C6EFCE"/>
            <w:noWrap/>
            <w:hideMark/>
          </w:tcPr>
          <w:p w14:paraId="060C7C56" w14:textId="77777777" w:rsidR="00A345F4" w:rsidRDefault="005E2D4E">
            <w:pPr>
              <w:pStyle w:val="P68B1DB1-Normal14"/>
              <w:spacing w:after="0" w:line="240" w:lineRule="auto"/>
              <w:jc w:val="both"/>
              <w:rPr>
                <w:noProof/>
              </w:rPr>
            </w:pPr>
            <w:r>
              <w:rPr>
                <w:noProof/>
              </w:rPr>
              <w:t>Services aux entreprises contribuables disponibles en ligne</w:t>
            </w:r>
          </w:p>
          <w:p w14:paraId="280A9E4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hideMark/>
          </w:tcPr>
          <w:p w14:paraId="3A67A62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hideMark/>
          </w:tcPr>
          <w:p w14:paraId="355DBFCB" w14:textId="77777777" w:rsidR="00A345F4" w:rsidRDefault="005E2D4E">
            <w:pPr>
              <w:pStyle w:val="P68B1DB1-Normal14"/>
              <w:spacing w:after="0" w:line="240" w:lineRule="auto"/>
              <w:rPr>
                <w:rFonts w:eastAsia="Times New Roman"/>
                <w:noProof/>
              </w:rPr>
            </w:pPr>
            <w:r>
              <w:rPr>
                <w:noProof/>
              </w:rPr>
              <w:t>Pourcentage (%)</w:t>
            </w:r>
          </w:p>
          <w:p w14:paraId="6893AD3B" w14:textId="77777777" w:rsidR="00A345F4" w:rsidRDefault="00A345F4">
            <w:pPr>
              <w:spacing w:after="0"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hideMark/>
          </w:tcPr>
          <w:p w14:paraId="04698C26" w14:textId="77777777" w:rsidR="00A345F4" w:rsidRDefault="005E2D4E">
            <w:pPr>
              <w:pStyle w:val="P68B1DB1-Normal14"/>
              <w:spacing w:after="0" w:line="240" w:lineRule="auto"/>
              <w:rPr>
                <w:rFonts w:eastAsia="Times New Roman"/>
                <w:noProof/>
              </w:rPr>
            </w:pPr>
            <w:r>
              <w:rPr>
                <w:noProof/>
              </w:rPr>
              <w:t>45</w:t>
            </w:r>
          </w:p>
        </w:tc>
        <w:tc>
          <w:tcPr>
            <w:tcW w:w="1269" w:type="dxa"/>
            <w:tcBorders>
              <w:top w:val="nil"/>
              <w:left w:val="nil"/>
              <w:bottom w:val="single" w:sz="4" w:space="0" w:color="auto"/>
              <w:right w:val="single" w:sz="4" w:space="0" w:color="auto"/>
            </w:tcBorders>
            <w:shd w:val="clear" w:color="auto" w:fill="C6EFCE"/>
            <w:noWrap/>
            <w:hideMark/>
          </w:tcPr>
          <w:p w14:paraId="60324DDE" w14:textId="77777777" w:rsidR="00A345F4" w:rsidRDefault="005E2D4E">
            <w:pPr>
              <w:pStyle w:val="P68B1DB1-Normal14"/>
              <w:spacing w:after="0" w:line="240" w:lineRule="auto"/>
              <w:rPr>
                <w:rFonts w:eastAsia="Times New Roman"/>
                <w:noProof/>
              </w:rPr>
            </w:pPr>
            <w:r>
              <w:rPr>
                <w:noProof/>
              </w:rPr>
              <w:t>60</w:t>
            </w:r>
          </w:p>
        </w:tc>
        <w:tc>
          <w:tcPr>
            <w:tcW w:w="1128" w:type="dxa"/>
            <w:tcBorders>
              <w:top w:val="nil"/>
              <w:left w:val="nil"/>
              <w:bottom w:val="single" w:sz="4" w:space="0" w:color="auto"/>
              <w:right w:val="single" w:sz="4" w:space="0" w:color="auto"/>
            </w:tcBorders>
            <w:shd w:val="clear" w:color="auto" w:fill="C6EFCE"/>
            <w:noWrap/>
            <w:hideMark/>
          </w:tcPr>
          <w:p w14:paraId="04E2231B" w14:textId="77777777" w:rsidR="00A345F4" w:rsidRDefault="005E2D4E">
            <w:pPr>
              <w:pStyle w:val="P68B1DB1-Normal14"/>
              <w:spacing w:after="0" w:line="240" w:lineRule="auto"/>
              <w:jc w:val="center"/>
              <w:rPr>
                <w:rFonts w:eastAsia="Times New Roman"/>
                <w:noProof/>
              </w:rPr>
            </w:pPr>
            <w:r>
              <w:rPr>
                <w:noProof/>
              </w:rPr>
              <w:t>T4</w:t>
            </w:r>
          </w:p>
        </w:tc>
        <w:tc>
          <w:tcPr>
            <w:tcW w:w="840" w:type="dxa"/>
            <w:tcBorders>
              <w:top w:val="nil"/>
              <w:left w:val="nil"/>
              <w:bottom w:val="single" w:sz="4" w:space="0" w:color="auto"/>
              <w:right w:val="single" w:sz="4" w:space="0" w:color="auto"/>
            </w:tcBorders>
            <w:shd w:val="clear" w:color="auto" w:fill="C6EFCE"/>
            <w:noWrap/>
            <w:hideMark/>
          </w:tcPr>
          <w:p w14:paraId="72697409" w14:textId="77777777" w:rsidR="00A345F4" w:rsidRDefault="005E2D4E">
            <w:pPr>
              <w:pStyle w:val="P68B1DB1-Normal14"/>
              <w:spacing w:after="0" w:line="240" w:lineRule="auto"/>
              <w:jc w:val="center"/>
              <w:rPr>
                <w:rFonts w:eastAsia="Times New Roman"/>
                <w:noProof/>
              </w:rPr>
            </w:pPr>
            <w:r>
              <w:rPr>
                <w:noProof/>
              </w:rPr>
              <w:t>2025</w:t>
            </w:r>
          </w:p>
        </w:tc>
        <w:tc>
          <w:tcPr>
            <w:tcW w:w="3107" w:type="dxa"/>
            <w:tcBorders>
              <w:top w:val="nil"/>
              <w:left w:val="nil"/>
              <w:bottom w:val="single" w:sz="4" w:space="0" w:color="auto"/>
              <w:right w:val="single" w:sz="4" w:space="0" w:color="auto"/>
            </w:tcBorders>
            <w:shd w:val="clear" w:color="auto" w:fill="C6EFCE"/>
            <w:noWrap/>
            <w:hideMark/>
          </w:tcPr>
          <w:p w14:paraId="52956412" w14:textId="30BF9EB0" w:rsidR="00A345F4" w:rsidRDefault="005E2D4E">
            <w:pPr>
              <w:pStyle w:val="P68B1DB1-Normal14"/>
              <w:spacing w:after="0"/>
              <w:contextualSpacing/>
              <w:jc w:val="both"/>
              <w:rPr>
                <w:noProof/>
              </w:rPr>
            </w:pPr>
            <w:r>
              <w:rPr>
                <w:noProof/>
              </w:rPr>
              <w:t xml:space="preserve">60 % des services aux entreprises contribuables sont accessibles en ligne par l’intermédiaire du site web de l’Agence nationale pour l’administration fiscale ou par l’intermédiaire du guichet unique, comme en témoigne le catalogue des services fournis aux contribuables. Les facilités d'interaction avec les contribuables dans les locaux des unités fiscales sont disponibles. </w:t>
            </w:r>
          </w:p>
          <w:p w14:paraId="482CE878" w14:textId="77777777" w:rsidR="00A345F4" w:rsidRDefault="005E2D4E">
            <w:pPr>
              <w:pStyle w:val="P68B1DB1-Normal14"/>
              <w:spacing w:after="0"/>
              <w:contextualSpacing/>
              <w:jc w:val="both"/>
              <w:rPr>
                <w:noProof/>
              </w:rPr>
            </w:pPr>
            <w:r>
              <w:rPr>
                <w:noProof/>
              </w:rPr>
              <w:t>L’ANAF prépare un rapport identifiant des solutions pour la connaissance des contribuables/clients.</w:t>
            </w:r>
          </w:p>
        </w:tc>
      </w:tr>
      <w:tr w:rsidR="00A345F4" w14:paraId="1F25D3BF"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5CC0239" w14:textId="77777777" w:rsidR="00A345F4" w:rsidRDefault="005E2D4E">
            <w:pPr>
              <w:pStyle w:val="P68B1DB1-Normal14"/>
              <w:spacing w:after="0" w:line="240" w:lineRule="auto"/>
              <w:jc w:val="center"/>
              <w:rPr>
                <w:noProof/>
              </w:rPr>
            </w:pPr>
            <w:r>
              <w:rPr>
                <w:noProof/>
              </w:rPr>
              <w:t>218</w:t>
            </w:r>
          </w:p>
        </w:tc>
        <w:tc>
          <w:tcPr>
            <w:tcW w:w="1833" w:type="dxa"/>
            <w:tcBorders>
              <w:top w:val="nil"/>
              <w:left w:val="nil"/>
              <w:bottom w:val="single" w:sz="4" w:space="0" w:color="auto"/>
              <w:right w:val="single" w:sz="4" w:space="0" w:color="auto"/>
            </w:tcBorders>
            <w:shd w:val="clear" w:color="auto" w:fill="C6EFCE"/>
            <w:noWrap/>
          </w:tcPr>
          <w:p w14:paraId="2E7E3B78" w14:textId="67C34BF3" w:rsidR="00A345F4" w:rsidRDefault="005E2D4E">
            <w:pPr>
              <w:pStyle w:val="P68B1DB1-Normal14"/>
              <w:spacing w:after="0" w:line="240" w:lineRule="auto"/>
              <w:jc w:val="both"/>
              <w:rPr>
                <w:noProof/>
              </w:rPr>
            </w:pPr>
            <w:r>
              <w:rPr>
                <w:noProof/>
              </w:rPr>
              <w:t xml:space="preserve">Investissement 1. Faciliter le respect des règles par les contribuables grâce à l’accès aux services numériques </w:t>
            </w:r>
          </w:p>
        </w:tc>
        <w:tc>
          <w:tcPr>
            <w:tcW w:w="1268" w:type="dxa"/>
            <w:tcBorders>
              <w:top w:val="nil"/>
              <w:left w:val="nil"/>
              <w:bottom w:val="single" w:sz="4" w:space="0" w:color="auto"/>
              <w:right w:val="single" w:sz="4" w:space="0" w:color="auto"/>
            </w:tcBorders>
            <w:shd w:val="clear" w:color="auto" w:fill="C6EFCE"/>
            <w:noWrap/>
          </w:tcPr>
          <w:p w14:paraId="3BBC40B0"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400A6E76" w14:textId="77777777" w:rsidR="00A345F4" w:rsidRDefault="005E2D4E">
            <w:pPr>
              <w:pStyle w:val="P68B1DB1-Normal14"/>
              <w:spacing w:after="0" w:line="240" w:lineRule="auto"/>
              <w:jc w:val="both"/>
              <w:rPr>
                <w:noProof/>
              </w:rPr>
            </w:pPr>
            <w:r>
              <w:rPr>
                <w:noProof/>
              </w:rPr>
              <w:t xml:space="preserve">La plate-forme en ligne pour la vente aux enchères de biens immobiliers et mobiles d'une valeur significative est fonctionnelle </w:t>
            </w:r>
          </w:p>
          <w:p w14:paraId="6B3C8C7E" w14:textId="77777777" w:rsidR="00A345F4" w:rsidRDefault="00A345F4">
            <w:pPr>
              <w:spacing w:after="0" w:line="240" w:lineRule="auto"/>
              <w:jc w:val="both"/>
              <w:rPr>
                <w:rFonts w:ascii="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tcPr>
          <w:p w14:paraId="0CE69FA2" w14:textId="77777777" w:rsidR="00A345F4" w:rsidRDefault="005E2D4E">
            <w:pPr>
              <w:pStyle w:val="P68B1DB1-Normal14"/>
              <w:spacing w:after="0" w:line="240" w:lineRule="auto"/>
              <w:jc w:val="both"/>
              <w:rPr>
                <w:noProof/>
              </w:rPr>
            </w:pPr>
            <w:r>
              <w:rPr>
                <w:noProof/>
              </w:rPr>
              <w:t>La plateforme en ligne est fonctionnelle</w:t>
            </w:r>
          </w:p>
        </w:tc>
        <w:tc>
          <w:tcPr>
            <w:tcW w:w="1197" w:type="dxa"/>
            <w:tcBorders>
              <w:top w:val="nil"/>
              <w:left w:val="nil"/>
              <w:bottom w:val="single" w:sz="4" w:space="0" w:color="auto"/>
              <w:right w:val="single" w:sz="4" w:space="0" w:color="auto"/>
            </w:tcBorders>
            <w:shd w:val="clear" w:color="auto" w:fill="C6EFCE"/>
            <w:noWrap/>
          </w:tcPr>
          <w:p w14:paraId="0686C606"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B67822F"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4CFA3325"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3588E5D6" w14:textId="77777777" w:rsidR="00A345F4" w:rsidRDefault="005E2D4E">
            <w:pPr>
              <w:pStyle w:val="P68B1DB1-Normal14"/>
              <w:spacing w:after="0" w:line="240" w:lineRule="auto"/>
              <w:jc w:val="center"/>
              <w:rPr>
                <w:noProof/>
              </w:rPr>
            </w:pPr>
            <w:r>
              <w:rPr>
                <w:noProof/>
              </w:rPr>
              <w:t>T1</w:t>
            </w:r>
          </w:p>
        </w:tc>
        <w:tc>
          <w:tcPr>
            <w:tcW w:w="840" w:type="dxa"/>
            <w:tcBorders>
              <w:top w:val="nil"/>
              <w:left w:val="nil"/>
              <w:bottom w:val="single" w:sz="4" w:space="0" w:color="auto"/>
              <w:right w:val="single" w:sz="4" w:space="0" w:color="auto"/>
            </w:tcBorders>
            <w:shd w:val="clear" w:color="auto" w:fill="C6EFCE"/>
            <w:noWrap/>
          </w:tcPr>
          <w:p w14:paraId="5FE622F3" w14:textId="77777777" w:rsidR="00A345F4" w:rsidRDefault="005E2D4E">
            <w:pPr>
              <w:pStyle w:val="P68B1DB1-Normal14"/>
              <w:spacing w:after="0" w:line="240" w:lineRule="auto"/>
              <w:jc w:val="center"/>
              <w:rPr>
                <w:noProof/>
              </w:rPr>
            </w:pPr>
            <w:r>
              <w:rPr>
                <w:noProof/>
              </w:rPr>
              <w:t>2026</w:t>
            </w:r>
          </w:p>
        </w:tc>
        <w:tc>
          <w:tcPr>
            <w:tcW w:w="3107" w:type="dxa"/>
            <w:tcBorders>
              <w:top w:val="nil"/>
              <w:left w:val="nil"/>
              <w:bottom w:val="single" w:sz="4" w:space="0" w:color="auto"/>
              <w:right w:val="single" w:sz="4" w:space="0" w:color="auto"/>
            </w:tcBorders>
            <w:shd w:val="clear" w:color="auto" w:fill="C6EFCE"/>
            <w:noWrap/>
          </w:tcPr>
          <w:p w14:paraId="1AD7A6D0" w14:textId="77777777" w:rsidR="00A345F4" w:rsidRDefault="005E2D4E">
            <w:pPr>
              <w:pStyle w:val="P68B1DB1-Normal14"/>
              <w:spacing w:after="0" w:line="240" w:lineRule="auto"/>
              <w:jc w:val="both"/>
              <w:rPr>
                <w:noProof/>
              </w:rPr>
            </w:pPr>
            <w:r>
              <w:rPr>
                <w:noProof/>
              </w:rPr>
              <w:t>Une plateforme en ligne pour l’organisation d’enchères en vue de la vente d’actifs appartenant à l’État et de ceux saisis dans le cadre de l’exécution forcée est fonctionnelle.</w:t>
            </w:r>
          </w:p>
          <w:p w14:paraId="5E272791" w14:textId="77777777" w:rsidR="00A345F4" w:rsidRDefault="005E2D4E">
            <w:pPr>
              <w:pStyle w:val="P68B1DB1-Normal14"/>
              <w:spacing w:after="0" w:line="240" w:lineRule="auto"/>
              <w:jc w:val="both"/>
              <w:rPr>
                <w:noProof/>
              </w:rPr>
            </w:pPr>
            <w:r>
              <w:rPr>
                <w:noProof/>
              </w:rPr>
              <w:t>Cette plate-forme sera utilisée pour vendre les actifs immobiliers, les biens immobiliers mobiles et les objets rares et de valeur tels que les métaux précieux, les œuvres d'art, les voitures, les avions, les bateaux en leur possession.</w:t>
            </w:r>
          </w:p>
        </w:tc>
      </w:tr>
      <w:tr w:rsidR="00A345F4" w14:paraId="01BAC57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93919B6" w14:textId="77777777" w:rsidR="00A345F4" w:rsidRDefault="005E2D4E">
            <w:pPr>
              <w:pStyle w:val="P68B1DB1-Normal14"/>
              <w:spacing w:after="0" w:line="240" w:lineRule="auto"/>
              <w:jc w:val="center"/>
              <w:rPr>
                <w:noProof/>
              </w:rPr>
            </w:pPr>
            <w:r>
              <w:rPr>
                <w:noProof/>
              </w:rPr>
              <w:t>219</w:t>
            </w:r>
          </w:p>
        </w:tc>
        <w:tc>
          <w:tcPr>
            <w:tcW w:w="1833" w:type="dxa"/>
            <w:tcBorders>
              <w:top w:val="nil"/>
              <w:left w:val="nil"/>
              <w:bottom w:val="single" w:sz="4" w:space="0" w:color="auto"/>
              <w:right w:val="single" w:sz="4" w:space="0" w:color="auto"/>
            </w:tcBorders>
            <w:shd w:val="clear" w:color="auto" w:fill="C6EFCE"/>
            <w:noWrap/>
          </w:tcPr>
          <w:p w14:paraId="6E9C0DFE" w14:textId="4149D65C" w:rsidR="00A345F4" w:rsidRDefault="005E2D4E">
            <w:pPr>
              <w:pStyle w:val="P68B1DB1-Normal14"/>
              <w:spacing w:after="0" w:line="240" w:lineRule="auto"/>
              <w:jc w:val="both"/>
              <w:rPr>
                <w:noProof/>
              </w:rPr>
            </w:pPr>
            <w:r>
              <w:rPr>
                <w:noProof/>
              </w:rPr>
              <w:t xml:space="preserve">Investissement 2. </w:t>
            </w:r>
            <w:r>
              <w:rPr>
                <w:noProof/>
                <w:color w:val="000000" w:themeColor="text1"/>
              </w:rPr>
              <w:t>Améliorer les processus fiscaux et administratifs</w:t>
            </w:r>
          </w:p>
        </w:tc>
        <w:tc>
          <w:tcPr>
            <w:tcW w:w="1268" w:type="dxa"/>
            <w:tcBorders>
              <w:top w:val="nil"/>
              <w:left w:val="nil"/>
              <w:bottom w:val="single" w:sz="4" w:space="0" w:color="auto"/>
              <w:right w:val="single" w:sz="4" w:space="0" w:color="auto"/>
            </w:tcBorders>
            <w:shd w:val="clear" w:color="auto" w:fill="C6EFCE"/>
            <w:noWrap/>
          </w:tcPr>
          <w:p w14:paraId="73D1AFEC"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4E56EB3E" w14:textId="77777777" w:rsidR="00A345F4" w:rsidRDefault="005E2D4E">
            <w:pPr>
              <w:pStyle w:val="P68B1DB1-Normal14"/>
              <w:spacing w:after="0" w:line="240" w:lineRule="auto"/>
              <w:jc w:val="both"/>
              <w:rPr>
                <w:noProof/>
              </w:rPr>
            </w:pPr>
            <w:r>
              <w:rPr>
                <w:noProof/>
              </w:rPr>
              <w:t xml:space="preserve">Formation du personnel sur le système de gestion des risques </w:t>
            </w:r>
          </w:p>
        </w:tc>
        <w:tc>
          <w:tcPr>
            <w:tcW w:w="1560" w:type="dxa"/>
            <w:tcBorders>
              <w:top w:val="nil"/>
              <w:left w:val="nil"/>
              <w:bottom w:val="single" w:sz="4" w:space="0" w:color="auto"/>
              <w:right w:val="single" w:sz="4" w:space="0" w:color="auto"/>
            </w:tcBorders>
            <w:shd w:val="clear" w:color="auto" w:fill="C6EFCE"/>
            <w:noWrap/>
          </w:tcPr>
          <w:p w14:paraId="778B82C3"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3E24597E" w14:textId="77777777" w:rsidR="00A345F4" w:rsidRDefault="005E2D4E">
            <w:pPr>
              <w:pStyle w:val="P68B1DB1-Normal14"/>
              <w:spacing w:after="0" w:line="240" w:lineRule="auto"/>
              <w:rPr>
                <w:noProof/>
              </w:rPr>
            </w:pPr>
            <w:r>
              <w:rPr>
                <w:noProof/>
              </w:rPr>
              <w:t>Numéro</w:t>
            </w:r>
          </w:p>
        </w:tc>
        <w:tc>
          <w:tcPr>
            <w:tcW w:w="1129" w:type="dxa"/>
            <w:tcBorders>
              <w:top w:val="nil"/>
              <w:left w:val="nil"/>
              <w:bottom w:val="single" w:sz="4" w:space="0" w:color="auto"/>
              <w:right w:val="single" w:sz="4" w:space="0" w:color="auto"/>
            </w:tcBorders>
            <w:shd w:val="clear" w:color="auto" w:fill="C6EFCE"/>
            <w:noWrap/>
          </w:tcPr>
          <w:p w14:paraId="138A0AEC" w14:textId="77777777" w:rsidR="00A345F4" w:rsidRDefault="005E2D4E">
            <w:pPr>
              <w:pStyle w:val="P68B1DB1-Normal14"/>
              <w:spacing w:after="0" w:line="240" w:lineRule="auto"/>
              <w:rPr>
                <w:noProof/>
              </w:rPr>
            </w:pPr>
            <w:r>
              <w:rPr>
                <w:noProof/>
              </w:rPr>
              <w:t>0</w:t>
            </w:r>
          </w:p>
        </w:tc>
        <w:tc>
          <w:tcPr>
            <w:tcW w:w="1269" w:type="dxa"/>
            <w:tcBorders>
              <w:top w:val="nil"/>
              <w:left w:val="nil"/>
              <w:bottom w:val="single" w:sz="4" w:space="0" w:color="auto"/>
              <w:right w:val="single" w:sz="4" w:space="0" w:color="auto"/>
            </w:tcBorders>
            <w:shd w:val="clear" w:color="auto" w:fill="C6EFCE"/>
            <w:noWrap/>
          </w:tcPr>
          <w:p w14:paraId="31D1B289" w14:textId="77777777" w:rsidR="00A345F4" w:rsidRDefault="005E2D4E">
            <w:pPr>
              <w:pStyle w:val="P68B1DB1-Normal14"/>
              <w:spacing w:after="0" w:line="240" w:lineRule="auto"/>
              <w:rPr>
                <w:noProof/>
              </w:rPr>
            </w:pPr>
            <w:r>
              <w:rPr>
                <w:noProof/>
              </w:rPr>
              <w:t>40</w:t>
            </w:r>
          </w:p>
        </w:tc>
        <w:tc>
          <w:tcPr>
            <w:tcW w:w="1128" w:type="dxa"/>
            <w:tcBorders>
              <w:top w:val="nil"/>
              <w:left w:val="nil"/>
              <w:bottom w:val="single" w:sz="4" w:space="0" w:color="auto"/>
              <w:right w:val="single" w:sz="4" w:space="0" w:color="auto"/>
            </w:tcBorders>
            <w:shd w:val="clear" w:color="auto" w:fill="C6EFCE"/>
            <w:noWrap/>
          </w:tcPr>
          <w:p w14:paraId="54BB1174" w14:textId="77777777" w:rsidR="00A345F4" w:rsidRDefault="005E2D4E">
            <w:pPr>
              <w:pStyle w:val="P68B1DB1-Normal14"/>
              <w:spacing w:after="0" w:line="240" w:lineRule="auto"/>
              <w:jc w:val="center"/>
              <w:rPr>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27996742" w14:textId="77777777" w:rsidR="00A345F4" w:rsidRDefault="005E2D4E">
            <w:pPr>
              <w:pStyle w:val="P68B1DB1-Normal14"/>
              <w:spacing w:after="0" w:line="240" w:lineRule="auto"/>
              <w:jc w:val="center"/>
              <w:rPr>
                <w:noProof/>
              </w:rPr>
            </w:pPr>
            <w:r>
              <w:rPr>
                <w:noProof/>
              </w:rPr>
              <w:t>2023</w:t>
            </w:r>
          </w:p>
        </w:tc>
        <w:tc>
          <w:tcPr>
            <w:tcW w:w="3107" w:type="dxa"/>
            <w:tcBorders>
              <w:top w:val="nil"/>
              <w:left w:val="nil"/>
              <w:bottom w:val="single" w:sz="4" w:space="0" w:color="auto"/>
              <w:right w:val="single" w:sz="4" w:space="0" w:color="auto"/>
            </w:tcBorders>
            <w:shd w:val="clear" w:color="auto" w:fill="C6EFCE"/>
            <w:noWrap/>
          </w:tcPr>
          <w:p w14:paraId="431B19D4" w14:textId="77777777" w:rsidR="00A345F4" w:rsidRDefault="005E2D4E">
            <w:pPr>
              <w:pStyle w:val="P68B1DB1-Normal14"/>
              <w:spacing w:after="0" w:line="240" w:lineRule="auto"/>
              <w:jc w:val="both"/>
              <w:rPr>
                <w:noProof/>
              </w:rPr>
            </w:pPr>
            <w:r>
              <w:rPr>
                <w:noProof/>
              </w:rPr>
              <w:t xml:space="preserve">40 membres du personnel travaillant dans le domaine de la gestion des risques du ministère des finances sont formés au système de gestion des risques. </w:t>
            </w:r>
          </w:p>
        </w:tc>
      </w:tr>
      <w:tr w:rsidR="00A345F4" w14:paraId="08040FF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5362BD6" w14:textId="77777777" w:rsidR="00A345F4" w:rsidRDefault="005E2D4E">
            <w:pPr>
              <w:pStyle w:val="P68B1DB1-Normal14"/>
              <w:spacing w:after="0" w:line="240" w:lineRule="auto"/>
              <w:jc w:val="center"/>
              <w:rPr>
                <w:noProof/>
              </w:rPr>
            </w:pPr>
            <w:r>
              <w:rPr>
                <w:noProof/>
              </w:rPr>
              <w:t>220</w:t>
            </w:r>
          </w:p>
        </w:tc>
        <w:tc>
          <w:tcPr>
            <w:tcW w:w="1833" w:type="dxa"/>
            <w:tcBorders>
              <w:top w:val="nil"/>
              <w:left w:val="nil"/>
              <w:bottom w:val="single" w:sz="4" w:space="0" w:color="auto"/>
              <w:right w:val="single" w:sz="4" w:space="0" w:color="auto"/>
            </w:tcBorders>
            <w:shd w:val="clear" w:color="auto" w:fill="C6EFCE"/>
            <w:noWrap/>
          </w:tcPr>
          <w:p w14:paraId="3A3CA722" w14:textId="446947F3" w:rsidR="00A345F4" w:rsidRDefault="005E2D4E">
            <w:pPr>
              <w:pStyle w:val="P68B1DB1-Normal14"/>
              <w:spacing w:after="0" w:line="240" w:lineRule="auto"/>
              <w:jc w:val="both"/>
              <w:rPr>
                <w:noProof/>
              </w:rPr>
            </w:pPr>
            <w:r>
              <w:rPr>
                <w:noProof/>
              </w:rPr>
              <w:t xml:space="preserve">Investissement 2. </w:t>
            </w:r>
            <w:r>
              <w:rPr>
                <w:noProof/>
                <w:color w:val="000000" w:themeColor="text1"/>
              </w:rPr>
              <w:t>Améliorer les processus fiscaux et administratifs</w:t>
            </w:r>
          </w:p>
        </w:tc>
        <w:tc>
          <w:tcPr>
            <w:tcW w:w="1268" w:type="dxa"/>
            <w:tcBorders>
              <w:top w:val="nil"/>
              <w:left w:val="nil"/>
              <w:bottom w:val="single" w:sz="4" w:space="0" w:color="auto"/>
              <w:right w:val="single" w:sz="4" w:space="0" w:color="auto"/>
            </w:tcBorders>
            <w:shd w:val="clear" w:color="auto" w:fill="C6EFCE"/>
            <w:noWrap/>
          </w:tcPr>
          <w:p w14:paraId="43E48D9B"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32194D60" w14:textId="77777777" w:rsidR="00A345F4" w:rsidRDefault="005E2D4E">
            <w:pPr>
              <w:pStyle w:val="P68B1DB1-Normal14"/>
              <w:spacing w:after="0" w:line="240" w:lineRule="auto"/>
              <w:jc w:val="both"/>
              <w:rPr>
                <w:noProof/>
              </w:rPr>
            </w:pPr>
            <w:r>
              <w:rPr>
                <w:noProof/>
              </w:rPr>
              <w:t xml:space="preserve">Nombre de caisses enregistreuses connectées au système informatique de l’Agence nationale d’administration fiscale </w:t>
            </w:r>
          </w:p>
        </w:tc>
        <w:tc>
          <w:tcPr>
            <w:tcW w:w="1560" w:type="dxa"/>
            <w:tcBorders>
              <w:top w:val="nil"/>
              <w:left w:val="nil"/>
              <w:bottom w:val="single" w:sz="4" w:space="0" w:color="auto"/>
              <w:right w:val="single" w:sz="4" w:space="0" w:color="auto"/>
            </w:tcBorders>
            <w:shd w:val="clear" w:color="auto" w:fill="C6EFCE"/>
            <w:noWrap/>
          </w:tcPr>
          <w:p w14:paraId="0FBA1C18"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71D46B61" w14:textId="77777777" w:rsidR="00A345F4" w:rsidRDefault="005E2D4E">
            <w:pPr>
              <w:pStyle w:val="P68B1DB1-Normal14"/>
              <w:spacing w:after="0" w:line="240" w:lineRule="auto"/>
              <w:rPr>
                <w:noProof/>
              </w:rPr>
            </w:pPr>
            <w:r>
              <w:rPr>
                <w:noProof/>
              </w:rPr>
              <w:t>Numéro</w:t>
            </w:r>
          </w:p>
        </w:tc>
        <w:tc>
          <w:tcPr>
            <w:tcW w:w="1129" w:type="dxa"/>
            <w:tcBorders>
              <w:top w:val="nil"/>
              <w:left w:val="nil"/>
              <w:bottom w:val="single" w:sz="4" w:space="0" w:color="auto"/>
              <w:right w:val="single" w:sz="4" w:space="0" w:color="auto"/>
            </w:tcBorders>
            <w:shd w:val="clear" w:color="auto" w:fill="C6EFCE"/>
            <w:noWrap/>
          </w:tcPr>
          <w:p w14:paraId="7D285DF2" w14:textId="77777777" w:rsidR="00A345F4" w:rsidRDefault="005E2D4E">
            <w:pPr>
              <w:pStyle w:val="P68B1DB1-Normal14"/>
              <w:spacing w:after="0" w:line="240" w:lineRule="auto"/>
              <w:rPr>
                <w:noProof/>
              </w:rPr>
            </w:pPr>
            <w:r>
              <w:rPr>
                <w:noProof/>
              </w:rPr>
              <w:t>0</w:t>
            </w:r>
          </w:p>
        </w:tc>
        <w:tc>
          <w:tcPr>
            <w:tcW w:w="1269" w:type="dxa"/>
            <w:tcBorders>
              <w:top w:val="nil"/>
              <w:left w:val="nil"/>
              <w:bottom w:val="single" w:sz="4" w:space="0" w:color="auto"/>
              <w:right w:val="single" w:sz="4" w:space="0" w:color="auto"/>
            </w:tcBorders>
            <w:shd w:val="clear" w:color="auto" w:fill="C6EFCE"/>
            <w:noWrap/>
          </w:tcPr>
          <w:p w14:paraId="10A91AE8" w14:textId="4F714F76" w:rsidR="00A345F4" w:rsidRDefault="005E2D4E">
            <w:pPr>
              <w:pStyle w:val="P68B1DB1-Normal14"/>
              <w:spacing w:after="0" w:line="240" w:lineRule="auto"/>
              <w:rPr>
                <w:noProof/>
              </w:rPr>
            </w:pPr>
            <w:r>
              <w:rPr>
                <w:noProof/>
              </w:rPr>
              <w:t>150 000</w:t>
            </w:r>
          </w:p>
        </w:tc>
        <w:tc>
          <w:tcPr>
            <w:tcW w:w="1128" w:type="dxa"/>
            <w:tcBorders>
              <w:top w:val="nil"/>
              <w:left w:val="nil"/>
              <w:bottom w:val="single" w:sz="4" w:space="0" w:color="auto"/>
              <w:right w:val="single" w:sz="4" w:space="0" w:color="auto"/>
            </w:tcBorders>
            <w:shd w:val="clear" w:color="auto" w:fill="C6EFCE"/>
            <w:noWrap/>
          </w:tcPr>
          <w:p w14:paraId="4279F1D9"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5B3FFB2E" w14:textId="77777777" w:rsidR="00A345F4" w:rsidRDefault="005E2D4E">
            <w:pPr>
              <w:pStyle w:val="P68B1DB1-Normal14"/>
              <w:spacing w:after="0" w:line="240" w:lineRule="auto"/>
              <w:jc w:val="center"/>
              <w:rPr>
                <w:noProof/>
              </w:rPr>
            </w:pPr>
            <w:r>
              <w:rPr>
                <w:noProof/>
              </w:rPr>
              <w:t>2021</w:t>
            </w:r>
          </w:p>
        </w:tc>
        <w:tc>
          <w:tcPr>
            <w:tcW w:w="3107" w:type="dxa"/>
            <w:tcBorders>
              <w:top w:val="nil"/>
              <w:left w:val="nil"/>
              <w:bottom w:val="single" w:sz="4" w:space="0" w:color="auto"/>
              <w:right w:val="single" w:sz="4" w:space="0" w:color="auto"/>
            </w:tcBorders>
            <w:shd w:val="clear" w:color="auto" w:fill="C6EFCE"/>
            <w:noWrap/>
          </w:tcPr>
          <w:p w14:paraId="4093FC63" w14:textId="77777777" w:rsidR="00A345F4" w:rsidRDefault="005E2D4E">
            <w:pPr>
              <w:pStyle w:val="P68B1DB1-Normal14"/>
              <w:spacing w:after="0" w:line="240" w:lineRule="auto"/>
              <w:jc w:val="both"/>
              <w:rPr>
                <w:noProof/>
              </w:rPr>
            </w:pPr>
            <w:r>
              <w:rPr>
                <w:noProof/>
              </w:rPr>
              <w:t>Au moins 150 000 caisses enregistreuses connectées au système électronique de l’Agence nationale pour l’administration fiscale.</w:t>
            </w:r>
          </w:p>
          <w:p w14:paraId="0846324B" w14:textId="77777777" w:rsidR="00A345F4" w:rsidRDefault="005E2D4E">
            <w:pPr>
              <w:pStyle w:val="P68B1DB1-Normal14"/>
              <w:spacing w:after="0" w:line="240" w:lineRule="auto"/>
              <w:jc w:val="both"/>
              <w:rPr>
                <w:noProof/>
              </w:rPr>
            </w:pPr>
            <w:r>
              <w:rPr>
                <w:noProof/>
              </w:rPr>
              <w:t xml:space="preserve">La connexion complète des caisses enregistreuses porte notamment sur la fraude dans le domaine commercial. Cet investissement contribuera à réduire l'écart de TVA. </w:t>
            </w:r>
          </w:p>
        </w:tc>
      </w:tr>
      <w:tr w:rsidR="00A345F4" w14:paraId="1CFB209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EE40F81" w14:textId="77777777" w:rsidR="00A345F4" w:rsidRDefault="005E2D4E">
            <w:pPr>
              <w:pStyle w:val="P68B1DB1-Normal14"/>
              <w:spacing w:after="0" w:line="240" w:lineRule="auto"/>
              <w:jc w:val="center"/>
              <w:rPr>
                <w:noProof/>
              </w:rPr>
            </w:pPr>
            <w:r>
              <w:rPr>
                <w:noProof/>
              </w:rPr>
              <w:t>221</w:t>
            </w:r>
          </w:p>
        </w:tc>
        <w:tc>
          <w:tcPr>
            <w:tcW w:w="1833" w:type="dxa"/>
            <w:tcBorders>
              <w:top w:val="nil"/>
              <w:left w:val="nil"/>
              <w:bottom w:val="single" w:sz="4" w:space="0" w:color="auto"/>
              <w:right w:val="single" w:sz="4" w:space="0" w:color="auto"/>
            </w:tcBorders>
            <w:shd w:val="clear" w:color="auto" w:fill="C6EFCE"/>
            <w:noWrap/>
          </w:tcPr>
          <w:p w14:paraId="2E338CE0" w14:textId="41298FAB" w:rsidR="00A345F4" w:rsidRDefault="005E2D4E">
            <w:pPr>
              <w:pStyle w:val="P68B1DB1-Normal14"/>
              <w:spacing w:after="0" w:line="240" w:lineRule="auto"/>
              <w:jc w:val="both"/>
              <w:rPr>
                <w:noProof/>
              </w:rPr>
            </w:pPr>
            <w:r>
              <w:rPr>
                <w:noProof/>
              </w:rPr>
              <w:t xml:space="preserve">Investissement 2. </w:t>
            </w:r>
            <w:r>
              <w:rPr>
                <w:noProof/>
                <w:color w:val="000000" w:themeColor="text1"/>
              </w:rPr>
              <w:t>Améliorer les processus fiscaux et administratifs</w:t>
            </w:r>
          </w:p>
        </w:tc>
        <w:tc>
          <w:tcPr>
            <w:tcW w:w="1268" w:type="dxa"/>
            <w:tcBorders>
              <w:top w:val="nil"/>
              <w:left w:val="nil"/>
              <w:bottom w:val="single" w:sz="4" w:space="0" w:color="auto"/>
              <w:right w:val="single" w:sz="4" w:space="0" w:color="auto"/>
            </w:tcBorders>
            <w:shd w:val="clear" w:color="auto" w:fill="C6EFCE"/>
            <w:noWrap/>
          </w:tcPr>
          <w:p w14:paraId="0AB02C05"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2395699A" w14:textId="77777777" w:rsidR="00A345F4" w:rsidRDefault="005E2D4E">
            <w:pPr>
              <w:pStyle w:val="P68B1DB1-Normal14"/>
              <w:spacing w:after="0" w:line="240" w:lineRule="auto"/>
              <w:jc w:val="both"/>
              <w:rPr>
                <w:noProof/>
              </w:rPr>
            </w:pPr>
            <w:r>
              <w:rPr>
                <w:noProof/>
              </w:rPr>
              <w:t xml:space="preserve">Nombre de caisses enregistreuses connectées au système informatique de l’Agence nationale pour l’administration fiscale </w:t>
            </w:r>
          </w:p>
        </w:tc>
        <w:tc>
          <w:tcPr>
            <w:tcW w:w="1560" w:type="dxa"/>
            <w:tcBorders>
              <w:top w:val="nil"/>
              <w:left w:val="nil"/>
              <w:bottom w:val="single" w:sz="4" w:space="0" w:color="auto"/>
              <w:right w:val="single" w:sz="4" w:space="0" w:color="auto"/>
            </w:tcBorders>
            <w:shd w:val="clear" w:color="auto" w:fill="C6EFCE"/>
            <w:noWrap/>
          </w:tcPr>
          <w:p w14:paraId="3600EBBF"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5C60DE12" w14:textId="77777777" w:rsidR="00A345F4" w:rsidRDefault="005E2D4E">
            <w:pPr>
              <w:pStyle w:val="P68B1DB1-Normal14"/>
              <w:spacing w:after="0" w:line="240" w:lineRule="auto"/>
              <w:rPr>
                <w:noProof/>
              </w:rPr>
            </w:pPr>
            <w:r>
              <w:rPr>
                <w:noProof/>
              </w:rPr>
              <w:t>Numéro</w:t>
            </w:r>
          </w:p>
        </w:tc>
        <w:tc>
          <w:tcPr>
            <w:tcW w:w="1129" w:type="dxa"/>
            <w:tcBorders>
              <w:top w:val="nil"/>
              <w:left w:val="nil"/>
              <w:bottom w:val="single" w:sz="4" w:space="0" w:color="auto"/>
              <w:right w:val="single" w:sz="4" w:space="0" w:color="auto"/>
            </w:tcBorders>
            <w:shd w:val="clear" w:color="auto" w:fill="C6EFCE"/>
            <w:noWrap/>
          </w:tcPr>
          <w:p w14:paraId="0B3430A9" w14:textId="77777777" w:rsidR="00A345F4" w:rsidRDefault="005E2D4E">
            <w:pPr>
              <w:pStyle w:val="P68B1DB1-Normal14"/>
              <w:spacing w:after="0" w:line="240" w:lineRule="auto"/>
              <w:rPr>
                <w:noProof/>
              </w:rPr>
            </w:pPr>
            <w:r>
              <w:rPr>
                <w:noProof/>
              </w:rPr>
              <w:t>150 000</w:t>
            </w:r>
          </w:p>
        </w:tc>
        <w:tc>
          <w:tcPr>
            <w:tcW w:w="1269" w:type="dxa"/>
            <w:tcBorders>
              <w:top w:val="nil"/>
              <w:left w:val="nil"/>
              <w:bottom w:val="single" w:sz="4" w:space="0" w:color="auto"/>
              <w:right w:val="single" w:sz="4" w:space="0" w:color="auto"/>
            </w:tcBorders>
            <w:shd w:val="clear" w:color="auto" w:fill="C6EFCE"/>
            <w:noWrap/>
          </w:tcPr>
          <w:p w14:paraId="6C3B67E2" w14:textId="77777777" w:rsidR="00A345F4" w:rsidRDefault="005E2D4E">
            <w:pPr>
              <w:pStyle w:val="P68B1DB1-Normal14"/>
              <w:spacing w:after="0" w:line="240" w:lineRule="auto"/>
              <w:rPr>
                <w:noProof/>
              </w:rPr>
            </w:pPr>
            <w:r>
              <w:rPr>
                <w:noProof/>
              </w:rPr>
              <w:t>600 000</w:t>
            </w:r>
          </w:p>
        </w:tc>
        <w:tc>
          <w:tcPr>
            <w:tcW w:w="1128" w:type="dxa"/>
            <w:tcBorders>
              <w:top w:val="nil"/>
              <w:left w:val="nil"/>
              <w:bottom w:val="single" w:sz="4" w:space="0" w:color="auto"/>
              <w:right w:val="single" w:sz="4" w:space="0" w:color="auto"/>
            </w:tcBorders>
            <w:shd w:val="clear" w:color="auto" w:fill="C6EFCE"/>
            <w:noWrap/>
          </w:tcPr>
          <w:p w14:paraId="3E0D348D"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1BA5CAFC"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4268DD25" w14:textId="77777777" w:rsidR="00A345F4" w:rsidRDefault="005E2D4E">
            <w:pPr>
              <w:pStyle w:val="P68B1DB1-Normal14"/>
              <w:spacing w:after="0" w:line="240" w:lineRule="auto"/>
              <w:jc w:val="both"/>
              <w:rPr>
                <w:noProof/>
              </w:rPr>
            </w:pPr>
            <w:r>
              <w:rPr>
                <w:noProof/>
              </w:rPr>
              <w:t>Au moins 600 000 caisses enregistreuses sont connectées au système électronique de l’Agence nationale pour l’administration fiscale.</w:t>
            </w:r>
          </w:p>
          <w:p w14:paraId="4BF8A5BD" w14:textId="77777777" w:rsidR="00A345F4" w:rsidRDefault="005E2D4E">
            <w:pPr>
              <w:pStyle w:val="P68B1DB1-Normal14"/>
              <w:spacing w:after="0" w:line="240" w:lineRule="auto"/>
              <w:jc w:val="both"/>
              <w:rPr>
                <w:noProof/>
              </w:rPr>
            </w:pPr>
            <w:r>
              <w:rPr>
                <w:noProof/>
              </w:rPr>
              <w:t>La connexion complète des caisses enregistreuses porte notamment sur la fraude dans le domaine commercial. Cet investissement contribuera à réduire l'écart de TVA.</w:t>
            </w:r>
          </w:p>
        </w:tc>
      </w:tr>
      <w:tr w:rsidR="00A345F4" w14:paraId="5EC3216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91D63DE" w14:textId="77777777" w:rsidR="00A345F4" w:rsidRDefault="005E2D4E">
            <w:pPr>
              <w:pStyle w:val="P68B1DB1-Normal14"/>
              <w:spacing w:after="0" w:line="240" w:lineRule="auto"/>
              <w:jc w:val="center"/>
              <w:rPr>
                <w:noProof/>
              </w:rPr>
            </w:pPr>
            <w:r>
              <w:rPr>
                <w:noProof/>
              </w:rPr>
              <w:t>222</w:t>
            </w:r>
          </w:p>
        </w:tc>
        <w:tc>
          <w:tcPr>
            <w:tcW w:w="1833" w:type="dxa"/>
            <w:tcBorders>
              <w:top w:val="nil"/>
              <w:left w:val="nil"/>
              <w:bottom w:val="single" w:sz="4" w:space="0" w:color="auto"/>
              <w:right w:val="single" w:sz="4" w:space="0" w:color="auto"/>
            </w:tcBorders>
            <w:shd w:val="clear" w:color="auto" w:fill="C6EFCE"/>
            <w:noWrap/>
          </w:tcPr>
          <w:p w14:paraId="278D2BE5" w14:textId="0F27F2EE" w:rsidR="00A345F4" w:rsidRDefault="005E2D4E">
            <w:pPr>
              <w:pStyle w:val="P68B1DB1-Normal14"/>
              <w:spacing w:after="0" w:line="240" w:lineRule="auto"/>
              <w:jc w:val="both"/>
              <w:rPr>
                <w:noProof/>
              </w:rPr>
            </w:pPr>
            <w:r>
              <w:rPr>
                <w:noProof/>
              </w:rPr>
              <w:t xml:space="preserve">Investissement 2. </w:t>
            </w:r>
            <w:r>
              <w:rPr>
                <w:noProof/>
                <w:color w:val="000000" w:themeColor="text1"/>
              </w:rPr>
              <w:t>Améliorer les processus fiscaux et administratifs</w:t>
            </w:r>
          </w:p>
        </w:tc>
        <w:tc>
          <w:tcPr>
            <w:tcW w:w="1268" w:type="dxa"/>
            <w:tcBorders>
              <w:top w:val="nil"/>
              <w:left w:val="nil"/>
              <w:bottom w:val="single" w:sz="4" w:space="0" w:color="auto"/>
              <w:right w:val="single" w:sz="4" w:space="0" w:color="auto"/>
            </w:tcBorders>
            <w:shd w:val="clear" w:color="auto" w:fill="C6EFCE"/>
            <w:noWrap/>
          </w:tcPr>
          <w:p w14:paraId="6DD9A769"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51F86253" w14:textId="77777777" w:rsidR="00A345F4" w:rsidRDefault="005E2D4E">
            <w:pPr>
              <w:pStyle w:val="P68B1DB1-Normal14"/>
              <w:spacing w:after="0" w:line="240" w:lineRule="auto"/>
              <w:jc w:val="both"/>
              <w:rPr>
                <w:noProof/>
              </w:rPr>
            </w:pPr>
            <w:r>
              <w:rPr>
                <w:noProof/>
              </w:rPr>
              <w:t xml:space="preserve">Part du nombre d’audits documentaires déclarés sur le total des audits effectués par l’administration fiscale — 30 % </w:t>
            </w:r>
          </w:p>
        </w:tc>
        <w:tc>
          <w:tcPr>
            <w:tcW w:w="1560" w:type="dxa"/>
            <w:tcBorders>
              <w:top w:val="nil"/>
              <w:left w:val="nil"/>
              <w:bottom w:val="single" w:sz="4" w:space="0" w:color="auto"/>
              <w:right w:val="single" w:sz="4" w:space="0" w:color="auto"/>
            </w:tcBorders>
            <w:shd w:val="clear" w:color="auto" w:fill="C6EFCE"/>
            <w:noWrap/>
          </w:tcPr>
          <w:p w14:paraId="40E0FBAB"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1223B015" w14:textId="77777777" w:rsidR="00A345F4" w:rsidRDefault="005E2D4E">
            <w:pPr>
              <w:pStyle w:val="P68B1DB1-Normal14"/>
              <w:spacing w:after="0" w:line="240" w:lineRule="auto"/>
              <w:rPr>
                <w:rFonts w:eastAsia="Times New Roman"/>
                <w:noProof/>
              </w:rPr>
            </w:pPr>
            <w:r>
              <w:rPr>
                <w:noProof/>
              </w:rPr>
              <w:t>Pourcentage (%)</w:t>
            </w:r>
          </w:p>
          <w:p w14:paraId="7E26CAC0"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313D1FA3" w14:textId="77777777" w:rsidR="00A345F4" w:rsidRDefault="005E2D4E">
            <w:pPr>
              <w:pStyle w:val="P68B1DB1-Normal14"/>
              <w:spacing w:after="0" w:line="240" w:lineRule="auto"/>
              <w:rPr>
                <w:noProof/>
              </w:rPr>
            </w:pPr>
            <w:r>
              <w:rPr>
                <w:noProof/>
              </w:rPr>
              <w:t>0</w:t>
            </w:r>
          </w:p>
        </w:tc>
        <w:tc>
          <w:tcPr>
            <w:tcW w:w="1269" w:type="dxa"/>
            <w:tcBorders>
              <w:top w:val="nil"/>
              <w:left w:val="nil"/>
              <w:bottom w:val="single" w:sz="4" w:space="0" w:color="auto"/>
              <w:right w:val="single" w:sz="4" w:space="0" w:color="auto"/>
            </w:tcBorders>
            <w:shd w:val="clear" w:color="auto" w:fill="C6EFCE"/>
            <w:noWrap/>
          </w:tcPr>
          <w:p w14:paraId="10F37BAC" w14:textId="77777777" w:rsidR="00A345F4" w:rsidRDefault="005E2D4E">
            <w:pPr>
              <w:pStyle w:val="P68B1DB1-Normal14"/>
              <w:spacing w:after="0" w:line="240" w:lineRule="auto"/>
              <w:rPr>
                <w:noProof/>
              </w:rPr>
            </w:pPr>
            <w:r>
              <w:rPr>
                <w:noProof/>
              </w:rPr>
              <w:t>30</w:t>
            </w:r>
          </w:p>
        </w:tc>
        <w:tc>
          <w:tcPr>
            <w:tcW w:w="1128" w:type="dxa"/>
            <w:tcBorders>
              <w:top w:val="nil"/>
              <w:left w:val="nil"/>
              <w:bottom w:val="single" w:sz="4" w:space="0" w:color="auto"/>
              <w:right w:val="single" w:sz="4" w:space="0" w:color="auto"/>
            </w:tcBorders>
            <w:shd w:val="clear" w:color="auto" w:fill="C6EFCE"/>
            <w:noWrap/>
          </w:tcPr>
          <w:p w14:paraId="67DC2596"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039ADCDD"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6717B6F1" w14:textId="77777777" w:rsidR="00A345F4" w:rsidRDefault="005E2D4E">
            <w:pPr>
              <w:pStyle w:val="P68B1DB1-Normal14"/>
              <w:spacing w:after="0" w:line="240" w:lineRule="auto"/>
              <w:jc w:val="both"/>
              <w:rPr>
                <w:noProof/>
              </w:rPr>
            </w:pPr>
            <w:r>
              <w:rPr>
                <w:noProof/>
              </w:rPr>
              <w:t>La part des audits documentaires dans le total des audits réalisés passera de zéro aujourd’hui à 30 % d’ici au quatrième trimestre 2022. Cet objectif s’inscrit dans le cadre de la réforme visant à déplacer les actions d’inspection des structures de contrôle physiques vers les structures de contrôle numériques.</w:t>
            </w:r>
          </w:p>
          <w:p w14:paraId="13D21F49" w14:textId="77777777" w:rsidR="00A345F4" w:rsidRDefault="005E2D4E">
            <w:pPr>
              <w:pStyle w:val="P68B1DB1-Normal14"/>
              <w:spacing w:after="0" w:line="240" w:lineRule="auto"/>
              <w:jc w:val="both"/>
              <w:rPr>
                <w:rFonts w:eastAsia="Times New Roman"/>
                <w:noProof/>
              </w:rPr>
            </w:pPr>
            <w:r>
              <w:rPr>
                <w:noProof/>
              </w:rPr>
              <w:t>Les mesures suivantes sont mises en œuvre:</w:t>
            </w:r>
          </w:p>
          <w:p w14:paraId="7F06DDED" w14:textId="77777777" w:rsidR="00A345F4" w:rsidRDefault="005E2D4E">
            <w:pPr>
              <w:pStyle w:val="P68B1DB1-Normal14"/>
              <w:numPr>
                <w:ilvl w:val="0"/>
                <w:numId w:val="85"/>
              </w:numPr>
              <w:spacing w:after="0" w:line="240" w:lineRule="auto"/>
              <w:ind w:left="174" w:hanging="218"/>
              <w:contextualSpacing/>
              <w:jc w:val="both"/>
              <w:rPr>
                <w:rFonts w:eastAsia="Times New Roman"/>
                <w:noProof/>
              </w:rPr>
            </w:pPr>
            <w:r>
              <w:rPr>
                <w:noProof/>
              </w:rPr>
              <w:t>établissant les pouvoirs des autorités fiscales pour effectuer des contrôles documentaires par les organismes de contrôle fiscal, les organismes de contrôle antifraude et les organismes chargés de vérifier les situations fiscales personnelles.</w:t>
            </w:r>
          </w:p>
          <w:p w14:paraId="457CC5F5" w14:textId="77777777" w:rsidR="00A345F4" w:rsidRDefault="005E2D4E">
            <w:pPr>
              <w:pStyle w:val="P68B1DB1-Normal14"/>
              <w:numPr>
                <w:ilvl w:val="0"/>
                <w:numId w:val="85"/>
              </w:numPr>
              <w:spacing w:after="0" w:line="240" w:lineRule="auto"/>
              <w:ind w:left="174" w:hanging="218"/>
              <w:contextualSpacing/>
              <w:jc w:val="both"/>
              <w:rPr>
                <w:rFonts w:eastAsia="Times New Roman"/>
                <w:noProof/>
              </w:rPr>
            </w:pPr>
            <w:r>
              <w:rPr>
                <w:noProof/>
              </w:rPr>
              <w:t xml:space="preserve">le modèle et le contenu des formulaires et documents utilisés dans le cadre de l’activité d’audit documentaire ont été approuvés. </w:t>
            </w:r>
          </w:p>
        </w:tc>
      </w:tr>
      <w:tr w:rsidR="00A345F4" w14:paraId="48B030AA"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EE4EDEA" w14:textId="77777777" w:rsidR="00A345F4" w:rsidRDefault="005E2D4E">
            <w:pPr>
              <w:pStyle w:val="P68B1DB1-Normal14"/>
              <w:spacing w:after="0" w:line="240" w:lineRule="auto"/>
              <w:jc w:val="center"/>
              <w:rPr>
                <w:noProof/>
              </w:rPr>
            </w:pPr>
            <w:r>
              <w:rPr>
                <w:noProof/>
              </w:rPr>
              <w:t>223</w:t>
            </w:r>
          </w:p>
        </w:tc>
        <w:tc>
          <w:tcPr>
            <w:tcW w:w="1833" w:type="dxa"/>
            <w:tcBorders>
              <w:top w:val="nil"/>
              <w:left w:val="nil"/>
              <w:bottom w:val="single" w:sz="4" w:space="0" w:color="auto"/>
              <w:right w:val="single" w:sz="4" w:space="0" w:color="auto"/>
            </w:tcBorders>
            <w:shd w:val="clear" w:color="auto" w:fill="C6EFCE"/>
            <w:noWrap/>
          </w:tcPr>
          <w:p w14:paraId="2F881C20" w14:textId="4D9490C3" w:rsidR="00A345F4" w:rsidRDefault="005E2D4E">
            <w:pPr>
              <w:pStyle w:val="P68B1DB1-Normal14"/>
              <w:spacing w:after="0" w:line="240" w:lineRule="auto"/>
              <w:jc w:val="both"/>
              <w:rPr>
                <w:noProof/>
              </w:rPr>
            </w:pPr>
            <w:r>
              <w:rPr>
                <w:noProof/>
              </w:rPr>
              <w:t xml:space="preserve">Investissement 2. </w:t>
            </w:r>
            <w:r>
              <w:rPr>
                <w:noProof/>
                <w:color w:val="000000" w:themeColor="text1"/>
              </w:rPr>
              <w:t>Améliorer les processus fiscaux et administratifs</w:t>
            </w:r>
          </w:p>
        </w:tc>
        <w:tc>
          <w:tcPr>
            <w:tcW w:w="1268" w:type="dxa"/>
            <w:tcBorders>
              <w:top w:val="nil"/>
              <w:left w:val="nil"/>
              <w:bottom w:val="single" w:sz="4" w:space="0" w:color="auto"/>
              <w:right w:val="single" w:sz="4" w:space="0" w:color="auto"/>
            </w:tcBorders>
            <w:shd w:val="clear" w:color="auto" w:fill="C6EFCE"/>
            <w:noWrap/>
          </w:tcPr>
          <w:p w14:paraId="13ABC3AE"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3F7EABB3" w14:textId="77777777" w:rsidR="00A345F4" w:rsidRDefault="005E2D4E">
            <w:pPr>
              <w:pStyle w:val="P68B1DB1-Normal14"/>
              <w:spacing w:after="0" w:line="240" w:lineRule="auto"/>
              <w:jc w:val="both"/>
              <w:rPr>
                <w:noProof/>
              </w:rPr>
            </w:pPr>
            <w:r>
              <w:rPr>
                <w:noProof/>
              </w:rPr>
              <w:t xml:space="preserve">Part du nombre d’audits documentaires déclarés sur le total des audits effectués par l’administration fiscale — 60 % </w:t>
            </w:r>
          </w:p>
        </w:tc>
        <w:tc>
          <w:tcPr>
            <w:tcW w:w="1560" w:type="dxa"/>
            <w:tcBorders>
              <w:top w:val="nil"/>
              <w:left w:val="nil"/>
              <w:bottom w:val="single" w:sz="4" w:space="0" w:color="auto"/>
              <w:right w:val="single" w:sz="4" w:space="0" w:color="auto"/>
            </w:tcBorders>
            <w:shd w:val="clear" w:color="auto" w:fill="C6EFCE"/>
            <w:noWrap/>
          </w:tcPr>
          <w:p w14:paraId="798DC26C"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4E68A59D" w14:textId="77777777" w:rsidR="00A345F4" w:rsidRDefault="005E2D4E">
            <w:pPr>
              <w:pStyle w:val="P68B1DB1-Normal14"/>
              <w:spacing w:after="0" w:line="240" w:lineRule="auto"/>
              <w:rPr>
                <w:rFonts w:eastAsia="Times New Roman"/>
                <w:noProof/>
              </w:rPr>
            </w:pPr>
            <w:r>
              <w:rPr>
                <w:noProof/>
              </w:rPr>
              <w:t>Pourcentage (%)</w:t>
            </w:r>
          </w:p>
          <w:p w14:paraId="1FA665F5"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4DA22D63" w14:textId="77777777" w:rsidR="00A345F4" w:rsidRDefault="005E2D4E">
            <w:pPr>
              <w:pStyle w:val="P68B1DB1-Normal14"/>
              <w:spacing w:after="0" w:line="240" w:lineRule="auto"/>
              <w:rPr>
                <w:noProof/>
              </w:rPr>
            </w:pPr>
            <w:r>
              <w:rPr>
                <w:noProof/>
              </w:rPr>
              <w:t>30</w:t>
            </w:r>
          </w:p>
        </w:tc>
        <w:tc>
          <w:tcPr>
            <w:tcW w:w="1269" w:type="dxa"/>
            <w:tcBorders>
              <w:top w:val="nil"/>
              <w:left w:val="nil"/>
              <w:bottom w:val="single" w:sz="4" w:space="0" w:color="auto"/>
              <w:right w:val="single" w:sz="4" w:space="0" w:color="auto"/>
            </w:tcBorders>
            <w:shd w:val="clear" w:color="auto" w:fill="C6EFCE"/>
            <w:noWrap/>
          </w:tcPr>
          <w:p w14:paraId="61B41072" w14:textId="77777777" w:rsidR="00A345F4" w:rsidRDefault="005E2D4E">
            <w:pPr>
              <w:pStyle w:val="P68B1DB1-Normal14"/>
              <w:spacing w:after="0" w:line="240" w:lineRule="auto"/>
              <w:rPr>
                <w:noProof/>
              </w:rPr>
            </w:pPr>
            <w:r>
              <w:rPr>
                <w:noProof/>
              </w:rPr>
              <w:t>60</w:t>
            </w:r>
          </w:p>
        </w:tc>
        <w:tc>
          <w:tcPr>
            <w:tcW w:w="1128" w:type="dxa"/>
            <w:tcBorders>
              <w:top w:val="nil"/>
              <w:left w:val="nil"/>
              <w:bottom w:val="single" w:sz="4" w:space="0" w:color="auto"/>
              <w:right w:val="single" w:sz="4" w:space="0" w:color="auto"/>
            </w:tcBorders>
            <w:shd w:val="clear" w:color="auto" w:fill="C6EFCE"/>
            <w:noWrap/>
          </w:tcPr>
          <w:p w14:paraId="53E7CB51"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7E6FBD76" w14:textId="77777777" w:rsidR="00A345F4" w:rsidRDefault="005E2D4E">
            <w:pPr>
              <w:pStyle w:val="P68B1DB1-Normal14"/>
              <w:spacing w:after="0" w:line="240" w:lineRule="auto"/>
              <w:jc w:val="center"/>
              <w:rPr>
                <w:noProof/>
              </w:rPr>
            </w:pPr>
            <w:r>
              <w:rPr>
                <w:noProof/>
              </w:rPr>
              <w:t>2025</w:t>
            </w:r>
          </w:p>
        </w:tc>
        <w:tc>
          <w:tcPr>
            <w:tcW w:w="3107" w:type="dxa"/>
            <w:tcBorders>
              <w:top w:val="nil"/>
              <w:left w:val="nil"/>
              <w:bottom w:val="single" w:sz="4" w:space="0" w:color="auto"/>
              <w:right w:val="single" w:sz="4" w:space="0" w:color="auto"/>
            </w:tcBorders>
            <w:shd w:val="clear" w:color="auto" w:fill="C6EFCE"/>
            <w:noWrap/>
          </w:tcPr>
          <w:p w14:paraId="1FC44C4F" w14:textId="77777777" w:rsidR="00A345F4" w:rsidRDefault="005E2D4E">
            <w:pPr>
              <w:pStyle w:val="P68B1DB1-Normal14"/>
              <w:spacing w:after="0" w:line="240" w:lineRule="auto"/>
              <w:jc w:val="both"/>
              <w:rPr>
                <w:noProof/>
              </w:rPr>
            </w:pPr>
            <w:r>
              <w:rPr>
                <w:noProof/>
              </w:rPr>
              <w:t>La part des audits documentaires dans le total des audits effectués passe à 60 % d’ici le quatrième trimestre de 2025.</w:t>
            </w:r>
          </w:p>
        </w:tc>
      </w:tr>
      <w:tr w:rsidR="00A345F4" w14:paraId="75FF2896"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A47CBEA" w14:textId="77777777" w:rsidR="00A345F4" w:rsidRDefault="005E2D4E">
            <w:pPr>
              <w:pStyle w:val="P68B1DB1-Normal14"/>
              <w:spacing w:after="0" w:line="240" w:lineRule="auto"/>
              <w:jc w:val="center"/>
              <w:rPr>
                <w:noProof/>
              </w:rPr>
            </w:pPr>
            <w:r>
              <w:rPr>
                <w:noProof/>
              </w:rPr>
              <w:t>224</w:t>
            </w:r>
          </w:p>
        </w:tc>
        <w:tc>
          <w:tcPr>
            <w:tcW w:w="1833" w:type="dxa"/>
            <w:tcBorders>
              <w:top w:val="nil"/>
              <w:left w:val="nil"/>
              <w:bottom w:val="single" w:sz="4" w:space="0" w:color="auto"/>
              <w:right w:val="single" w:sz="4" w:space="0" w:color="auto"/>
            </w:tcBorders>
            <w:shd w:val="clear" w:color="auto" w:fill="C6EFCE"/>
            <w:noWrap/>
          </w:tcPr>
          <w:p w14:paraId="1F66A7E7" w14:textId="17E64F20" w:rsidR="00A345F4" w:rsidRDefault="005E2D4E">
            <w:pPr>
              <w:pStyle w:val="P68B1DB1-Normal14"/>
              <w:spacing w:after="0" w:line="240" w:lineRule="auto"/>
              <w:jc w:val="both"/>
              <w:rPr>
                <w:noProof/>
              </w:rPr>
            </w:pPr>
            <w:r>
              <w:rPr>
                <w:noProof/>
              </w:rPr>
              <w:t xml:space="preserve">Investissement 2. </w:t>
            </w:r>
            <w:r>
              <w:rPr>
                <w:noProof/>
                <w:color w:val="000000" w:themeColor="text1"/>
              </w:rPr>
              <w:t>Améliorer les processus fiscaux et administratifs</w:t>
            </w:r>
          </w:p>
        </w:tc>
        <w:tc>
          <w:tcPr>
            <w:tcW w:w="1268" w:type="dxa"/>
            <w:tcBorders>
              <w:top w:val="nil"/>
              <w:left w:val="nil"/>
              <w:bottom w:val="single" w:sz="4" w:space="0" w:color="auto"/>
              <w:right w:val="single" w:sz="4" w:space="0" w:color="auto"/>
            </w:tcBorders>
            <w:shd w:val="clear" w:color="auto" w:fill="C6EFCE"/>
            <w:noWrap/>
          </w:tcPr>
          <w:p w14:paraId="4043FEDE"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0B955C19" w14:textId="77777777" w:rsidR="00A345F4" w:rsidRDefault="005E2D4E">
            <w:pPr>
              <w:pStyle w:val="P68B1DB1-Normal14"/>
              <w:spacing w:after="0" w:line="240" w:lineRule="auto"/>
              <w:jc w:val="both"/>
              <w:rPr>
                <w:rFonts w:eastAsia="SimSun"/>
                <w:noProof/>
              </w:rPr>
            </w:pPr>
            <w:r>
              <w:rPr>
                <w:noProof/>
              </w:rPr>
              <w:t xml:space="preserve">Augmenter le nombre d'audits de 10 % </w:t>
            </w:r>
          </w:p>
        </w:tc>
        <w:tc>
          <w:tcPr>
            <w:tcW w:w="1560" w:type="dxa"/>
            <w:tcBorders>
              <w:top w:val="nil"/>
              <w:left w:val="nil"/>
              <w:bottom w:val="single" w:sz="4" w:space="0" w:color="auto"/>
              <w:right w:val="single" w:sz="4" w:space="0" w:color="auto"/>
            </w:tcBorders>
            <w:shd w:val="clear" w:color="auto" w:fill="C6EFCE"/>
            <w:noWrap/>
          </w:tcPr>
          <w:p w14:paraId="7BFAEF90"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64C56843" w14:textId="77777777" w:rsidR="00A345F4" w:rsidRDefault="005E2D4E">
            <w:pPr>
              <w:pStyle w:val="P68B1DB1-Normal14"/>
              <w:spacing w:after="0" w:line="240" w:lineRule="auto"/>
              <w:rPr>
                <w:noProof/>
              </w:rPr>
            </w:pPr>
            <w:r>
              <w:rPr>
                <w:noProof/>
              </w:rPr>
              <w:t xml:space="preserve"> Numéro</w:t>
            </w:r>
          </w:p>
        </w:tc>
        <w:tc>
          <w:tcPr>
            <w:tcW w:w="1129" w:type="dxa"/>
            <w:tcBorders>
              <w:top w:val="nil"/>
              <w:left w:val="nil"/>
              <w:bottom w:val="single" w:sz="4" w:space="0" w:color="auto"/>
              <w:right w:val="single" w:sz="4" w:space="0" w:color="auto"/>
            </w:tcBorders>
            <w:shd w:val="clear" w:color="auto" w:fill="C6EFCE"/>
            <w:noWrap/>
          </w:tcPr>
          <w:p w14:paraId="043DC369" w14:textId="77777777" w:rsidR="00A345F4" w:rsidRDefault="005E2D4E">
            <w:pPr>
              <w:pStyle w:val="P68B1DB1-Normal14"/>
              <w:spacing w:after="0" w:line="240" w:lineRule="auto"/>
              <w:rPr>
                <w:noProof/>
              </w:rPr>
            </w:pPr>
            <w:r>
              <w:rPr>
                <w:noProof/>
              </w:rPr>
              <w:t>25 000</w:t>
            </w:r>
          </w:p>
        </w:tc>
        <w:tc>
          <w:tcPr>
            <w:tcW w:w="1269" w:type="dxa"/>
            <w:tcBorders>
              <w:top w:val="nil"/>
              <w:left w:val="nil"/>
              <w:bottom w:val="single" w:sz="4" w:space="0" w:color="auto"/>
              <w:right w:val="single" w:sz="4" w:space="0" w:color="auto"/>
            </w:tcBorders>
            <w:shd w:val="clear" w:color="auto" w:fill="C6EFCE"/>
            <w:noWrap/>
          </w:tcPr>
          <w:p w14:paraId="507E4A4B" w14:textId="77777777" w:rsidR="00A345F4" w:rsidRDefault="005E2D4E">
            <w:pPr>
              <w:pStyle w:val="P68B1DB1-Normal14"/>
              <w:spacing w:after="0" w:line="240" w:lineRule="auto"/>
              <w:rPr>
                <w:noProof/>
              </w:rPr>
            </w:pPr>
            <w:r>
              <w:rPr>
                <w:noProof/>
              </w:rPr>
              <w:t>27 500</w:t>
            </w:r>
          </w:p>
        </w:tc>
        <w:tc>
          <w:tcPr>
            <w:tcW w:w="1128" w:type="dxa"/>
            <w:tcBorders>
              <w:top w:val="nil"/>
              <w:left w:val="nil"/>
              <w:bottom w:val="single" w:sz="4" w:space="0" w:color="auto"/>
              <w:right w:val="single" w:sz="4" w:space="0" w:color="auto"/>
            </w:tcBorders>
            <w:shd w:val="clear" w:color="auto" w:fill="C6EFCE"/>
            <w:noWrap/>
          </w:tcPr>
          <w:p w14:paraId="17F4ED19"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2A38A75C" w14:textId="77777777" w:rsidR="00A345F4" w:rsidRDefault="005E2D4E">
            <w:pPr>
              <w:pStyle w:val="P68B1DB1-Normal14"/>
              <w:spacing w:after="0" w:line="240" w:lineRule="auto"/>
              <w:jc w:val="center"/>
              <w:rPr>
                <w:noProof/>
              </w:rPr>
            </w:pPr>
            <w:r>
              <w:rPr>
                <w:noProof/>
              </w:rPr>
              <w:t>2025</w:t>
            </w:r>
          </w:p>
        </w:tc>
        <w:tc>
          <w:tcPr>
            <w:tcW w:w="3107" w:type="dxa"/>
            <w:tcBorders>
              <w:top w:val="nil"/>
              <w:left w:val="nil"/>
              <w:bottom w:val="single" w:sz="4" w:space="0" w:color="auto"/>
              <w:right w:val="single" w:sz="4" w:space="0" w:color="auto"/>
            </w:tcBorders>
            <w:shd w:val="clear" w:color="auto" w:fill="C6EFCE"/>
            <w:noWrap/>
          </w:tcPr>
          <w:p w14:paraId="5A792EA4" w14:textId="77777777" w:rsidR="00A345F4" w:rsidRDefault="005E2D4E">
            <w:pPr>
              <w:pStyle w:val="P68B1DB1-Normal14"/>
              <w:spacing w:after="0" w:line="240" w:lineRule="auto"/>
              <w:jc w:val="both"/>
              <w:rPr>
                <w:noProof/>
              </w:rPr>
            </w:pPr>
            <w:r>
              <w:rPr>
                <w:noProof/>
              </w:rPr>
              <w:t>Augmenter le nombre d’audits de 10 % par rapport au nombre total de 2020.</w:t>
            </w:r>
          </w:p>
        </w:tc>
      </w:tr>
      <w:tr w:rsidR="00A345F4" w14:paraId="17CC589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8C4E89E" w14:textId="77777777" w:rsidR="00A345F4" w:rsidRDefault="005E2D4E">
            <w:pPr>
              <w:pStyle w:val="P68B1DB1-Normal14"/>
              <w:spacing w:after="0" w:line="240" w:lineRule="auto"/>
              <w:jc w:val="center"/>
              <w:rPr>
                <w:noProof/>
              </w:rPr>
            </w:pPr>
            <w:r>
              <w:rPr>
                <w:noProof/>
              </w:rPr>
              <w:t>225</w:t>
            </w:r>
          </w:p>
        </w:tc>
        <w:tc>
          <w:tcPr>
            <w:tcW w:w="1833" w:type="dxa"/>
            <w:tcBorders>
              <w:top w:val="nil"/>
              <w:left w:val="nil"/>
              <w:bottom w:val="single" w:sz="4" w:space="0" w:color="auto"/>
              <w:right w:val="single" w:sz="4" w:space="0" w:color="auto"/>
            </w:tcBorders>
            <w:shd w:val="clear" w:color="auto" w:fill="C6EFCE"/>
            <w:noWrap/>
          </w:tcPr>
          <w:p w14:paraId="151CE56B" w14:textId="204308EC" w:rsidR="00A345F4" w:rsidRDefault="005E2D4E">
            <w:pPr>
              <w:pStyle w:val="P68B1DB1-Normal14"/>
              <w:spacing w:after="0" w:line="240" w:lineRule="auto"/>
              <w:jc w:val="both"/>
              <w:rPr>
                <w:noProof/>
              </w:rPr>
            </w:pPr>
            <w:r>
              <w:rPr>
                <w:noProof/>
              </w:rPr>
              <w:t xml:space="preserve">Investissement 2. </w:t>
            </w:r>
            <w:r>
              <w:rPr>
                <w:noProof/>
                <w:color w:val="000000" w:themeColor="text1"/>
              </w:rPr>
              <w:t>Améliorer les processus fiscaux et administratifs</w:t>
            </w:r>
          </w:p>
        </w:tc>
        <w:tc>
          <w:tcPr>
            <w:tcW w:w="1268" w:type="dxa"/>
            <w:tcBorders>
              <w:top w:val="nil"/>
              <w:left w:val="nil"/>
              <w:bottom w:val="single" w:sz="4" w:space="0" w:color="auto"/>
              <w:right w:val="single" w:sz="4" w:space="0" w:color="auto"/>
            </w:tcBorders>
            <w:shd w:val="clear" w:color="auto" w:fill="C6EFCE"/>
            <w:noWrap/>
          </w:tcPr>
          <w:p w14:paraId="109A028E"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7F60BC67" w14:textId="77777777" w:rsidR="00A345F4" w:rsidRDefault="005E2D4E">
            <w:pPr>
              <w:pStyle w:val="P68B1DB1-Normal14"/>
              <w:spacing w:after="0" w:line="240" w:lineRule="auto"/>
              <w:jc w:val="both"/>
              <w:rPr>
                <w:rFonts w:eastAsia="SimSun"/>
                <w:noProof/>
              </w:rPr>
            </w:pPr>
            <w:r>
              <w:rPr>
                <w:noProof/>
              </w:rPr>
              <w:t>Registre électronique fonctionnel des risques</w:t>
            </w:r>
          </w:p>
        </w:tc>
        <w:tc>
          <w:tcPr>
            <w:tcW w:w="1560" w:type="dxa"/>
            <w:tcBorders>
              <w:top w:val="nil"/>
              <w:left w:val="nil"/>
              <w:bottom w:val="single" w:sz="4" w:space="0" w:color="auto"/>
              <w:right w:val="single" w:sz="4" w:space="0" w:color="auto"/>
            </w:tcBorders>
            <w:shd w:val="clear" w:color="auto" w:fill="C6EFCE"/>
            <w:noWrap/>
          </w:tcPr>
          <w:p w14:paraId="3D28ABD0" w14:textId="6BDA387E" w:rsidR="00A345F4" w:rsidRDefault="005E2D4E">
            <w:pPr>
              <w:pStyle w:val="P68B1DB1-Normal14"/>
              <w:spacing w:after="0" w:line="240" w:lineRule="auto"/>
              <w:jc w:val="both"/>
              <w:rPr>
                <w:noProof/>
              </w:rPr>
            </w:pPr>
            <w:r>
              <w:rPr>
                <w:noProof/>
              </w:rPr>
              <w:t xml:space="preserve">Registre électronique des risques fonctionnel et contenant des critères, des indicateurs et des profils de risque; premier rapport après un essai à sec ou après être devenu fonctionnel </w:t>
            </w:r>
          </w:p>
        </w:tc>
        <w:tc>
          <w:tcPr>
            <w:tcW w:w="1197" w:type="dxa"/>
            <w:tcBorders>
              <w:top w:val="nil"/>
              <w:left w:val="nil"/>
              <w:bottom w:val="single" w:sz="4" w:space="0" w:color="auto"/>
              <w:right w:val="single" w:sz="4" w:space="0" w:color="auto"/>
            </w:tcBorders>
            <w:shd w:val="clear" w:color="auto" w:fill="C6EFCE"/>
            <w:noWrap/>
          </w:tcPr>
          <w:p w14:paraId="5C540FB8"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1FEBF8C9"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3AB402EC"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26E0F1A6"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1EA345F2" w14:textId="77777777" w:rsidR="00A345F4" w:rsidRDefault="005E2D4E">
            <w:pPr>
              <w:pStyle w:val="P68B1DB1-Normal14"/>
              <w:spacing w:after="0" w:line="240" w:lineRule="auto"/>
              <w:jc w:val="center"/>
              <w:rPr>
                <w:noProof/>
              </w:rPr>
            </w:pPr>
            <w:r>
              <w:rPr>
                <w:noProof/>
              </w:rPr>
              <w:t>2025</w:t>
            </w:r>
          </w:p>
        </w:tc>
        <w:tc>
          <w:tcPr>
            <w:tcW w:w="3107" w:type="dxa"/>
            <w:tcBorders>
              <w:top w:val="nil"/>
              <w:left w:val="nil"/>
              <w:bottom w:val="single" w:sz="4" w:space="0" w:color="auto"/>
              <w:right w:val="single" w:sz="4" w:space="0" w:color="auto"/>
            </w:tcBorders>
            <w:shd w:val="clear" w:color="auto" w:fill="C6EFCE"/>
            <w:noWrap/>
          </w:tcPr>
          <w:p w14:paraId="78BF2A2E" w14:textId="77777777" w:rsidR="00A345F4" w:rsidRDefault="005E2D4E">
            <w:pPr>
              <w:pStyle w:val="P68B1DB1-Normal14"/>
              <w:spacing w:after="0" w:line="240" w:lineRule="auto"/>
              <w:jc w:val="both"/>
              <w:rPr>
                <w:noProof/>
              </w:rPr>
            </w:pPr>
            <w:r>
              <w:rPr>
                <w:noProof/>
              </w:rPr>
              <w:t>Le registre électronique des risques est fonctionnel:</w:t>
            </w:r>
          </w:p>
          <w:p w14:paraId="58C21BAC" w14:textId="42344511" w:rsidR="00A345F4" w:rsidRDefault="005E2D4E">
            <w:pPr>
              <w:pStyle w:val="P68B1DB1-Normal14"/>
              <w:numPr>
                <w:ilvl w:val="0"/>
                <w:numId w:val="86"/>
              </w:numPr>
              <w:spacing w:after="0" w:line="240" w:lineRule="auto"/>
              <w:ind w:left="174" w:hanging="218"/>
              <w:contextualSpacing/>
              <w:jc w:val="both"/>
              <w:rPr>
                <w:rFonts w:eastAsia="Times New Roman"/>
                <w:noProof/>
              </w:rPr>
            </w:pPr>
            <w:r>
              <w:rPr>
                <w:noProof/>
              </w:rPr>
              <w:t xml:space="preserve">un système fonctionnel intégré de gestion des risques fiscaux, comprenant l'analyse centralisée des risques, </w:t>
            </w:r>
          </w:p>
          <w:p w14:paraId="29AC8428" w14:textId="0304E840" w:rsidR="00A345F4" w:rsidRDefault="005E2D4E">
            <w:pPr>
              <w:pStyle w:val="P68B1DB1-Normal14"/>
              <w:numPr>
                <w:ilvl w:val="0"/>
                <w:numId w:val="86"/>
              </w:numPr>
              <w:spacing w:after="0" w:line="240" w:lineRule="auto"/>
              <w:ind w:left="174" w:hanging="218"/>
              <w:contextualSpacing/>
              <w:jc w:val="both"/>
              <w:rPr>
                <w:noProof/>
              </w:rPr>
            </w:pPr>
            <w:r>
              <w:rPr>
                <w:noProof/>
              </w:rPr>
              <w:t xml:space="preserve">Il permet d'identifier les domaines présentant un risque élevé de non-conformité fiscale, à l'aide de données et d'informations, y compris dans le domaine du travail non déclaré, </w:t>
            </w:r>
          </w:p>
          <w:p w14:paraId="5A56B0DF" w14:textId="77777777" w:rsidR="00A345F4" w:rsidRDefault="005E2D4E">
            <w:pPr>
              <w:pStyle w:val="P68B1DB1-Normal14"/>
              <w:numPr>
                <w:ilvl w:val="0"/>
                <w:numId w:val="86"/>
              </w:numPr>
              <w:spacing w:after="0" w:line="240" w:lineRule="auto"/>
              <w:ind w:left="174" w:hanging="218"/>
              <w:contextualSpacing/>
              <w:jc w:val="both"/>
              <w:rPr>
                <w:rFonts w:eastAsia="Times New Roman"/>
                <w:noProof/>
              </w:rPr>
            </w:pPr>
            <w:r>
              <w:rPr>
                <w:noProof/>
              </w:rPr>
              <w:t xml:space="preserve">Elle utilise une approche fondée sur les risques, y compris le recours à des systèmes d’optimisation fiscale, dans l’administration des grands contribuables. </w:t>
            </w:r>
          </w:p>
          <w:p w14:paraId="4ACC39A5" w14:textId="77777777" w:rsidR="00A345F4" w:rsidRDefault="005E2D4E">
            <w:pPr>
              <w:pStyle w:val="P68B1DB1-Normal14"/>
              <w:spacing w:after="0" w:line="240" w:lineRule="auto"/>
              <w:ind w:left="174"/>
              <w:contextualSpacing/>
              <w:jc w:val="both"/>
              <w:rPr>
                <w:rFonts w:eastAsia="Times New Roman"/>
                <w:noProof/>
              </w:rPr>
            </w:pPr>
            <w:r>
              <w:rPr>
                <w:noProof/>
              </w:rPr>
              <w:t>Sur la base des résultats du registre électronique des risques, des programmes de conformité sont mis en place.</w:t>
            </w:r>
          </w:p>
        </w:tc>
      </w:tr>
      <w:tr w:rsidR="00A345F4" w14:paraId="41CC9996"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56F770B" w14:textId="77777777" w:rsidR="00A345F4" w:rsidRDefault="005E2D4E">
            <w:pPr>
              <w:pStyle w:val="P68B1DB1-Normal14"/>
              <w:spacing w:after="0" w:line="240" w:lineRule="auto"/>
              <w:jc w:val="center"/>
              <w:rPr>
                <w:noProof/>
              </w:rPr>
            </w:pPr>
            <w:r>
              <w:rPr>
                <w:noProof/>
              </w:rPr>
              <w:t>226</w:t>
            </w:r>
          </w:p>
        </w:tc>
        <w:tc>
          <w:tcPr>
            <w:tcW w:w="1833" w:type="dxa"/>
            <w:tcBorders>
              <w:top w:val="nil"/>
              <w:left w:val="nil"/>
              <w:bottom w:val="single" w:sz="4" w:space="0" w:color="auto"/>
              <w:right w:val="single" w:sz="4" w:space="0" w:color="auto"/>
            </w:tcBorders>
            <w:shd w:val="clear" w:color="auto" w:fill="C6EFCE"/>
            <w:noWrap/>
          </w:tcPr>
          <w:p w14:paraId="7036A0D5" w14:textId="130744AB" w:rsidR="00A345F4" w:rsidRDefault="005E2D4E">
            <w:pPr>
              <w:pStyle w:val="P68B1DB1-Normal14"/>
              <w:spacing w:after="0" w:line="240" w:lineRule="auto"/>
              <w:jc w:val="both"/>
              <w:rPr>
                <w:noProof/>
              </w:rPr>
            </w:pPr>
            <w:r>
              <w:rPr>
                <w:noProof/>
              </w:rPr>
              <w:t xml:space="preserve">Investissement 2. </w:t>
            </w:r>
            <w:r>
              <w:rPr>
                <w:noProof/>
                <w:color w:val="000000" w:themeColor="text1"/>
              </w:rPr>
              <w:t>Améliorer les processus fiscaux et administratifs</w:t>
            </w:r>
          </w:p>
        </w:tc>
        <w:tc>
          <w:tcPr>
            <w:tcW w:w="1268" w:type="dxa"/>
            <w:tcBorders>
              <w:top w:val="nil"/>
              <w:left w:val="nil"/>
              <w:bottom w:val="single" w:sz="4" w:space="0" w:color="auto"/>
              <w:right w:val="single" w:sz="4" w:space="0" w:color="auto"/>
            </w:tcBorders>
            <w:shd w:val="clear" w:color="auto" w:fill="C6EFCE"/>
            <w:noWrap/>
          </w:tcPr>
          <w:p w14:paraId="7AC50249"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72F5B4E9" w14:textId="77777777" w:rsidR="00A345F4" w:rsidRDefault="005E2D4E">
            <w:pPr>
              <w:pStyle w:val="P68B1DB1-Normal14"/>
              <w:spacing w:after="0" w:line="240" w:lineRule="auto"/>
              <w:jc w:val="both"/>
              <w:rPr>
                <w:noProof/>
              </w:rPr>
            </w:pPr>
            <w:r>
              <w:rPr>
                <w:noProof/>
              </w:rPr>
              <w:t xml:space="preserve">Les systèmes d'administration fiscale, y compris le Big Data, sont fonctionnels </w:t>
            </w:r>
          </w:p>
        </w:tc>
        <w:tc>
          <w:tcPr>
            <w:tcW w:w="1560" w:type="dxa"/>
            <w:tcBorders>
              <w:top w:val="nil"/>
              <w:left w:val="nil"/>
              <w:bottom w:val="single" w:sz="4" w:space="0" w:color="auto"/>
              <w:right w:val="single" w:sz="4" w:space="0" w:color="auto"/>
            </w:tcBorders>
            <w:shd w:val="clear" w:color="auto" w:fill="C6EFCE"/>
            <w:noWrap/>
          </w:tcPr>
          <w:p w14:paraId="572A3B5D" w14:textId="77777777" w:rsidR="00A345F4" w:rsidRDefault="005E2D4E">
            <w:pPr>
              <w:pStyle w:val="P68B1DB1-Normal14"/>
              <w:spacing w:after="0" w:line="240" w:lineRule="auto"/>
              <w:jc w:val="both"/>
              <w:rPr>
                <w:noProof/>
              </w:rPr>
            </w:pPr>
            <w:r>
              <w:rPr>
                <w:noProof/>
              </w:rPr>
              <w:t xml:space="preserve">Les systèmes d'administration fiscale sont fonctionnels, y compris la plate-forme Big Data </w:t>
            </w:r>
          </w:p>
          <w:p w14:paraId="0A344E35"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13A8FE8E"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553A4302"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3729911F"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50B13398"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3915262F" w14:textId="77777777" w:rsidR="00A345F4" w:rsidRDefault="005E2D4E">
            <w:pPr>
              <w:pStyle w:val="P68B1DB1-Normal14"/>
              <w:spacing w:after="0" w:line="240" w:lineRule="auto"/>
              <w:jc w:val="center"/>
              <w:rPr>
                <w:noProof/>
              </w:rPr>
            </w:pPr>
            <w:r>
              <w:rPr>
                <w:noProof/>
              </w:rPr>
              <w:t>2025</w:t>
            </w:r>
          </w:p>
        </w:tc>
        <w:tc>
          <w:tcPr>
            <w:tcW w:w="3107" w:type="dxa"/>
            <w:tcBorders>
              <w:top w:val="nil"/>
              <w:left w:val="nil"/>
              <w:bottom w:val="single" w:sz="4" w:space="0" w:color="auto"/>
              <w:right w:val="single" w:sz="4" w:space="0" w:color="auto"/>
            </w:tcBorders>
            <w:shd w:val="clear" w:color="auto" w:fill="C6EFCE"/>
            <w:noWrap/>
          </w:tcPr>
          <w:p w14:paraId="7B66BC5A" w14:textId="56518766" w:rsidR="00A345F4" w:rsidRDefault="005E2D4E">
            <w:pPr>
              <w:pStyle w:val="P68B1DB1-Normal14"/>
              <w:spacing w:after="0" w:line="240" w:lineRule="auto"/>
              <w:jc w:val="both"/>
              <w:rPr>
                <w:noProof/>
              </w:rPr>
            </w:pPr>
            <w:r>
              <w:rPr>
                <w:noProof/>
              </w:rPr>
              <w:t>La plateforme Big Data est fonctionnelle. La plateforme comprend des sources d’information internes et externes.</w:t>
            </w:r>
          </w:p>
          <w:p w14:paraId="2F54BC63" w14:textId="77777777" w:rsidR="00A345F4" w:rsidRDefault="005E2D4E">
            <w:pPr>
              <w:pStyle w:val="P68B1DB1-Normal14"/>
              <w:spacing w:after="0" w:line="240" w:lineRule="auto"/>
              <w:jc w:val="both"/>
              <w:rPr>
                <w:noProof/>
              </w:rPr>
            </w:pPr>
            <w:r>
              <w:rPr>
                <w:noProof/>
              </w:rPr>
              <w:t>La plateforme:</w:t>
            </w:r>
          </w:p>
          <w:p w14:paraId="60CBE6D3" w14:textId="77777777" w:rsidR="00A345F4" w:rsidRDefault="005E2D4E">
            <w:pPr>
              <w:pStyle w:val="P68B1DB1-Normal14"/>
              <w:numPr>
                <w:ilvl w:val="0"/>
                <w:numId w:val="92"/>
              </w:numPr>
              <w:spacing w:after="0" w:line="240" w:lineRule="auto"/>
              <w:jc w:val="both"/>
              <w:rPr>
                <w:noProof/>
              </w:rPr>
            </w:pPr>
            <w:r>
              <w:rPr>
                <w:noProof/>
              </w:rPr>
              <w:t>Assurer l'intégrité des données, avec des données cohérentes dans l'ensemble du système.</w:t>
            </w:r>
          </w:p>
          <w:p w14:paraId="096303B9" w14:textId="24B6CE05" w:rsidR="00A345F4" w:rsidRDefault="005E2D4E">
            <w:pPr>
              <w:pStyle w:val="P68B1DB1-Normal14"/>
              <w:numPr>
                <w:ilvl w:val="0"/>
                <w:numId w:val="92"/>
              </w:numPr>
              <w:spacing w:after="0" w:line="240" w:lineRule="auto"/>
              <w:jc w:val="both"/>
              <w:rPr>
                <w:noProof/>
              </w:rPr>
            </w:pPr>
            <w:r>
              <w:rPr>
                <w:noProof/>
              </w:rPr>
              <w:t>Soutenir l'analyse des données disponibles pour générer des informations générales. Les processus analytiques doivent être reproductibles et les résultats doivent relier plusieurs ensembles de données pour produire des informations sur les performances.</w:t>
            </w:r>
          </w:p>
          <w:p w14:paraId="3692863B" w14:textId="77777777" w:rsidR="00A345F4" w:rsidRDefault="00A345F4">
            <w:pPr>
              <w:spacing w:after="0" w:line="240" w:lineRule="auto"/>
              <w:jc w:val="both"/>
              <w:rPr>
                <w:rFonts w:ascii="Times New Roman" w:eastAsia="Calibri" w:hAnsi="Times New Roman" w:cs="Times New Roman"/>
                <w:noProof/>
                <w:sz w:val="20"/>
                <w:szCs w:val="20"/>
              </w:rPr>
            </w:pPr>
          </w:p>
          <w:p w14:paraId="2E345DDA" w14:textId="77777777" w:rsidR="00A345F4" w:rsidRDefault="005E2D4E">
            <w:pPr>
              <w:pStyle w:val="P68B1DB1-Normal46"/>
              <w:spacing w:after="0" w:line="240" w:lineRule="auto"/>
              <w:jc w:val="both"/>
              <w:rPr>
                <w:noProof/>
              </w:rPr>
            </w:pPr>
            <w:r>
              <w:rPr>
                <w:noProof/>
              </w:rPr>
              <w:t>Les systèmes suivants doivent être fonctionnels:</w:t>
            </w:r>
          </w:p>
          <w:p w14:paraId="2A01348F" w14:textId="77777777" w:rsidR="00A345F4" w:rsidRDefault="005E2D4E">
            <w:pPr>
              <w:pStyle w:val="P68B1DB1-Normal46"/>
              <w:spacing w:after="0" w:line="240" w:lineRule="auto"/>
              <w:jc w:val="both"/>
              <w:rPr>
                <w:noProof/>
              </w:rPr>
            </w:pPr>
            <w:r>
              <w:rPr>
                <w:noProof/>
              </w:rPr>
              <w:t xml:space="preserve">- système de facturation électronique; </w:t>
            </w:r>
          </w:p>
          <w:p w14:paraId="0B4A2CEA" w14:textId="77777777" w:rsidR="00A345F4" w:rsidRDefault="005E2D4E">
            <w:pPr>
              <w:pStyle w:val="P68B1DB1-Normal46"/>
              <w:spacing w:after="0" w:line="240" w:lineRule="auto"/>
              <w:jc w:val="both"/>
              <w:rPr>
                <w:noProof/>
              </w:rPr>
            </w:pPr>
            <w:r>
              <w:rPr>
                <w:noProof/>
              </w:rPr>
              <w:t xml:space="preserve">- système de gestion des contribuables; </w:t>
            </w:r>
          </w:p>
          <w:p w14:paraId="37A9D41E" w14:textId="77777777" w:rsidR="00A345F4" w:rsidRDefault="005E2D4E">
            <w:pPr>
              <w:pStyle w:val="P68B1DB1-Normal46"/>
              <w:spacing w:after="0" w:line="240" w:lineRule="auto"/>
              <w:jc w:val="both"/>
              <w:rPr>
                <w:noProof/>
              </w:rPr>
            </w:pPr>
            <w:r>
              <w:rPr>
                <w:noProof/>
              </w:rPr>
              <w:t xml:space="preserve">- un système centralisé d'information du Trésor public (TREZOR); et </w:t>
            </w:r>
          </w:p>
          <w:p w14:paraId="093B44D7" w14:textId="77777777" w:rsidR="00A345F4" w:rsidRDefault="005E2D4E">
            <w:pPr>
              <w:pStyle w:val="P68B1DB1-Normal46"/>
              <w:spacing w:after="0" w:line="240" w:lineRule="auto"/>
              <w:jc w:val="both"/>
              <w:rPr>
                <w:noProof/>
              </w:rPr>
            </w:pPr>
            <w:r>
              <w:rPr>
                <w:noProof/>
              </w:rPr>
              <w:t>- une plate-forme élargie utilisée pour l'échange international d'informations (AEOI).</w:t>
            </w:r>
          </w:p>
        </w:tc>
      </w:tr>
      <w:tr w:rsidR="00A345F4" w14:paraId="7404F03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12CF325" w14:textId="77777777" w:rsidR="00A345F4" w:rsidRDefault="005E2D4E">
            <w:pPr>
              <w:pStyle w:val="P68B1DB1-Normal14"/>
              <w:spacing w:after="0" w:line="240" w:lineRule="auto"/>
              <w:jc w:val="center"/>
              <w:rPr>
                <w:noProof/>
              </w:rPr>
            </w:pPr>
            <w:r>
              <w:rPr>
                <w:noProof/>
              </w:rPr>
              <w:t>227</w:t>
            </w:r>
          </w:p>
        </w:tc>
        <w:tc>
          <w:tcPr>
            <w:tcW w:w="1833" w:type="dxa"/>
            <w:tcBorders>
              <w:top w:val="nil"/>
              <w:left w:val="nil"/>
              <w:bottom w:val="single" w:sz="4" w:space="0" w:color="auto"/>
              <w:right w:val="single" w:sz="4" w:space="0" w:color="auto"/>
            </w:tcBorders>
            <w:shd w:val="clear" w:color="auto" w:fill="C6EFCE"/>
            <w:noWrap/>
          </w:tcPr>
          <w:p w14:paraId="1478C29D" w14:textId="77777777" w:rsidR="00A345F4" w:rsidRDefault="005E2D4E">
            <w:pPr>
              <w:pStyle w:val="P68B1DB1-Normal14"/>
              <w:spacing w:after="0" w:line="240" w:lineRule="auto"/>
              <w:jc w:val="both"/>
              <w:rPr>
                <w:noProof/>
              </w:rPr>
            </w:pPr>
            <w:r>
              <w:rPr>
                <w:noProof/>
              </w:rPr>
              <w:t xml:space="preserve">Investissement 3. Garantir la capacité de relever les défis actuels et futurs en matière d’information, y compris dans le contexte de la pandémie, grâce à la transformation numérique du ministère des finances/de l’agence nationale de l’administration fiscale </w:t>
            </w:r>
          </w:p>
        </w:tc>
        <w:tc>
          <w:tcPr>
            <w:tcW w:w="1268" w:type="dxa"/>
            <w:tcBorders>
              <w:top w:val="nil"/>
              <w:left w:val="nil"/>
              <w:bottom w:val="single" w:sz="4" w:space="0" w:color="auto"/>
              <w:right w:val="single" w:sz="4" w:space="0" w:color="auto"/>
            </w:tcBorders>
            <w:shd w:val="clear" w:color="auto" w:fill="C6EFCE"/>
            <w:noWrap/>
          </w:tcPr>
          <w:p w14:paraId="77CEB149"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4F743CD2" w14:textId="77777777" w:rsidR="00A345F4" w:rsidRDefault="005E2D4E">
            <w:pPr>
              <w:pStyle w:val="P68B1DB1-Normal14"/>
              <w:spacing w:after="0" w:line="240" w:lineRule="auto"/>
              <w:jc w:val="both"/>
              <w:rPr>
                <w:i/>
                <w:noProof/>
              </w:rPr>
            </w:pPr>
            <w:r>
              <w:rPr>
                <w:noProof/>
              </w:rPr>
              <w:t xml:space="preserve">Modernisation de l'infrastructure matérielle et logicielle et de l'infrastructure d'appui à la fourniture de services électroniques </w:t>
            </w:r>
            <w:r>
              <w:rPr>
                <w:noProof/>
              </w:rPr>
              <w:br/>
              <w:t>contribuables</w:t>
            </w:r>
          </w:p>
          <w:p w14:paraId="394E3582" w14:textId="77777777" w:rsidR="00A345F4" w:rsidRDefault="00A345F4">
            <w:pPr>
              <w:spacing w:line="240" w:lineRule="auto"/>
              <w:jc w:val="both"/>
              <w:rPr>
                <w:rFonts w:ascii="Times New Roman" w:hAnsi="Times New Roman" w:cs="Times New Roman"/>
                <w:noProof/>
                <w:sz w:val="20"/>
                <w:szCs w:val="20"/>
              </w:rPr>
            </w:pPr>
          </w:p>
          <w:p w14:paraId="08678150" w14:textId="77777777" w:rsidR="00A345F4" w:rsidRDefault="00A345F4">
            <w:pPr>
              <w:spacing w:after="0" w:line="240" w:lineRule="auto"/>
              <w:jc w:val="both"/>
              <w:rPr>
                <w:rFonts w:ascii="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tcPr>
          <w:p w14:paraId="05D89FAD" w14:textId="77777777" w:rsidR="00A345F4" w:rsidRDefault="005E2D4E">
            <w:pPr>
              <w:pStyle w:val="P68B1DB1-Normal14"/>
              <w:spacing w:after="0" w:line="240" w:lineRule="auto"/>
              <w:jc w:val="both"/>
              <w:rPr>
                <w:noProof/>
              </w:rPr>
            </w:pPr>
            <w:r>
              <w:rPr>
                <w:noProof/>
              </w:rPr>
              <w:t>Renouvellement de l'infrastructure matérielle et logicielle et modernisation de l'infrastructure de soutien</w:t>
            </w:r>
          </w:p>
        </w:tc>
        <w:tc>
          <w:tcPr>
            <w:tcW w:w="1197" w:type="dxa"/>
            <w:tcBorders>
              <w:top w:val="nil"/>
              <w:left w:val="nil"/>
              <w:bottom w:val="single" w:sz="4" w:space="0" w:color="auto"/>
              <w:right w:val="single" w:sz="4" w:space="0" w:color="auto"/>
            </w:tcBorders>
            <w:shd w:val="clear" w:color="auto" w:fill="C6EFCE"/>
            <w:noWrap/>
          </w:tcPr>
          <w:p w14:paraId="62725982"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57E0A9C4"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60DDA05D"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315DF9A9"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7D3F951E" w14:textId="77777777" w:rsidR="00A345F4" w:rsidRDefault="005E2D4E">
            <w:pPr>
              <w:pStyle w:val="P68B1DB1-Normal14"/>
              <w:spacing w:after="0" w:line="240" w:lineRule="auto"/>
              <w:jc w:val="center"/>
              <w:rPr>
                <w:noProof/>
              </w:rPr>
            </w:pPr>
            <w:r>
              <w:rPr>
                <w:noProof/>
              </w:rPr>
              <w:t>2025</w:t>
            </w:r>
          </w:p>
        </w:tc>
        <w:tc>
          <w:tcPr>
            <w:tcW w:w="3107" w:type="dxa"/>
            <w:tcBorders>
              <w:top w:val="nil"/>
              <w:left w:val="nil"/>
              <w:bottom w:val="single" w:sz="4" w:space="0" w:color="auto"/>
              <w:right w:val="single" w:sz="4" w:space="0" w:color="auto"/>
            </w:tcBorders>
            <w:shd w:val="clear" w:color="auto" w:fill="C6EFCE"/>
            <w:noWrap/>
          </w:tcPr>
          <w:p w14:paraId="0B48A01B" w14:textId="77777777" w:rsidR="00A345F4" w:rsidRDefault="005E2D4E">
            <w:pPr>
              <w:pStyle w:val="P68B1DB1-Normal14"/>
              <w:spacing w:after="0" w:line="240" w:lineRule="auto"/>
              <w:jc w:val="both"/>
              <w:rPr>
                <w:noProof/>
              </w:rPr>
            </w:pPr>
            <w:r>
              <w:rPr>
                <w:noProof/>
              </w:rPr>
              <w:t xml:space="preserve">moderniser l’infrastructure matérielle et logicielle du système informatique du ministère des finances/de l’Agence nationale d’administration fiscale/du Centre national d’information financière (NCFI); </w:t>
            </w:r>
          </w:p>
          <w:p w14:paraId="7C32D730" w14:textId="77777777" w:rsidR="00A345F4" w:rsidRDefault="005E2D4E">
            <w:pPr>
              <w:pStyle w:val="P68B1DB1-Normal14"/>
              <w:spacing w:after="0" w:line="240" w:lineRule="auto"/>
              <w:jc w:val="both"/>
              <w:rPr>
                <w:noProof/>
              </w:rPr>
            </w:pPr>
            <w:r>
              <w:rPr>
                <w:noProof/>
              </w:rPr>
              <w:t>- modernisation de l'infrastructure d'appui des centres de données</w:t>
            </w:r>
          </w:p>
          <w:p w14:paraId="45765329" w14:textId="77777777" w:rsidR="00A345F4" w:rsidRDefault="005E2D4E">
            <w:pPr>
              <w:pStyle w:val="P68B1DB1-Normal14"/>
              <w:spacing w:after="0" w:line="240" w:lineRule="auto"/>
              <w:jc w:val="both"/>
              <w:rPr>
                <w:noProof/>
              </w:rPr>
            </w:pPr>
            <w:r>
              <w:rPr>
                <w:noProof/>
              </w:rPr>
              <w:t>- bases de données mises en place pour assurer l'interopérabilité des systèmes informatiques.</w:t>
            </w:r>
          </w:p>
          <w:p w14:paraId="67611625" w14:textId="77777777" w:rsidR="00A345F4" w:rsidRDefault="00A345F4">
            <w:pPr>
              <w:spacing w:after="0" w:line="240" w:lineRule="auto"/>
              <w:jc w:val="both"/>
              <w:rPr>
                <w:rFonts w:ascii="Times New Roman" w:hAnsi="Times New Roman" w:cs="Times New Roman"/>
                <w:noProof/>
                <w:sz w:val="20"/>
                <w:szCs w:val="20"/>
              </w:rPr>
            </w:pPr>
          </w:p>
          <w:p w14:paraId="129B89DF" w14:textId="77777777" w:rsidR="00A345F4" w:rsidRDefault="005E2D4E">
            <w:pPr>
              <w:pStyle w:val="P68B1DB1-Normal14"/>
              <w:spacing w:after="0" w:line="240" w:lineRule="auto"/>
              <w:jc w:val="both"/>
              <w:rPr>
                <w:noProof/>
              </w:rPr>
            </w:pPr>
            <w:r>
              <w:rPr>
                <w:noProof/>
              </w:rPr>
              <w:t xml:space="preserve"> </w:t>
            </w:r>
          </w:p>
        </w:tc>
      </w:tr>
      <w:tr w:rsidR="00A345F4" w14:paraId="5EF42C9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C80AE18" w14:textId="77777777" w:rsidR="00A345F4" w:rsidRDefault="005E2D4E">
            <w:pPr>
              <w:pStyle w:val="P68B1DB1-Normal14"/>
              <w:spacing w:after="0" w:line="240" w:lineRule="auto"/>
              <w:jc w:val="center"/>
              <w:rPr>
                <w:noProof/>
              </w:rPr>
            </w:pPr>
            <w:r>
              <w:rPr>
                <w:noProof/>
              </w:rPr>
              <w:t>228</w:t>
            </w:r>
          </w:p>
        </w:tc>
        <w:tc>
          <w:tcPr>
            <w:tcW w:w="1833" w:type="dxa"/>
            <w:tcBorders>
              <w:top w:val="nil"/>
              <w:left w:val="nil"/>
              <w:bottom w:val="single" w:sz="4" w:space="0" w:color="auto"/>
              <w:right w:val="single" w:sz="4" w:space="0" w:color="auto"/>
            </w:tcBorders>
            <w:shd w:val="clear" w:color="auto" w:fill="C6EFCE"/>
            <w:noWrap/>
          </w:tcPr>
          <w:p w14:paraId="6FA3C46E" w14:textId="77777777" w:rsidR="00A345F4" w:rsidRDefault="005E2D4E">
            <w:pPr>
              <w:pStyle w:val="P68B1DB1-Normal14"/>
              <w:spacing w:after="0" w:line="240" w:lineRule="auto"/>
              <w:jc w:val="both"/>
              <w:rPr>
                <w:noProof/>
              </w:rPr>
            </w:pPr>
            <w:r>
              <w:rPr>
                <w:noProof/>
              </w:rPr>
              <w:t xml:space="preserve">Investissement 3. Garantir la capacité de relever les défis actuels et futurs en matière d’information, y compris dans le contexte de la pandémie, grâce à la transformation numérique du ministère des finances/de l’Agence nationale pour l’administration budgétaire </w:t>
            </w:r>
          </w:p>
        </w:tc>
        <w:tc>
          <w:tcPr>
            <w:tcW w:w="1268" w:type="dxa"/>
            <w:tcBorders>
              <w:top w:val="nil"/>
              <w:left w:val="nil"/>
              <w:bottom w:val="single" w:sz="4" w:space="0" w:color="auto"/>
              <w:right w:val="single" w:sz="4" w:space="0" w:color="auto"/>
            </w:tcBorders>
            <w:shd w:val="clear" w:color="auto" w:fill="C6EFCE"/>
            <w:noWrap/>
          </w:tcPr>
          <w:p w14:paraId="78B39795"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1CCB376D" w14:textId="77777777" w:rsidR="00A345F4" w:rsidRDefault="005E2D4E">
            <w:pPr>
              <w:pStyle w:val="P68B1DB1-Normal14"/>
              <w:spacing w:after="0" w:line="240" w:lineRule="auto"/>
              <w:jc w:val="both"/>
              <w:rPr>
                <w:noProof/>
              </w:rPr>
            </w:pPr>
            <w:r>
              <w:rPr>
                <w:noProof/>
              </w:rPr>
              <w:t>Renforcement de la cybersécurité du système informatique du ministère des finances et de l’ANAF</w:t>
            </w:r>
          </w:p>
        </w:tc>
        <w:tc>
          <w:tcPr>
            <w:tcW w:w="1560" w:type="dxa"/>
            <w:tcBorders>
              <w:top w:val="nil"/>
              <w:left w:val="nil"/>
              <w:bottom w:val="single" w:sz="4" w:space="0" w:color="auto"/>
              <w:right w:val="single" w:sz="4" w:space="0" w:color="auto"/>
            </w:tcBorders>
            <w:shd w:val="clear" w:color="auto" w:fill="C6EFCE"/>
            <w:noWrap/>
          </w:tcPr>
          <w:p w14:paraId="3B1A13A9" w14:textId="77777777" w:rsidR="00A345F4" w:rsidRDefault="005E2D4E">
            <w:pPr>
              <w:pStyle w:val="P68B1DB1-Normal14"/>
              <w:spacing w:after="0" w:line="240" w:lineRule="auto"/>
              <w:jc w:val="both"/>
              <w:rPr>
                <w:noProof/>
              </w:rPr>
            </w:pPr>
            <w:r>
              <w:rPr>
                <w:noProof/>
              </w:rPr>
              <w:t>Système de cybersécurité fonctionnel</w:t>
            </w:r>
          </w:p>
        </w:tc>
        <w:tc>
          <w:tcPr>
            <w:tcW w:w="1197" w:type="dxa"/>
            <w:tcBorders>
              <w:top w:val="nil"/>
              <w:left w:val="nil"/>
              <w:bottom w:val="single" w:sz="4" w:space="0" w:color="auto"/>
              <w:right w:val="single" w:sz="4" w:space="0" w:color="auto"/>
            </w:tcBorders>
            <w:shd w:val="clear" w:color="auto" w:fill="C6EFCE"/>
            <w:noWrap/>
          </w:tcPr>
          <w:p w14:paraId="727103AC"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4A6D00C"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3E885239"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0EC723E9" w14:textId="77777777" w:rsidR="00A345F4" w:rsidRDefault="005E2D4E">
            <w:pPr>
              <w:pStyle w:val="P68B1DB1-Normal14"/>
              <w:spacing w:after="0" w:line="240" w:lineRule="auto"/>
              <w:jc w:val="center"/>
              <w:rPr>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08B954E6" w14:textId="77777777" w:rsidR="00A345F4" w:rsidRDefault="005E2D4E">
            <w:pPr>
              <w:pStyle w:val="P68B1DB1-Normal14"/>
              <w:spacing w:after="0" w:line="240" w:lineRule="auto"/>
              <w:jc w:val="center"/>
              <w:rPr>
                <w:noProof/>
              </w:rPr>
            </w:pPr>
            <w:r>
              <w:rPr>
                <w:noProof/>
              </w:rPr>
              <w:t>2023</w:t>
            </w:r>
          </w:p>
        </w:tc>
        <w:tc>
          <w:tcPr>
            <w:tcW w:w="3107" w:type="dxa"/>
            <w:tcBorders>
              <w:top w:val="nil"/>
              <w:left w:val="nil"/>
              <w:bottom w:val="single" w:sz="4" w:space="0" w:color="auto"/>
              <w:right w:val="single" w:sz="4" w:space="0" w:color="auto"/>
            </w:tcBorders>
            <w:shd w:val="clear" w:color="auto" w:fill="C6EFCE"/>
            <w:noWrap/>
          </w:tcPr>
          <w:p w14:paraId="48FAB852" w14:textId="55154E57" w:rsidR="00A345F4" w:rsidRDefault="005E2D4E">
            <w:pPr>
              <w:pStyle w:val="P68B1DB1-Normal14"/>
              <w:spacing w:after="0" w:line="240" w:lineRule="auto"/>
              <w:jc w:val="both"/>
              <w:rPr>
                <w:noProof/>
              </w:rPr>
            </w:pPr>
            <w:r>
              <w:rPr>
                <w:noProof/>
              </w:rPr>
              <w:t>Le système d’information du ministère des finances/de l’agence nationale pour l’administration fiscale est mis à niveau avec les composantes cybsersecurity et infrastructure suivantes: composants de pare-feu d'applications web, contrôleur de livraison d'applications, centre d'exploitation de sécurité, détection et réponse réseau, équipements de pare-feu - OSI LAYER 3 avec services IPS IDS inclus, mise à niveau de l'infrastructure Active Directory existante pour la gestion centralisée des utilisateurs, matériel et logiciels pour les mises à jour automatiques des correctifs de sécurité des applications utilisées.</w:t>
            </w:r>
          </w:p>
          <w:p w14:paraId="557E078A" w14:textId="77777777" w:rsidR="00A345F4" w:rsidRDefault="005E2D4E">
            <w:pPr>
              <w:pStyle w:val="P68B1DB1-Normal14"/>
              <w:spacing w:after="0" w:line="240" w:lineRule="auto"/>
              <w:jc w:val="both"/>
              <w:rPr>
                <w:noProof/>
              </w:rPr>
            </w:pPr>
            <w:r>
              <w:rPr>
                <w:noProof/>
              </w:rPr>
              <w:t xml:space="preserve">L’investissement permet de partager des données en temps réel de manière sécurisée et avec des données exactes/à jour. Il traite également de la confidentialité des données et des informations, ainsi que de la gestion de la sécurité. </w:t>
            </w:r>
          </w:p>
        </w:tc>
      </w:tr>
      <w:tr w:rsidR="00A345F4" w14:paraId="4D8EA2A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85FBFE6" w14:textId="77777777" w:rsidR="00A345F4" w:rsidRDefault="005E2D4E">
            <w:pPr>
              <w:pStyle w:val="P68B1DB1-Normal14"/>
              <w:spacing w:after="0" w:line="240" w:lineRule="auto"/>
              <w:jc w:val="center"/>
              <w:rPr>
                <w:noProof/>
              </w:rPr>
            </w:pPr>
            <w:r>
              <w:rPr>
                <w:noProof/>
              </w:rPr>
              <w:t>229</w:t>
            </w:r>
          </w:p>
        </w:tc>
        <w:tc>
          <w:tcPr>
            <w:tcW w:w="1833" w:type="dxa"/>
            <w:tcBorders>
              <w:top w:val="nil"/>
              <w:left w:val="nil"/>
              <w:bottom w:val="single" w:sz="4" w:space="0" w:color="auto"/>
              <w:right w:val="single" w:sz="4" w:space="0" w:color="auto"/>
            </w:tcBorders>
            <w:shd w:val="clear" w:color="auto" w:fill="C6EFCE"/>
            <w:noWrap/>
          </w:tcPr>
          <w:p w14:paraId="6C51BDFB" w14:textId="77777777" w:rsidR="00A345F4" w:rsidRDefault="005E2D4E">
            <w:pPr>
              <w:pStyle w:val="P68B1DB1-Normal14"/>
              <w:spacing w:after="0" w:line="240" w:lineRule="auto"/>
              <w:jc w:val="both"/>
              <w:rPr>
                <w:noProof/>
              </w:rPr>
            </w:pPr>
            <w:r>
              <w:rPr>
                <w:noProof/>
              </w:rPr>
              <w:t xml:space="preserve">Investissement 3. Garantir la capacité de relever les défis actuels et futurs en matière d’information, y compris dans le contexte de la pandémie, grâce à la transformation numérique du ministère des finances/de l’agence nationale de l’administration fiscale </w:t>
            </w:r>
          </w:p>
        </w:tc>
        <w:tc>
          <w:tcPr>
            <w:tcW w:w="1268" w:type="dxa"/>
            <w:tcBorders>
              <w:top w:val="nil"/>
              <w:left w:val="nil"/>
              <w:bottom w:val="single" w:sz="4" w:space="0" w:color="auto"/>
              <w:right w:val="single" w:sz="4" w:space="0" w:color="auto"/>
            </w:tcBorders>
            <w:shd w:val="clear" w:color="auto" w:fill="C6EFCE"/>
            <w:noWrap/>
          </w:tcPr>
          <w:p w14:paraId="16F247D0"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67B9B354" w14:textId="77777777" w:rsidR="00A345F4" w:rsidRDefault="005E2D4E">
            <w:pPr>
              <w:pStyle w:val="P68B1DB1-Normal14"/>
              <w:spacing w:after="0" w:line="240" w:lineRule="auto"/>
              <w:jc w:val="both"/>
              <w:rPr>
                <w:noProof/>
              </w:rPr>
            </w:pPr>
            <w:r>
              <w:rPr>
                <w:noProof/>
              </w:rPr>
              <w:t xml:space="preserve">80% de l'infrastructure informatique matérielle et logicielle des centres de données a été acquise </w:t>
            </w:r>
          </w:p>
          <w:p w14:paraId="5A218344" w14:textId="77777777" w:rsidR="00A345F4" w:rsidRDefault="00A345F4">
            <w:pPr>
              <w:spacing w:after="0" w:line="240" w:lineRule="auto"/>
              <w:jc w:val="both"/>
              <w:rPr>
                <w:rFonts w:ascii="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tcPr>
          <w:p w14:paraId="52B5BB2B"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20DA36F1" w14:textId="77777777" w:rsidR="00A345F4" w:rsidRDefault="005E2D4E">
            <w:pPr>
              <w:pStyle w:val="P68B1DB1-Normal14"/>
              <w:spacing w:after="0" w:line="240" w:lineRule="auto"/>
              <w:rPr>
                <w:rFonts w:eastAsia="Times New Roman"/>
                <w:noProof/>
              </w:rPr>
            </w:pPr>
            <w:r>
              <w:rPr>
                <w:noProof/>
              </w:rPr>
              <w:t>Pourcentage (%)</w:t>
            </w:r>
          </w:p>
          <w:p w14:paraId="6E7A789D"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6B7220A9" w14:textId="77777777" w:rsidR="00A345F4" w:rsidRDefault="005E2D4E">
            <w:pPr>
              <w:pStyle w:val="P68B1DB1-Normal14"/>
              <w:spacing w:after="0" w:line="240" w:lineRule="auto"/>
              <w:rPr>
                <w:noProof/>
              </w:rPr>
            </w:pPr>
            <w:r>
              <w:rPr>
                <w:noProof/>
              </w:rPr>
              <w:t>30.67</w:t>
            </w:r>
          </w:p>
        </w:tc>
        <w:tc>
          <w:tcPr>
            <w:tcW w:w="1269" w:type="dxa"/>
            <w:tcBorders>
              <w:top w:val="nil"/>
              <w:left w:val="nil"/>
              <w:bottom w:val="single" w:sz="4" w:space="0" w:color="auto"/>
              <w:right w:val="single" w:sz="4" w:space="0" w:color="auto"/>
            </w:tcBorders>
            <w:shd w:val="clear" w:color="auto" w:fill="C6EFCE"/>
            <w:noWrap/>
          </w:tcPr>
          <w:p w14:paraId="145BD687" w14:textId="77777777" w:rsidR="00A345F4" w:rsidRDefault="005E2D4E">
            <w:pPr>
              <w:pStyle w:val="P68B1DB1-Normal14"/>
              <w:spacing w:after="0" w:line="240" w:lineRule="auto"/>
              <w:rPr>
                <w:noProof/>
              </w:rPr>
            </w:pPr>
            <w:r>
              <w:rPr>
                <w:noProof/>
              </w:rPr>
              <w:t>80</w:t>
            </w:r>
          </w:p>
        </w:tc>
        <w:tc>
          <w:tcPr>
            <w:tcW w:w="1128" w:type="dxa"/>
            <w:tcBorders>
              <w:top w:val="nil"/>
              <w:left w:val="nil"/>
              <w:bottom w:val="single" w:sz="4" w:space="0" w:color="auto"/>
              <w:right w:val="single" w:sz="4" w:space="0" w:color="auto"/>
            </w:tcBorders>
            <w:shd w:val="clear" w:color="auto" w:fill="C6EFCE"/>
            <w:noWrap/>
          </w:tcPr>
          <w:p w14:paraId="2241B882" w14:textId="77777777" w:rsidR="00A345F4" w:rsidRDefault="005E2D4E">
            <w:pPr>
              <w:pStyle w:val="P68B1DB1-Normal14"/>
              <w:spacing w:after="0" w:line="240" w:lineRule="auto"/>
              <w:jc w:val="center"/>
              <w:rPr>
                <w:rFonts w:eastAsia="Times New Roman"/>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4E50274C" w14:textId="77777777" w:rsidR="00A345F4" w:rsidRDefault="005E2D4E">
            <w:pPr>
              <w:pStyle w:val="P68B1DB1-Normal14"/>
              <w:spacing w:before="1200" w:after="0" w:line="240" w:lineRule="auto"/>
              <w:rPr>
                <w:rFonts w:eastAsia="Times New Roman"/>
                <w:noProof/>
              </w:rPr>
            </w:pPr>
            <w:r>
              <w:rPr>
                <w:noProof/>
              </w:rPr>
              <w:t>2026</w:t>
            </w:r>
          </w:p>
        </w:tc>
        <w:tc>
          <w:tcPr>
            <w:tcW w:w="3107" w:type="dxa"/>
            <w:tcBorders>
              <w:top w:val="nil"/>
              <w:left w:val="nil"/>
              <w:bottom w:val="single" w:sz="4" w:space="0" w:color="auto"/>
              <w:right w:val="single" w:sz="4" w:space="0" w:color="auto"/>
            </w:tcBorders>
            <w:shd w:val="clear" w:color="auto" w:fill="C6EFCE"/>
            <w:noWrap/>
          </w:tcPr>
          <w:p w14:paraId="740060CE" w14:textId="77777777" w:rsidR="00A345F4" w:rsidRDefault="005E2D4E">
            <w:pPr>
              <w:pStyle w:val="P68B1DB1-Normal14"/>
              <w:spacing w:after="0" w:line="240" w:lineRule="auto"/>
              <w:jc w:val="both"/>
              <w:rPr>
                <w:noProof/>
              </w:rPr>
            </w:pPr>
            <w:r>
              <w:rPr>
                <w:noProof/>
              </w:rPr>
              <w:t>Acquisition d'une infrastructure matérielle et logicielle et d'une infrastructure de soutien pour la fourniture de services électroniques aux contribuables. L’acquisition d’infrastructures dans les centres de données est prise en compte dans l’inventaire des immobilisations du NCFI/ministère des finances, dans lequel les logiciels, le matériel et les éléments d’infrastructure de soutien sont enregistrés en tant qu’immobilisations conformément à la législation nationale.</w:t>
            </w:r>
          </w:p>
        </w:tc>
      </w:tr>
      <w:tr w:rsidR="00A345F4" w14:paraId="4C9E93F7"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4024551" w14:textId="77777777" w:rsidR="00A345F4" w:rsidRDefault="005E2D4E">
            <w:pPr>
              <w:pStyle w:val="P68B1DB1-Normal14"/>
              <w:spacing w:after="0" w:line="240" w:lineRule="auto"/>
              <w:jc w:val="center"/>
              <w:rPr>
                <w:noProof/>
              </w:rPr>
            </w:pPr>
            <w:r>
              <w:rPr>
                <w:noProof/>
              </w:rPr>
              <w:t>230</w:t>
            </w:r>
          </w:p>
        </w:tc>
        <w:tc>
          <w:tcPr>
            <w:tcW w:w="1833" w:type="dxa"/>
            <w:tcBorders>
              <w:top w:val="nil"/>
              <w:left w:val="nil"/>
              <w:bottom w:val="single" w:sz="4" w:space="0" w:color="auto"/>
              <w:right w:val="single" w:sz="4" w:space="0" w:color="auto"/>
            </w:tcBorders>
            <w:shd w:val="clear" w:color="auto" w:fill="C6EFCE"/>
            <w:noWrap/>
          </w:tcPr>
          <w:p w14:paraId="162A292B" w14:textId="77777777" w:rsidR="00A345F4" w:rsidRDefault="005E2D4E">
            <w:pPr>
              <w:pStyle w:val="P68B1DB1-Normal14"/>
              <w:spacing w:after="0" w:line="240" w:lineRule="auto"/>
              <w:jc w:val="both"/>
              <w:rPr>
                <w:noProof/>
              </w:rPr>
            </w:pPr>
            <w:r>
              <w:rPr>
                <w:noProof/>
              </w:rPr>
              <w:t xml:space="preserve">Investissement 4. Mise en place d'une douane électronique </w:t>
            </w:r>
          </w:p>
        </w:tc>
        <w:tc>
          <w:tcPr>
            <w:tcW w:w="1268" w:type="dxa"/>
            <w:tcBorders>
              <w:top w:val="nil"/>
              <w:left w:val="nil"/>
              <w:bottom w:val="single" w:sz="4" w:space="0" w:color="auto"/>
              <w:right w:val="single" w:sz="4" w:space="0" w:color="auto"/>
            </w:tcBorders>
            <w:shd w:val="clear" w:color="auto" w:fill="C6EFCE"/>
            <w:noWrap/>
          </w:tcPr>
          <w:p w14:paraId="6A7A0A18"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66E232C0" w14:textId="77777777" w:rsidR="00A345F4" w:rsidRDefault="005E2D4E">
            <w:pPr>
              <w:pStyle w:val="P68B1DB1-Normal14"/>
              <w:spacing w:after="0" w:line="240" w:lineRule="auto"/>
              <w:jc w:val="both"/>
              <w:rPr>
                <w:noProof/>
              </w:rPr>
            </w:pPr>
            <w:r>
              <w:rPr>
                <w:noProof/>
              </w:rPr>
              <w:t>Amélioration de l'infrastructure matérielle et logicielle</w:t>
            </w:r>
          </w:p>
          <w:p w14:paraId="0EC1EF82" w14:textId="77777777" w:rsidR="00A345F4" w:rsidRDefault="00A345F4">
            <w:pPr>
              <w:spacing w:after="0" w:line="240" w:lineRule="auto"/>
              <w:jc w:val="both"/>
              <w:rPr>
                <w:rFonts w:ascii="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tcPr>
          <w:p w14:paraId="410DF617"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4FA69C1B" w14:textId="77777777" w:rsidR="00A345F4" w:rsidRDefault="005E2D4E">
            <w:pPr>
              <w:pStyle w:val="P68B1DB1-Normal14"/>
              <w:spacing w:after="0" w:line="240" w:lineRule="auto"/>
              <w:rPr>
                <w:rFonts w:eastAsia="Times New Roman"/>
                <w:noProof/>
              </w:rPr>
            </w:pPr>
            <w:r>
              <w:rPr>
                <w:noProof/>
              </w:rPr>
              <w:t>Pourcentage (%)</w:t>
            </w:r>
          </w:p>
          <w:p w14:paraId="45BFAA26"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64EF54AF" w14:textId="77777777" w:rsidR="00A345F4" w:rsidRDefault="005E2D4E">
            <w:pPr>
              <w:pStyle w:val="P68B1DB1-Normal14"/>
              <w:spacing w:after="0" w:line="240" w:lineRule="auto"/>
              <w:rPr>
                <w:noProof/>
              </w:rPr>
            </w:pPr>
            <w:r>
              <w:rPr>
                <w:noProof/>
              </w:rPr>
              <w:t>0</w:t>
            </w:r>
          </w:p>
        </w:tc>
        <w:tc>
          <w:tcPr>
            <w:tcW w:w="1269" w:type="dxa"/>
            <w:tcBorders>
              <w:top w:val="nil"/>
              <w:left w:val="nil"/>
              <w:bottom w:val="single" w:sz="4" w:space="0" w:color="auto"/>
              <w:right w:val="single" w:sz="4" w:space="0" w:color="auto"/>
            </w:tcBorders>
            <w:shd w:val="clear" w:color="auto" w:fill="C6EFCE"/>
            <w:noWrap/>
          </w:tcPr>
          <w:p w14:paraId="4C90B875" w14:textId="77777777" w:rsidR="00A345F4" w:rsidRDefault="005E2D4E">
            <w:pPr>
              <w:pStyle w:val="P68B1DB1-Normal14"/>
              <w:spacing w:after="0" w:line="240" w:lineRule="auto"/>
              <w:rPr>
                <w:noProof/>
              </w:rPr>
            </w:pPr>
            <w:r>
              <w:rPr>
                <w:noProof/>
              </w:rPr>
              <w:t>100</w:t>
            </w:r>
          </w:p>
        </w:tc>
        <w:tc>
          <w:tcPr>
            <w:tcW w:w="1128" w:type="dxa"/>
            <w:tcBorders>
              <w:top w:val="nil"/>
              <w:left w:val="nil"/>
              <w:bottom w:val="single" w:sz="4" w:space="0" w:color="auto"/>
              <w:right w:val="single" w:sz="4" w:space="0" w:color="auto"/>
            </w:tcBorders>
            <w:shd w:val="clear" w:color="auto" w:fill="C6EFCE"/>
            <w:noWrap/>
          </w:tcPr>
          <w:p w14:paraId="67013625"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34871AE2" w14:textId="77777777" w:rsidR="00A345F4" w:rsidRDefault="005E2D4E">
            <w:pPr>
              <w:pStyle w:val="P68B1DB1-Normal14"/>
              <w:spacing w:after="0" w:line="240" w:lineRule="auto"/>
              <w:jc w:val="center"/>
              <w:rPr>
                <w:noProof/>
              </w:rPr>
            </w:pPr>
            <w:r>
              <w:rPr>
                <w:noProof/>
              </w:rPr>
              <w:t>2022</w:t>
            </w:r>
          </w:p>
        </w:tc>
        <w:tc>
          <w:tcPr>
            <w:tcW w:w="3107" w:type="dxa"/>
            <w:tcBorders>
              <w:top w:val="nil"/>
              <w:left w:val="nil"/>
              <w:bottom w:val="single" w:sz="4" w:space="0" w:color="auto"/>
              <w:right w:val="single" w:sz="4" w:space="0" w:color="auto"/>
            </w:tcBorders>
            <w:shd w:val="clear" w:color="auto" w:fill="C6EFCE"/>
            <w:noWrap/>
          </w:tcPr>
          <w:p w14:paraId="3E1F2A17" w14:textId="77777777" w:rsidR="00A345F4" w:rsidRDefault="005E2D4E">
            <w:pPr>
              <w:pStyle w:val="P68B1DB1-Normal14"/>
              <w:spacing w:after="0" w:line="240" w:lineRule="auto"/>
              <w:jc w:val="both"/>
              <w:rPr>
                <w:noProof/>
              </w:rPr>
            </w:pPr>
            <w:r>
              <w:rPr>
                <w:noProof/>
              </w:rPr>
              <w:t>Amélioration de l'infrastructure logicielle matérielle. Ces projets concernent l’infrastructure informatique, au moyen d’investissements matériels et logiciels, qui fournissent le soutien nécessaire au fonctionnement global du système informatique douanier. Ainsi, cet objectif est utilisé pour déterminer le degré de mise à niveau des infrastructures (douces et dures) et implique des investissements dans: solution de réseau programmable, mises à niveau et licences de code logiciel VMware, avec support / abonnement inclus, solution de sécurité d'infrastructure Système d'information intégré des douanes (TI), y compris services de support, licences et abonnements, licences Oracle Database Enterprise Edition pour les bases de données nécessaires au fonctionnement des composants du système d'information intégré des douanes, solution pour la gestion centralisée des utilisateurs, postes de travail et services de mise à jour pour le système d'exploitation des systèmes du système d'information intégré des douanes.</w:t>
            </w:r>
          </w:p>
        </w:tc>
      </w:tr>
      <w:tr w:rsidR="00A345F4" w14:paraId="742D6FF6"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A9F3BE0" w14:textId="77777777" w:rsidR="00A345F4" w:rsidRDefault="005E2D4E">
            <w:pPr>
              <w:pStyle w:val="P68B1DB1-Normal14"/>
              <w:spacing w:after="0" w:line="240" w:lineRule="auto"/>
              <w:jc w:val="center"/>
              <w:rPr>
                <w:noProof/>
              </w:rPr>
            </w:pPr>
            <w:r>
              <w:rPr>
                <w:noProof/>
              </w:rPr>
              <w:t>232</w:t>
            </w:r>
          </w:p>
        </w:tc>
        <w:tc>
          <w:tcPr>
            <w:tcW w:w="1833" w:type="dxa"/>
            <w:tcBorders>
              <w:top w:val="nil"/>
              <w:left w:val="nil"/>
              <w:bottom w:val="single" w:sz="4" w:space="0" w:color="auto"/>
              <w:right w:val="single" w:sz="4" w:space="0" w:color="auto"/>
            </w:tcBorders>
            <w:shd w:val="clear" w:color="auto" w:fill="C6EFCE"/>
            <w:noWrap/>
          </w:tcPr>
          <w:p w14:paraId="49C8F5B6" w14:textId="77777777" w:rsidR="00A345F4" w:rsidRDefault="005E2D4E">
            <w:pPr>
              <w:pStyle w:val="P68B1DB1-Normal14"/>
              <w:spacing w:after="0" w:line="240" w:lineRule="auto"/>
              <w:jc w:val="both"/>
              <w:rPr>
                <w:noProof/>
              </w:rPr>
            </w:pPr>
            <w:r>
              <w:rPr>
                <w:noProof/>
              </w:rPr>
              <w:t xml:space="preserve">Investissement 4. Mise en place d'une douane électronique </w:t>
            </w:r>
          </w:p>
        </w:tc>
        <w:tc>
          <w:tcPr>
            <w:tcW w:w="1268" w:type="dxa"/>
            <w:tcBorders>
              <w:top w:val="nil"/>
              <w:left w:val="nil"/>
              <w:bottom w:val="single" w:sz="4" w:space="0" w:color="auto"/>
              <w:right w:val="single" w:sz="4" w:space="0" w:color="auto"/>
            </w:tcBorders>
            <w:shd w:val="clear" w:color="auto" w:fill="C6EFCE"/>
            <w:noWrap/>
          </w:tcPr>
          <w:p w14:paraId="3D873257"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06A30AAD" w14:textId="77777777" w:rsidR="00A345F4" w:rsidRDefault="005E2D4E">
            <w:pPr>
              <w:pStyle w:val="P68B1DB1-Normal14"/>
              <w:spacing w:after="0" w:line="240" w:lineRule="auto"/>
              <w:jc w:val="both"/>
              <w:rPr>
                <w:noProof/>
              </w:rPr>
            </w:pPr>
            <w:bookmarkStart w:id="15" w:name="_Hlk211001305"/>
            <w:r>
              <w:rPr>
                <w:noProof/>
              </w:rPr>
              <w:t xml:space="preserve">Interventions pour les systèmes informatiques </w:t>
            </w:r>
            <w:bookmarkEnd w:id="15"/>
          </w:p>
          <w:p w14:paraId="37DD44DF" w14:textId="77777777" w:rsidR="00A345F4" w:rsidRDefault="00A345F4">
            <w:pPr>
              <w:spacing w:after="0" w:line="240" w:lineRule="auto"/>
              <w:jc w:val="both"/>
              <w:rPr>
                <w:rFonts w:ascii="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tcPr>
          <w:p w14:paraId="3EA7F76D" w14:textId="77777777" w:rsidR="00A345F4" w:rsidRDefault="005E2D4E">
            <w:pPr>
              <w:pStyle w:val="P68B1DB1-Normal14"/>
              <w:spacing w:after="0" w:line="240" w:lineRule="auto"/>
              <w:jc w:val="both"/>
              <w:rPr>
                <w:noProof/>
              </w:rPr>
            </w:pPr>
            <w:r>
              <w:rPr>
                <w:noProof/>
              </w:rPr>
              <w:t xml:space="preserve"> </w:t>
            </w:r>
          </w:p>
        </w:tc>
        <w:tc>
          <w:tcPr>
            <w:tcW w:w="1197" w:type="dxa"/>
            <w:tcBorders>
              <w:top w:val="nil"/>
              <w:left w:val="nil"/>
              <w:bottom w:val="single" w:sz="4" w:space="0" w:color="auto"/>
              <w:right w:val="single" w:sz="4" w:space="0" w:color="auto"/>
            </w:tcBorders>
            <w:shd w:val="clear" w:color="auto" w:fill="C6EFCE"/>
            <w:noWrap/>
          </w:tcPr>
          <w:p w14:paraId="4CCBF753" w14:textId="77777777" w:rsidR="00A345F4" w:rsidRDefault="005E2D4E">
            <w:pPr>
              <w:pStyle w:val="P68B1DB1-Normal14"/>
              <w:spacing w:after="0" w:line="240" w:lineRule="auto"/>
              <w:rPr>
                <w:noProof/>
              </w:rPr>
            </w:pPr>
            <w:r>
              <w:rPr>
                <w:noProof/>
              </w:rPr>
              <w:t>Numéro</w:t>
            </w:r>
          </w:p>
        </w:tc>
        <w:tc>
          <w:tcPr>
            <w:tcW w:w="1129" w:type="dxa"/>
            <w:tcBorders>
              <w:top w:val="nil"/>
              <w:left w:val="nil"/>
              <w:bottom w:val="single" w:sz="4" w:space="0" w:color="auto"/>
              <w:right w:val="single" w:sz="4" w:space="0" w:color="auto"/>
            </w:tcBorders>
            <w:shd w:val="clear" w:color="auto" w:fill="C6EFCE"/>
            <w:noWrap/>
          </w:tcPr>
          <w:p w14:paraId="47DC061D" w14:textId="77777777" w:rsidR="00A345F4" w:rsidRDefault="005E2D4E">
            <w:pPr>
              <w:pStyle w:val="P68B1DB1-Normal14"/>
              <w:spacing w:after="0" w:line="240" w:lineRule="auto"/>
              <w:rPr>
                <w:noProof/>
              </w:rPr>
            </w:pPr>
            <w:r>
              <w:rPr>
                <w:noProof/>
              </w:rPr>
              <w:t>0</w:t>
            </w:r>
          </w:p>
        </w:tc>
        <w:tc>
          <w:tcPr>
            <w:tcW w:w="1269" w:type="dxa"/>
            <w:tcBorders>
              <w:top w:val="nil"/>
              <w:left w:val="nil"/>
              <w:bottom w:val="single" w:sz="4" w:space="0" w:color="auto"/>
              <w:right w:val="single" w:sz="4" w:space="0" w:color="auto"/>
            </w:tcBorders>
            <w:shd w:val="clear" w:color="auto" w:fill="C6EFCE"/>
            <w:noWrap/>
          </w:tcPr>
          <w:p w14:paraId="5EE37401" w14:textId="77777777" w:rsidR="00A345F4" w:rsidRDefault="005E2D4E">
            <w:pPr>
              <w:pStyle w:val="P68B1DB1-Normal14"/>
              <w:spacing w:after="0" w:line="240" w:lineRule="auto"/>
              <w:rPr>
                <w:noProof/>
              </w:rPr>
            </w:pPr>
            <w:r>
              <w:rPr>
                <w:noProof/>
              </w:rPr>
              <w:t>9</w:t>
            </w:r>
          </w:p>
        </w:tc>
        <w:tc>
          <w:tcPr>
            <w:tcW w:w="1128" w:type="dxa"/>
            <w:tcBorders>
              <w:top w:val="nil"/>
              <w:left w:val="nil"/>
              <w:bottom w:val="single" w:sz="4" w:space="0" w:color="auto"/>
              <w:right w:val="single" w:sz="4" w:space="0" w:color="auto"/>
            </w:tcBorders>
            <w:shd w:val="clear" w:color="auto" w:fill="C6EFCE"/>
            <w:noWrap/>
          </w:tcPr>
          <w:p w14:paraId="56E632AA" w14:textId="77777777" w:rsidR="00A345F4" w:rsidRDefault="005E2D4E">
            <w:pPr>
              <w:pStyle w:val="P68B1DB1-Normal14"/>
              <w:spacing w:after="0" w:line="240" w:lineRule="auto"/>
              <w:jc w:val="center"/>
              <w:rPr>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5832779A" w14:textId="77777777" w:rsidR="00A345F4" w:rsidRDefault="005E2D4E">
            <w:pPr>
              <w:pStyle w:val="P68B1DB1-Normal14"/>
              <w:spacing w:after="0" w:line="240" w:lineRule="auto"/>
              <w:jc w:val="center"/>
              <w:rPr>
                <w:noProof/>
              </w:rPr>
            </w:pPr>
            <w:r>
              <w:rPr>
                <w:noProof/>
              </w:rPr>
              <w:t>2026</w:t>
            </w:r>
          </w:p>
        </w:tc>
        <w:tc>
          <w:tcPr>
            <w:tcW w:w="3107" w:type="dxa"/>
            <w:tcBorders>
              <w:top w:val="nil"/>
              <w:left w:val="nil"/>
              <w:bottom w:val="single" w:sz="4" w:space="0" w:color="auto"/>
              <w:right w:val="single" w:sz="4" w:space="0" w:color="auto"/>
            </w:tcBorders>
            <w:shd w:val="clear" w:color="auto" w:fill="C6EFCE"/>
            <w:noWrap/>
          </w:tcPr>
          <w:p w14:paraId="2323329A" w14:textId="77777777" w:rsidR="00A345F4" w:rsidRDefault="005E2D4E">
            <w:pPr>
              <w:pStyle w:val="P68B1DB1-Normal14"/>
              <w:spacing w:after="0" w:line="240" w:lineRule="auto"/>
              <w:jc w:val="both"/>
              <w:rPr>
                <w:noProof/>
              </w:rPr>
            </w:pPr>
            <w:r>
              <w:rPr>
                <w:noProof/>
              </w:rPr>
              <w:t>1. le système informatique de la déclaration en douane est fonctionnel,</w:t>
            </w:r>
          </w:p>
          <w:p w14:paraId="185907C1" w14:textId="77777777" w:rsidR="00A345F4" w:rsidRDefault="005E2D4E">
            <w:pPr>
              <w:pStyle w:val="P68B1DB1-Normal14"/>
              <w:spacing w:after="0" w:line="240" w:lineRule="auto"/>
              <w:jc w:val="both"/>
              <w:rPr>
                <w:noProof/>
              </w:rPr>
            </w:pPr>
            <w:r>
              <w:rPr>
                <w:noProof/>
              </w:rPr>
              <w:t>2. Alignement sur le système ICS2 (système de contrôle des importations) - phase 1, respectivement interconnexion du système national d'analyse des risques RMF-(cadre de gestion des risques) RO avec le système transeuropéen ICS2. Alignement sur le système ICS2 - phase 2 et alignement sur le système ICS2 - phase 3,</w:t>
            </w:r>
          </w:p>
          <w:p w14:paraId="2A8B275E" w14:textId="77777777" w:rsidR="00A345F4" w:rsidRDefault="005E2D4E">
            <w:pPr>
              <w:pStyle w:val="P68B1DB1-Normal14"/>
              <w:spacing w:after="0" w:line="240" w:lineRule="auto"/>
              <w:jc w:val="both"/>
              <w:rPr>
                <w:noProof/>
              </w:rPr>
            </w:pPr>
            <w:r>
              <w:rPr>
                <w:noProof/>
              </w:rPr>
              <w:t>3. alignement du système EMCS_RO (système de contrôle des mouvements soumis à accise) sur la phase 4 de l’EMCS, respectivement alignement sur les versions actuelles du système EMCS (système de contrôle des mouvements soumis à accise),</w:t>
            </w:r>
          </w:p>
          <w:p w14:paraId="37721A17" w14:textId="77777777" w:rsidR="00A345F4" w:rsidRDefault="005E2D4E">
            <w:pPr>
              <w:pStyle w:val="P68B1DB1-Normal14"/>
              <w:spacing w:after="0" w:line="240" w:lineRule="auto"/>
              <w:jc w:val="both"/>
              <w:rPr>
                <w:noProof/>
              </w:rPr>
            </w:pPr>
            <w:r>
              <w:rPr>
                <w:noProof/>
              </w:rPr>
              <w:t>4.NCTS_RO (système national de transit commun) phase 5 et AES_RO sont fonctionnels,</w:t>
            </w:r>
          </w:p>
          <w:p w14:paraId="2F5FAF23" w14:textId="068A5073" w:rsidR="00A345F4" w:rsidRDefault="005E2D4E">
            <w:pPr>
              <w:pStyle w:val="P68B1DB1-Normal14"/>
              <w:spacing w:after="0" w:line="240" w:lineRule="auto"/>
              <w:jc w:val="both"/>
              <w:rPr>
                <w:noProof/>
              </w:rPr>
            </w:pPr>
            <w:r>
              <w:rPr>
                <w:noProof/>
              </w:rPr>
              <w:t>5. Modernisation du système national d’importation dans le cadre du code des douanes de l’Union, y compris les mises à jour des applications connexes,</w:t>
            </w:r>
          </w:p>
          <w:p w14:paraId="04CE8FD6" w14:textId="77777777" w:rsidR="00A345F4" w:rsidRDefault="005E2D4E">
            <w:pPr>
              <w:pStyle w:val="P68B1DB1-Normal14"/>
              <w:spacing w:after="0" w:line="240" w:lineRule="auto"/>
              <w:jc w:val="both"/>
              <w:rPr>
                <w:noProof/>
              </w:rPr>
            </w:pPr>
            <w:r>
              <w:rPr>
                <w:noProof/>
              </w:rPr>
              <w:t>6. UUM &amp; DS Uniform User Management et Digital Signature sont fonctionnels,</w:t>
            </w:r>
          </w:p>
          <w:p w14:paraId="0370A81D" w14:textId="77777777" w:rsidR="00A345F4" w:rsidRDefault="005E2D4E">
            <w:pPr>
              <w:pStyle w:val="P68B1DB1-Normal14"/>
              <w:spacing w:after="0" w:line="240" w:lineRule="auto"/>
              <w:jc w:val="both"/>
              <w:rPr>
                <w:noProof/>
              </w:rPr>
            </w:pPr>
            <w:r>
              <w:rPr>
                <w:noProof/>
              </w:rPr>
              <w:t>7. Le système de surveillance de l’activité de surveillance et de contrôle douaniers est fonctionnel,</w:t>
            </w:r>
          </w:p>
          <w:p w14:paraId="13EE09D3" w14:textId="77777777" w:rsidR="00A345F4" w:rsidRDefault="005E2D4E">
            <w:pPr>
              <w:pStyle w:val="P68B1DB1-Normal14"/>
              <w:spacing w:after="0" w:line="240" w:lineRule="auto"/>
              <w:rPr>
                <w:noProof/>
              </w:rPr>
            </w:pPr>
            <w:r>
              <w:rPr>
                <w:noProof/>
              </w:rPr>
              <w:t>8. La demande d'autorisation et de gestion des activités dans la zone franche est fonctionnelle</w:t>
            </w:r>
          </w:p>
          <w:p w14:paraId="2DFB9A5A" w14:textId="77777777" w:rsidR="00A345F4" w:rsidRDefault="005E2D4E">
            <w:pPr>
              <w:pStyle w:val="P68B1DB1-Normal14"/>
              <w:spacing w:after="0" w:line="240" w:lineRule="auto"/>
              <w:jc w:val="both"/>
              <w:rPr>
                <w:noProof/>
              </w:rPr>
            </w:pPr>
            <w:r>
              <w:rPr>
                <w:noProof/>
              </w:rPr>
              <w:t xml:space="preserve">9. La demande de gestion des décisions nationales (autorisations) est fonctionnelle. </w:t>
            </w:r>
          </w:p>
          <w:p w14:paraId="285D391A" w14:textId="77777777" w:rsidR="00A345F4" w:rsidRDefault="00A345F4">
            <w:pPr>
              <w:spacing w:after="0" w:line="240" w:lineRule="auto"/>
              <w:jc w:val="both"/>
              <w:rPr>
                <w:rFonts w:ascii="Times New Roman" w:hAnsi="Times New Roman" w:cs="Times New Roman"/>
                <w:noProof/>
                <w:sz w:val="20"/>
                <w:szCs w:val="20"/>
              </w:rPr>
            </w:pPr>
          </w:p>
          <w:p w14:paraId="1B645C16" w14:textId="77777777" w:rsidR="00A345F4" w:rsidRDefault="005E2D4E">
            <w:pPr>
              <w:pStyle w:val="P68B1DB1-Normal14"/>
              <w:spacing w:after="0" w:line="240" w:lineRule="auto"/>
              <w:jc w:val="both"/>
              <w:rPr>
                <w:noProof/>
              </w:rPr>
            </w:pPr>
            <w:bookmarkStart w:id="16" w:name="_Hlk210998615"/>
            <w:r>
              <w:rPr>
                <w:noProof/>
              </w:rPr>
              <w:t>En outre, deux bureaux de douane frontaliers sont équipés de scanners.</w:t>
            </w:r>
            <w:bookmarkEnd w:id="16"/>
          </w:p>
        </w:tc>
      </w:tr>
      <w:tr w:rsidR="00A345F4" w14:paraId="7831BDA1"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E2D2482" w14:textId="77777777" w:rsidR="00A345F4" w:rsidRDefault="005E2D4E">
            <w:pPr>
              <w:pStyle w:val="P68B1DB1-Normal14"/>
              <w:spacing w:after="0" w:line="240" w:lineRule="auto"/>
              <w:jc w:val="center"/>
              <w:rPr>
                <w:noProof/>
              </w:rPr>
            </w:pPr>
            <w:r>
              <w:rPr>
                <w:noProof/>
              </w:rPr>
              <w:t>233</w:t>
            </w:r>
          </w:p>
        </w:tc>
        <w:tc>
          <w:tcPr>
            <w:tcW w:w="1833" w:type="dxa"/>
            <w:tcBorders>
              <w:top w:val="nil"/>
              <w:left w:val="nil"/>
              <w:bottom w:val="single" w:sz="4" w:space="0" w:color="auto"/>
              <w:right w:val="single" w:sz="4" w:space="0" w:color="auto"/>
            </w:tcBorders>
            <w:shd w:val="clear" w:color="auto" w:fill="C6EFCE"/>
            <w:noWrap/>
          </w:tcPr>
          <w:p w14:paraId="74DE57AE" w14:textId="77777777" w:rsidR="00A345F4" w:rsidRDefault="005E2D4E">
            <w:pPr>
              <w:pStyle w:val="P68B1DB1-Normal14"/>
              <w:spacing w:after="0" w:line="240" w:lineRule="auto"/>
              <w:jc w:val="both"/>
              <w:rPr>
                <w:noProof/>
              </w:rPr>
            </w:pPr>
            <w:r>
              <w:rPr>
                <w:noProof/>
              </w:rPr>
              <w:t xml:space="preserve">Investissement 4. Mise en place d'une douane électronique </w:t>
            </w:r>
          </w:p>
        </w:tc>
        <w:tc>
          <w:tcPr>
            <w:tcW w:w="1268" w:type="dxa"/>
            <w:tcBorders>
              <w:top w:val="nil"/>
              <w:left w:val="nil"/>
              <w:bottom w:val="single" w:sz="4" w:space="0" w:color="auto"/>
              <w:right w:val="single" w:sz="4" w:space="0" w:color="auto"/>
            </w:tcBorders>
            <w:shd w:val="clear" w:color="auto" w:fill="C6EFCE"/>
            <w:noWrap/>
          </w:tcPr>
          <w:p w14:paraId="10D6A0DB" w14:textId="77777777" w:rsidR="00A345F4" w:rsidRDefault="005E2D4E">
            <w:pPr>
              <w:pStyle w:val="P68B1DB1-Normal14"/>
              <w:spacing w:after="0" w:line="240" w:lineRule="auto"/>
              <w:jc w:val="center"/>
              <w:rPr>
                <w:noProof/>
              </w:rPr>
            </w:pPr>
            <w:r>
              <w:rPr>
                <w:noProof/>
              </w:rPr>
              <w:t>Objectif</w:t>
            </w:r>
          </w:p>
        </w:tc>
        <w:tc>
          <w:tcPr>
            <w:tcW w:w="1557" w:type="dxa"/>
            <w:tcBorders>
              <w:top w:val="nil"/>
              <w:left w:val="nil"/>
              <w:bottom w:val="single" w:sz="4" w:space="0" w:color="auto"/>
              <w:right w:val="single" w:sz="4" w:space="0" w:color="auto"/>
            </w:tcBorders>
            <w:shd w:val="clear" w:color="auto" w:fill="C6EFCE"/>
            <w:noWrap/>
          </w:tcPr>
          <w:p w14:paraId="14E5A1BE" w14:textId="77777777" w:rsidR="00A345F4" w:rsidRDefault="005E2D4E">
            <w:pPr>
              <w:pStyle w:val="P68B1DB1-Normal14"/>
              <w:spacing w:after="0" w:line="240" w:lineRule="auto"/>
              <w:jc w:val="both"/>
              <w:rPr>
                <w:noProof/>
              </w:rPr>
            </w:pPr>
            <w:r>
              <w:rPr>
                <w:noProof/>
              </w:rPr>
              <w:t>Pourcentage des activités douanières effectuées par voie électronique</w:t>
            </w:r>
          </w:p>
        </w:tc>
        <w:tc>
          <w:tcPr>
            <w:tcW w:w="1560" w:type="dxa"/>
            <w:tcBorders>
              <w:top w:val="nil"/>
              <w:left w:val="nil"/>
              <w:bottom w:val="single" w:sz="4" w:space="0" w:color="auto"/>
              <w:right w:val="single" w:sz="4" w:space="0" w:color="auto"/>
            </w:tcBorders>
            <w:shd w:val="clear" w:color="auto" w:fill="C6EFCE"/>
            <w:noWrap/>
          </w:tcPr>
          <w:p w14:paraId="487AA1A2" w14:textId="77777777" w:rsidR="00A345F4" w:rsidRDefault="00A345F4">
            <w:pPr>
              <w:spacing w:after="0" w:line="240" w:lineRule="auto"/>
              <w:jc w:val="both"/>
              <w:rPr>
                <w:rFonts w:ascii="Times New Roman" w:hAnsi="Times New Roman" w:cs="Times New Roman"/>
                <w:noProof/>
                <w:sz w:val="20"/>
                <w:szCs w:val="20"/>
              </w:rPr>
            </w:pPr>
          </w:p>
        </w:tc>
        <w:tc>
          <w:tcPr>
            <w:tcW w:w="1197" w:type="dxa"/>
            <w:tcBorders>
              <w:top w:val="nil"/>
              <w:left w:val="nil"/>
              <w:bottom w:val="single" w:sz="4" w:space="0" w:color="auto"/>
              <w:right w:val="single" w:sz="4" w:space="0" w:color="auto"/>
            </w:tcBorders>
            <w:shd w:val="clear" w:color="auto" w:fill="C6EFCE"/>
            <w:noWrap/>
          </w:tcPr>
          <w:p w14:paraId="239792C1" w14:textId="77777777" w:rsidR="00A345F4" w:rsidRDefault="005E2D4E">
            <w:pPr>
              <w:pStyle w:val="P68B1DB1-Normal14"/>
              <w:spacing w:after="0" w:line="240" w:lineRule="auto"/>
              <w:rPr>
                <w:rFonts w:eastAsia="Times New Roman"/>
                <w:noProof/>
              </w:rPr>
            </w:pPr>
            <w:r>
              <w:rPr>
                <w:noProof/>
              </w:rPr>
              <w:t>Pourcentage (%)</w:t>
            </w:r>
          </w:p>
          <w:p w14:paraId="08E5B3DC"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6F31A5CF" w14:textId="77777777" w:rsidR="00A345F4" w:rsidRDefault="005E2D4E">
            <w:pPr>
              <w:pStyle w:val="P68B1DB1-Normal14"/>
              <w:spacing w:after="0" w:line="240" w:lineRule="auto"/>
              <w:rPr>
                <w:noProof/>
              </w:rPr>
            </w:pPr>
            <w:r>
              <w:rPr>
                <w:noProof/>
              </w:rPr>
              <w:t>80</w:t>
            </w:r>
          </w:p>
        </w:tc>
        <w:tc>
          <w:tcPr>
            <w:tcW w:w="1269" w:type="dxa"/>
            <w:tcBorders>
              <w:top w:val="nil"/>
              <w:left w:val="nil"/>
              <w:bottom w:val="single" w:sz="4" w:space="0" w:color="auto"/>
              <w:right w:val="single" w:sz="4" w:space="0" w:color="auto"/>
            </w:tcBorders>
            <w:shd w:val="clear" w:color="auto" w:fill="C6EFCE"/>
            <w:noWrap/>
          </w:tcPr>
          <w:p w14:paraId="5EB2DA74" w14:textId="77777777" w:rsidR="00A345F4" w:rsidRDefault="005E2D4E">
            <w:pPr>
              <w:pStyle w:val="P68B1DB1-Normal14"/>
              <w:spacing w:after="0" w:line="240" w:lineRule="auto"/>
              <w:rPr>
                <w:noProof/>
              </w:rPr>
            </w:pPr>
            <w:r>
              <w:rPr>
                <w:noProof/>
              </w:rPr>
              <w:t>100</w:t>
            </w:r>
          </w:p>
        </w:tc>
        <w:tc>
          <w:tcPr>
            <w:tcW w:w="1128" w:type="dxa"/>
            <w:tcBorders>
              <w:top w:val="nil"/>
              <w:left w:val="nil"/>
              <w:bottom w:val="single" w:sz="4" w:space="0" w:color="auto"/>
              <w:right w:val="single" w:sz="4" w:space="0" w:color="auto"/>
            </w:tcBorders>
            <w:shd w:val="clear" w:color="auto" w:fill="C6EFCE"/>
            <w:noWrap/>
          </w:tcPr>
          <w:p w14:paraId="0E736F7B"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7D888544" w14:textId="77777777" w:rsidR="00A345F4" w:rsidRDefault="005E2D4E">
            <w:pPr>
              <w:pStyle w:val="P68B1DB1-Normal14"/>
              <w:spacing w:after="0" w:line="240" w:lineRule="auto"/>
              <w:jc w:val="center"/>
              <w:rPr>
                <w:noProof/>
              </w:rPr>
            </w:pPr>
            <w:r>
              <w:rPr>
                <w:noProof/>
              </w:rPr>
              <w:t>2025</w:t>
            </w:r>
          </w:p>
        </w:tc>
        <w:tc>
          <w:tcPr>
            <w:tcW w:w="3107" w:type="dxa"/>
            <w:tcBorders>
              <w:top w:val="nil"/>
              <w:left w:val="nil"/>
              <w:bottom w:val="single" w:sz="4" w:space="0" w:color="auto"/>
              <w:right w:val="single" w:sz="4" w:space="0" w:color="auto"/>
            </w:tcBorders>
            <w:shd w:val="clear" w:color="auto" w:fill="C6EFCE"/>
            <w:noWrap/>
          </w:tcPr>
          <w:p w14:paraId="796D7BC2" w14:textId="77777777" w:rsidR="00A345F4" w:rsidRDefault="005E2D4E">
            <w:pPr>
              <w:pStyle w:val="P68B1DB1-Normal14"/>
              <w:spacing w:after="0" w:line="240" w:lineRule="auto"/>
              <w:jc w:val="both"/>
              <w:rPr>
                <w:noProof/>
              </w:rPr>
            </w:pPr>
            <w:r>
              <w:rPr>
                <w:noProof/>
              </w:rPr>
              <w:t>Cet investissement porte à 100 % le pourcentage de l'activité de dédouanement, de l'échange d'informations entre les opérateurs économiques et les autorités douanières et de l'échange d'informations entre les autorités douanières des États membres effectué par voie électronique.</w:t>
            </w:r>
          </w:p>
        </w:tc>
      </w:tr>
      <w:tr w:rsidR="00A345F4" w14:paraId="33CB165D"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744C8F1" w14:textId="77777777" w:rsidR="00A345F4" w:rsidRDefault="005E2D4E">
            <w:pPr>
              <w:pStyle w:val="P68B1DB1-Normal14"/>
              <w:spacing w:after="0" w:line="240" w:lineRule="auto"/>
              <w:jc w:val="center"/>
              <w:rPr>
                <w:noProof/>
              </w:rPr>
            </w:pPr>
            <w:r>
              <w:rPr>
                <w:noProof/>
              </w:rPr>
              <w:t>234</w:t>
            </w:r>
          </w:p>
        </w:tc>
        <w:tc>
          <w:tcPr>
            <w:tcW w:w="1833" w:type="dxa"/>
            <w:tcBorders>
              <w:top w:val="nil"/>
              <w:left w:val="nil"/>
              <w:bottom w:val="single" w:sz="4" w:space="0" w:color="auto"/>
              <w:right w:val="single" w:sz="4" w:space="0" w:color="auto"/>
            </w:tcBorders>
            <w:shd w:val="clear" w:color="auto" w:fill="C6EFCE"/>
            <w:noWrap/>
          </w:tcPr>
          <w:p w14:paraId="14DD9E58" w14:textId="77777777" w:rsidR="00A345F4" w:rsidRDefault="005E2D4E">
            <w:pPr>
              <w:pStyle w:val="P68B1DB1-Normal14"/>
              <w:spacing w:after="0" w:line="240" w:lineRule="auto"/>
              <w:jc w:val="both"/>
              <w:rPr>
                <w:noProof/>
              </w:rPr>
            </w:pPr>
            <w:r>
              <w:rPr>
                <w:noProof/>
              </w:rPr>
              <w:t xml:space="preserve">Investissement 5. Renforcement du mécanisme de programmation budgétaire </w:t>
            </w:r>
          </w:p>
        </w:tc>
        <w:tc>
          <w:tcPr>
            <w:tcW w:w="1268" w:type="dxa"/>
            <w:tcBorders>
              <w:top w:val="nil"/>
              <w:left w:val="nil"/>
              <w:bottom w:val="single" w:sz="4" w:space="0" w:color="auto"/>
              <w:right w:val="single" w:sz="4" w:space="0" w:color="auto"/>
            </w:tcBorders>
            <w:shd w:val="clear" w:color="auto" w:fill="C6EFCE"/>
            <w:noWrap/>
          </w:tcPr>
          <w:p w14:paraId="151052D0"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2E45BBEC" w14:textId="77777777" w:rsidR="00A345F4" w:rsidRDefault="005E2D4E">
            <w:pPr>
              <w:pStyle w:val="P68B1DB1-Normal14"/>
              <w:spacing w:after="0" w:line="240" w:lineRule="auto"/>
              <w:jc w:val="both"/>
              <w:rPr>
                <w:noProof/>
              </w:rPr>
            </w:pPr>
            <w:r>
              <w:rPr>
                <w:noProof/>
              </w:rPr>
              <w:t>Mise à jour du système informatique BUGET_NG</w:t>
            </w:r>
          </w:p>
        </w:tc>
        <w:tc>
          <w:tcPr>
            <w:tcW w:w="1560" w:type="dxa"/>
            <w:tcBorders>
              <w:top w:val="nil"/>
              <w:left w:val="nil"/>
              <w:bottom w:val="single" w:sz="4" w:space="0" w:color="auto"/>
              <w:right w:val="single" w:sz="4" w:space="0" w:color="auto"/>
            </w:tcBorders>
            <w:shd w:val="clear" w:color="auto" w:fill="C6EFCE"/>
            <w:noWrap/>
          </w:tcPr>
          <w:p w14:paraId="444715B7" w14:textId="77777777" w:rsidR="00A345F4" w:rsidRDefault="005E2D4E">
            <w:pPr>
              <w:pStyle w:val="P68B1DB1-Normal14"/>
              <w:spacing w:after="0" w:line="240" w:lineRule="auto"/>
              <w:jc w:val="both"/>
              <w:rPr>
                <w:noProof/>
              </w:rPr>
            </w:pPr>
            <w:r>
              <w:rPr>
                <w:noProof/>
              </w:rPr>
              <w:t>Mise à jour du système Budget_NG</w:t>
            </w:r>
          </w:p>
        </w:tc>
        <w:tc>
          <w:tcPr>
            <w:tcW w:w="1197" w:type="dxa"/>
            <w:tcBorders>
              <w:top w:val="nil"/>
              <w:left w:val="nil"/>
              <w:bottom w:val="single" w:sz="4" w:space="0" w:color="auto"/>
              <w:right w:val="single" w:sz="4" w:space="0" w:color="auto"/>
            </w:tcBorders>
            <w:shd w:val="clear" w:color="auto" w:fill="C6EFCE"/>
            <w:noWrap/>
          </w:tcPr>
          <w:p w14:paraId="7618E42B"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33F64BE5"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0ACA56DA"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0F72A7B0"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3C97D125" w14:textId="77777777" w:rsidR="00A345F4" w:rsidRDefault="005E2D4E">
            <w:pPr>
              <w:pStyle w:val="P68B1DB1-Normal14"/>
              <w:spacing w:after="0" w:line="240" w:lineRule="auto"/>
              <w:jc w:val="center"/>
              <w:rPr>
                <w:noProof/>
              </w:rPr>
            </w:pPr>
            <w:r>
              <w:rPr>
                <w:noProof/>
              </w:rPr>
              <w:t>2025</w:t>
            </w:r>
          </w:p>
        </w:tc>
        <w:tc>
          <w:tcPr>
            <w:tcW w:w="3107" w:type="dxa"/>
            <w:tcBorders>
              <w:top w:val="nil"/>
              <w:left w:val="nil"/>
              <w:bottom w:val="single" w:sz="4" w:space="0" w:color="auto"/>
              <w:right w:val="single" w:sz="4" w:space="0" w:color="auto"/>
            </w:tcBorders>
            <w:shd w:val="clear" w:color="auto" w:fill="C6EFCE"/>
            <w:noWrap/>
          </w:tcPr>
          <w:p w14:paraId="273F59DA" w14:textId="57F09D13" w:rsidR="00A345F4" w:rsidRDefault="005E2D4E">
            <w:pPr>
              <w:pStyle w:val="P68B1DB1-Normal14"/>
              <w:spacing w:after="0" w:line="240" w:lineRule="auto"/>
              <w:jc w:val="both"/>
              <w:rPr>
                <w:noProof/>
              </w:rPr>
            </w:pPr>
            <w:r>
              <w:rPr>
                <w:noProof/>
              </w:rPr>
              <w:t>Mettre à jour le système informatique pour la préparation et la gestion du budget national afin de permettre:</w:t>
            </w:r>
          </w:p>
          <w:p w14:paraId="4466B8C4" w14:textId="77777777" w:rsidR="00A345F4" w:rsidRDefault="005E2D4E">
            <w:pPr>
              <w:pStyle w:val="P68B1DB1-Normal14"/>
              <w:spacing w:after="0" w:line="240" w:lineRule="auto"/>
              <w:jc w:val="both"/>
              <w:rPr>
                <w:noProof/>
              </w:rPr>
            </w:pPr>
            <w:r>
              <w:rPr>
                <w:noProof/>
              </w:rPr>
              <w:t xml:space="preserve">- la gestion des données et des informations sur les dépenses budgétaires, au niveau des politiques et des programmes (analyse des procédures budgétaires, rationalisation des délais de production des rapports), </w:t>
            </w:r>
            <w:r>
              <w:rPr>
                <w:noProof/>
              </w:rPr>
              <w:br/>
              <w:t xml:space="preserve">- transparence accrue du processus budgétaire par la publication d'analyses et de rapports . </w:t>
            </w:r>
            <w:r>
              <w:rPr>
                <w:noProof/>
              </w:rPr>
              <w:br/>
              <w:t xml:space="preserve">- Moderniser le système de suivi et d'établissement de rapports sur les programmes budgétaires. </w:t>
            </w:r>
          </w:p>
        </w:tc>
      </w:tr>
      <w:tr w:rsidR="00A345F4" w14:paraId="2D294795"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125BB7D" w14:textId="77777777" w:rsidR="00A345F4" w:rsidRDefault="005E2D4E">
            <w:pPr>
              <w:pStyle w:val="P68B1DB1-Normal14"/>
              <w:spacing w:after="0" w:line="240" w:lineRule="auto"/>
              <w:jc w:val="center"/>
              <w:rPr>
                <w:noProof/>
              </w:rPr>
            </w:pPr>
            <w:r>
              <w:rPr>
                <w:noProof/>
              </w:rPr>
              <w:t>235</w:t>
            </w:r>
          </w:p>
        </w:tc>
        <w:tc>
          <w:tcPr>
            <w:tcW w:w="1833" w:type="dxa"/>
            <w:tcBorders>
              <w:top w:val="nil"/>
              <w:left w:val="nil"/>
              <w:bottom w:val="single" w:sz="4" w:space="0" w:color="auto"/>
              <w:right w:val="single" w:sz="4" w:space="0" w:color="auto"/>
            </w:tcBorders>
            <w:shd w:val="clear" w:color="auto" w:fill="C6EFCE"/>
            <w:noWrap/>
          </w:tcPr>
          <w:p w14:paraId="6F966BBF" w14:textId="77777777" w:rsidR="00A345F4" w:rsidRDefault="005E2D4E">
            <w:pPr>
              <w:pStyle w:val="P68B1DB1-Normal14"/>
              <w:spacing w:after="0" w:line="240" w:lineRule="auto"/>
              <w:jc w:val="both"/>
              <w:rPr>
                <w:noProof/>
              </w:rPr>
            </w:pPr>
            <w:r>
              <w:rPr>
                <w:noProof/>
              </w:rPr>
              <w:t>Investissement 6. Instrument de modélisation économique (boîte à outils de simulation des options de réforme des pensions) pour accroître la capacité institutionnelle à prévoir les dépenses de retraite</w:t>
            </w:r>
          </w:p>
        </w:tc>
        <w:tc>
          <w:tcPr>
            <w:tcW w:w="1268" w:type="dxa"/>
            <w:tcBorders>
              <w:top w:val="nil"/>
              <w:left w:val="nil"/>
              <w:bottom w:val="single" w:sz="4" w:space="0" w:color="auto"/>
              <w:right w:val="single" w:sz="4" w:space="0" w:color="auto"/>
            </w:tcBorders>
            <w:shd w:val="clear" w:color="auto" w:fill="C6EFCE"/>
            <w:noWrap/>
          </w:tcPr>
          <w:p w14:paraId="78B06735"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227460F4" w14:textId="77777777" w:rsidR="00A345F4" w:rsidRDefault="005E2D4E">
            <w:pPr>
              <w:pStyle w:val="P68B1DB1-Normal14"/>
              <w:spacing w:after="0" w:line="240" w:lineRule="auto"/>
              <w:jc w:val="both"/>
              <w:rPr>
                <w:noProof/>
              </w:rPr>
            </w:pPr>
            <w:r>
              <w:rPr>
                <w:noProof/>
              </w:rPr>
              <w:t>Mise à jour de l'outil de modélisation économique</w:t>
            </w:r>
          </w:p>
        </w:tc>
        <w:tc>
          <w:tcPr>
            <w:tcW w:w="1560" w:type="dxa"/>
            <w:tcBorders>
              <w:top w:val="nil"/>
              <w:left w:val="nil"/>
              <w:bottom w:val="single" w:sz="4" w:space="0" w:color="auto"/>
              <w:right w:val="single" w:sz="4" w:space="0" w:color="auto"/>
            </w:tcBorders>
            <w:shd w:val="clear" w:color="auto" w:fill="C6EFCE"/>
            <w:noWrap/>
          </w:tcPr>
          <w:p w14:paraId="65B83E7D" w14:textId="77777777" w:rsidR="00A345F4" w:rsidRDefault="005E2D4E">
            <w:pPr>
              <w:pStyle w:val="P68B1DB1-Normal14"/>
              <w:spacing w:after="0" w:line="240" w:lineRule="auto"/>
              <w:jc w:val="both"/>
              <w:rPr>
                <w:noProof/>
              </w:rPr>
            </w:pPr>
            <w:r>
              <w:rPr>
                <w:noProof/>
              </w:rPr>
              <w:t>Mise à jour de l'outil de modélisation économique</w:t>
            </w:r>
          </w:p>
        </w:tc>
        <w:tc>
          <w:tcPr>
            <w:tcW w:w="1197" w:type="dxa"/>
            <w:tcBorders>
              <w:top w:val="nil"/>
              <w:left w:val="nil"/>
              <w:bottom w:val="single" w:sz="4" w:space="0" w:color="auto"/>
              <w:right w:val="single" w:sz="4" w:space="0" w:color="auto"/>
            </w:tcBorders>
            <w:shd w:val="clear" w:color="auto" w:fill="C6EFCE"/>
            <w:noWrap/>
          </w:tcPr>
          <w:p w14:paraId="6842370C"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4F46A7F1"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64A5A78F"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4219FF14"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7A5B6BD8" w14:textId="77777777" w:rsidR="00A345F4" w:rsidRDefault="005E2D4E">
            <w:pPr>
              <w:pStyle w:val="P68B1DB1-Normal14"/>
              <w:spacing w:after="0" w:line="240" w:lineRule="auto"/>
              <w:jc w:val="center"/>
              <w:rPr>
                <w:noProof/>
              </w:rPr>
            </w:pPr>
            <w:r>
              <w:rPr>
                <w:noProof/>
              </w:rPr>
              <w:t>2023</w:t>
            </w:r>
          </w:p>
        </w:tc>
        <w:tc>
          <w:tcPr>
            <w:tcW w:w="3107" w:type="dxa"/>
            <w:tcBorders>
              <w:top w:val="nil"/>
              <w:left w:val="nil"/>
              <w:bottom w:val="single" w:sz="4" w:space="0" w:color="auto"/>
              <w:right w:val="single" w:sz="4" w:space="0" w:color="auto"/>
            </w:tcBorders>
            <w:shd w:val="clear" w:color="auto" w:fill="C6EFCE"/>
            <w:noWrap/>
          </w:tcPr>
          <w:p w14:paraId="2045258C" w14:textId="77777777" w:rsidR="00A345F4" w:rsidRDefault="005E2D4E">
            <w:pPr>
              <w:pStyle w:val="P68B1DB1-Normal14"/>
              <w:spacing w:after="0" w:line="240" w:lineRule="auto"/>
              <w:jc w:val="both"/>
              <w:rPr>
                <w:noProof/>
              </w:rPr>
            </w:pPr>
            <w:r>
              <w:rPr>
                <w:noProof/>
              </w:rPr>
              <w:t>L’outil de modélisation économique (modèle de la boîte à outils de simulation des options de réforme des retraites) est mis à jour afin d’estimer l’incidence (ex ante) des réformes structurelles des retraites à moyen et à long terme, d’affiner les projections établies et d’analyser la viabilité du système de retraite.</w:t>
            </w:r>
          </w:p>
          <w:p w14:paraId="757FA3FF" w14:textId="64DC64E6" w:rsidR="00A345F4" w:rsidRDefault="005E2D4E">
            <w:pPr>
              <w:pStyle w:val="P68B1DB1-Normal40"/>
              <w:spacing w:after="0" w:line="240" w:lineRule="auto"/>
              <w:jc w:val="both"/>
              <w:rPr>
                <w:rFonts w:ascii="Times New Roman" w:eastAsia="Calibri" w:hAnsi="Times New Roman" w:cs="Times New Roman"/>
                <w:noProof/>
                <w:color w:val="4EA72E" w:themeColor="accent6"/>
              </w:rPr>
            </w:pPr>
            <w:r>
              <w:rPr>
                <w:rFonts w:ascii="Times New Roman" w:hAnsi="Times New Roman" w:cs="Times New Roman"/>
                <w:noProof/>
              </w:rPr>
              <w:t>L’investissement couvre également la formation des huit membres du personnel responsables utilisant la nouvelle boîte à outils.</w:t>
            </w:r>
            <w:r>
              <w:rPr>
                <w:rFonts w:ascii="Times New Roman" w:eastAsia="Calibri" w:hAnsi="Times New Roman" w:cs="Times New Roman"/>
                <w:noProof/>
                <w:color w:val="4EA72E" w:themeColor="accent6"/>
              </w:rPr>
              <w:t xml:space="preserve"> </w:t>
            </w:r>
          </w:p>
          <w:p w14:paraId="3CC3588F" w14:textId="77777777" w:rsidR="00A345F4" w:rsidRDefault="00A345F4">
            <w:pPr>
              <w:spacing w:after="0" w:line="240" w:lineRule="auto"/>
              <w:jc w:val="both"/>
              <w:rPr>
                <w:rFonts w:ascii="Times New Roman" w:eastAsia="Calibri" w:hAnsi="Times New Roman" w:cs="Times New Roman"/>
                <w:noProof/>
                <w:color w:val="4EA72E" w:themeColor="accent6"/>
                <w:sz w:val="20"/>
                <w:szCs w:val="20"/>
              </w:rPr>
            </w:pPr>
          </w:p>
        </w:tc>
      </w:tr>
      <w:tr w:rsidR="00A345F4" w14:paraId="55B6A90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4739FF05" w14:textId="77777777" w:rsidR="00A345F4" w:rsidRDefault="005E2D4E">
            <w:pPr>
              <w:pStyle w:val="P68B1DB1-Normal14"/>
              <w:spacing w:after="0" w:line="240" w:lineRule="auto"/>
              <w:jc w:val="center"/>
              <w:rPr>
                <w:noProof/>
              </w:rPr>
            </w:pPr>
            <w:r>
              <w:rPr>
                <w:noProof/>
              </w:rPr>
              <w:t>238</w:t>
            </w:r>
          </w:p>
        </w:tc>
        <w:tc>
          <w:tcPr>
            <w:tcW w:w="1833" w:type="dxa"/>
            <w:tcBorders>
              <w:top w:val="nil"/>
              <w:left w:val="nil"/>
              <w:bottom w:val="single" w:sz="4" w:space="0" w:color="auto"/>
              <w:right w:val="single" w:sz="4" w:space="0" w:color="auto"/>
            </w:tcBorders>
            <w:shd w:val="clear" w:color="auto" w:fill="C6EFCE"/>
            <w:noWrap/>
          </w:tcPr>
          <w:p w14:paraId="16F93DB5" w14:textId="77777777" w:rsidR="00A345F4" w:rsidRDefault="005E2D4E">
            <w:pPr>
              <w:pStyle w:val="P68B1DB1-Normal14"/>
              <w:spacing w:after="0" w:line="240" w:lineRule="auto"/>
              <w:jc w:val="both"/>
              <w:rPr>
                <w:noProof/>
              </w:rPr>
            </w:pPr>
            <w:r>
              <w:rPr>
                <w:noProof/>
              </w:rPr>
              <w:t>Investissement 8. La Banque nationale de développement est fonctionnelle</w:t>
            </w:r>
          </w:p>
        </w:tc>
        <w:tc>
          <w:tcPr>
            <w:tcW w:w="1268" w:type="dxa"/>
            <w:tcBorders>
              <w:top w:val="nil"/>
              <w:left w:val="nil"/>
              <w:bottom w:val="single" w:sz="4" w:space="0" w:color="auto"/>
              <w:right w:val="single" w:sz="4" w:space="0" w:color="auto"/>
            </w:tcBorders>
            <w:shd w:val="clear" w:color="auto" w:fill="C6EFCE"/>
            <w:noWrap/>
          </w:tcPr>
          <w:p w14:paraId="72C108E4"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727EFF3F" w14:textId="77777777" w:rsidR="00A345F4" w:rsidRDefault="005E2D4E">
            <w:pPr>
              <w:pStyle w:val="P68B1DB1-Normal14"/>
              <w:spacing w:after="0" w:line="240" w:lineRule="auto"/>
              <w:jc w:val="both"/>
              <w:rPr>
                <w:noProof/>
              </w:rPr>
            </w:pPr>
            <w:r>
              <w:rPr>
                <w:noProof/>
              </w:rPr>
              <w:t>Achat de logiciels (licences) et de matériel (ordinateurs portables), services informatiques pour le personnel, formation du personnel de la Banque nationale de développement et du personnel du ministère des finances</w:t>
            </w:r>
          </w:p>
        </w:tc>
        <w:tc>
          <w:tcPr>
            <w:tcW w:w="1560" w:type="dxa"/>
            <w:tcBorders>
              <w:top w:val="nil"/>
              <w:left w:val="nil"/>
              <w:bottom w:val="single" w:sz="4" w:space="0" w:color="auto"/>
              <w:right w:val="single" w:sz="4" w:space="0" w:color="auto"/>
            </w:tcBorders>
            <w:shd w:val="clear" w:color="auto" w:fill="C6EFCE"/>
            <w:noWrap/>
          </w:tcPr>
          <w:p w14:paraId="0D130DCC" w14:textId="77777777" w:rsidR="00A345F4" w:rsidRDefault="005E2D4E">
            <w:pPr>
              <w:pStyle w:val="P68B1DB1-Normal14"/>
              <w:spacing w:after="0" w:line="240" w:lineRule="auto"/>
              <w:jc w:val="both"/>
              <w:rPr>
                <w:noProof/>
              </w:rPr>
            </w:pPr>
            <w:r>
              <w:rPr>
                <w:noProof/>
              </w:rPr>
              <w:t>Contrats d'achat signés</w:t>
            </w:r>
          </w:p>
        </w:tc>
        <w:tc>
          <w:tcPr>
            <w:tcW w:w="1197" w:type="dxa"/>
            <w:tcBorders>
              <w:top w:val="nil"/>
              <w:left w:val="nil"/>
              <w:bottom w:val="single" w:sz="4" w:space="0" w:color="auto"/>
              <w:right w:val="single" w:sz="4" w:space="0" w:color="auto"/>
            </w:tcBorders>
            <w:shd w:val="clear" w:color="auto" w:fill="C6EFCE"/>
            <w:noWrap/>
          </w:tcPr>
          <w:p w14:paraId="2F0512F8"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0B56EFC"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7B6FB0E8"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06E29BC3"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3E7E3579" w14:textId="77777777" w:rsidR="00A345F4" w:rsidRDefault="005E2D4E">
            <w:pPr>
              <w:pStyle w:val="P68B1DB1-Normal14"/>
              <w:spacing w:after="0" w:line="240" w:lineRule="auto"/>
              <w:jc w:val="center"/>
              <w:rPr>
                <w:noProof/>
              </w:rPr>
            </w:pPr>
            <w:r>
              <w:rPr>
                <w:noProof/>
              </w:rPr>
              <w:t>2024</w:t>
            </w:r>
          </w:p>
        </w:tc>
        <w:tc>
          <w:tcPr>
            <w:tcW w:w="3107" w:type="dxa"/>
            <w:tcBorders>
              <w:top w:val="nil"/>
              <w:left w:val="nil"/>
              <w:bottom w:val="single" w:sz="4" w:space="0" w:color="auto"/>
              <w:right w:val="single" w:sz="4" w:space="0" w:color="auto"/>
            </w:tcBorders>
            <w:shd w:val="clear" w:color="auto" w:fill="C6EFCE"/>
            <w:noWrap/>
          </w:tcPr>
          <w:p w14:paraId="0AD62E30" w14:textId="77777777" w:rsidR="00A345F4" w:rsidRDefault="005E2D4E">
            <w:pPr>
              <w:pStyle w:val="P68B1DB1-Normal14"/>
              <w:spacing w:after="0" w:line="240" w:lineRule="auto"/>
              <w:jc w:val="both"/>
              <w:rPr>
                <w:noProof/>
              </w:rPr>
            </w:pPr>
            <w:r>
              <w:rPr>
                <w:noProof/>
              </w:rPr>
              <w:t>La Banque nationale de développement achète: les logiciels, le matériel et les autres équipements permettant au personnel d'exercer ses fonctions, les équipements et services d'infrastructure ITC pour les centres de données, les infrastructures d'informatique en nuage et de télécommunications, ainsi que la connectivité, les applications bancaires, les services informatiques pour le personnel ,, l'assistance technique et le service de formation pour le personnel de la Banque nationale de développement et pour le personnel du ministère des finances participant à l'évaluation des performances de la banque.</w:t>
            </w:r>
          </w:p>
        </w:tc>
      </w:tr>
      <w:tr w:rsidR="00A345F4" w14:paraId="72F185BC"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B7E3C5D" w14:textId="77777777" w:rsidR="00A345F4" w:rsidRDefault="005E2D4E">
            <w:pPr>
              <w:pStyle w:val="P68B1DB1-Normal14"/>
              <w:spacing w:after="0" w:line="240" w:lineRule="auto"/>
              <w:jc w:val="center"/>
              <w:rPr>
                <w:noProof/>
              </w:rPr>
            </w:pPr>
            <w:r>
              <w:rPr>
                <w:noProof/>
              </w:rPr>
              <w:t>239</w:t>
            </w:r>
          </w:p>
        </w:tc>
        <w:tc>
          <w:tcPr>
            <w:tcW w:w="1833" w:type="dxa"/>
            <w:tcBorders>
              <w:top w:val="nil"/>
              <w:left w:val="nil"/>
              <w:bottom w:val="single" w:sz="4" w:space="0" w:color="auto"/>
              <w:right w:val="single" w:sz="4" w:space="0" w:color="auto"/>
            </w:tcBorders>
            <w:shd w:val="clear" w:color="auto" w:fill="C6EFCE"/>
            <w:noWrap/>
          </w:tcPr>
          <w:p w14:paraId="14DEB40C" w14:textId="77777777" w:rsidR="00A345F4" w:rsidRDefault="005E2D4E">
            <w:pPr>
              <w:pStyle w:val="P68B1DB1-Normal14"/>
              <w:spacing w:after="0" w:line="240" w:lineRule="auto"/>
              <w:jc w:val="both"/>
              <w:rPr>
                <w:noProof/>
              </w:rPr>
            </w:pPr>
            <w:r>
              <w:rPr>
                <w:noProof/>
              </w:rPr>
              <w:t xml:space="preserve">Investissement 9. Soutenir le processus d'évaluation des dossiers de pension </w:t>
            </w:r>
          </w:p>
        </w:tc>
        <w:tc>
          <w:tcPr>
            <w:tcW w:w="1268" w:type="dxa"/>
            <w:tcBorders>
              <w:top w:val="nil"/>
              <w:left w:val="nil"/>
              <w:bottom w:val="single" w:sz="4" w:space="0" w:color="auto"/>
              <w:right w:val="single" w:sz="4" w:space="0" w:color="auto"/>
            </w:tcBorders>
            <w:shd w:val="clear" w:color="auto" w:fill="C6EFCE"/>
            <w:noWrap/>
          </w:tcPr>
          <w:p w14:paraId="3EADF84A"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331B171C" w14:textId="77777777" w:rsidR="00A345F4" w:rsidRDefault="005E2D4E">
            <w:pPr>
              <w:pStyle w:val="P68B1DB1-Normal14"/>
              <w:spacing w:after="0" w:line="240" w:lineRule="auto"/>
              <w:jc w:val="both"/>
              <w:rPr>
                <w:noProof/>
              </w:rPr>
            </w:pPr>
            <w:r>
              <w:rPr>
                <w:noProof/>
              </w:rPr>
              <w:t>Tous les dossiers de pension recalculés</w:t>
            </w:r>
          </w:p>
        </w:tc>
        <w:tc>
          <w:tcPr>
            <w:tcW w:w="1560" w:type="dxa"/>
            <w:tcBorders>
              <w:top w:val="nil"/>
              <w:left w:val="nil"/>
              <w:bottom w:val="single" w:sz="4" w:space="0" w:color="auto"/>
              <w:right w:val="single" w:sz="4" w:space="0" w:color="auto"/>
            </w:tcBorders>
            <w:shd w:val="clear" w:color="auto" w:fill="C6EFCE"/>
            <w:noWrap/>
          </w:tcPr>
          <w:p w14:paraId="31525A0D" w14:textId="77777777" w:rsidR="00A345F4" w:rsidRDefault="005E2D4E">
            <w:pPr>
              <w:pStyle w:val="P68B1DB1-Normal14"/>
              <w:spacing w:after="0" w:line="240" w:lineRule="auto"/>
              <w:jc w:val="both"/>
              <w:rPr>
                <w:noProof/>
              </w:rPr>
            </w:pPr>
            <w:r>
              <w:rPr>
                <w:noProof/>
              </w:rPr>
              <w:t>Tous les dossiers de pension recalculés</w:t>
            </w:r>
          </w:p>
        </w:tc>
        <w:tc>
          <w:tcPr>
            <w:tcW w:w="1197" w:type="dxa"/>
            <w:tcBorders>
              <w:top w:val="nil"/>
              <w:left w:val="nil"/>
              <w:bottom w:val="single" w:sz="4" w:space="0" w:color="auto"/>
              <w:right w:val="single" w:sz="4" w:space="0" w:color="auto"/>
            </w:tcBorders>
            <w:shd w:val="clear" w:color="auto" w:fill="C6EFCE"/>
            <w:noWrap/>
          </w:tcPr>
          <w:p w14:paraId="3F556623"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4A3C1625"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7E2A6394"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3B3B1250" w14:textId="77777777" w:rsidR="00A345F4" w:rsidRDefault="005E2D4E">
            <w:pPr>
              <w:pStyle w:val="P68B1DB1-Normal14"/>
              <w:spacing w:after="0" w:line="240" w:lineRule="auto"/>
              <w:jc w:val="center"/>
              <w:rPr>
                <w:noProof/>
              </w:rPr>
            </w:pPr>
            <w:r>
              <w:rPr>
                <w:noProof/>
              </w:rPr>
              <w:t>T4</w:t>
            </w:r>
          </w:p>
        </w:tc>
        <w:tc>
          <w:tcPr>
            <w:tcW w:w="840" w:type="dxa"/>
            <w:tcBorders>
              <w:top w:val="nil"/>
              <w:left w:val="nil"/>
              <w:bottom w:val="single" w:sz="4" w:space="0" w:color="auto"/>
              <w:right w:val="single" w:sz="4" w:space="0" w:color="auto"/>
            </w:tcBorders>
            <w:shd w:val="clear" w:color="auto" w:fill="C6EFCE"/>
            <w:noWrap/>
          </w:tcPr>
          <w:p w14:paraId="643A501E" w14:textId="77777777" w:rsidR="00A345F4" w:rsidRDefault="005E2D4E">
            <w:pPr>
              <w:pStyle w:val="P68B1DB1-Normal14"/>
              <w:spacing w:after="0" w:line="240" w:lineRule="auto"/>
              <w:jc w:val="center"/>
              <w:rPr>
                <w:noProof/>
              </w:rPr>
            </w:pPr>
            <w:r>
              <w:rPr>
                <w:noProof/>
              </w:rPr>
              <w:t>2023</w:t>
            </w:r>
          </w:p>
        </w:tc>
        <w:tc>
          <w:tcPr>
            <w:tcW w:w="3107" w:type="dxa"/>
            <w:tcBorders>
              <w:top w:val="nil"/>
              <w:left w:val="nil"/>
              <w:bottom w:val="single" w:sz="4" w:space="0" w:color="auto"/>
              <w:right w:val="single" w:sz="4" w:space="0" w:color="auto"/>
            </w:tcBorders>
            <w:shd w:val="clear" w:color="auto" w:fill="C6EFCE"/>
            <w:noWrap/>
          </w:tcPr>
          <w:p w14:paraId="2C206C8F" w14:textId="77777777" w:rsidR="00A345F4" w:rsidRDefault="005E2D4E">
            <w:pPr>
              <w:pStyle w:val="P68B1DB1-Normal14"/>
              <w:spacing w:after="0" w:line="240" w:lineRule="auto"/>
              <w:jc w:val="both"/>
              <w:rPr>
                <w:noProof/>
              </w:rPr>
            </w:pPr>
            <w:r>
              <w:rPr>
                <w:noProof/>
              </w:rPr>
              <w:t>Les quelque 5 millions de dossiers de pension ont été recalculés sur la base de la nouvelle loi sur les pensions. Le gouvernement envoie par la poste à tous les citoyens une décision concernant le résultat du nouveau calcul.</w:t>
            </w:r>
          </w:p>
        </w:tc>
      </w:tr>
      <w:tr w:rsidR="00A345F4" w14:paraId="251DC1FF"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36A46AB1" w14:textId="77777777" w:rsidR="00A345F4" w:rsidRDefault="005E2D4E">
            <w:pPr>
              <w:pStyle w:val="P68B1DB1-Normal14"/>
              <w:spacing w:after="0" w:line="240" w:lineRule="auto"/>
              <w:jc w:val="center"/>
              <w:rPr>
                <w:noProof/>
              </w:rPr>
            </w:pPr>
            <w:r>
              <w:rPr>
                <w:noProof/>
              </w:rPr>
              <w:t>240</w:t>
            </w:r>
          </w:p>
        </w:tc>
        <w:tc>
          <w:tcPr>
            <w:tcW w:w="1833" w:type="dxa"/>
            <w:tcBorders>
              <w:top w:val="nil"/>
              <w:left w:val="nil"/>
              <w:bottom w:val="single" w:sz="4" w:space="0" w:color="auto"/>
              <w:right w:val="single" w:sz="4" w:space="0" w:color="auto"/>
            </w:tcBorders>
            <w:shd w:val="clear" w:color="auto" w:fill="C6EFCE"/>
            <w:noWrap/>
          </w:tcPr>
          <w:p w14:paraId="5C9DE9A2" w14:textId="193F7821" w:rsidR="00A345F4" w:rsidRDefault="005E2D4E">
            <w:pPr>
              <w:pStyle w:val="P68B1DB1-Normal14"/>
              <w:spacing w:after="0" w:line="240" w:lineRule="auto"/>
              <w:jc w:val="both"/>
              <w:rPr>
                <w:noProof/>
              </w:rPr>
            </w:pPr>
            <w:r>
              <w:rPr>
                <w:noProof/>
              </w:rPr>
              <w:t>Investissement 10. Services en ligne avancés grâce à la numérisation du système de retraite</w:t>
            </w:r>
          </w:p>
        </w:tc>
        <w:tc>
          <w:tcPr>
            <w:tcW w:w="1268" w:type="dxa"/>
            <w:tcBorders>
              <w:top w:val="nil"/>
              <w:left w:val="nil"/>
              <w:bottom w:val="single" w:sz="4" w:space="0" w:color="auto"/>
              <w:right w:val="single" w:sz="4" w:space="0" w:color="auto"/>
            </w:tcBorders>
            <w:shd w:val="clear" w:color="auto" w:fill="C6EFCE"/>
            <w:noWrap/>
          </w:tcPr>
          <w:p w14:paraId="3118C3D2" w14:textId="77777777" w:rsidR="00A345F4" w:rsidRDefault="005E2D4E">
            <w:pPr>
              <w:pStyle w:val="P68B1DB1-Normal14"/>
              <w:spacing w:after="0" w:line="240" w:lineRule="auto"/>
              <w:jc w:val="center"/>
              <w:rPr>
                <w:noProof/>
              </w:rPr>
            </w:pPr>
            <w:r>
              <w:rPr>
                <w:noProof/>
              </w:rPr>
              <w:t>Étape</w:t>
            </w:r>
          </w:p>
        </w:tc>
        <w:tc>
          <w:tcPr>
            <w:tcW w:w="1557" w:type="dxa"/>
            <w:tcBorders>
              <w:top w:val="nil"/>
              <w:left w:val="nil"/>
              <w:bottom w:val="single" w:sz="4" w:space="0" w:color="auto"/>
              <w:right w:val="single" w:sz="4" w:space="0" w:color="auto"/>
            </w:tcBorders>
            <w:shd w:val="clear" w:color="auto" w:fill="C6EFCE"/>
            <w:noWrap/>
          </w:tcPr>
          <w:p w14:paraId="1E1D0C35" w14:textId="77777777" w:rsidR="00A345F4" w:rsidRDefault="005E2D4E">
            <w:pPr>
              <w:pStyle w:val="P68B1DB1-Normal14"/>
              <w:spacing w:after="0" w:line="240" w:lineRule="auto"/>
              <w:jc w:val="both"/>
              <w:rPr>
                <w:noProof/>
              </w:rPr>
            </w:pPr>
            <w:r>
              <w:rPr>
                <w:noProof/>
              </w:rPr>
              <w:t xml:space="preserve">Système informatique fonctionnel au sein de l’Agence nationale des pensions publiques </w:t>
            </w:r>
          </w:p>
        </w:tc>
        <w:tc>
          <w:tcPr>
            <w:tcW w:w="1560" w:type="dxa"/>
            <w:tcBorders>
              <w:top w:val="nil"/>
              <w:left w:val="nil"/>
              <w:bottom w:val="single" w:sz="4" w:space="0" w:color="auto"/>
              <w:right w:val="single" w:sz="4" w:space="0" w:color="auto"/>
            </w:tcBorders>
            <w:shd w:val="clear" w:color="auto" w:fill="C6EFCE"/>
            <w:noWrap/>
          </w:tcPr>
          <w:p w14:paraId="5B6A1A94" w14:textId="77777777" w:rsidR="00A345F4" w:rsidRDefault="005E2D4E">
            <w:pPr>
              <w:pStyle w:val="P68B1DB1-Normal14"/>
              <w:spacing w:after="0" w:line="240" w:lineRule="auto"/>
              <w:jc w:val="both"/>
              <w:rPr>
                <w:noProof/>
              </w:rPr>
            </w:pPr>
            <w:r>
              <w:rPr>
                <w:noProof/>
              </w:rPr>
              <w:t>Système informatique fonctionnel</w:t>
            </w:r>
          </w:p>
        </w:tc>
        <w:tc>
          <w:tcPr>
            <w:tcW w:w="1197" w:type="dxa"/>
            <w:tcBorders>
              <w:top w:val="nil"/>
              <w:left w:val="nil"/>
              <w:bottom w:val="single" w:sz="4" w:space="0" w:color="auto"/>
              <w:right w:val="single" w:sz="4" w:space="0" w:color="auto"/>
            </w:tcBorders>
            <w:shd w:val="clear" w:color="auto" w:fill="C6EFCE"/>
            <w:noWrap/>
          </w:tcPr>
          <w:p w14:paraId="108A8AFE" w14:textId="77777777" w:rsidR="00A345F4" w:rsidRDefault="00A345F4">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2E02E2FA" w14:textId="77777777" w:rsidR="00A345F4" w:rsidRDefault="00A345F4">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3FCA6D35" w14:textId="77777777" w:rsidR="00A345F4" w:rsidRDefault="00A345F4">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53CC62AB" w14:textId="77777777" w:rsidR="00A345F4" w:rsidRDefault="005E2D4E">
            <w:pPr>
              <w:pStyle w:val="P68B1DB1-Normal14"/>
              <w:spacing w:after="0" w:line="240" w:lineRule="auto"/>
              <w:jc w:val="center"/>
              <w:rPr>
                <w:noProof/>
              </w:rPr>
            </w:pPr>
            <w:r>
              <w:rPr>
                <w:noProof/>
              </w:rPr>
              <w:t xml:space="preserve"> T2 </w:t>
            </w:r>
          </w:p>
        </w:tc>
        <w:tc>
          <w:tcPr>
            <w:tcW w:w="840" w:type="dxa"/>
            <w:tcBorders>
              <w:top w:val="nil"/>
              <w:left w:val="nil"/>
              <w:bottom w:val="single" w:sz="4" w:space="0" w:color="auto"/>
              <w:right w:val="single" w:sz="4" w:space="0" w:color="auto"/>
            </w:tcBorders>
            <w:shd w:val="clear" w:color="auto" w:fill="C6EFCE"/>
            <w:noWrap/>
          </w:tcPr>
          <w:p w14:paraId="62F220D9" w14:textId="77777777" w:rsidR="00A345F4" w:rsidRDefault="005E2D4E">
            <w:pPr>
              <w:pStyle w:val="P68B1DB1-Normal14"/>
              <w:spacing w:after="0" w:line="240" w:lineRule="auto"/>
              <w:jc w:val="center"/>
              <w:rPr>
                <w:noProof/>
              </w:rPr>
            </w:pPr>
            <w:r>
              <w:rPr>
                <w:noProof/>
              </w:rPr>
              <w:t xml:space="preserve"> 2026</w:t>
            </w:r>
          </w:p>
        </w:tc>
        <w:tc>
          <w:tcPr>
            <w:tcW w:w="3107" w:type="dxa"/>
            <w:tcBorders>
              <w:top w:val="nil"/>
              <w:left w:val="nil"/>
              <w:bottom w:val="single" w:sz="4" w:space="0" w:color="auto"/>
              <w:right w:val="single" w:sz="4" w:space="0" w:color="auto"/>
            </w:tcBorders>
            <w:shd w:val="clear" w:color="auto" w:fill="C6EFCE"/>
            <w:noWrap/>
          </w:tcPr>
          <w:p w14:paraId="7DE2FFCB" w14:textId="77777777" w:rsidR="00A345F4" w:rsidRDefault="005E2D4E">
            <w:pPr>
              <w:pStyle w:val="P68B1DB1-Normal14"/>
              <w:spacing w:after="0" w:line="240" w:lineRule="auto"/>
              <w:jc w:val="both"/>
              <w:rPr>
                <w:noProof/>
              </w:rPr>
            </w:pPr>
            <w:r>
              <w:rPr>
                <w:noProof/>
              </w:rPr>
              <w:t>Système informatique au sein de l’Agence nationale des pensions publiques (CNPP) mis en place et accessible aux citoyens, aux institutions et au gouvernement.</w:t>
            </w:r>
          </w:p>
          <w:p w14:paraId="087BFC38" w14:textId="77777777" w:rsidR="00A345F4" w:rsidRDefault="005E2D4E">
            <w:pPr>
              <w:pStyle w:val="P68B1DB1-Normal14"/>
              <w:spacing w:after="0" w:line="240" w:lineRule="auto"/>
              <w:jc w:val="both"/>
              <w:rPr>
                <w:noProof/>
              </w:rPr>
            </w:pPr>
            <w:r>
              <w:rPr>
                <w:noProof/>
              </w:rPr>
              <w:t>Le nouveau système informatique centralisé et intégré comprend:</w:t>
            </w:r>
          </w:p>
          <w:p w14:paraId="1787B25C" w14:textId="77777777" w:rsidR="00A345F4" w:rsidRDefault="005E2D4E">
            <w:pPr>
              <w:pStyle w:val="P68B1DB1-Normal14"/>
              <w:numPr>
                <w:ilvl w:val="0"/>
                <w:numId w:val="87"/>
              </w:numPr>
              <w:spacing w:before="120" w:after="0" w:line="259" w:lineRule="auto"/>
              <w:ind w:left="224" w:hanging="218"/>
              <w:contextualSpacing/>
              <w:jc w:val="both"/>
              <w:rPr>
                <w:noProof/>
              </w:rPr>
            </w:pPr>
            <w:r>
              <w:rPr>
                <w:noProof/>
              </w:rPr>
              <w:t>Portail (volet communication) avec le public couvrant les services électroniques suivants:</w:t>
            </w:r>
          </w:p>
          <w:p w14:paraId="4BD227DF" w14:textId="77777777" w:rsidR="00A345F4" w:rsidRDefault="005E2D4E">
            <w:pPr>
              <w:pStyle w:val="P68B1DB1-Normal14"/>
              <w:numPr>
                <w:ilvl w:val="0"/>
                <w:numId w:val="88"/>
              </w:numPr>
              <w:spacing w:before="120" w:after="0" w:line="259" w:lineRule="auto"/>
              <w:ind w:left="584"/>
              <w:contextualSpacing/>
              <w:jc w:val="both"/>
              <w:rPr>
                <w:noProof/>
              </w:rPr>
            </w:pPr>
            <w:r>
              <w:rPr>
                <w:noProof/>
              </w:rPr>
              <w:t>les pensions et autres droits en matière d'assurance sociale,</w:t>
            </w:r>
          </w:p>
          <w:p w14:paraId="5850758B" w14:textId="77777777" w:rsidR="00A345F4" w:rsidRDefault="005E2D4E">
            <w:pPr>
              <w:pStyle w:val="P68B1DB1-Normal14"/>
              <w:numPr>
                <w:ilvl w:val="0"/>
                <w:numId w:val="89"/>
              </w:numPr>
              <w:spacing w:before="120" w:after="0" w:line="259" w:lineRule="auto"/>
              <w:ind w:left="584"/>
              <w:contextualSpacing/>
              <w:jc w:val="both"/>
              <w:rPr>
                <w:noProof/>
              </w:rPr>
            </w:pPr>
            <w:r>
              <w:rPr>
                <w:noProof/>
              </w:rPr>
              <w:t xml:space="preserve">remplir la demande de tickets de traitement, </w:t>
            </w:r>
          </w:p>
          <w:p w14:paraId="21BA460A" w14:textId="77777777" w:rsidR="00A345F4" w:rsidRDefault="005E2D4E">
            <w:pPr>
              <w:pStyle w:val="P68B1DB1-Normal14"/>
              <w:numPr>
                <w:ilvl w:val="0"/>
                <w:numId w:val="89"/>
              </w:numPr>
              <w:spacing w:before="120" w:after="0" w:line="259" w:lineRule="auto"/>
              <w:ind w:left="584"/>
              <w:contextualSpacing/>
              <w:jc w:val="both"/>
              <w:rPr>
                <w:noProof/>
              </w:rPr>
            </w:pPr>
            <w:r>
              <w:rPr>
                <w:noProof/>
              </w:rPr>
              <w:t>les services figurant dans la zone d'enregistrement des contribuables,</w:t>
            </w:r>
          </w:p>
          <w:p w14:paraId="021DC0BB" w14:textId="77777777" w:rsidR="00A345F4" w:rsidRDefault="005E2D4E">
            <w:pPr>
              <w:pStyle w:val="P68B1DB1-Normal14"/>
              <w:numPr>
                <w:ilvl w:val="0"/>
                <w:numId w:val="89"/>
              </w:numPr>
              <w:spacing w:before="120" w:after="0" w:line="259" w:lineRule="auto"/>
              <w:ind w:left="584"/>
              <w:contextualSpacing/>
              <w:jc w:val="both"/>
              <w:rPr>
                <w:noProof/>
              </w:rPr>
            </w:pPr>
            <w:r>
              <w:rPr>
                <w:noProof/>
              </w:rPr>
              <w:t>accidents du travail et maladies professionnelles,</w:t>
            </w:r>
          </w:p>
          <w:p w14:paraId="4A778A45" w14:textId="77777777" w:rsidR="00A345F4" w:rsidRDefault="005E2D4E">
            <w:pPr>
              <w:pStyle w:val="P68B1DB1-Normal14"/>
              <w:numPr>
                <w:ilvl w:val="0"/>
                <w:numId w:val="89"/>
              </w:numPr>
              <w:spacing w:before="120" w:after="0" w:line="259" w:lineRule="auto"/>
              <w:ind w:left="584"/>
              <w:contextualSpacing/>
              <w:jc w:val="both"/>
              <w:rPr>
                <w:noProof/>
              </w:rPr>
            </w:pPr>
            <w:r>
              <w:rPr>
                <w:noProof/>
              </w:rPr>
              <w:t>Application « e-Talon » qui génère automatiquement le coupon de pension mensuel au format électronique pour les retraités actifs</w:t>
            </w:r>
          </w:p>
          <w:p w14:paraId="670045B8" w14:textId="77777777" w:rsidR="00A345F4" w:rsidRDefault="005E2D4E">
            <w:pPr>
              <w:pStyle w:val="P68B1DB1-Normal14"/>
              <w:numPr>
                <w:ilvl w:val="0"/>
                <w:numId w:val="90"/>
              </w:numPr>
              <w:spacing w:before="120" w:after="0" w:line="259" w:lineRule="auto"/>
              <w:ind w:left="584"/>
              <w:contextualSpacing/>
              <w:jc w:val="both"/>
              <w:rPr>
                <w:noProof/>
              </w:rPr>
            </w:pPr>
            <w:r>
              <w:rPr>
                <w:noProof/>
              </w:rPr>
              <w:t>rapports personnalisés/espace virtuel privé pour les citoyens.</w:t>
            </w:r>
          </w:p>
          <w:p w14:paraId="107F8DB8" w14:textId="77777777" w:rsidR="00A345F4" w:rsidRDefault="005E2D4E">
            <w:pPr>
              <w:pStyle w:val="P68B1DB1-Normal14"/>
              <w:numPr>
                <w:ilvl w:val="0"/>
                <w:numId w:val="91"/>
              </w:numPr>
              <w:spacing w:after="0" w:line="240" w:lineRule="auto"/>
              <w:contextualSpacing/>
              <w:jc w:val="both"/>
              <w:rPr>
                <w:noProof/>
              </w:rPr>
            </w:pPr>
            <w:r>
              <w:rPr>
                <w:noProof/>
              </w:rPr>
              <w:t xml:space="preserve">Numérisation interne des flux de documents (ECM, ERP), </w:t>
            </w:r>
          </w:p>
          <w:p w14:paraId="086C9893" w14:textId="77777777" w:rsidR="00A345F4" w:rsidRDefault="005E2D4E">
            <w:pPr>
              <w:pStyle w:val="P68B1DB1-Normal14"/>
              <w:numPr>
                <w:ilvl w:val="0"/>
                <w:numId w:val="91"/>
              </w:numPr>
              <w:spacing w:before="120" w:after="0" w:line="259" w:lineRule="auto"/>
              <w:contextualSpacing/>
              <w:jc w:val="both"/>
              <w:rPr>
                <w:noProof/>
              </w:rPr>
            </w:pPr>
            <w:r>
              <w:rPr>
                <w:noProof/>
              </w:rPr>
              <w:t xml:space="preserve">Systèmes et solutions d'analyse de données historiques (Business Intelligence), </w:t>
            </w:r>
          </w:p>
          <w:p w14:paraId="4925F2E1" w14:textId="77777777" w:rsidR="00A345F4" w:rsidRDefault="005E2D4E">
            <w:pPr>
              <w:pStyle w:val="P68B1DB1-Normal14"/>
              <w:numPr>
                <w:ilvl w:val="0"/>
                <w:numId w:val="91"/>
              </w:numPr>
              <w:spacing w:before="120" w:after="0" w:line="259" w:lineRule="auto"/>
              <w:contextualSpacing/>
              <w:jc w:val="both"/>
              <w:rPr>
                <w:noProof/>
              </w:rPr>
            </w:pPr>
            <w:r>
              <w:rPr>
                <w:noProof/>
              </w:rPr>
              <w:t>Interopérabilité avec d'autres systèmes publics (API),</w:t>
            </w:r>
          </w:p>
          <w:p w14:paraId="4FE37369" w14:textId="77777777" w:rsidR="00A345F4" w:rsidRDefault="005E2D4E">
            <w:pPr>
              <w:pStyle w:val="P68B1DB1-Normal14"/>
              <w:numPr>
                <w:ilvl w:val="0"/>
                <w:numId w:val="91"/>
              </w:numPr>
              <w:spacing w:before="120" w:after="0" w:line="259" w:lineRule="auto"/>
              <w:contextualSpacing/>
              <w:jc w:val="both"/>
              <w:rPr>
                <w:noProof/>
              </w:rPr>
            </w:pPr>
            <w:r>
              <w:rPr>
                <w:noProof/>
              </w:rPr>
              <w:t>Fonctionnalités de cybersécurité,</w:t>
            </w:r>
          </w:p>
          <w:p w14:paraId="63CF5C88" w14:textId="77777777" w:rsidR="00A345F4" w:rsidRDefault="005E2D4E">
            <w:pPr>
              <w:pStyle w:val="P68B1DB1-Normal14"/>
              <w:numPr>
                <w:ilvl w:val="0"/>
                <w:numId w:val="91"/>
              </w:numPr>
              <w:spacing w:before="120" w:after="0" w:line="259" w:lineRule="auto"/>
              <w:contextualSpacing/>
              <w:jc w:val="both"/>
              <w:rPr>
                <w:noProof/>
              </w:rPr>
            </w:pPr>
            <w:r>
              <w:rPr>
                <w:noProof/>
              </w:rPr>
              <w:t xml:space="preserve">Redondance et résilience des bases de données (reprise après sinistre). </w:t>
            </w:r>
          </w:p>
        </w:tc>
      </w:tr>
    </w:tbl>
    <w:p w14:paraId="29C90B4F" w14:textId="77777777" w:rsidR="00A345F4" w:rsidRDefault="00A345F4">
      <w:pPr>
        <w:rPr>
          <w:rFonts w:ascii="Times New Roman" w:hAnsi="Times New Roman" w:cs="Times New Roman"/>
          <w:noProof/>
        </w:rPr>
      </w:pPr>
    </w:p>
    <w:p w14:paraId="24C89814" w14:textId="77777777" w:rsidR="00A345F4" w:rsidRDefault="00A345F4">
      <w:pPr>
        <w:rPr>
          <w:rFonts w:ascii="Times New Roman" w:hAnsi="Times New Roman" w:cs="Times New Roman"/>
          <w:noProof/>
        </w:rPr>
        <w:sectPr w:rsidR="00A345F4" w:rsidSect="00BE1A15">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3E7F02C2" w14:textId="77777777" w:rsidR="00A345F4" w:rsidRDefault="005E2D4E">
      <w:pPr>
        <w:pStyle w:val="P68B1DB1-Normal5"/>
        <w:keepNext/>
        <w:numPr>
          <w:ilvl w:val="1"/>
          <w:numId w:val="0"/>
        </w:numPr>
        <w:spacing w:before="120" w:after="120" w:line="240" w:lineRule="auto"/>
        <w:ind w:left="850" w:hanging="850"/>
        <w:jc w:val="both"/>
        <w:outlineLvl w:val="1"/>
        <w:rPr>
          <w:noProof/>
        </w:rPr>
      </w:pPr>
      <w:r>
        <w:rPr>
          <w:noProof/>
        </w:rPr>
        <w:t>H.3. Description des réformes et des investissements pour le prêt</w:t>
      </w:r>
    </w:p>
    <w:p w14:paraId="2999933F" w14:textId="77777777" w:rsidR="00A345F4" w:rsidRDefault="005E2D4E">
      <w:pPr>
        <w:pStyle w:val="P68B1DB1-Normal12"/>
        <w:suppressAutoHyphens/>
        <w:autoSpaceDN w:val="0"/>
        <w:spacing w:before="240" w:after="0" w:line="240" w:lineRule="auto"/>
        <w:jc w:val="both"/>
        <w:textAlignment w:val="baseline"/>
        <w:rPr>
          <w:noProof/>
        </w:rPr>
      </w:pPr>
      <w:r>
        <w:rPr>
          <w:noProof/>
        </w:rPr>
        <w:t>Investissement 11: Injection de fonds propres dans la Banque nationale de développement</w:t>
      </w:r>
    </w:p>
    <w:p w14:paraId="03B2B40D" w14:textId="65AC6B86" w:rsidR="00A345F4" w:rsidRDefault="005E2D4E">
      <w:pPr>
        <w:pStyle w:val="P68B1DB1-Normal4"/>
        <w:spacing w:before="120" w:after="120" w:line="240" w:lineRule="auto"/>
        <w:jc w:val="both"/>
        <w:rPr>
          <w:noProof/>
        </w:rPr>
      </w:pPr>
      <w:r>
        <w:rPr>
          <w:noProof/>
        </w:rPr>
        <w:t xml:space="preserve">Cette mesure vise à soutenir le potentiel de croissance de l’économie roumaine en ajustant structurellement le niveau de soutien public disponible pour remédier aux défaillances et aux inefficacités du marché au sein de l’économie. La mesure consiste en une injection de fonds propres de 250 millions d'EUR dans la Banque nationale de développement. </w:t>
      </w:r>
    </w:p>
    <w:p w14:paraId="79B21A3B" w14:textId="77777777" w:rsidR="00A345F4" w:rsidRDefault="005E2D4E">
      <w:pPr>
        <w:spacing w:before="120" w:after="120" w:line="240" w:lineRule="auto"/>
        <w:jc w:val="both"/>
        <w:rPr>
          <w:rFonts w:ascii="Times New Roman" w:hAnsi="Times New Roman" w:cs="Times New Roman"/>
          <w:noProof/>
        </w:rPr>
      </w:pPr>
      <w:r>
        <w:rPr>
          <w:rFonts w:ascii="Times New Roman" w:hAnsi="Times New Roman" w:cs="Times New Roman"/>
          <w:noProof/>
        </w:rPr>
        <w:t>La Banque nationale de développement adopte une nouvelle politique d'investissement pour l'utilisation des fonds propres supplémentaires. La politique d’investissement comprend la description du ou des produits financiers avec le type attendu de bénéficiaires finaux éligibles que les fonds propres supplémentaires devraient initialement soutenir, y compris le calendrier prévu pour la mise en œuvre et le montant attendu de chaque produit financier. La Banque nationale de développement utilise pour les fonds propres supplémentaires le même système d’audit et de contrôle que celui qui a été évalué positivement par la Commission conformément à l’article 157 du règlement (UE, Euratom) 2024/2509. La politique d’investissement exige que le ou les produits financiers soutenus par les fonds propres supplémentaires respectent le principe consistant à «ne pas causer de préjudice important» (DNSH) énoncé dans les orientations techniques DNSH (2021/C58/01). En particulier, la politique d'investissement exclut de l'éligibilité la liste suivante d'activités et d'actifs: (i) les activités et les actifs liés aux combustibles fossiles, y compris l’utilisation en aval</w:t>
      </w:r>
      <w:r w:rsidRPr="00E75F9B">
        <w:rPr>
          <w:rFonts w:ascii="Times New Roman" w:hAnsi="Times New Roman" w:cs="Times New Roman"/>
          <w:noProof/>
          <w:vertAlign w:val="superscript"/>
        </w:rPr>
        <w:footnoteReference w:id="9"/>
      </w:r>
      <w:r>
        <w:rPr>
          <w:rFonts w:ascii="Times New Roman" w:hAnsi="Times New Roman" w:cs="Times New Roman"/>
          <w:noProof/>
        </w:rPr>
        <w:t>, (ii) les activités et les actifs relevant du système d’échange de quotas d’émission de l’UE (SEQE) permettant d’atteindre des émissions de gaz à effet de serre prévues qui ne sont pas inférieures aux référentiels pertinents</w:t>
      </w:r>
      <w:r w:rsidRPr="00E75F9B">
        <w:rPr>
          <w:rFonts w:ascii="Times New Roman" w:hAnsi="Times New Roman" w:cs="Times New Roman"/>
          <w:noProof/>
          <w:vertAlign w:val="superscript"/>
        </w:rPr>
        <w:footnoteReference w:id="10"/>
      </w:r>
      <w:r>
        <w:rPr>
          <w:rFonts w:ascii="Times New Roman" w:hAnsi="Times New Roman" w:cs="Times New Roman"/>
          <w:noProof/>
        </w:rPr>
        <w:t>, (iii) les activités et les actifs liés aux décharges de déchets, aux incinérateurs</w:t>
      </w:r>
      <w:r w:rsidRPr="00E75F9B">
        <w:rPr>
          <w:rFonts w:ascii="Times New Roman" w:hAnsi="Times New Roman" w:cs="Times New Roman"/>
          <w:noProof/>
          <w:vertAlign w:val="superscript"/>
        </w:rPr>
        <w:footnoteReference w:id="11"/>
      </w:r>
      <w:r>
        <w:rPr>
          <w:rFonts w:ascii="Times New Roman" w:hAnsi="Times New Roman" w:cs="Times New Roman"/>
          <w:noProof/>
        </w:rPr>
        <w:t xml:space="preserve"> et aux usines de traitement biologique mécanique</w:t>
      </w:r>
      <w:r w:rsidRPr="00E75F9B">
        <w:rPr>
          <w:rFonts w:ascii="Times New Roman" w:hAnsi="Times New Roman" w:cs="Times New Roman"/>
          <w:noProof/>
          <w:vertAlign w:val="superscript"/>
        </w:rPr>
        <w:footnoteReference w:id="12"/>
      </w:r>
      <w:r>
        <w:rPr>
          <w:rFonts w:ascii="Times New Roman" w:hAnsi="Times New Roman" w:cs="Times New Roman"/>
          <w:noProof/>
        </w:rPr>
        <w:t>. En outre, dans le cas d'un soutien général aux entreprises, la politique d'investissement exclut les entreprises qui se concentrent essentiellement</w:t>
      </w:r>
      <w:r w:rsidRPr="00E75F9B">
        <w:rPr>
          <w:rFonts w:ascii="Times New Roman" w:hAnsi="Times New Roman" w:cs="Times New Roman"/>
          <w:noProof/>
          <w:vertAlign w:val="superscript"/>
        </w:rPr>
        <w:footnoteReference w:id="13"/>
      </w:r>
      <w:r>
        <w:rPr>
          <w:rFonts w:ascii="Times New Roman" w:hAnsi="Times New Roman" w:cs="Times New Roman"/>
          <w:noProof/>
        </w:rPr>
        <w:t xml:space="preserve"> sur les secteurs suivants: i) la production d’énergie à partir de combustibles fossiles et les activités connexes;</w:t>
      </w:r>
      <w:r w:rsidRPr="00E75F9B">
        <w:rPr>
          <w:rFonts w:ascii="Times New Roman" w:hAnsi="Times New Roman" w:cs="Times New Roman"/>
          <w:noProof/>
          <w:vertAlign w:val="superscript"/>
        </w:rPr>
        <w:footnoteReference w:id="14"/>
      </w:r>
      <w:r>
        <w:rPr>
          <w:rFonts w:ascii="Times New Roman" w:hAnsi="Times New Roman" w:cs="Times New Roman"/>
          <w:noProof/>
        </w:rPr>
        <w:t xml:space="preserve"> ii) les industries à forte intensité énergétique et/ou à forte émission de CO2;</w:t>
      </w:r>
      <w:r w:rsidRPr="00E75F9B">
        <w:rPr>
          <w:rStyle w:val="FootnoteReference"/>
          <w:rFonts w:ascii="Times New Roman" w:hAnsi="Times New Roman" w:cs="Times New Roman"/>
          <w:noProof/>
        </w:rPr>
        <w:footnoteReference w:id="15"/>
      </w:r>
      <w:r>
        <w:rPr>
          <w:rFonts w:ascii="Times New Roman" w:hAnsi="Times New Roman" w:cs="Times New Roman"/>
          <w:noProof/>
        </w:rPr>
        <w:t xml:space="preserve"> iii) la production, la location ou la vente de véhicules polluants;</w:t>
      </w:r>
      <w:r w:rsidRPr="00E75F9B">
        <w:rPr>
          <w:rStyle w:val="FootnoteReference"/>
          <w:rFonts w:ascii="Times New Roman" w:hAnsi="Times New Roman" w:cs="Times New Roman"/>
          <w:noProof/>
        </w:rPr>
        <w:footnoteReference w:id="16"/>
      </w:r>
      <w:r>
        <w:rPr>
          <w:rFonts w:ascii="Times New Roman" w:hAnsi="Times New Roman" w:cs="Times New Roman"/>
          <w:noProof/>
        </w:rPr>
        <w:t xml:space="preserve"> iv) la collecte, le traitement et</w:t>
      </w:r>
      <w:r w:rsidRPr="00E75F9B">
        <w:rPr>
          <w:rStyle w:val="FootnoteReference"/>
          <w:rFonts w:ascii="Times New Roman" w:hAnsi="Times New Roman" w:cs="Times New Roman"/>
          <w:noProof/>
        </w:rPr>
        <w:footnoteReference w:id="17"/>
      </w:r>
      <w:r>
        <w:rPr>
          <w:rFonts w:ascii="Times New Roman" w:hAnsi="Times New Roman" w:cs="Times New Roman"/>
          <w:noProof/>
        </w:rPr>
        <w:t xml:space="preserve"> l’élimination des déchets, v) le traitement du combustible nucléaire et la production d’énergie nucléaire. En outre, la politique d'investissement exige le respect de la législation environnementale pertinente de l'UE et des États membres par les bénéficiaires finals. </w:t>
      </w:r>
    </w:p>
    <w:p w14:paraId="40A53C86" w14:textId="77777777" w:rsidR="00A345F4" w:rsidRDefault="005E2D4E">
      <w:pPr>
        <w:pStyle w:val="P68B1DB1-Normal4"/>
        <w:spacing w:before="120" w:after="120" w:line="240" w:lineRule="auto"/>
        <w:jc w:val="both"/>
        <w:rPr>
          <w:noProof/>
        </w:rPr>
        <w:sectPr w:rsidR="00A345F4" w:rsidSect="00BE1A15">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360"/>
        </w:sectPr>
      </w:pPr>
      <w:r>
        <w:rPr>
          <w:noProof/>
        </w:rPr>
        <w:t>La réalisation satisfaisante des jalons au titre de cette mesure est subordonnée à la réalisation satisfaisante du jalon 210 de la réforme 5 - Création de la Banque nationale de développement.</w:t>
      </w:r>
    </w:p>
    <w:p w14:paraId="1E0FBA85" w14:textId="77777777" w:rsidR="00A345F4" w:rsidRDefault="005E2D4E">
      <w:pPr>
        <w:keepNext/>
        <w:numPr>
          <w:ilvl w:val="1"/>
          <w:numId w:val="0"/>
        </w:numPr>
        <w:spacing w:before="120" w:after="120" w:line="240" w:lineRule="auto"/>
        <w:ind w:left="850" w:hanging="850"/>
        <w:jc w:val="both"/>
        <w:outlineLvl w:val="1"/>
        <w:rPr>
          <w:rFonts w:ascii="Times New Roman" w:eastAsia="Times New Roman" w:hAnsi="Times New Roman" w:cs="Times New Roman"/>
          <w:b/>
          <w:bCs/>
          <w:noProof/>
          <w:color w:val="000000" w:themeColor="text1"/>
        </w:rPr>
      </w:pPr>
      <w:r>
        <w:rPr>
          <w:rFonts w:ascii="Times New Roman" w:eastAsia="Times New Roman" w:hAnsi="Times New Roman" w:cs="Times New Roman"/>
          <w:b/>
          <w:noProof/>
          <w:color w:val="000000" w:themeColor="text1"/>
        </w:rPr>
        <w:t xml:space="preserve">H.4. </w:t>
      </w:r>
      <w:r>
        <w:rPr>
          <w:rFonts w:ascii="Times New Roman" w:hAnsi="Times New Roman" w:cs="Times New Roman"/>
          <w:noProof/>
        </w:rPr>
        <w:t xml:space="preserve"> </w:t>
      </w:r>
      <w:r>
        <w:rPr>
          <w:rFonts w:ascii="Times New Roman" w:hAnsi="Times New Roman" w:cs="Times New Roman"/>
          <w:b/>
          <w:noProof/>
        </w:rPr>
        <w:t>Étapes,</w:t>
      </w:r>
      <w:r>
        <w:rPr>
          <w:rFonts w:ascii="Times New Roman" w:eastAsia="Times New Roman" w:hAnsi="Times New Roman" w:cs="Times New Roman"/>
          <w:b/>
          <w:noProof/>
          <w:color w:val="000000" w:themeColor="text1"/>
        </w:rPr>
        <w:t xml:space="preserve"> objectifs, indicateurs et calendrier du suivi et de la mise en œuvre du prêt </w:t>
      </w:r>
    </w:p>
    <w:tbl>
      <w:tblPr>
        <w:tblW w:w="15730" w:type="dxa"/>
        <w:jc w:val="center"/>
        <w:tblLayout w:type="fixed"/>
        <w:tblLook w:val="04A0" w:firstRow="1" w:lastRow="0" w:firstColumn="1" w:lastColumn="0" w:noHBand="0" w:noVBand="1"/>
      </w:tblPr>
      <w:tblGrid>
        <w:gridCol w:w="842"/>
        <w:gridCol w:w="1833"/>
        <w:gridCol w:w="1268"/>
        <w:gridCol w:w="1380"/>
        <w:gridCol w:w="1807"/>
        <w:gridCol w:w="1127"/>
        <w:gridCol w:w="1129"/>
        <w:gridCol w:w="1269"/>
        <w:gridCol w:w="1128"/>
        <w:gridCol w:w="840"/>
        <w:gridCol w:w="3107"/>
      </w:tblGrid>
      <w:tr w:rsidR="00A345F4" w14:paraId="37025F9E" w14:textId="77777777">
        <w:trPr>
          <w:trHeight w:val="300"/>
          <w:tblHeader/>
          <w:jc w:val="center"/>
        </w:trPr>
        <w:tc>
          <w:tcPr>
            <w:tcW w:w="8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7351FD" w14:textId="77777777" w:rsidR="00A345F4" w:rsidRDefault="005E2D4E">
            <w:pPr>
              <w:pStyle w:val="P68B1DB1-Normal13"/>
              <w:spacing w:after="0" w:line="240" w:lineRule="auto"/>
              <w:jc w:val="center"/>
              <w:rPr>
                <w:rFonts w:eastAsia="Times New Roman"/>
                <w:noProof/>
              </w:rPr>
            </w:pPr>
            <w:r>
              <w:rPr>
                <w:noProof/>
              </w:rPr>
              <w:t>Seq. Num.</w:t>
            </w:r>
          </w:p>
        </w:tc>
        <w:tc>
          <w:tcPr>
            <w:tcW w:w="18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1D304D"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D2C833" w14:textId="77777777" w:rsidR="00A345F4" w:rsidRDefault="005E2D4E">
            <w:pPr>
              <w:pStyle w:val="P68B1DB1-Normal13"/>
              <w:spacing w:after="0" w:line="240" w:lineRule="auto"/>
              <w:jc w:val="center"/>
              <w:rPr>
                <w:rFonts w:eastAsia="Times New Roman"/>
                <w:noProof/>
              </w:rPr>
            </w:pPr>
            <w:r>
              <w:rPr>
                <w:noProof/>
              </w:rPr>
              <w:t>Étape/cible</w:t>
            </w:r>
          </w:p>
        </w:tc>
        <w:tc>
          <w:tcPr>
            <w:tcW w:w="13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571849" w14:textId="77777777" w:rsidR="00A345F4" w:rsidRDefault="005E2D4E">
            <w:pPr>
              <w:pStyle w:val="P68B1DB1-Normal13"/>
              <w:spacing w:after="0" w:line="240" w:lineRule="auto"/>
              <w:jc w:val="center"/>
              <w:rPr>
                <w:rFonts w:eastAsia="Times New Roman"/>
                <w:noProof/>
              </w:rPr>
            </w:pPr>
            <w:r>
              <w:rPr>
                <w:noProof/>
              </w:rPr>
              <w:t>Nom</w:t>
            </w:r>
          </w:p>
        </w:tc>
        <w:tc>
          <w:tcPr>
            <w:tcW w:w="18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4B4E22"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52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6014F3C"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68" w:type="dxa"/>
            <w:gridSpan w:val="2"/>
            <w:tcBorders>
              <w:top w:val="single" w:sz="4" w:space="0" w:color="auto"/>
              <w:left w:val="nil"/>
              <w:bottom w:val="single" w:sz="4" w:space="0" w:color="auto"/>
              <w:right w:val="single" w:sz="4" w:space="0" w:color="auto"/>
            </w:tcBorders>
            <w:shd w:val="clear" w:color="auto" w:fill="BDD7EE"/>
            <w:vAlign w:val="center"/>
            <w:hideMark/>
          </w:tcPr>
          <w:p w14:paraId="3B498551" w14:textId="77777777" w:rsidR="00A345F4" w:rsidRDefault="005E2D4E">
            <w:pPr>
              <w:pStyle w:val="P68B1DB1-Normal13"/>
              <w:spacing w:after="0" w:line="240" w:lineRule="auto"/>
              <w:jc w:val="center"/>
              <w:rPr>
                <w:rFonts w:eastAsia="Times New Roman"/>
                <w:noProof/>
              </w:rPr>
            </w:pPr>
            <w:r>
              <w:rPr>
                <w:noProof/>
              </w:rPr>
              <w:t>Calendrier indicatif d'achèvement</w:t>
            </w:r>
          </w:p>
        </w:tc>
        <w:tc>
          <w:tcPr>
            <w:tcW w:w="3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8C4A12"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4ABBE7F5" w14:textId="77777777">
        <w:trPr>
          <w:trHeight w:val="300"/>
          <w:tblHeader/>
          <w:jc w:val="center"/>
        </w:trPr>
        <w:tc>
          <w:tcPr>
            <w:tcW w:w="842" w:type="dxa"/>
            <w:vMerge/>
            <w:tcBorders>
              <w:top w:val="single" w:sz="4" w:space="0" w:color="auto"/>
              <w:left w:val="single" w:sz="4" w:space="0" w:color="auto"/>
              <w:bottom w:val="single" w:sz="4" w:space="0" w:color="auto"/>
              <w:right w:val="single" w:sz="4" w:space="0" w:color="auto"/>
            </w:tcBorders>
            <w:hideMark/>
          </w:tcPr>
          <w:p w14:paraId="711B0A62"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833" w:type="dxa"/>
            <w:vMerge/>
            <w:tcBorders>
              <w:top w:val="single" w:sz="4" w:space="0" w:color="auto"/>
              <w:left w:val="single" w:sz="4" w:space="0" w:color="auto"/>
              <w:bottom w:val="single" w:sz="4" w:space="0" w:color="auto"/>
              <w:right w:val="single" w:sz="4" w:space="0" w:color="auto"/>
            </w:tcBorders>
            <w:hideMark/>
          </w:tcPr>
          <w:p w14:paraId="356A5793"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68" w:type="dxa"/>
            <w:vMerge/>
            <w:tcBorders>
              <w:top w:val="single" w:sz="4" w:space="0" w:color="auto"/>
              <w:left w:val="single" w:sz="4" w:space="0" w:color="auto"/>
              <w:bottom w:val="single" w:sz="4" w:space="0" w:color="auto"/>
              <w:right w:val="single" w:sz="4" w:space="0" w:color="auto"/>
            </w:tcBorders>
            <w:hideMark/>
          </w:tcPr>
          <w:p w14:paraId="4BAE738D"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380" w:type="dxa"/>
            <w:vMerge/>
            <w:tcBorders>
              <w:top w:val="single" w:sz="4" w:space="0" w:color="auto"/>
              <w:left w:val="single" w:sz="4" w:space="0" w:color="auto"/>
              <w:bottom w:val="single" w:sz="4" w:space="0" w:color="auto"/>
              <w:right w:val="single" w:sz="4" w:space="0" w:color="auto"/>
            </w:tcBorders>
            <w:hideMark/>
          </w:tcPr>
          <w:p w14:paraId="7E93B732"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807" w:type="dxa"/>
            <w:vMerge/>
            <w:tcBorders>
              <w:top w:val="single" w:sz="4" w:space="0" w:color="auto"/>
              <w:left w:val="single" w:sz="4" w:space="0" w:color="auto"/>
              <w:bottom w:val="single" w:sz="4" w:space="0" w:color="auto"/>
              <w:right w:val="single" w:sz="4" w:space="0" w:color="auto"/>
            </w:tcBorders>
            <w:hideMark/>
          </w:tcPr>
          <w:p w14:paraId="03E7E43E"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127" w:type="dxa"/>
            <w:tcBorders>
              <w:top w:val="nil"/>
              <w:left w:val="single" w:sz="4" w:space="0" w:color="auto"/>
              <w:bottom w:val="single" w:sz="4" w:space="0" w:color="auto"/>
              <w:right w:val="single" w:sz="4" w:space="0" w:color="auto"/>
            </w:tcBorders>
            <w:shd w:val="clear" w:color="auto" w:fill="BDD7EE"/>
            <w:vAlign w:val="center"/>
            <w:hideMark/>
          </w:tcPr>
          <w:p w14:paraId="722BC15D" w14:textId="77777777" w:rsidR="00A345F4" w:rsidRDefault="005E2D4E">
            <w:pPr>
              <w:pStyle w:val="P68B1DB1-Normal13"/>
              <w:spacing w:after="0" w:line="240" w:lineRule="auto"/>
              <w:jc w:val="center"/>
              <w:rPr>
                <w:rFonts w:eastAsia="Times New Roman"/>
                <w:noProof/>
              </w:rPr>
            </w:pPr>
            <w:r>
              <w:rPr>
                <w:noProof/>
              </w:rPr>
              <w:t>Unité de mesure</w:t>
            </w:r>
          </w:p>
        </w:tc>
        <w:tc>
          <w:tcPr>
            <w:tcW w:w="1129" w:type="dxa"/>
            <w:tcBorders>
              <w:top w:val="nil"/>
              <w:left w:val="nil"/>
              <w:bottom w:val="single" w:sz="4" w:space="0" w:color="auto"/>
              <w:right w:val="single" w:sz="4" w:space="0" w:color="auto"/>
            </w:tcBorders>
            <w:shd w:val="clear" w:color="auto" w:fill="BDD7EE"/>
            <w:vAlign w:val="center"/>
            <w:hideMark/>
          </w:tcPr>
          <w:p w14:paraId="13A5F863" w14:textId="77777777" w:rsidR="00A345F4" w:rsidRDefault="005E2D4E">
            <w:pPr>
              <w:pStyle w:val="P68B1DB1-Normal13"/>
              <w:spacing w:after="0" w:line="240" w:lineRule="auto"/>
              <w:jc w:val="center"/>
              <w:rPr>
                <w:rFonts w:eastAsia="Times New Roman"/>
                <w:noProof/>
              </w:rPr>
            </w:pPr>
            <w:r>
              <w:rPr>
                <w:noProof/>
              </w:rPr>
              <w:t>Données de référence</w:t>
            </w:r>
          </w:p>
        </w:tc>
        <w:tc>
          <w:tcPr>
            <w:tcW w:w="1269" w:type="dxa"/>
            <w:tcBorders>
              <w:top w:val="nil"/>
              <w:left w:val="nil"/>
              <w:bottom w:val="single" w:sz="4" w:space="0" w:color="auto"/>
              <w:right w:val="single" w:sz="4" w:space="0" w:color="auto"/>
            </w:tcBorders>
            <w:shd w:val="clear" w:color="auto" w:fill="BDD7EE"/>
            <w:vAlign w:val="center"/>
            <w:hideMark/>
          </w:tcPr>
          <w:p w14:paraId="61369B25" w14:textId="77777777" w:rsidR="00A345F4" w:rsidRDefault="005E2D4E">
            <w:pPr>
              <w:pStyle w:val="P68B1DB1-Normal13"/>
              <w:spacing w:after="0" w:line="240" w:lineRule="auto"/>
              <w:jc w:val="center"/>
              <w:rPr>
                <w:rFonts w:eastAsia="Times New Roman"/>
                <w:noProof/>
              </w:rPr>
            </w:pPr>
            <w:r>
              <w:rPr>
                <w:noProof/>
              </w:rPr>
              <w:t>Objectif</w:t>
            </w:r>
          </w:p>
        </w:tc>
        <w:tc>
          <w:tcPr>
            <w:tcW w:w="1128" w:type="dxa"/>
            <w:tcBorders>
              <w:top w:val="nil"/>
              <w:left w:val="nil"/>
              <w:bottom w:val="single" w:sz="4" w:space="0" w:color="auto"/>
              <w:right w:val="single" w:sz="4" w:space="0" w:color="auto"/>
            </w:tcBorders>
            <w:shd w:val="clear" w:color="auto" w:fill="BDD7EE"/>
            <w:vAlign w:val="center"/>
            <w:hideMark/>
          </w:tcPr>
          <w:p w14:paraId="06EAC897" w14:textId="77777777" w:rsidR="00A345F4" w:rsidRDefault="005E2D4E">
            <w:pPr>
              <w:pStyle w:val="P68B1DB1-Normal13"/>
              <w:spacing w:after="0" w:line="240" w:lineRule="auto"/>
              <w:jc w:val="center"/>
              <w:rPr>
                <w:rFonts w:eastAsia="Times New Roman"/>
                <w:noProof/>
              </w:rPr>
            </w:pPr>
            <w:r>
              <w:rPr>
                <w:noProof/>
              </w:rPr>
              <w:t>Trimestre</w:t>
            </w:r>
          </w:p>
        </w:tc>
        <w:tc>
          <w:tcPr>
            <w:tcW w:w="840" w:type="dxa"/>
            <w:tcBorders>
              <w:top w:val="nil"/>
              <w:left w:val="nil"/>
              <w:bottom w:val="single" w:sz="4" w:space="0" w:color="auto"/>
              <w:right w:val="single" w:sz="4" w:space="0" w:color="auto"/>
            </w:tcBorders>
            <w:shd w:val="clear" w:color="auto" w:fill="BDD7EE"/>
            <w:vAlign w:val="center"/>
            <w:hideMark/>
          </w:tcPr>
          <w:p w14:paraId="781DFCC7" w14:textId="77777777" w:rsidR="00A345F4" w:rsidRDefault="005E2D4E">
            <w:pPr>
              <w:pStyle w:val="P68B1DB1-Normal13"/>
              <w:spacing w:after="0" w:line="240" w:lineRule="auto"/>
              <w:jc w:val="center"/>
              <w:rPr>
                <w:rFonts w:eastAsia="Times New Roman"/>
                <w:noProof/>
              </w:rPr>
            </w:pPr>
            <w:r>
              <w:rPr>
                <w:noProof/>
              </w:rPr>
              <w:t>Année</w:t>
            </w:r>
          </w:p>
        </w:tc>
        <w:tc>
          <w:tcPr>
            <w:tcW w:w="3107" w:type="dxa"/>
            <w:vMerge/>
            <w:tcBorders>
              <w:top w:val="single" w:sz="4" w:space="0" w:color="auto"/>
              <w:bottom w:val="single" w:sz="4" w:space="0" w:color="auto"/>
              <w:right w:val="single" w:sz="4" w:space="0" w:color="auto"/>
            </w:tcBorders>
            <w:hideMark/>
          </w:tcPr>
          <w:p w14:paraId="317759C7"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36E51A6C" w14:textId="77777777">
        <w:trPr>
          <w:trHeight w:val="300"/>
          <w:jc w:val="center"/>
        </w:trPr>
        <w:tc>
          <w:tcPr>
            <w:tcW w:w="842" w:type="dxa"/>
            <w:tcBorders>
              <w:top w:val="single" w:sz="4" w:space="0" w:color="auto"/>
              <w:left w:val="single" w:sz="4" w:space="0" w:color="auto"/>
              <w:bottom w:val="single" w:sz="4" w:space="0" w:color="auto"/>
              <w:right w:val="single" w:sz="4" w:space="0" w:color="auto"/>
            </w:tcBorders>
            <w:shd w:val="clear" w:color="auto" w:fill="C6EFCE"/>
            <w:noWrap/>
          </w:tcPr>
          <w:p w14:paraId="25BE727B" w14:textId="77777777" w:rsidR="00A345F4" w:rsidRDefault="005E2D4E">
            <w:pPr>
              <w:pStyle w:val="P68B1DB1-Normal14"/>
              <w:spacing w:after="0" w:line="240" w:lineRule="auto"/>
              <w:jc w:val="center"/>
              <w:rPr>
                <w:noProof/>
              </w:rPr>
            </w:pPr>
            <w:r>
              <w:rPr>
                <w:noProof/>
              </w:rPr>
              <w:t>240a</w:t>
            </w:r>
          </w:p>
        </w:tc>
        <w:tc>
          <w:tcPr>
            <w:tcW w:w="1833" w:type="dxa"/>
            <w:tcBorders>
              <w:top w:val="single" w:sz="4" w:space="0" w:color="auto"/>
              <w:left w:val="nil"/>
              <w:bottom w:val="single" w:sz="4" w:space="0" w:color="auto"/>
              <w:right w:val="single" w:sz="4" w:space="0" w:color="auto"/>
            </w:tcBorders>
            <w:shd w:val="clear" w:color="auto" w:fill="C6EFCE"/>
            <w:noWrap/>
          </w:tcPr>
          <w:p w14:paraId="163A8F4F" w14:textId="77777777" w:rsidR="00A345F4" w:rsidRDefault="005E2D4E">
            <w:pPr>
              <w:pStyle w:val="P68B1DB1-Normal19"/>
              <w:spacing w:after="0" w:line="240" w:lineRule="auto"/>
              <w:jc w:val="both"/>
              <w:rPr>
                <w:noProof/>
              </w:rPr>
            </w:pPr>
            <w:r>
              <w:rPr>
                <w:noProof/>
              </w:rPr>
              <w:t>Investissement 11. Injection de fonds propres dans la Banque nationale de développement</w:t>
            </w:r>
          </w:p>
        </w:tc>
        <w:tc>
          <w:tcPr>
            <w:tcW w:w="1268" w:type="dxa"/>
            <w:tcBorders>
              <w:top w:val="single" w:sz="4" w:space="0" w:color="auto"/>
              <w:left w:val="nil"/>
              <w:bottom w:val="single" w:sz="4" w:space="0" w:color="auto"/>
              <w:right w:val="single" w:sz="4" w:space="0" w:color="auto"/>
            </w:tcBorders>
            <w:shd w:val="clear" w:color="auto" w:fill="C6EFCE"/>
            <w:noWrap/>
          </w:tcPr>
          <w:p w14:paraId="5F988D22" w14:textId="77777777" w:rsidR="00A345F4" w:rsidRDefault="005E2D4E">
            <w:pPr>
              <w:pStyle w:val="P68B1DB1-Normal19"/>
              <w:spacing w:line="240" w:lineRule="auto"/>
              <w:jc w:val="center"/>
              <w:rPr>
                <w:noProof/>
              </w:rPr>
            </w:pPr>
            <w:r>
              <w:rPr>
                <w:noProof/>
              </w:rPr>
              <w:t>Étape</w:t>
            </w:r>
          </w:p>
        </w:tc>
        <w:tc>
          <w:tcPr>
            <w:tcW w:w="1380" w:type="dxa"/>
            <w:tcBorders>
              <w:top w:val="single" w:sz="4" w:space="0" w:color="auto"/>
              <w:left w:val="nil"/>
              <w:bottom w:val="single" w:sz="4" w:space="0" w:color="auto"/>
              <w:right w:val="single" w:sz="4" w:space="0" w:color="auto"/>
            </w:tcBorders>
            <w:shd w:val="clear" w:color="auto" w:fill="C6EFCE"/>
            <w:noWrap/>
          </w:tcPr>
          <w:p w14:paraId="7A6B3D78" w14:textId="77777777" w:rsidR="00A345F4" w:rsidRDefault="005E2D4E">
            <w:pPr>
              <w:pStyle w:val="P68B1DB1-Normal19"/>
              <w:spacing w:line="240" w:lineRule="auto"/>
              <w:jc w:val="both"/>
              <w:rPr>
                <w:noProof/>
              </w:rPr>
            </w:pPr>
            <w:r>
              <w:rPr>
                <w:noProof/>
              </w:rPr>
              <w:t>Politique d'investissement</w:t>
            </w:r>
          </w:p>
        </w:tc>
        <w:tc>
          <w:tcPr>
            <w:tcW w:w="1807" w:type="dxa"/>
            <w:tcBorders>
              <w:top w:val="single" w:sz="4" w:space="0" w:color="auto"/>
              <w:left w:val="nil"/>
              <w:bottom w:val="single" w:sz="4" w:space="0" w:color="auto"/>
              <w:right w:val="single" w:sz="4" w:space="0" w:color="auto"/>
            </w:tcBorders>
            <w:shd w:val="clear" w:color="auto" w:fill="C6EFCE"/>
            <w:noWrap/>
          </w:tcPr>
          <w:p w14:paraId="7F2228EA" w14:textId="77777777" w:rsidR="00A345F4" w:rsidRDefault="005E2D4E">
            <w:pPr>
              <w:pStyle w:val="P68B1DB1-Normal19"/>
              <w:spacing w:line="240" w:lineRule="auto"/>
              <w:jc w:val="both"/>
              <w:rPr>
                <w:noProof/>
              </w:rPr>
            </w:pPr>
            <w:r>
              <w:rPr>
                <w:noProof/>
              </w:rPr>
              <w:t>Adoption d'une politique d'investissement</w:t>
            </w:r>
          </w:p>
        </w:tc>
        <w:tc>
          <w:tcPr>
            <w:tcW w:w="1127" w:type="dxa"/>
            <w:tcBorders>
              <w:top w:val="nil"/>
              <w:left w:val="nil"/>
              <w:bottom w:val="single" w:sz="4" w:space="0" w:color="auto"/>
              <w:right w:val="single" w:sz="4" w:space="0" w:color="auto"/>
            </w:tcBorders>
            <w:shd w:val="clear" w:color="auto" w:fill="C6EFCE"/>
            <w:noWrap/>
          </w:tcPr>
          <w:p w14:paraId="5C8890D1" w14:textId="77777777" w:rsidR="00A345F4" w:rsidRDefault="00A345F4">
            <w:pPr>
              <w:spacing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E288CD8" w14:textId="77777777" w:rsidR="00A345F4" w:rsidRDefault="00A345F4">
            <w:pPr>
              <w:spacing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74B04263" w14:textId="77777777" w:rsidR="00A345F4" w:rsidRDefault="00A345F4">
            <w:pPr>
              <w:spacing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28EFBCFD" w14:textId="77777777" w:rsidR="00A345F4" w:rsidRDefault="005E2D4E">
            <w:pPr>
              <w:pStyle w:val="P68B1DB1-Normal19"/>
              <w:spacing w:line="240" w:lineRule="auto"/>
              <w:jc w:val="center"/>
              <w:rPr>
                <w:noProof/>
              </w:rPr>
            </w:pPr>
            <w:r>
              <w:rPr>
                <w:noProof/>
              </w:rPr>
              <w:t>T1</w:t>
            </w:r>
          </w:p>
        </w:tc>
        <w:tc>
          <w:tcPr>
            <w:tcW w:w="840" w:type="dxa"/>
            <w:tcBorders>
              <w:top w:val="nil"/>
              <w:left w:val="nil"/>
              <w:bottom w:val="single" w:sz="4" w:space="0" w:color="auto"/>
              <w:right w:val="single" w:sz="4" w:space="0" w:color="auto"/>
            </w:tcBorders>
            <w:shd w:val="clear" w:color="auto" w:fill="C6EFCE"/>
            <w:noWrap/>
          </w:tcPr>
          <w:p w14:paraId="1031F47B" w14:textId="77777777" w:rsidR="00A345F4" w:rsidRDefault="005E2D4E">
            <w:pPr>
              <w:pStyle w:val="P68B1DB1-Normal19"/>
              <w:spacing w:line="240" w:lineRule="auto"/>
              <w:jc w:val="center"/>
              <w:rPr>
                <w:noProof/>
              </w:rPr>
            </w:pPr>
            <w:r>
              <w:rPr>
                <w:noProof/>
              </w:rPr>
              <w:t>2026</w:t>
            </w:r>
          </w:p>
        </w:tc>
        <w:tc>
          <w:tcPr>
            <w:tcW w:w="3107" w:type="dxa"/>
            <w:tcBorders>
              <w:top w:val="single" w:sz="4" w:space="0" w:color="auto"/>
              <w:left w:val="nil"/>
              <w:bottom w:val="single" w:sz="4" w:space="0" w:color="auto"/>
              <w:right w:val="single" w:sz="4" w:space="0" w:color="auto"/>
            </w:tcBorders>
            <w:shd w:val="clear" w:color="auto" w:fill="C6EFCE"/>
            <w:noWrap/>
          </w:tcPr>
          <w:p w14:paraId="677CB97F" w14:textId="77777777" w:rsidR="00A345F4" w:rsidRDefault="005E2D4E">
            <w:pPr>
              <w:pStyle w:val="P68B1DB1-Normal19"/>
              <w:spacing w:line="240" w:lineRule="auto"/>
              <w:jc w:val="both"/>
              <w:rPr>
                <w:noProof/>
                <w:color w:val="000000" w:themeColor="text1"/>
              </w:rPr>
            </w:pPr>
            <w:r>
              <w:rPr>
                <w:noProof/>
              </w:rPr>
              <w:t>Adoption d'une politique d'investissement pour la Banque nationale de développement pour l'utilisation des fonds propres supplémentaires.</w:t>
            </w:r>
          </w:p>
        </w:tc>
      </w:tr>
      <w:tr w:rsidR="00A345F4" w14:paraId="6D7DAD35" w14:textId="77777777">
        <w:trPr>
          <w:trHeight w:val="300"/>
          <w:jc w:val="center"/>
        </w:trPr>
        <w:tc>
          <w:tcPr>
            <w:tcW w:w="842" w:type="dxa"/>
            <w:tcBorders>
              <w:top w:val="single" w:sz="4" w:space="0" w:color="auto"/>
              <w:left w:val="single" w:sz="4" w:space="0" w:color="auto"/>
              <w:bottom w:val="single" w:sz="4" w:space="0" w:color="auto"/>
              <w:right w:val="single" w:sz="4" w:space="0" w:color="auto"/>
            </w:tcBorders>
            <w:shd w:val="clear" w:color="auto" w:fill="C6EFCE"/>
            <w:noWrap/>
          </w:tcPr>
          <w:p w14:paraId="0E33808C" w14:textId="77777777" w:rsidR="00A345F4" w:rsidRDefault="005E2D4E">
            <w:pPr>
              <w:pStyle w:val="P68B1DB1-Normal14"/>
              <w:spacing w:line="240" w:lineRule="auto"/>
              <w:jc w:val="center"/>
              <w:rPr>
                <w:noProof/>
              </w:rPr>
            </w:pPr>
            <w:r>
              <w:rPr>
                <w:noProof/>
              </w:rPr>
              <w:t>240b</w:t>
            </w:r>
          </w:p>
        </w:tc>
        <w:tc>
          <w:tcPr>
            <w:tcW w:w="1833" w:type="dxa"/>
            <w:tcBorders>
              <w:top w:val="single" w:sz="4" w:space="0" w:color="auto"/>
              <w:left w:val="nil"/>
              <w:bottom w:val="single" w:sz="4" w:space="0" w:color="auto"/>
              <w:right w:val="single" w:sz="4" w:space="0" w:color="auto"/>
            </w:tcBorders>
            <w:shd w:val="clear" w:color="auto" w:fill="C6EFCE"/>
            <w:noWrap/>
          </w:tcPr>
          <w:p w14:paraId="68D73022" w14:textId="77777777" w:rsidR="00A345F4" w:rsidRDefault="005E2D4E">
            <w:pPr>
              <w:pStyle w:val="P68B1DB1-Normal19"/>
              <w:spacing w:after="0" w:line="240" w:lineRule="auto"/>
              <w:jc w:val="both"/>
              <w:rPr>
                <w:noProof/>
              </w:rPr>
            </w:pPr>
            <w:r>
              <w:rPr>
                <w:noProof/>
              </w:rPr>
              <w:t>Investissement 11. Injection de fonds propres dans la Banque nationale de développement</w:t>
            </w:r>
          </w:p>
          <w:p w14:paraId="225E67D0" w14:textId="77777777" w:rsidR="00A345F4" w:rsidRDefault="00A345F4">
            <w:pPr>
              <w:spacing w:line="240" w:lineRule="auto"/>
              <w:jc w:val="both"/>
              <w:rPr>
                <w:rFonts w:ascii="Times New Roman" w:hAnsi="Times New Roman" w:cs="Times New Roman"/>
                <w:noProof/>
                <w:sz w:val="20"/>
                <w:szCs w:val="20"/>
              </w:rPr>
            </w:pPr>
          </w:p>
        </w:tc>
        <w:tc>
          <w:tcPr>
            <w:tcW w:w="1268" w:type="dxa"/>
            <w:tcBorders>
              <w:top w:val="single" w:sz="4" w:space="0" w:color="auto"/>
              <w:left w:val="nil"/>
              <w:bottom w:val="single" w:sz="4" w:space="0" w:color="auto"/>
              <w:right w:val="single" w:sz="4" w:space="0" w:color="auto"/>
            </w:tcBorders>
            <w:shd w:val="clear" w:color="auto" w:fill="C6EFCE"/>
            <w:noWrap/>
          </w:tcPr>
          <w:p w14:paraId="1AC159C7" w14:textId="77777777" w:rsidR="00A345F4" w:rsidRDefault="005E2D4E">
            <w:pPr>
              <w:pStyle w:val="P68B1DB1-Normal19"/>
              <w:spacing w:line="240" w:lineRule="auto"/>
              <w:jc w:val="center"/>
              <w:rPr>
                <w:noProof/>
              </w:rPr>
            </w:pPr>
            <w:r>
              <w:rPr>
                <w:noProof/>
              </w:rPr>
              <w:t xml:space="preserve">Étape </w:t>
            </w:r>
          </w:p>
        </w:tc>
        <w:tc>
          <w:tcPr>
            <w:tcW w:w="1380" w:type="dxa"/>
            <w:tcBorders>
              <w:top w:val="single" w:sz="4" w:space="0" w:color="auto"/>
              <w:left w:val="nil"/>
              <w:bottom w:val="single" w:sz="4" w:space="0" w:color="auto"/>
              <w:right w:val="single" w:sz="4" w:space="0" w:color="auto"/>
            </w:tcBorders>
            <w:shd w:val="clear" w:color="auto" w:fill="C6EFCE"/>
            <w:noWrap/>
          </w:tcPr>
          <w:p w14:paraId="069DD826" w14:textId="77777777" w:rsidR="00A345F4" w:rsidRDefault="005E2D4E">
            <w:pPr>
              <w:pStyle w:val="P68B1DB1-Normal19"/>
              <w:spacing w:line="240" w:lineRule="auto"/>
              <w:jc w:val="both"/>
              <w:rPr>
                <w:noProof/>
              </w:rPr>
            </w:pPr>
            <w:r>
              <w:rPr>
                <w:noProof/>
              </w:rPr>
              <w:t>Injection de fonds propres</w:t>
            </w:r>
          </w:p>
        </w:tc>
        <w:tc>
          <w:tcPr>
            <w:tcW w:w="1807" w:type="dxa"/>
            <w:tcBorders>
              <w:top w:val="single" w:sz="4" w:space="0" w:color="auto"/>
              <w:left w:val="nil"/>
              <w:bottom w:val="single" w:sz="4" w:space="0" w:color="auto"/>
              <w:right w:val="single" w:sz="4" w:space="0" w:color="auto"/>
            </w:tcBorders>
            <w:shd w:val="clear" w:color="auto" w:fill="C6EFCE"/>
            <w:noWrap/>
          </w:tcPr>
          <w:p w14:paraId="7079EDC3" w14:textId="77777777" w:rsidR="00A345F4" w:rsidRDefault="005E2D4E">
            <w:pPr>
              <w:pStyle w:val="P68B1DB1-Normal19"/>
              <w:spacing w:line="240" w:lineRule="auto"/>
              <w:jc w:val="both"/>
              <w:rPr>
                <w:noProof/>
              </w:rPr>
            </w:pPr>
            <w:r>
              <w:rPr>
                <w:noProof/>
              </w:rPr>
              <w:t>Certificat de transfert</w:t>
            </w:r>
          </w:p>
        </w:tc>
        <w:tc>
          <w:tcPr>
            <w:tcW w:w="1127" w:type="dxa"/>
            <w:tcBorders>
              <w:top w:val="nil"/>
              <w:left w:val="nil"/>
              <w:bottom w:val="single" w:sz="4" w:space="0" w:color="auto"/>
              <w:right w:val="single" w:sz="4" w:space="0" w:color="auto"/>
            </w:tcBorders>
            <w:shd w:val="clear" w:color="auto" w:fill="C6EFCE"/>
            <w:noWrap/>
          </w:tcPr>
          <w:p w14:paraId="10A34861" w14:textId="77777777" w:rsidR="00A345F4" w:rsidRDefault="00A345F4">
            <w:pPr>
              <w:spacing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631C7280" w14:textId="77777777" w:rsidR="00A345F4" w:rsidRDefault="00A345F4">
            <w:pPr>
              <w:spacing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55617A5B" w14:textId="77777777" w:rsidR="00A345F4" w:rsidRDefault="00A345F4">
            <w:pPr>
              <w:spacing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179FD771" w14:textId="77777777" w:rsidR="00A345F4" w:rsidRDefault="005E2D4E">
            <w:pPr>
              <w:pStyle w:val="P68B1DB1-Normal19"/>
              <w:spacing w:line="240" w:lineRule="auto"/>
              <w:jc w:val="center"/>
              <w:rPr>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6A18D07B" w14:textId="77777777" w:rsidR="00A345F4" w:rsidRDefault="005E2D4E">
            <w:pPr>
              <w:pStyle w:val="P68B1DB1-Normal19"/>
              <w:spacing w:line="240" w:lineRule="auto"/>
              <w:jc w:val="center"/>
              <w:rPr>
                <w:noProof/>
              </w:rPr>
            </w:pPr>
            <w:r>
              <w:rPr>
                <w:noProof/>
              </w:rPr>
              <w:t>2026</w:t>
            </w:r>
          </w:p>
        </w:tc>
        <w:tc>
          <w:tcPr>
            <w:tcW w:w="3107" w:type="dxa"/>
            <w:tcBorders>
              <w:top w:val="single" w:sz="4" w:space="0" w:color="auto"/>
              <w:left w:val="nil"/>
              <w:bottom w:val="single" w:sz="4" w:space="0" w:color="auto"/>
              <w:right w:val="single" w:sz="4" w:space="0" w:color="auto"/>
            </w:tcBorders>
            <w:shd w:val="clear" w:color="auto" w:fill="C6EFCE"/>
            <w:noWrap/>
          </w:tcPr>
          <w:p w14:paraId="5502F4FF" w14:textId="7DB81C41" w:rsidR="00A345F4" w:rsidRDefault="005E2D4E">
            <w:pPr>
              <w:pStyle w:val="P68B1DB1-Normal19"/>
              <w:spacing w:line="240" w:lineRule="auto"/>
              <w:jc w:val="both"/>
              <w:rPr>
                <w:noProof/>
                <w:color w:val="000000" w:themeColor="text1"/>
              </w:rPr>
            </w:pPr>
            <w:r>
              <w:rPr>
                <w:noProof/>
              </w:rPr>
              <w:t>La Roumanie transfère 250 millions d'EUR à la Banque nationale de développement afin d'accroître ses fonds propres. Au-delà de l’injection de fonds propres dans la Banque nationale de développement qui constitue l’investissement au titre de la FRR, la Roumanie transmet un rapport décrivant les mesures prises par la Banque nationale de développement au plus tard le 31 août 2026 pour mettre en œuvre la politique d’investissement, y compris les mesures prises pour la mise en œuvre des produits financiers que les fonds propres supplémentaires devraient initialement soutenir, ainsi que les mesures attendues pour la poursuite de la mise en œuvre de ces produits.</w:t>
            </w:r>
          </w:p>
        </w:tc>
      </w:tr>
    </w:tbl>
    <w:p w14:paraId="67478E2F" w14:textId="77777777" w:rsidR="00A345F4" w:rsidRDefault="00A345F4">
      <w:pPr>
        <w:rPr>
          <w:rFonts w:ascii="Times New Roman" w:eastAsia="Times New Roman" w:hAnsi="Times New Roman" w:cs="Times New Roman"/>
          <w:b/>
          <w:bCs/>
          <w:noProof/>
          <w:color w:val="D13438"/>
          <w:u w:val="single"/>
        </w:rPr>
        <w:sectPr w:rsidR="00A345F4" w:rsidSect="00BE1A15">
          <w:headerReference w:type="even" r:id="rId204"/>
          <w:headerReference w:type="default" r:id="rId205"/>
          <w:footerReference w:type="even" r:id="rId206"/>
          <w:footerReference w:type="default" r:id="rId207"/>
          <w:headerReference w:type="first" r:id="rId208"/>
          <w:footerReference w:type="first" r:id="rId209"/>
          <w:pgSz w:w="16839" w:h="11907" w:orient="landscape"/>
          <w:pgMar w:top="1134" w:right="1134" w:bottom="1134" w:left="1134" w:header="567" w:footer="567" w:gutter="0"/>
          <w:cols w:space="720"/>
          <w:docGrid w:linePitch="360"/>
        </w:sectPr>
      </w:pPr>
    </w:p>
    <w:p w14:paraId="02CDAD31" w14:textId="77777777" w:rsidR="00A345F4" w:rsidRDefault="005E2D4E">
      <w:pPr>
        <w:pStyle w:val="P68B1DB1-Normal1"/>
        <w:keepNext/>
        <w:numPr>
          <w:ilvl w:val="0"/>
          <w:numId w:val="46"/>
        </w:numPr>
        <w:tabs>
          <w:tab w:val="left" w:pos="850"/>
        </w:tabs>
        <w:spacing w:before="360" w:after="120" w:line="240" w:lineRule="auto"/>
        <w:jc w:val="both"/>
        <w:outlineLvl w:val="0"/>
        <w:rPr>
          <w:bCs/>
          <w:noProof/>
        </w:rPr>
      </w:pPr>
      <w:r>
        <w:rPr>
          <w:noProof/>
        </w:rPr>
        <w:t>COMPOSANT 9 : Soutien aux entreprises, recherche, développement et innovation</w:t>
      </w:r>
    </w:p>
    <w:p w14:paraId="2779E63A" w14:textId="77777777" w:rsidR="00A345F4" w:rsidRDefault="005E2D4E">
      <w:pPr>
        <w:pStyle w:val="P68B1DB1-Normal4"/>
        <w:spacing w:before="120" w:after="120" w:line="240" w:lineRule="auto"/>
        <w:jc w:val="both"/>
        <w:rPr>
          <w:noProof/>
        </w:rPr>
      </w:pPr>
      <w:r>
        <w:rPr>
          <w:noProof/>
        </w:rPr>
        <w:t xml:space="preserve">Ce volet comprend un ensemble de réformes et d’investissements visant à améliorer l’environnement des entreprises en Roumanie, y compris le secteur de la recherche, du développement et de l’innovation. </w:t>
      </w:r>
    </w:p>
    <w:p w14:paraId="0A82061C" w14:textId="4769D945" w:rsidR="00A345F4" w:rsidRDefault="005E2D4E">
      <w:pPr>
        <w:pStyle w:val="P68B1DB1-Normal4"/>
        <w:spacing w:before="120" w:after="120" w:line="240" w:lineRule="auto"/>
        <w:jc w:val="both"/>
        <w:rPr>
          <w:noProof/>
        </w:rPr>
      </w:pPr>
      <w:r>
        <w:rPr>
          <w:noProof/>
        </w:rPr>
        <w:t xml:space="preserve">L’objectif de ce volet est de soutenir les entreprises en Roumanie, en particulier les petites et moyennes entreprises, ainsi que les organisations publiques actives dans la recherche, le développement et l’innovation. Les réformes soutenant les investissements comprennent des modifications réglementaires visant à réduire la charge administrative pesant sur les entreprises en simplifiant la législation/les procédures de démarrage/de sortie ainsi qu’en obtenant des licences. Les réformes portent également sur le manque de clarté de la gouvernance, la fragmentation et l’efficacité du système de recherche, de développement et d’innovation et soutiennent sa coopération avec le secteur privé. Les investissements concernent la création d’une plateforme numérique pour la fourniture de services publics simplifiés aux entreprises, y compris pour l’obtention de licences, l’accès au financement pour les petites et moyennes entreprises et les entreprises au moyen d’instruments financiers et de subventions. Les investissements complémentaires concernent le financement de centres de compétences en recherche et de projets de recherche menés par des chercheurs de renommée internationale. </w:t>
      </w:r>
    </w:p>
    <w:p w14:paraId="39310BC8" w14:textId="77777777" w:rsidR="00A345F4" w:rsidRDefault="005E2D4E">
      <w:pPr>
        <w:pStyle w:val="P68B1DB1-Normal4"/>
        <w:spacing w:before="120" w:after="120" w:line="240" w:lineRule="auto"/>
        <w:jc w:val="both"/>
        <w:rPr>
          <w:noProof/>
        </w:rPr>
      </w:pPr>
      <w:r>
        <w:rPr>
          <w:noProof/>
        </w:rPr>
        <w:t>Les réformes et les investissements contribuent à donner suite à la recommandation par pays transmise à la Roumanie en 2019 et 2020, sur la nécessité d’améliorer la qualité et la prévisibilité du processus décisionnel (recommandation par pays no 5, 2019); et de concentrer en amont les projets d’investissement public parvenus à maturité qui soutiennent la compétitivité de l’économie, tels que le soutien aux activités de recherche et de développement et l’intégration des fournisseurs locaux dans les chaînes de valeur stratégiques de l’UE (recommandation par pays no 3, 2020).</w:t>
      </w:r>
    </w:p>
    <w:p w14:paraId="299DC68F" w14:textId="77777777" w:rsidR="00A345F4" w:rsidRDefault="005E2D4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24D719B1" w14:textId="77777777" w:rsidR="00A345F4" w:rsidRDefault="005E2D4E">
      <w:pPr>
        <w:pStyle w:val="P68B1DB1-Normal4"/>
        <w:keepNext/>
        <w:numPr>
          <w:ilvl w:val="1"/>
          <w:numId w:val="0"/>
        </w:numPr>
        <w:spacing w:before="120" w:after="120" w:line="240" w:lineRule="auto"/>
        <w:ind w:left="850" w:hanging="850"/>
        <w:jc w:val="both"/>
        <w:outlineLvl w:val="1"/>
        <w:rPr>
          <w:rFonts w:eastAsiaTheme="majorEastAsia"/>
          <w:b/>
          <w:bCs/>
          <w:noProof/>
          <w:szCs w:val="26"/>
        </w:rPr>
      </w:pPr>
      <w:r>
        <w:rPr>
          <w:b/>
          <w:noProof/>
        </w:rPr>
        <w:t xml:space="preserve">I.1. </w:t>
      </w:r>
      <w:r>
        <w:rPr>
          <w:noProof/>
        </w:rPr>
        <w:t xml:space="preserve"> </w:t>
      </w:r>
      <w:r>
        <w:rPr>
          <w:b/>
          <w:noProof/>
        </w:rPr>
        <w:t xml:space="preserve">Description des réformes et des investissements pour le soutien financier </w:t>
      </w:r>
      <w:bookmarkStart w:id="17" w:name="_Hlk207637738"/>
      <w:r>
        <w:rPr>
          <w:b/>
          <w:noProof/>
        </w:rPr>
        <w:t>non remboursable</w:t>
      </w:r>
      <w:bookmarkEnd w:id="17"/>
    </w:p>
    <w:p w14:paraId="6B01688D"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Investissement 2.a – Instruments financiers pour le secteur privé</w:t>
      </w:r>
    </w:p>
    <w:p w14:paraId="3014CD7A" w14:textId="77777777" w:rsidR="00A345F4" w:rsidRDefault="005E2D4E">
      <w:pPr>
        <w:pStyle w:val="P68B1DB1-Normal48"/>
        <w:spacing w:before="120" w:after="120" w:line="240" w:lineRule="auto"/>
        <w:jc w:val="both"/>
        <w:rPr>
          <w:noProof/>
        </w:rPr>
      </w:pPr>
      <w:r>
        <w:rPr>
          <w:noProof/>
        </w:rPr>
        <w:t>Sous-investissement 2.a. Garantie du portefeuille d’action pour le climat</w:t>
      </w:r>
    </w:p>
    <w:p w14:paraId="291B9CA9" w14:textId="77777777" w:rsidR="00A345F4" w:rsidRDefault="005E2D4E">
      <w:pPr>
        <w:pStyle w:val="P68B1DB1-Normal4"/>
        <w:spacing w:before="120" w:after="120" w:line="240" w:lineRule="auto"/>
        <w:jc w:val="both"/>
        <w:rPr>
          <w:noProof/>
        </w:rPr>
      </w:pPr>
      <w:bookmarkStart w:id="18" w:name="_Hlk211440179"/>
      <w:r>
        <w:rPr>
          <w:noProof/>
        </w:rPr>
        <w:t>L’objectif de ce sous-investissement est de fournir des financements et des investissements aux PME (jusqu’à 249 salariés), aux entreprises comptant jusqu’à 500 salariés et aux particuliers au moyen de fonds de roulement, de lignes de crédit, de prêts à l’investissement ou de crédit-bail, en vue d’investissements et</w:t>
      </w:r>
      <w:r>
        <w:rPr>
          <w:noProof/>
          <w:color w:val="FF0000"/>
        </w:rPr>
        <w:t xml:space="preserve"> </w:t>
      </w:r>
      <w:r>
        <w:rPr>
          <w:noProof/>
        </w:rPr>
        <w:t xml:space="preserve">de financements destinés à accroître l’efficacité énergétique dans les entreprises et le secteur résidentiel et du bâtiment. L’objectif de l’instrument est de relever les défis actuels de la Roumanie en matière de soutien aux investissements dans les secteurs de l’efficacité énergétique et des énergies renouvelables. Le sous-investissement prend la forme d’une garantie de portefeuille, à mettre en œuvre à titre de contribution à InvestEU par le Fonds européen d’investissement (FEI). Les objectifs spécifiques et les ambitions en matière d’efficacité énergétique de l’instrument, ainsi que la structure et les critères d’éligibilité, sont pleinement alignés et correspondent à ceux de l’instrument InvestEU-compartiment, actuellement en cours d’élaboration. </w:t>
      </w:r>
    </w:p>
    <w:p w14:paraId="2355C2FB" w14:textId="77777777" w:rsidR="00A345F4" w:rsidRDefault="005E2D4E">
      <w:pPr>
        <w:pStyle w:val="P68B1DB1-Normal4"/>
        <w:spacing w:before="120" w:after="120" w:line="240" w:lineRule="auto"/>
        <w:jc w:val="both"/>
        <w:rPr>
          <w:noProof/>
        </w:rPr>
      </w:pPr>
      <w:r>
        <w:rPr>
          <w:noProof/>
        </w:rPr>
        <w:t>Afin de garantir que le sous-investissement est conforme aux orientations techniques «Ne pas causer de préjudice important» (2021/C58/01), la convention de contribution entre la Commission européenne et le gouvernement roumain exige l’application des orientations techniques de la Commission sur l’évaluation de la durabilité pour le Fonds InvestEU. L'accord de garantie conclu entre la Commission européenne et le FEI exclut en outre de l'éligibilité la liste suivante d'activités et d'actifs: (i) les activités et les actifs liés aux combustibles fossiles, y compris l’utilisation en aval</w:t>
      </w:r>
      <w:r w:rsidRPr="00E75F9B">
        <w:rPr>
          <w:noProof/>
          <w:vertAlign w:val="superscript"/>
        </w:rPr>
        <w:footnoteReference w:id="18"/>
      </w:r>
      <w:r>
        <w:rPr>
          <w:noProof/>
        </w:rPr>
        <w:t xml:space="preserve"> et (ii) les activités et les actifs relevant du système d’échange de quotas d’émission de l’UE (SEQE) permettant d’atteindre des émissions de gaz à effet de serre prévues qui ne sont pas inférieures aux référentiels pertinents.</w:t>
      </w:r>
      <w:r w:rsidRPr="00E75F9B">
        <w:rPr>
          <w:noProof/>
          <w:vertAlign w:val="superscript"/>
        </w:rPr>
        <w:footnoteReference w:id="19"/>
      </w:r>
    </w:p>
    <w:p w14:paraId="2C25EAE1" w14:textId="77777777" w:rsidR="00A345F4" w:rsidRDefault="005E2D4E">
      <w:pPr>
        <w:pStyle w:val="P68B1DB1-Normal4"/>
        <w:spacing w:before="120" w:after="120" w:line="240" w:lineRule="auto"/>
        <w:jc w:val="both"/>
        <w:rPr>
          <w:noProof/>
        </w:rPr>
      </w:pPr>
      <w:r>
        <w:rPr>
          <w:noProof/>
        </w:rPr>
        <w:t>Cette mesure complète le sous-investissement 2.2. Garantie du portefeuille d’action pour le climat</w:t>
      </w:r>
    </w:p>
    <w:bookmarkEnd w:id="18"/>
    <w:p w14:paraId="45B08F75"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Investissement 3.a. Régimes d'aides au secteur privé</w:t>
      </w:r>
    </w:p>
    <w:p w14:paraId="217C4D8D" w14:textId="77777777" w:rsidR="00A345F4" w:rsidRDefault="005E2D4E">
      <w:pPr>
        <w:pStyle w:val="P68B1DB1-Normal48"/>
        <w:spacing w:before="120" w:after="120" w:line="240" w:lineRule="auto"/>
        <w:jc w:val="both"/>
        <w:rPr>
          <w:noProof/>
        </w:rPr>
      </w:pPr>
      <w:r>
        <w:rPr>
          <w:noProof/>
        </w:rPr>
        <w:t xml:space="preserve">Sous-investissement 3.a. Régime </w:t>
      </w:r>
      <w:bookmarkStart w:id="19" w:name="_Hlk209626017"/>
      <w:r>
        <w:rPr>
          <w:noProof/>
        </w:rPr>
        <w:t>d’aides à la numérisation des PME</w:t>
      </w:r>
      <w:bookmarkEnd w:id="19"/>
    </w:p>
    <w:p w14:paraId="38B7F017" w14:textId="77777777" w:rsidR="00A345F4" w:rsidRDefault="005E2D4E">
      <w:pPr>
        <w:pStyle w:val="P68B1DB1-Normal4"/>
        <w:spacing w:before="120" w:after="120" w:line="240" w:lineRule="auto"/>
        <w:jc w:val="both"/>
        <w:rPr>
          <w:noProof/>
        </w:rPr>
      </w:pPr>
      <w:r>
        <w:rPr>
          <w:noProof/>
        </w:rPr>
        <w:t xml:space="preserve">L’objectif de ce sous-investissement est de soutenir la numérisation des petites et moyennes entreprises (PME). </w:t>
      </w:r>
    </w:p>
    <w:p w14:paraId="03828258" w14:textId="77777777" w:rsidR="00A345F4" w:rsidRDefault="005E2D4E">
      <w:pPr>
        <w:pStyle w:val="P68B1DB1-Normal4"/>
        <w:spacing w:before="120" w:after="120" w:line="240" w:lineRule="auto"/>
        <w:jc w:val="both"/>
        <w:rPr>
          <w:noProof/>
        </w:rPr>
      </w:pPr>
      <w:r>
        <w:rPr>
          <w:noProof/>
        </w:rPr>
        <w:t>Le sous-investissement se compose de deux instruments: i) un régime de subventions pour soutenir les entrepreneurs dans le développement de technologies numériques avancées ii) un régime de subventions d’un montant maximal de 100 000 EUR par entreprise pour soutenir les PME qui adoptent des technologies numériques</w:t>
      </w:r>
    </w:p>
    <w:p w14:paraId="40CF113B" w14:textId="77777777" w:rsidR="00A345F4" w:rsidRDefault="005E2D4E">
      <w:pPr>
        <w:pStyle w:val="P68B1DB1-Normal4"/>
        <w:spacing w:before="120" w:after="120" w:line="240" w:lineRule="auto"/>
        <w:jc w:val="both"/>
        <w:rPr>
          <w:noProof/>
        </w:rPr>
      </w:pPr>
      <w:r>
        <w:rPr>
          <w:noProof/>
        </w:rPr>
        <w:t>Cette mesure complète le sous-investissement 3.1. Régime d’aides en faveur de la numérisation des PME</w:t>
      </w:r>
    </w:p>
    <w:p w14:paraId="62D4E52A"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Réforme 2.a. Rationaliser la gouvernance de la recherche, du développement et de l'innovation </w:t>
      </w:r>
    </w:p>
    <w:p w14:paraId="1C686935" w14:textId="77777777" w:rsidR="00A345F4" w:rsidRDefault="005E2D4E">
      <w:pPr>
        <w:pStyle w:val="P68B1DB1-Normal4"/>
        <w:spacing w:before="120" w:after="120" w:line="240" w:lineRule="auto"/>
        <w:jc w:val="both"/>
        <w:rPr>
          <w:noProof/>
        </w:rPr>
      </w:pPr>
      <w:r>
        <w:rPr>
          <w:noProof/>
        </w:rPr>
        <w:t xml:space="preserve">L'objectif de cette réforme est de rationaliser la gouvernance du système de recherche, de développement et d'innovation en Roumanie. </w:t>
      </w:r>
    </w:p>
    <w:p w14:paraId="6C98CDC6" w14:textId="03233A6A" w:rsidR="00A345F4" w:rsidRDefault="005E2D4E">
      <w:pPr>
        <w:pStyle w:val="P68B1DB1-Normal4"/>
        <w:spacing w:before="120" w:after="120" w:line="240" w:lineRule="auto"/>
        <w:jc w:val="both"/>
        <w:rPr>
          <w:noProof/>
        </w:rPr>
      </w:pPr>
      <w:r>
        <w:rPr>
          <w:noProof/>
        </w:rPr>
        <w:t>La réforme consiste en l’adoption d’un ou de plusieurs actes juridiques pour la coordination de la politique en matière d’activités de RDI.</w:t>
      </w:r>
    </w:p>
    <w:p w14:paraId="3D1B159F" w14:textId="77777777" w:rsidR="00A345F4" w:rsidRDefault="005E2D4E">
      <w:pPr>
        <w:pStyle w:val="P68B1DB1-Normal4"/>
        <w:spacing w:before="120" w:after="120" w:line="240" w:lineRule="auto"/>
        <w:jc w:val="both"/>
        <w:rPr>
          <w:noProof/>
        </w:rPr>
      </w:pPr>
      <w:r>
        <w:rPr>
          <w:noProof/>
        </w:rPr>
        <w:t>Cette mesure complète la réforme 2 - Rationaliser la gouvernance de la recherche, du développement et de l'innovation.</w:t>
      </w:r>
    </w:p>
    <w:p w14:paraId="531955CB"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Réforme 3. Réforme de la carrière de chercheur </w:t>
      </w:r>
    </w:p>
    <w:p w14:paraId="0DFD2F35" w14:textId="77777777" w:rsidR="00A345F4" w:rsidRDefault="005E2D4E">
      <w:pPr>
        <w:pStyle w:val="P68B1DB1-Normal4"/>
        <w:spacing w:before="120" w:after="120" w:line="240" w:lineRule="auto"/>
        <w:jc w:val="both"/>
        <w:rPr>
          <w:noProof/>
        </w:rPr>
      </w:pPr>
      <w:r>
        <w:rPr>
          <w:noProof/>
        </w:rPr>
        <w:t xml:space="preserve">L'objectif de cette réforme est d'accroître l'attractivité de la carrière de chercheur et la performance des chercheurs. </w:t>
      </w:r>
    </w:p>
    <w:p w14:paraId="4508AB4B" w14:textId="77777777" w:rsidR="00A345F4" w:rsidRDefault="005E2D4E">
      <w:pPr>
        <w:pStyle w:val="P68B1DB1-Normal4"/>
        <w:spacing w:before="120" w:after="120" w:line="240" w:lineRule="auto"/>
        <w:jc w:val="both"/>
        <w:rPr>
          <w:noProof/>
        </w:rPr>
      </w:pPr>
      <w:r>
        <w:rPr>
          <w:noProof/>
        </w:rPr>
        <w:t>La réforme consiste en l’adoption d’un ou de plusieurs actes juridiques visant à réformer la carrière de chercheur en Roumanie.</w:t>
      </w:r>
    </w:p>
    <w:p w14:paraId="78A02812" w14:textId="6EB1FCCD" w:rsidR="00A345F4" w:rsidRDefault="005E2D4E">
      <w:pPr>
        <w:pStyle w:val="P68B1DB1-Normal12"/>
        <w:spacing w:before="120" w:after="120" w:line="240" w:lineRule="auto"/>
        <w:jc w:val="both"/>
        <w:rPr>
          <w:rFonts w:eastAsiaTheme="majorEastAsia"/>
          <w:noProof/>
        </w:rPr>
      </w:pPr>
      <w:r>
        <w:rPr>
          <w:noProof/>
        </w:rPr>
        <w:t>Investissement 5.a. Création de centres de compétences</w:t>
      </w:r>
    </w:p>
    <w:p w14:paraId="332E33D9" w14:textId="77777777" w:rsidR="00A345F4" w:rsidRDefault="005E2D4E">
      <w:pPr>
        <w:pStyle w:val="P68B1DB1-Normal4"/>
        <w:spacing w:before="120" w:after="120" w:line="240" w:lineRule="auto"/>
        <w:jc w:val="both"/>
        <w:rPr>
          <w:noProof/>
        </w:rPr>
      </w:pPr>
      <w:r>
        <w:rPr>
          <w:noProof/>
        </w:rPr>
        <w:t xml:space="preserve">L'objectif de l'investissement est de lutter contre la fragmentation thématique des organisations de recherche, de développement et d'innovation. </w:t>
      </w:r>
    </w:p>
    <w:p w14:paraId="0E87E8AC" w14:textId="77777777" w:rsidR="00A345F4" w:rsidRDefault="005E2D4E">
      <w:pPr>
        <w:pStyle w:val="P68B1DB1-Normal4"/>
        <w:spacing w:before="120" w:after="120" w:line="240" w:lineRule="auto"/>
        <w:jc w:val="both"/>
        <w:rPr>
          <w:noProof/>
        </w:rPr>
      </w:pPr>
      <w:r>
        <w:rPr>
          <w:noProof/>
        </w:rPr>
        <w:t xml:space="preserve">L’investissement consiste en la création de cinq «centres de compétences» pour les activités de recherche. </w:t>
      </w:r>
    </w:p>
    <w:p w14:paraId="0EF5C3FD" w14:textId="77777777" w:rsidR="00A345F4" w:rsidRDefault="005E2D4E">
      <w:pPr>
        <w:pStyle w:val="P68B1DB1-Normal4"/>
        <w:spacing w:before="120" w:after="120" w:line="240" w:lineRule="auto"/>
        <w:jc w:val="both"/>
        <w:rPr>
          <w:noProof/>
        </w:rPr>
      </w:pPr>
      <w:r>
        <w:rPr>
          <w:noProof/>
        </w:rPr>
        <w:t>Cette mesure complète l'investissement 5 - Création et mise en service de centres de compétences.</w:t>
      </w:r>
    </w:p>
    <w:p w14:paraId="056C688D"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Investissement 8. Élaboration d'un programme visant à attirer des ressources humaines hautement spécialisées de l'étranger dans les activités de recherche, de développement et d'innovation </w:t>
      </w:r>
    </w:p>
    <w:p w14:paraId="2AF3A012" w14:textId="77777777" w:rsidR="00A345F4" w:rsidRDefault="005E2D4E">
      <w:pPr>
        <w:pStyle w:val="P68B1DB1-Normal4"/>
        <w:spacing w:before="120" w:after="120" w:line="240" w:lineRule="auto"/>
        <w:jc w:val="both"/>
        <w:rPr>
          <w:noProof/>
        </w:rPr>
      </w:pPr>
      <w:r>
        <w:rPr>
          <w:noProof/>
        </w:rPr>
        <w:t xml:space="preserve">L'objectif de cet investissement est d'accroître la capacité de recherche de l'organisation de développement de la recherche et de l'innovation. </w:t>
      </w:r>
    </w:p>
    <w:p w14:paraId="5F50AAE1" w14:textId="77777777" w:rsidR="00A345F4" w:rsidRDefault="005E2D4E">
      <w:pPr>
        <w:pStyle w:val="P68B1DB1-Normal4"/>
        <w:spacing w:before="120" w:after="120" w:line="240" w:lineRule="auto"/>
        <w:jc w:val="both"/>
        <w:rPr>
          <w:noProof/>
        </w:rPr>
      </w:pPr>
      <w:r>
        <w:rPr>
          <w:noProof/>
        </w:rPr>
        <w:t xml:space="preserve">L'investissement consiste à accorder un financement à des projets de recherche menés par des chercheurs internationaux de haut niveau hébergés par une organisation de recherche, de développement et d'innovation basée en Roumanie. </w:t>
      </w:r>
    </w:p>
    <w:p w14:paraId="34B8597F" w14:textId="77777777" w:rsidR="00A345F4" w:rsidRDefault="00A345F4">
      <w:pPr>
        <w:spacing w:before="120" w:after="120" w:line="240" w:lineRule="auto"/>
        <w:jc w:val="both"/>
        <w:rPr>
          <w:rFonts w:ascii="Times New Roman" w:hAnsi="Times New Roman" w:cs="Times New Roman"/>
          <w:noProof/>
        </w:rPr>
      </w:pPr>
    </w:p>
    <w:p w14:paraId="1F4E3C39"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Investissement 9 - Soutien aux titulaires de certificats d'excellence reçus dans le cadre de la bourse individuelle Marie Sklodowska Curie </w:t>
      </w:r>
    </w:p>
    <w:p w14:paraId="17691D71" w14:textId="77777777" w:rsidR="00A345F4" w:rsidRDefault="005E2D4E">
      <w:pPr>
        <w:pStyle w:val="P68B1DB1-Normal4"/>
        <w:spacing w:before="120" w:after="120" w:line="240" w:lineRule="auto"/>
        <w:jc w:val="both"/>
        <w:rPr>
          <w:noProof/>
        </w:rPr>
      </w:pPr>
      <w:r>
        <w:rPr>
          <w:noProof/>
        </w:rPr>
        <w:t xml:space="preserve">L'objectif de cet investissement est d'accroître l'attractivité des carrières en recherche et de soutenir les chercheurs confirmés dans la réalisation de leur projet de recherche. </w:t>
      </w:r>
    </w:p>
    <w:p w14:paraId="369B3D83" w14:textId="77777777" w:rsidR="00A345F4" w:rsidRDefault="005E2D4E">
      <w:pPr>
        <w:pStyle w:val="P68B1DB1-Normal4"/>
        <w:spacing w:before="120" w:after="120" w:line="240" w:lineRule="auto"/>
        <w:jc w:val="both"/>
        <w:rPr>
          <w:noProof/>
        </w:rPr>
      </w:pPr>
      <w:r>
        <w:rPr>
          <w:noProof/>
        </w:rPr>
        <w:t xml:space="preserve">L’investissement consiste à fournir aux chercheurs qui reçoivent le label d’excellence «bourse individuelle Marie Sklodowska Curie» au plus tard le 31 décembre 2023 une subvention pour mener à bien des projets de recherche relevant d’Horizon 2020 et d’Horizon Europe. </w:t>
      </w:r>
    </w:p>
    <w:p w14:paraId="7C938CAC"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Investissement 10 - Création et soutien financier d'un réseau national de huit centres régionaux d'orientation professionnelle </w:t>
      </w:r>
    </w:p>
    <w:p w14:paraId="4388AAA1" w14:textId="77777777" w:rsidR="00A345F4" w:rsidRDefault="005E2D4E">
      <w:pPr>
        <w:pStyle w:val="P68B1DB1-Normal4"/>
        <w:spacing w:before="120" w:after="120" w:line="240" w:lineRule="auto"/>
        <w:jc w:val="both"/>
        <w:rPr>
          <w:noProof/>
        </w:rPr>
      </w:pPr>
      <w:r>
        <w:rPr>
          <w:noProof/>
        </w:rPr>
        <w:t xml:space="preserve">L'objectif de cet investissement est de fournir une orientation professionnelle en recherche et d'attirer des gens vers la profession de chercheur. </w:t>
      </w:r>
    </w:p>
    <w:p w14:paraId="6D06BDF9" w14:textId="77777777" w:rsidR="00A345F4" w:rsidRDefault="005E2D4E">
      <w:pPr>
        <w:pStyle w:val="P68B1DB1-Normal4"/>
        <w:spacing w:before="120" w:after="120" w:line="240" w:lineRule="auto"/>
        <w:jc w:val="both"/>
        <w:rPr>
          <w:noProof/>
        </w:rPr>
      </w:pPr>
      <w:r>
        <w:rPr>
          <w:noProof/>
        </w:rPr>
        <w:t xml:space="preserve">L'investissement consiste en la mise en place et le soutien financier d'un réseau de centres d'orientation de carrière en recherche. </w:t>
      </w:r>
    </w:p>
    <w:p w14:paraId="36B2F158" w14:textId="77777777" w:rsidR="00A345F4" w:rsidRDefault="00A345F4">
      <w:pPr>
        <w:spacing w:before="120" w:after="120" w:line="240" w:lineRule="auto"/>
        <w:jc w:val="both"/>
        <w:rPr>
          <w:rFonts w:ascii="Times New Roman" w:hAnsi="Times New Roman" w:cs="Times New Roman"/>
          <w:bCs/>
          <w:noProof/>
        </w:rPr>
        <w:sectPr w:rsidR="00A345F4" w:rsidSect="008D6D49">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08"/>
          <w:docGrid w:linePitch="360"/>
        </w:sectPr>
      </w:pPr>
    </w:p>
    <w:p w14:paraId="09E1886D" w14:textId="77777777" w:rsidR="00A345F4" w:rsidRDefault="005E2D4E">
      <w:pPr>
        <w:pStyle w:val="P68B1DB1-Normal4"/>
        <w:keepNext/>
        <w:spacing w:before="120" w:after="120" w:line="240" w:lineRule="auto"/>
        <w:ind w:left="850" w:hanging="130"/>
        <w:jc w:val="both"/>
        <w:outlineLvl w:val="1"/>
        <w:rPr>
          <w:rFonts w:eastAsiaTheme="majorEastAsia"/>
          <w:b/>
          <w:bCs/>
          <w:noProof/>
        </w:rPr>
      </w:pPr>
      <w:bookmarkStart w:id="20" w:name="_Hlk207637452"/>
      <w:r>
        <w:rPr>
          <w:b/>
          <w:noProof/>
        </w:rPr>
        <w:t xml:space="preserve">I.2. </w:t>
      </w:r>
      <w:r>
        <w:rPr>
          <w:noProof/>
        </w:rPr>
        <w:t xml:space="preserve"> </w:t>
      </w:r>
      <w:r>
        <w:rPr>
          <w:b/>
          <w:noProof/>
        </w:rPr>
        <w:t>Étapes, objectifs, indicateurs et calendrier de suivi et de mise en œuvre du soutien financier non remboursable</w:t>
      </w:r>
    </w:p>
    <w:tbl>
      <w:tblPr>
        <w:tblW w:w="15876" w:type="dxa"/>
        <w:jc w:val="center"/>
        <w:tblLayout w:type="fixed"/>
        <w:tblCellMar>
          <w:left w:w="28" w:type="dxa"/>
          <w:right w:w="28" w:type="dxa"/>
        </w:tblCellMar>
        <w:tblLook w:val="04A0" w:firstRow="1" w:lastRow="0" w:firstColumn="1" w:lastColumn="0" w:noHBand="0" w:noVBand="1"/>
      </w:tblPr>
      <w:tblGrid>
        <w:gridCol w:w="606"/>
        <w:gridCol w:w="1844"/>
        <w:gridCol w:w="1089"/>
        <w:gridCol w:w="1496"/>
        <w:gridCol w:w="1766"/>
        <w:gridCol w:w="1558"/>
        <w:gridCol w:w="996"/>
        <w:gridCol w:w="978"/>
        <w:gridCol w:w="943"/>
        <w:gridCol w:w="1065"/>
        <w:gridCol w:w="3535"/>
      </w:tblGrid>
      <w:tr w:rsidR="00A345F4" w14:paraId="43AFF318" w14:textId="77777777">
        <w:trPr>
          <w:trHeight w:val="300"/>
          <w:tblHeader/>
          <w:jc w:val="center"/>
        </w:trPr>
        <w:tc>
          <w:tcPr>
            <w:tcW w:w="6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3B6DB4" w14:textId="77777777" w:rsidR="00A345F4" w:rsidRDefault="005E2D4E">
            <w:pPr>
              <w:pStyle w:val="P68B1DB1-Normal13"/>
              <w:spacing w:after="0" w:line="240" w:lineRule="auto"/>
              <w:jc w:val="center"/>
              <w:rPr>
                <w:rFonts w:eastAsia="Times New Roman"/>
                <w:bCs/>
                <w:noProof/>
              </w:rPr>
            </w:pPr>
            <w:r>
              <w:rPr>
                <w:noProof/>
              </w:rPr>
              <w:t>Seq. num</w:t>
            </w:r>
          </w:p>
        </w:tc>
        <w:tc>
          <w:tcPr>
            <w:tcW w:w="18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EEC5D64" w14:textId="77777777" w:rsidR="00A345F4" w:rsidRDefault="005E2D4E">
            <w:pPr>
              <w:pStyle w:val="P68B1DB1-Normal13"/>
              <w:spacing w:after="0" w:line="240" w:lineRule="auto"/>
              <w:jc w:val="center"/>
              <w:rPr>
                <w:rFonts w:eastAsia="Times New Roman"/>
                <w:bCs/>
                <w:noProof/>
              </w:rPr>
            </w:pPr>
            <w:r>
              <w:rPr>
                <w:noProof/>
              </w:rPr>
              <w:t>Mesure connexe (réforme ou investissement)</w:t>
            </w:r>
          </w:p>
        </w:tc>
        <w:tc>
          <w:tcPr>
            <w:tcW w:w="10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C7BEB6" w14:textId="77777777" w:rsidR="00A345F4" w:rsidRDefault="005E2D4E">
            <w:pPr>
              <w:pStyle w:val="P68B1DB1-Normal13"/>
              <w:spacing w:after="0" w:line="240" w:lineRule="auto"/>
              <w:jc w:val="center"/>
              <w:rPr>
                <w:rFonts w:eastAsia="Times New Roman"/>
                <w:bCs/>
                <w:noProof/>
              </w:rPr>
            </w:pPr>
            <w:r>
              <w:rPr>
                <w:noProof/>
              </w:rPr>
              <w:t>Étape/cible</w:t>
            </w:r>
          </w:p>
        </w:tc>
        <w:tc>
          <w:tcPr>
            <w:tcW w:w="14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EC2FD9" w14:textId="77777777" w:rsidR="00A345F4" w:rsidRDefault="005E2D4E">
            <w:pPr>
              <w:pStyle w:val="P68B1DB1-Normal13"/>
              <w:spacing w:after="0" w:line="240" w:lineRule="auto"/>
              <w:jc w:val="center"/>
              <w:rPr>
                <w:rFonts w:eastAsia="Times New Roman"/>
                <w:bCs/>
                <w:noProof/>
              </w:rPr>
            </w:pPr>
            <w:r>
              <w:rPr>
                <w:noProof/>
              </w:rPr>
              <w:t>Nom</w:t>
            </w:r>
          </w:p>
        </w:tc>
        <w:tc>
          <w:tcPr>
            <w:tcW w:w="17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5DD4CD" w14:textId="15ED93BC" w:rsidR="00A345F4" w:rsidRDefault="005E2D4E">
            <w:pPr>
              <w:pStyle w:val="P68B1DB1-Normal14"/>
              <w:spacing w:after="0" w:line="240" w:lineRule="auto"/>
              <w:jc w:val="center"/>
              <w:rPr>
                <w:rFonts w:eastAsia="Times New Roman"/>
                <w:b/>
                <w:bCs/>
                <w:noProof/>
              </w:rPr>
            </w:pPr>
            <w:r>
              <w:rPr>
                <w:b/>
                <w:noProof/>
              </w:rPr>
              <w:t>Indicateurs qualitatifs</w:t>
            </w:r>
            <w:r>
              <w:rPr>
                <w:noProof/>
              </w:rPr>
              <w:t xml:space="preserve"> </w:t>
            </w:r>
            <w:r>
              <w:rPr>
                <w:noProof/>
              </w:rPr>
              <w:br/>
            </w:r>
            <w:r>
              <w:rPr>
                <w:b/>
                <w:noProof/>
              </w:rPr>
              <w:t>(pour les jalons)</w:t>
            </w:r>
          </w:p>
        </w:tc>
        <w:tc>
          <w:tcPr>
            <w:tcW w:w="353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576CB5F" w14:textId="25FC9519" w:rsidR="00A345F4" w:rsidRDefault="005E2D4E">
            <w:pPr>
              <w:pStyle w:val="P68B1DB1-Normal14"/>
              <w:spacing w:after="0" w:line="240" w:lineRule="auto"/>
              <w:jc w:val="center"/>
              <w:rPr>
                <w:rFonts w:eastAsia="Times New Roman"/>
                <w:b/>
                <w:bCs/>
                <w:noProof/>
              </w:rPr>
            </w:pPr>
            <w:r>
              <w:rPr>
                <w:b/>
                <w:noProof/>
              </w:rPr>
              <w:t>Indicateurs quantitatifs</w:t>
            </w:r>
            <w:r>
              <w:rPr>
                <w:noProof/>
              </w:rPr>
              <w:br/>
            </w:r>
            <w:r>
              <w:rPr>
                <w:b/>
                <w:noProof/>
              </w:rPr>
              <w:t>(pour les objectifs)</w:t>
            </w:r>
          </w:p>
        </w:tc>
        <w:tc>
          <w:tcPr>
            <w:tcW w:w="2008" w:type="dxa"/>
            <w:gridSpan w:val="2"/>
            <w:tcBorders>
              <w:top w:val="single" w:sz="4" w:space="0" w:color="auto"/>
              <w:left w:val="nil"/>
              <w:bottom w:val="single" w:sz="4" w:space="0" w:color="auto"/>
              <w:right w:val="single" w:sz="4" w:space="0" w:color="auto"/>
            </w:tcBorders>
            <w:shd w:val="clear" w:color="auto" w:fill="BDD7EE"/>
            <w:vAlign w:val="center"/>
            <w:hideMark/>
          </w:tcPr>
          <w:p w14:paraId="1B489BA8" w14:textId="5CFA1CD9" w:rsidR="00A345F4" w:rsidRDefault="005E2D4E">
            <w:pPr>
              <w:pStyle w:val="P68B1DB1-Normal13"/>
              <w:spacing w:after="0" w:line="240" w:lineRule="auto"/>
              <w:jc w:val="center"/>
              <w:rPr>
                <w:rFonts w:eastAsia="Times New Roman"/>
                <w:bCs/>
                <w:noProof/>
              </w:rPr>
            </w:pPr>
            <w:r>
              <w:rPr>
                <w:noProof/>
              </w:rPr>
              <w:t xml:space="preserve">Calendrier indicatif d'achèvement </w:t>
            </w:r>
          </w:p>
        </w:tc>
        <w:tc>
          <w:tcPr>
            <w:tcW w:w="35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8836ED" w14:textId="77777777" w:rsidR="00A345F4" w:rsidRDefault="005E2D4E">
            <w:pPr>
              <w:pStyle w:val="P68B1DB1-Normal13"/>
              <w:spacing w:after="0" w:line="240" w:lineRule="auto"/>
              <w:jc w:val="center"/>
              <w:rPr>
                <w:rFonts w:eastAsia="Times New Roman"/>
                <w:bCs/>
                <w:noProof/>
              </w:rPr>
            </w:pPr>
            <w:r>
              <w:rPr>
                <w:noProof/>
              </w:rPr>
              <w:t>Description de chaque jalon et cible</w:t>
            </w:r>
          </w:p>
        </w:tc>
      </w:tr>
      <w:tr w:rsidR="00A345F4" w14:paraId="78F2E4C7" w14:textId="77777777">
        <w:trPr>
          <w:trHeight w:val="300"/>
          <w:tblHeader/>
          <w:jc w:val="center"/>
        </w:trPr>
        <w:tc>
          <w:tcPr>
            <w:tcW w:w="606" w:type="dxa"/>
            <w:vMerge/>
            <w:tcBorders>
              <w:top w:val="single" w:sz="4" w:space="0" w:color="auto"/>
              <w:left w:val="single" w:sz="4" w:space="0" w:color="auto"/>
              <w:bottom w:val="single" w:sz="4" w:space="0" w:color="auto"/>
              <w:right w:val="single" w:sz="4" w:space="0" w:color="auto"/>
            </w:tcBorders>
            <w:hideMark/>
          </w:tcPr>
          <w:p w14:paraId="500DC71E" w14:textId="77777777" w:rsidR="00A345F4" w:rsidRDefault="00A345F4">
            <w:pPr>
              <w:spacing w:after="0" w:line="240" w:lineRule="auto"/>
              <w:jc w:val="center"/>
              <w:rPr>
                <w:rFonts w:ascii="Times New Roman" w:eastAsia="Times New Roman" w:hAnsi="Times New Roman" w:cs="Times New Roman"/>
                <w:noProof/>
                <w:sz w:val="20"/>
                <w:szCs w:val="20"/>
              </w:rPr>
            </w:pPr>
          </w:p>
        </w:tc>
        <w:tc>
          <w:tcPr>
            <w:tcW w:w="1844" w:type="dxa"/>
            <w:vMerge/>
            <w:tcBorders>
              <w:top w:val="single" w:sz="4" w:space="0" w:color="auto"/>
              <w:left w:val="single" w:sz="4" w:space="0" w:color="auto"/>
              <w:bottom w:val="single" w:sz="4" w:space="0" w:color="auto"/>
              <w:right w:val="single" w:sz="4" w:space="0" w:color="auto"/>
            </w:tcBorders>
            <w:hideMark/>
          </w:tcPr>
          <w:p w14:paraId="3B9CBD3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9" w:type="dxa"/>
            <w:vMerge/>
            <w:tcBorders>
              <w:top w:val="single" w:sz="4" w:space="0" w:color="auto"/>
              <w:left w:val="single" w:sz="4" w:space="0" w:color="auto"/>
              <w:bottom w:val="single" w:sz="4" w:space="0" w:color="auto"/>
              <w:right w:val="single" w:sz="4" w:space="0" w:color="auto"/>
            </w:tcBorders>
            <w:hideMark/>
          </w:tcPr>
          <w:p w14:paraId="0713AF5D" w14:textId="77777777" w:rsidR="00A345F4" w:rsidRDefault="00A345F4">
            <w:pPr>
              <w:spacing w:after="0" w:line="240" w:lineRule="auto"/>
              <w:jc w:val="center"/>
              <w:rPr>
                <w:rFonts w:ascii="Times New Roman" w:eastAsia="Times New Roman" w:hAnsi="Times New Roman" w:cs="Times New Roman"/>
                <w:noProof/>
                <w:sz w:val="20"/>
                <w:szCs w:val="20"/>
              </w:rPr>
            </w:pPr>
          </w:p>
        </w:tc>
        <w:tc>
          <w:tcPr>
            <w:tcW w:w="1496" w:type="dxa"/>
            <w:vMerge/>
            <w:tcBorders>
              <w:top w:val="single" w:sz="4" w:space="0" w:color="auto"/>
              <w:left w:val="single" w:sz="4" w:space="0" w:color="auto"/>
              <w:bottom w:val="single" w:sz="4" w:space="0" w:color="auto"/>
              <w:right w:val="single" w:sz="4" w:space="0" w:color="auto"/>
            </w:tcBorders>
            <w:hideMark/>
          </w:tcPr>
          <w:p w14:paraId="193B481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766" w:type="dxa"/>
            <w:vMerge/>
            <w:tcBorders>
              <w:top w:val="single" w:sz="4" w:space="0" w:color="auto"/>
              <w:left w:val="single" w:sz="4" w:space="0" w:color="auto"/>
              <w:bottom w:val="single" w:sz="4" w:space="0" w:color="auto"/>
              <w:right w:val="single" w:sz="4" w:space="0" w:color="auto"/>
            </w:tcBorders>
            <w:hideMark/>
          </w:tcPr>
          <w:p w14:paraId="12499B3C"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58" w:type="dxa"/>
            <w:tcBorders>
              <w:top w:val="nil"/>
              <w:left w:val="single" w:sz="4" w:space="0" w:color="auto"/>
              <w:bottom w:val="single" w:sz="4" w:space="0" w:color="auto"/>
              <w:right w:val="single" w:sz="4" w:space="0" w:color="auto"/>
            </w:tcBorders>
            <w:shd w:val="clear" w:color="auto" w:fill="BDD7EE"/>
            <w:vAlign w:val="center"/>
            <w:hideMark/>
          </w:tcPr>
          <w:p w14:paraId="67E8CA37" w14:textId="5CAA162C" w:rsidR="00A345F4" w:rsidRDefault="005E2D4E">
            <w:pPr>
              <w:pStyle w:val="P68B1DB1-Normal13"/>
              <w:spacing w:after="0" w:line="240" w:lineRule="auto"/>
              <w:jc w:val="center"/>
              <w:rPr>
                <w:rFonts w:eastAsia="Times New Roman"/>
                <w:bCs/>
                <w:noProof/>
              </w:rPr>
            </w:pPr>
            <w:r>
              <w:rPr>
                <w:noProof/>
              </w:rPr>
              <w:t>Unité de mesure</w:t>
            </w:r>
          </w:p>
        </w:tc>
        <w:tc>
          <w:tcPr>
            <w:tcW w:w="996" w:type="dxa"/>
            <w:tcBorders>
              <w:top w:val="nil"/>
              <w:left w:val="nil"/>
              <w:bottom w:val="single" w:sz="4" w:space="0" w:color="auto"/>
              <w:right w:val="single" w:sz="4" w:space="0" w:color="auto"/>
            </w:tcBorders>
            <w:shd w:val="clear" w:color="auto" w:fill="BDD7EE"/>
            <w:vAlign w:val="center"/>
            <w:hideMark/>
          </w:tcPr>
          <w:p w14:paraId="68A298C3" w14:textId="77777777" w:rsidR="00A345F4" w:rsidRDefault="005E2D4E">
            <w:pPr>
              <w:pStyle w:val="P68B1DB1-Normal13"/>
              <w:spacing w:after="0" w:line="240" w:lineRule="auto"/>
              <w:jc w:val="center"/>
              <w:rPr>
                <w:rFonts w:eastAsia="Times New Roman"/>
                <w:bCs/>
                <w:noProof/>
              </w:rPr>
            </w:pPr>
            <w:r>
              <w:rPr>
                <w:noProof/>
              </w:rPr>
              <w:t xml:space="preserve">Données de référence </w:t>
            </w:r>
          </w:p>
        </w:tc>
        <w:tc>
          <w:tcPr>
            <w:tcW w:w="978" w:type="dxa"/>
            <w:tcBorders>
              <w:top w:val="nil"/>
              <w:left w:val="nil"/>
              <w:bottom w:val="single" w:sz="4" w:space="0" w:color="auto"/>
              <w:right w:val="single" w:sz="4" w:space="0" w:color="auto"/>
            </w:tcBorders>
            <w:shd w:val="clear" w:color="auto" w:fill="BDD7EE"/>
            <w:vAlign w:val="center"/>
            <w:hideMark/>
          </w:tcPr>
          <w:p w14:paraId="40CB698D" w14:textId="77777777" w:rsidR="00A345F4" w:rsidRDefault="005E2D4E">
            <w:pPr>
              <w:pStyle w:val="P68B1DB1-Normal13"/>
              <w:spacing w:after="0" w:line="240" w:lineRule="auto"/>
              <w:jc w:val="center"/>
              <w:rPr>
                <w:rFonts w:eastAsia="Times New Roman"/>
                <w:bCs/>
                <w:noProof/>
              </w:rPr>
            </w:pPr>
            <w:r>
              <w:rPr>
                <w:noProof/>
              </w:rPr>
              <w:t xml:space="preserve">Objectif </w:t>
            </w:r>
          </w:p>
        </w:tc>
        <w:tc>
          <w:tcPr>
            <w:tcW w:w="943" w:type="dxa"/>
            <w:tcBorders>
              <w:top w:val="nil"/>
              <w:left w:val="nil"/>
              <w:bottom w:val="single" w:sz="4" w:space="0" w:color="auto"/>
              <w:right w:val="single" w:sz="4" w:space="0" w:color="auto"/>
            </w:tcBorders>
            <w:shd w:val="clear" w:color="auto" w:fill="BDD7EE"/>
            <w:vAlign w:val="center"/>
            <w:hideMark/>
          </w:tcPr>
          <w:p w14:paraId="569D1199" w14:textId="77777777" w:rsidR="00A345F4" w:rsidRDefault="005E2D4E">
            <w:pPr>
              <w:pStyle w:val="P68B1DB1-Normal13"/>
              <w:spacing w:after="0" w:line="240" w:lineRule="auto"/>
              <w:jc w:val="center"/>
              <w:rPr>
                <w:rFonts w:eastAsia="Times New Roman"/>
                <w:bCs/>
                <w:noProof/>
              </w:rPr>
            </w:pPr>
            <w:r>
              <w:rPr>
                <w:noProof/>
              </w:rPr>
              <w:t>Trimestre</w:t>
            </w:r>
          </w:p>
        </w:tc>
        <w:tc>
          <w:tcPr>
            <w:tcW w:w="1065" w:type="dxa"/>
            <w:tcBorders>
              <w:top w:val="nil"/>
              <w:left w:val="nil"/>
              <w:bottom w:val="single" w:sz="4" w:space="0" w:color="auto"/>
              <w:right w:val="single" w:sz="4" w:space="0" w:color="auto"/>
            </w:tcBorders>
            <w:shd w:val="clear" w:color="auto" w:fill="BDD7EE"/>
            <w:vAlign w:val="center"/>
            <w:hideMark/>
          </w:tcPr>
          <w:p w14:paraId="62B91071" w14:textId="77777777" w:rsidR="00A345F4" w:rsidRDefault="005E2D4E">
            <w:pPr>
              <w:pStyle w:val="P68B1DB1-Normal13"/>
              <w:spacing w:after="0" w:line="240" w:lineRule="auto"/>
              <w:jc w:val="center"/>
              <w:rPr>
                <w:rFonts w:eastAsia="Times New Roman"/>
                <w:bCs/>
                <w:noProof/>
              </w:rPr>
            </w:pPr>
            <w:r>
              <w:rPr>
                <w:noProof/>
              </w:rPr>
              <w:t>Année</w:t>
            </w:r>
          </w:p>
        </w:tc>
        <w:tc>
          <w:tcPr>
            <w:tcW w:w="3535" w:type="dxa"/>
            <w:vMerge/>
            <w:tcBorders>
              <w:top w:val="single" w:sz="4" w:space="0" w:color="auto"/>
              <w:bottom w:val="single" w:sz="4" w:space="0" w:color="auto"/>
              <w:right w:val="single" w:sz="4" w:space="0" w:color="auto"/>
            </w:tcBorders>
            <w:hideMark/>
          </w:tcPr>
          <w:p w14:paraId="70B8B489" w14:textId="77777777" w:rsidR="00A345F4" w:rsidRDefault="00A345F4">
            <w:pPr>
              <w:spacing w:after="0" w:line="240" w:lineRule="auto"/>
              <w:jc w:val="both"/>
              <w:rPr>
                <w:rFonts w:ascii="Times New Roman" w:eastAsia="Times New Roman" w:hAnsi="Times New Roman" w:cs="Times New Roman"/>
                <w:noProof/>
                <w:sz w:val="20"/>
                <w:szCs w:val="20"/>
              </w:rPr>
            </w:pPr>
          </w:p>
        </w:tc>
      </w:tr>
      <w:tr w:rsidR="00A345F4" w14:paraId="2AF483BE" w14:textId="77777777">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93F8D9F" w14:textId="77777777" w:rsidR="00A345F4" w:rsidRDefault="005E2D4E">
            <w:pPr>
              <w:pStyle w:val="P68B1DB1-Normal14"/>
              <w:spacing w:after="0" w:line="240" w:lineRule="auto"/>
              <w:jc w:val="center"/>
              <w:rPr>
                <w:noProof/>
              </w:rPr>
            </w:pPr>
            <w:r>
              <w:rPr>
                <w:noProof/>
              </w:rPr>
              <w:t>252</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628D2D2" w14:textId="77777777" w:rsidR="00A345F4" w:rsidRDefault="005E2D4E">
            <w:pPr>
              <w:pStyle w:val="P68B1DB1-Normal14"/>
              <w:spacing w:after="0" w:line="240" w:lineRule="auto"/>
              <w:jc w:val="both"/>
              <w:rPr>
                <w:noProof/>
              </w:rPr>
            </w:pPr>
            <w:r>
              <w:rPr>
                <w:noProof/>
              </w:rPr>
              <w:t xml:space="preserve">Investissement 2.a. Instruments financiers pour le secteur privé - Garantie du portefeuille d'action pour le climat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72C95C2" w14:textId="77777777" w:rsidR="00A345F4" w:rsidRDefault="005E2D4E">
            <w:pPr>
              <w:pStyle w:val="P68B1DB1-Normal14"/>
              <w:spacing w:after="0" w:line="240" w:lineRule="auto"/>
              <w:jc w:val="center"/>
              <w:rPr>
                <w:noProof/>
              </w:rPr>
            </w:pPr>
            <w:r>
              <w:rPr>
                <w:noProof/>
              </w:rPr>
              <w:t>Objectif</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647A1AA7" w14:textId="77777777" w:rsidR="00A345F4" w:rsidRDefault="005E2D4E">
            <w:pPr>
              <w:pStyle w:val="P68B1DB1-Normal14"/>
              <w:spacing w:after="0" w:line="240" w:lineRule="auto"/>
              <w:jc w:val="both"/>
              <w:rPr>
                <w:noProof/>
              </w:rPr>
            </w:pPr>
            <w:r>
              <w:rPr>
                <w:noProof/>
              </w:rPr>
              <w:t>Opérations de financement ou d’investissement représentant 100 % du montant total des ressources allouées à l’instrument approuvé par le comité d’investissement InvestEU</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B5D5714" w14:textId="77777777" w:rsidR="00A345F4" w:rsidRDefault="005E2D4E">
            <w:pPr>
              <w:pStyle w:val="P68B1DB1-Normal14"/>
              <w:spacing w:after="0" w:line="240" w:lineRule="auto"/>
              <w:jc w:val="both"/>
              <w:rPr>
                <w:noProof/>
              </w:rPr>
            </w:pPr>
            <w:r>
              <w:rPr>
                <w:noProof/>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06E26F03" w14:textId="77777777" w:rsidR="00A345F4" w:rsidRDefault="005E2D4E">
            <w:pPr>
              <w:pStyle w:val="P68B1DB1-Normal14"/>
              <w:spacing w:after="0" w:line="240" w:lineRule="auto"/>
              <w:rPr>
                <w:rFonts w:eastAsia="Times New Roman"/>
                <w:noProof/>
              </w:rPr>
            </w:pPr>
            <w:r>
              <w:rPr>
                <w:noProof/>
              </w:rPr>
              <w:t>Pourcentage (%)</w:t>
            </w:r>
          </w:p>
          <w:p w14:paraId="37C98A4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96" w:type="dxa"/>
            <w:tcBorders>
              <w:top w:val="nil"/>
              <w:left w:val="single" w:sz="4" w:space="0" w:color="auto"/>
              <w:bottom w:val="single" w:sz="4" w:space="0" w:color="auto"/>
              <w:right w:val="single" w:sz="4" w:space="0" w:color="auto"/>
            </w:tcBorders>
            <w:shd w:val="clear" w:color="auto" w:fill="C6EFCE"/>
            <w:noWrap/>
          </w:tcPr>
          <w:p w14:paraId="49CA8482" w14:textId="77777777" w:rsidR="00A345F4" w:rsidRDefault="005E2D4E">
            <w:pPr>
              <w:pStyle w:val="P68B1DB1-Normal14"/>
              <w:spacing w:after="0" w:line="240" w:lineRule="auto"/>
              <w:jc w:val="both"/>
              <w:rPr>
                <w:rFonts w:eastAsia="Times New Roman"/>
                <w:noProof/>
              </w:rPr>
            </w:pPr>
            <w:r>
              <w:rPr>
                <w:noProof/>
              </w:rPr>
              <w:t>0</w:t>
            </w:r>
          </w:p>
        </w:tc>
        <w:tc>
          <w:tcPr>
            <w:tcW w:w="978" w:type="dxa"/>
            <w:tcBorders>
              <w:top w:val="nil"/>
              <w:left w:val="single" w:sz="4" w:space="0" w:color="auto"/>
              <w:bottom w:val="single" w:sz="4" w:space="0" w:color="auto"/>
              <w:right w:val="single" w:sz="4" w:space="0" w:color="auto"/>
            </w:tcBorders>
            <w:shd w:val="clear" w:color="auto" w:fill="C6EFCE"/>
            <w:noWrap/>
          </w:tcPr>
          <w:p w14:paraId="794A4A56" w14:textId="77777777" w:rsidR="00A345F4" w:rsidRDefault="005E2D4E">
            <w:pPr>
              <w:pStyle w:val="P68B1DB1-Normal14"/>
              <w:spacing w:after="0" w:line="240" w:lineRule="auto"/>
              <w:jc w:val="both"/>
              <w:rPr>
                <w:rFonts w:eastAsia="Times New Roman"/>
                <w:noProof/>
              </w:rPr>
            </w:pPr>
            <w:r>
              <w:rPr>
                <w:noProof/>
              </w:rPr>
              <w:t>100</w:t>
            </w:r>
          </w:p>
        </w:tc>
        <w:tc>
          <w:tcPr>
            <w:tcW w:w="943" w:type="dxa"/>
            <w:tcBorders>
              <w:top w:val="nil"/>
              <w:left w:val="single" w:sz="4" w:space="0" w:color="auto"/>
              <w:bottom w:val="single" w:sz="4" w:space="0" w:color="auto"/>
              <w:right w:val="single" w:sz="4" w:space="0" w:color="auto"/>
            </w:tcBorders>
            <w:shd w:val="clear" w:color="auto" w:fill="C6EFCE"/>
            <w:noWrap/>
          </w:tcPr>
          <w:p w14:paraId="3212C0A6" w14:textId="77777777" w:rsidR="00A345F4" w:rsidRDefault="005E2D4E">
            <w:pPr>
              <w:pStyle w:val="P68B1DB1-Normal14"/>
              <w:spacing w:after="0" w:line="240" w:lineRule="auto"/>
              <w:jc w:val="center"/>
              <w:rPr>
                <w:noProof/>
              </w:rPr>
            </w:pPr>
            <w:r>
              <w:rPr>
                <w:noProof/>
              </w:rPr>
              <w:t>T2</w:t>
            </w:r>
          </w:p>
        </w:tc>
        <w:tc>
          <w:tcPr>
            <w:tcW w:w="1065" w:type="dxa"/>
            <w:tcBorders>
              <w:top w:val="nil"/>
              <w:left w:val="single" w:sz="4" w:space="0" w:color="auto"/>
              <w:bottom w:val="single" w:sz="4" w:space="0" w:color="auto"/>
              <w:right w:val="single" w:sz="4" w:space="0" w:color="auto"/>
            </w:tcBorders>
            <w:shd w:val="clear" w:color="auto" w:fill="C6EFCE"/>
            <w:noWrap/>
          </w:tcPr>
          <w:p w14:paraId="14758071" w14:textId="77777777" w:rsidR="00A345F4" w:rsidRDefault="005E2D4E">
            <w:pPr>
              <w:pStyle w:val="P68B1DB1-Normal14"/>
              <w:spacing w:after="0" w:line="240" w:lineRule="auto"/>
              <w:jc w:val="center"/>
              <w:rPr>
                <w:noProof/>
              </w:rPr>
            </w:pPr>
            <w:r>
              <w:rPr>
                <w:noProof/>
              </w:rPr>
              <w:t>2024</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7ACD243F" w14:textId="77777777" w:rsidR="00A345F4" w:rsidRDefault="005E2D4E">
            <w:pPr>
              <w:pStyle w:val="P68B1DB1-Normal14"/>
              <w:spacing w:after="0" w:line="240" w:lineRule="auto"/>
              <w:jc w:val="both"/>
              <w:rPr>
                <w:noProof/>
              </w:rPr>
            </w:pPr>
            <w:r>
              <w:rPr>
                <w:noProof/>
              </w:rPr>
              <w:t>Opérations de financement ou d’investissement représentant 100 % du montant total des ressources allouées à l’instrument approuvé par le comité d’investissement InvestEU</w:t>
            </w:r>
          </w:p>
        </w:tc>
      </w:tr>
      <w:tr w:rsidR="00A345F4" w14:paraId="37ECCA85" w14:textId="77777777">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016ED76F" w14:textId="77777777" w:rsidR="00A345F4" w:rsidRDefault="005E2D4E">
            <w:pPr>
              <w:pStyle w:val="P68B1DB1-Normal14"/>
              <w:spacing w:after="0" w:line="240" w:lineRule="auto"/>
              <w:jc w:val="center"/>
              <w:rPr>
                <w:noProof/>
              </w:rPr>
            </w:pPr>
            <w:r>
              <w:rPr>
                <w:noProof/>
              </w:rPr>
              <w:t>263</w:t>
            </w:r>
          </w:p>
        </w:tc>
        <w:tc>
          <w:tcPr>
            <w:tcW w:w="1844" w:type="dxa"/>
            <w:tcBorders>
              <w:top w:val="nil"/>
              <w:left w:val="single" w:sz="4" w:space="0" w:color="auto"/>
              <w:bottom w:val="single" w:sz="4" w:space="0" w:color="auto"/>
              <w:right w:val="single" w:sz="4" w:space="0" w:color="auto"/>
            </w:tcBorders>
            <w:shd w:val="clear" w:color="auto" w:fill="C6EFCE"/>
            <w:noWrap/>
          </w:tcPr>
          <w:p w14:paraId="144B74C6" w14:textId="77777777" w:rsidR="00A345F4" w:rsidRDefault="005E2D4E">
            <w:pPr>
              <w:pStyle w:val="P68B1DB1-Normal14"/>
              <w:spacing w:after="0" w:line="240" w:lineRule="auto"/>
              <w:jc w:val="both"/>
              <w:rPr>
                <w:noProof/>
              </w:rPr>
            </w:pPr>
            <w:r>
              <w:rPr>
                <w:noProof/>
              </w:rPr>
              <w:t>Investissement 3.a. Régimes d'aides au secteur privé - Régime d'aides à la numérisation des PME</w:t>
            </w:r>
          </w:p>
        </w:tc>
        <w:tc>
          <w:tcPr>
            <w:tcW w:w="1089" w:type="dxa"/>
            <w:tcBorders>
              <w:top w:val="nil"/>
              <w:left w:val="single" w:sz="4" w:space="0" w:color="auto"/>
              <w:bottom w:val="single" w:sz="4" w:space="0" w:color="auto"/>
              <w:right w:val="single" w:sz="4" w:space="0" w:color="auto"/>
            </w:tcBorders>
            <w:shd w:val="clear" w:color="auto" w:fill="C6EFCE"/>
            <w:noWrap/>
          </w:tcPr>
          <w:p w14:paraId="2DCB934B" w14:textId="77777777" w:rsidR="00A345F4" w:rsidRDefault="005E2D4E">
            <w:pPr>
              <w:pStyle w:val="P68B1DB1-Normal14"/>
              <w:spacing w:after="0" w:line="240" w:lineRule="auto"/>
              <w:jc w:val="center"/>
              <w:rPr>
                <w:noProof/>
              </w:rPr>
            </w:pPr>
            <w:r>
              <w:rPr>
                <w:noProof/>
              </w:rPr>
              <w:t>Objectif</w:t>
            </w:r>
          </w:p>
        </w:tc>
        <w:tc>
          <w:tcPr>
            <w:tcW w:w="1496" w:type="dxa"/>
            <w:tcBorders>
              <w:top w:val="nil"/>
              <w:left w:val="single" w:sz="4" w:space="0" w:color="auto"/>
              <w:bottom w:val="single" w:sz="4" w:space="0" w:color="auto"/>
              <w:right w:val="single" w:sz="4" w:space="0" w:color="auto"/>
            </w:tcBorders>
            <w:shd w:val="clear" w:color="auto" w:fill="C6EFCE"/>
            <w:noWrap/>
          </w:tcPr>
          <w:p w14:paraId="75DE6E89" w14:textId="77777777" w:rsidR="00A345F4" w:rsidRDefault="005E2D4E">
            <w:pPr>
              <w:pStyle w:val="P68B1DB1-Normal14"/>
              <w:spacing w:after="0" w:line="240" w:lineRule="auto"/>
              <w:jc w:val="both"/>
              <w:rPr>
                <w:noProof/>
              </w:rPr>
            </w:pPr>
            <w:r>
              <w:rPr>
                <w:noProof/>
              </w:rPr>
              <w:t xml:space="preserve">Nombre de contrats de financement signés </w:t>
            </w:r>
          </w:p>
        </w:tc>
        <w:tc>
          <w:tcPr>
            <w:tcW w:w="1766" w:type="dxa"/>
            <w:tcBorders>
              <w:top w:val="nil"/>
              <w:left w:val="single" w:sz="4" w:space="0" w:color="auto"/>
              <w:bottom w:val="single" w:sz="4" w:space="0" w:color="auto"/>
              <w:right w:val="single" w:sz="4" w:space="0" w:color="auto"/>
            </w:tcBorders>
            <w:shd w:val="clear" w:color="auto" w:fill="C6EFCE"/>
            <w:noWrap/>
          </w:tcPr>
          <w:p w14:paraId="71436E7F" w14:textId="77777777" w:rsidR="00A345F4" w:rsidRDefault="005E2D4E">
            <w:pPr>
              <w:pStyle w:val="P68B1DB1-Normal14"/>
              <w:spacing w:after="0" w:line="240" w:lineRule="auto"/>
              <w:jc w:val="both"/>
              <w:rPr>
                <w:noProof/>
              </w:rPr>
            </w:pPr>
            <w:r>
              <w:rPr>
                <w:noProof/>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2F2F5F2" w14:textId="77777777" w:rsidR="00A345F4" w:rsidRDefault="005E2D4E">
            <w:pPr>
              <w:pStyle w:val="P68B1DB1-Normal14"/>
              <w:spacing w:after="0" w:line="240" w:lineRule="auto"/>
              <w:jc w:val="both"/>
              <w:rPr>
                <w:noProof/>
              </w:rPr>
            </w:pPr>
            <w:r>
              <w:rPr>
                <w:noProof/>
              </w:rPr>
              <w:t>Numéro</w:t>
            </w:r>
          </w:p>
        </w:tc>
        <w:tc>
          <w:tcPr>
            <w:tcW w:w="996" w:type="dxa"/>
            <w:tcBorders>
              <w:top w:val="nil"/>
              <w:left w:val="single" w:sz="4" w:space="0" w:color="auto"/>
              <w:bottom w:val="single" w:sz="4" w:space="0" w:color="auto"/>
              <w:right w:val="single" w:sz="4" w:space="0" w:color="auto"/>
            </w:tcBorders>
            <w:shd w:val="clear" w:color="auto" w:fill="C6EFCE"/>
            <w:noWrap/>
          </w:tcPr>
          <w:p w14:paraId="7DD22FD5" w14:textId="77777777" w:rsidR="00A345F4" w:rsidRDefault="005E2D4E">
            <w:pPr>
              <w:pStyle w:val="P68B1DB1-Normal14"/>
              <w:spacing w:after="0" w:line="240" w:lineRule="auto"/>
              <w:jc w:val="both"/>
              <w:rPr>
                <w:noProof/>
              </w:rPr>
            </w:pPr>
            <w:r>
              <w:rPr>
                <w:noProof/>
              </w:rPr>
              <w:t>0</w:t>
            </w:r>
          </w:p>
        </w:tc>
        <w:tc>
          <w:tcPr>
            <w:tcW w:w="978" w:type="dxa"/>
            <w:tcBorders>
              <w:top w:val="nil"/>
              <w:left w:val="single" w:sz="4" w:space="0" w:color="auto"/>
              <w:bottom w:val="single" w:sz="4" w:space="0" w:color="auto"/>
              <w:right w:val="single" w:sz="4" w:space="0" w:color="auto"/>
            </w:tcBorders>
            <w:shd w:val="clear" w:color="auto" w:fill="C6EFCE"/>
            <w:noWrap/>
          </w:tcPr>
          <w:p w14:paraId="0382064E" w14:textId="5C89DFBA" w:rsidR="00A345F4" w:rsidRDefault="005E2D4E">
            <w:pPr>
              <w:pStyle w:val="P68B1DB1-Normal14"/>
              <w:spacing w:after="0" w:line="240" w:lineRule="auto"/>
              <w:jc w:val="both"/>
              <w:rPr>
                <w:noProof/>
              </w:rPr>
            </w:pPr>
            <w:r>
              <w:rPr>
                <w:noProof/>
              </w:rPr>
              <w:t>4 611</w:t>
            </w:r>
          </w:p>
          <w:p w14:paraId="2E387EA2" w14:textId="77777777" w:rsidR="00A345F4" w:rsidRDefault="00A345F4">
            <w:pPr>
              <w:rPr>
                <w:rFonts w:ascii="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485ECB57" w14:textId="77777777" w:rsidR="00A345F4" w:rsidRDefault="005E2D4E">
            <w:pPr>
              <w:pStyle w:val="P68B1DB1-Normal14"/>
              <w:spacing w:after="0" w:line="240" w:lineRule="auto"/>
              <w:jc w:val="center"/>
              <w:rPr>
                <w:noProof/>
              </w:rPr>
            </w:pPr>
            <w:r>
              <w:rPr>
                <w:noProof/>
              </w:rPr>
              <w:t>T4</w:t>
            </w:r>
          </w:p>
        </w:tc>
        <w:tc>
          <w:tcPr>
            <w:tcW w:w="1065" w:type="dxa"/>
            <w:tcBorders>
              <w:top w:val="nil"/>
              <w:left w:val="single" w:sz="4" w:space="0" w:color="auto"/>
              <w:bottom w:val="single" w:sz="4" w:space="0" w:color="auto"/>
              <w:right w:val="single" w:sz="4" w:space="0" w:color="auto"/>
            </w:tcBorders>
            <w:shd w:val="clear" w:color="auto" w:fill="C6EFCE"/>
            <w:noWrap/>
          </w:tcPr>
          <w:p w14:paraId="77ABB52C" w14:textId="77777777" w:rsidR="00A345F4" w:rsidRDefault="005E2D4E">
            <w:pPr>
              <w:pStyle w:val="P68B1DB1-Normal14"/>
              <w:spacing w:after="0" w:line="240" w:lineRule="auto"/>
              <w:jc w:val="center"/>
              <w:rPr>
                <w:noProof/>
              </w:rPr>
            </w:pPr>
            <w:r>
              <w:rPr>
                <w:noProof/>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115260C2" w14:textId="77777777" w:rsidR="00A345F4" w:rsidRDefault="005E2D4E">
            <w:pPr>
              <w:pStyle w:val="P68B1DB1-Normal14"/>
              <w:spacing w:after="0" w:line="240" w:lineRule="auto"/>
              <w:jc w:val="both"/>
              <w:rPr>
                <w:noProof/>
              </w:rPr>
            </w:pPr>
            <w:r>
              <w:rPr>
                <w:noProof/>
              </w:rPr>
              <w:t xml:space="preserve">Contrats de financement signés avec des entreprises pour soutenir l’adoption de technologies/solutions numériques et la transformation numérique des processus d’entreprise. </w:t>
            </w:r>
          </w:p>
          <w:p w14:paraId="2056AB0D" w14:textId="77777777" w:rsidR="00A345F4" w:rsidRDefault="00A345F4">
            <w:pPr>
              <w:spacing w:after="0" w:line="240" w:lineRule="auto"/>
              <w:jc w:val="both"/>
              <w:rPr>
                <w:rFonts w:ascii="Times New Roman" w:hAnsi="Times New Roman" w:cs="Times New Roman"/>
                <w:noProof/>
                <w:sz w:val="20"/>
                <w:szCs w:val="20"/>
              </w:rPr>
            </w:pPr>
          </w:p>
        </w:tc>
      </w:tr>
      <w:tr w:rsidR="00A345F4" w14:paraId="331974E5" w14:textId="77777777">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41E66727" w14:textId="5649584E" w:rsidR="00A345F4" w:rsidRDefault="005E2D4E">
            <w:pPr>
              <w:pStyle w:val="P68B1DB1-Normal14"/>
              <w:spacing w:after="0" w:line="240" w:lineRule="auto"/>
              <w:jc w:val="center"/>
              <w:rPr>
                <w:noProof/>
              </w:rPr>
            </w:pPr>
            <w:r>
              <w:rPr>
                <w:noProof/>
              </w:rPr>
              <w:t>272</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F102BFE" w14:textId="77777777" w:rsidR="00A345F4" w:rsidRDefault="005E2D4E">
            <w:pPr>
              <w:pStyle w:val="P68B1DB1-Normal14"/>
              <w:spacing w:after="0" w:line="240" w:lineRule="auto"/>
              <w:jc w:val="both"/>
              <w:rPr>
                <w:noProof/>
              </w:rPr>
            </w:pPr>
            <w:r>
              <w:rPr>
                <w:noProof/>
              </w:rPr>
              <w:t>Réforme 2.a. Rationaliser la gouvernance de la recherche, du développement et de l'innovation</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6A748D88" w14:textId="77777777" w:rsidR="00A345F4" w:rsidRDefault="005E2D4E">
            <w:pPr>
              <w:pStyle w:val="P68B1DB1-Normal14"/>
              <w:spacing w:after="0" w:line="240" w:lineRule="auto"/>
              <w:jc w:val="center"/>
              <w:rPr>
                <w:noProof/>
              </w:rPr>
            </w:pPr>
            <w:r>
              <w:rPr>
                <w:noProof/>
              </w:rPr>
              <w:t>Étape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14668794" w14:textId="3DC1FC68" w:rsidR="00A345F4" w:rsidRDefault="005E2D4E">
            <w:pPr>
              <w:pStyle w:val="P68B1DB1-Normal14"/>
              <w:spacing w:after="0" w:line="240" w:lineRule="auto"/>
              <w:jc w:val="both"/>
              <w:rPr>
                <w:noProof/>
              </w:rPr>
            </w:pPr>
            <w:r>
              <w:rPr>
                <w:noProof/>
              </w:rPr>
              <w:t>Mise en place d’un système permanent garantissant la conception, la mise en œuvre, le suivi et l’évaluation de la politique de RDI, et approbation d’un rapport sur les progrès accomplis dans la mise en œuvre des recommandations détaillées dans le rapport par pays sur la facilité de soutien aux politiques en Roumanie.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C6C0531" w14:textId="13106308" w:rsidR="00A345F4" w:rsidRDefault="005E2D4E">
            <w:pPr>
              <w:pStyle w:val="P68B1DB1-Normal14"/>
              <w:spacing w:after="0" w:line="240" w:lineRule="auto"/>
              <w:jc w:val="both"/>
              <w:rPr>
                <w:noProof/>
              </w:rPr>
            </w:pPr>
            <w:r>
              <w:rPr>
                <w:noProof/>
              </w:rPr>
              <w:t>Acte(s) juridique(s) établissant un système permanent qui garantit la conception, la mise en œuvre, le suivi et l’évaluation de la politique de RDI, et rapport approuvé sur les progrès accomplis dans la mise en œuvre des recommandations détaillées dans le rapport par pays sur la facilité de soutien aux politiques en Roumanie.</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17100D22" w14:textId="77777777" w:rsidR="00A345F4" w:rsidRDefault="00A345F4">
            <w:pPr>
              <w:spacing w:after="0" w:line="240" w:lineRule="auto"/>
              <w:jc w:val="both"/>
              <w:rPr>
                <w:rFonts w:ascii="Times New Roman" w:hAnsi="Times New Roman" w:cs="Times New Roman"/>
                <w:noProof/>
                <w:sz w:val="20"/>
                <w:szCs w:val="20"/>
              </w:rPr>
            </w:pP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5DD48D25" w14:textId="77777777" w:rsidR="00A345F4" w:rsidRDefault="00A345F4">
            <w:pPr>
              <w:spacing w:after="0" w:line="240" w:lineRule="auto"/>
              <w:jc w:val="both"/>
              <w:rPr>
                <w:rFonts w:ascii="Times New Roman" w:hAnsi="Times New Roman" w:cs="Times New Roman"/>
                <w:noProof/>
                <w:sz w:val="20"/>
                <w:szCs w:val="20"/>
              </w:rPr>
            </w:pP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3E379C55" w14:textId="77777777" w:rsidR="00A345F4" w:rsidRDefault="00A345F4">
            <w:pPr>
              <w:spacing w:after="0" w:line="240" w:lineRule="auto"/>
              <w:jc w:val="both"/>
              <w:rPr>
                <w:rFonts w:ascii="Times New Roman" w:hAnsi="Times New Roman" w:cs="Times New Roman"/>
                <w:noProof/>
                <w:sz w:val="20"/>
                <w:szCs w:val="20"/>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6754530" w14:textId="77777777" w:rsidR="00A345F4" w:rsidRDefault="005E2D4E">
            <w:pPr>
              <w:pStyle w:val="P68B1DB1-Normal14"/>
              <w:spacing w:after="0" w:line="240" w:lineRule="auto"/>
              <w:jc w:val="center"/>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BEC3A40" w14:textId="77777777" w:rsidR="00A345F4" w:rsidRDefault="005E2D4E">
            <w:pPr>
              <w:pStyle w:val="P68B1DB1-Normal14"/>
              <w:spacing w:after="0" w:line="240" w:lineRule="auto"/>
              <w:jc w:val="center"/>
              <w:rPr>
                <w:noProof/>
              </w:rPr>
            </w:pPr>
            <w:r>
              <w:rPr>
                <w:noProof/>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00836DD0" w14:textId="77777777" w:rsidR="00A345F4" w:rsidRDefault="005E2D4E">
            <w:pPr>
              <w:pStyle w:val="P68B1DB1-Normal14"/>
              <w:spacing w:after="0" w:line="240" w:lineRule="auto"/>
              <w:jc w:val="both"/>
              <w:rPr>
                <w:noProof/>
              </w:rPr>
            </w:pPr>
            <w:r>
              <w:rPr>
                <w:noProof/>
              </w:rPr>
              <w:t>Le ou les actes juridiques contiennent des dispositions visant à établir un système permanent garantissant la conception, la mise en œuvre, le suivi et l’évaluation harmonisés de la politique de recherche, de développement et d’innovation dans l’ensemble des établissements de financement.</w:t>
            </w:r>
          </w:p>
          <w:p w14:paraId="4D187FC1" w14:textId="77777777" w:rsidR="00A345F4" w:rsidRDefault="00A345F4">
            <w:pPr>
              <w:spacing w:after="0" w:line="240" w:lineRule="auto"/>
              <w:jc w:val="both"/>
              <w:rPr>
                <w:rFonts w:ascii="Times New Roman" w:hAnsi="Times New Roman" w:cs="Times New Roman"/>
                <w:noProof/>
                <w:sz w:val="20"/>
                <w:szCs w:val="20"/>
              </w:rPr>
            </w:pPr>
          </w:p>
          <w:p w14:paraId="0E74D4EE" w14:textId="721164B1" w:rsidR="00A345F4" w:rsidRDefault="005E2D4E">
            <w:pPr>
              <w:pStyle w:val="P68B1DB1-Normal14"/>
              <w:spacing w:after="0" w:line="240" w:lineRule="auto"/>
              <w:jc w:val="both"/>
              <w:rPr>
                <w:noProof/>
              </w:rPr>
            </w:pPr>
            <w:r>
              <w:rPr>
                <w:noProof/>
              </w:rPr>
              <w:t xml:space="preserve">Le Conseil national pour la politique scientifique et technologique approuve un rapport sur l’état d’avancement de la mise en œuvre des recommandations détaillées dans le rapport par pays sur la facilité de soutien aux politiques en Roumanie. </w:t>
            </w:r>
          </w:p>
        </w:tc>
      </w:tr>
      <w:tr w:rsidR="00A345F4" w14:paraId="6D0ACBAA" w14:textId="77777777">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72A64523" w14:textId="77777777" w:rsidR="00A345F4" w:rsidRDefault="005E2D4E">
            <w:pPr>
              <w:pStyle w:val="P68B1DB1-Normal14"/>
              <w:spacing w:after="0" w:line="240" w:lineRule="auto"/>
              <w:jc w:val="center"/>
              <w:rPr>
                <w:noProof/>
              </w:rPr>
            </w:pPr>
            <w:r>
              <w:rPr>
                <w:noProof/>
              </w:rPr>
              <w:t>273</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FB748A6" w14:textId="4083B768" w:rsidR="00A345F4" w:rsidRDefault="005E2D4E">
            <w:pPr>
              <w:pStyle w:val="P68B1DB1-Normal14"/>
              <w:spacing w:after="0" w:line="240" w:lineRule="auto"/>
              <w:jc w:val="both"/>
              <w:rPr>
                <w:noProof/>
              </w:rPr>
            </w:pPr>
            <w:r>
              <w:rPr>
                <w:noProof/>
              </w:rPr>
              <w:t>Réforme 2.a. Rationaliser la gouvernance de la recherche, du développement et de l'innovation</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656AE8BC" w14:textId="77777777" w:rsidR="00A345F4" w:rsidRDefault="005E2D4E">
            <w:pPr>
              <w:pStyle w:val="P68B1DB1-Normal14"/>
              <w:spacing w:after="0" w:line="240" w:lineRule="auto"/>
              <w:jc w:val="center"/>
              <w:rPr>
                <w:noProof/>
              </w:rPr>
            </w:pPr>
            <w:r>
              <w:rPr>
                <w:noProof/>
              </w:rPr>
              <w:t>Étape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3A87B32D" w14:textId="080FC95B" w:rsidR="00A345F4" w:rsidRDefault="005E2D4E">
            <w:pPr>
              <w:pStyle w:val="P68B1DB1-Normal14"/>
              <w:spacing w:after="0" w:line="240" w:lineRule="auto"/>
              <w:jc w:val="both"/>
              <w:rPr>
                <w:noProof/>
              </w:rPr>
            </w:pPr>
            <w:r>
              <w:rPr>
                <w:noProof/>
              </w:rPr>
              <w:t>Entrée en vigueur d’un ou de plusieurs actes juridiques établissant un organe unique qui englobe les conseils existants, assure la coordination interministérielle et s’adresse au secteur privé</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02F18A10" w14:textId="77777777" w:rsidR="00A345F4" w:rsidRDefault="005E2D4E">
            <w:pPr>
              <w:pStyle w:val="P68B1DB1-Normal14"/>
              <w:spacing w:after="0" w:line="240" w:lineRule="auto"/>
              <w:jc w:val="both"/>
              <w:rPr>
                <w:noProof/>
              </w:rPr>
            </w:pPr>
            <w:r>
              <w:rPr>
                <w:noProof/>
              </w:rPr>
              <w:t xml:space="preserve">Acte(s) juridique(s) pour la création de l'organisme unique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074A2A95" w14:textId="77777777" w:rsidR="00A345F4" w:rsidRDefault="00A345F4">
            <w:pPr>
              <w:spacing w:after="0" w:line="240" w:lineRule="auto"/>
              <w:jc w:val="both"/>
              <w:rPr>
                <w:rFonts w:ascii="Times New Roman" w:hAnsi="Times New Roman" w:cs="Times New Roman"/>
                <w:noProof/>
                <w:sz w:val="20"/>
                <w:szCs w:val="20"/>
              </w:rPr>
            </w:pP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43505466" w14:textId="77777777" w:rsidR="00A345F4" w:rsidRDefault="00A345F4">
            <w:pPr>
              <w:spacing w:after="0" w:line="240" w:lineRule="auto"/>
              <w:jc w:val="both"/>
              <w:rPr>
                <w:rFonts w:ascii="Times New Roman" w:hAnsi="Times New Roman" w:cs="Times New Roman"/>
                <w:noProof/>
                <w:sz w:val="20"/>
                <w:szCs w:val="20"/>
              </w:rPr>
            </w:pP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BC29559" w14:textId="77777777" w:rsidR="00A345F4" w:rsidRDefault="00A345F4">
            <w:pPr>
              <w:spacing w:after="0" w:line="240" w:lineRule="auto"/>
              <w:jc w:val="both"/>
              <w:rPr>
                <w:rFonts w:ascii="Times New Roman" w:hAnsi="Times New Roman" w:cs="Times New Roman"/>
                <w:noProof/>
                <w:sz w:val="20"/>
                <w:szCs w:val="20"/>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2E8731C" w14:textId="77777777" w:rsidR="00A345F4" w:rsidRDefault="005E2D4E">
            <w:pPr>
              <w:pStyle w:val="P68B1DB1-Normal14"/>
              <w:spacing w:after="0" w:line="240" w:lineRule="auto"/>
              <w:jc w:val="center"/>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5A94FC12" w14:textId="77777777" w:rsidR="00A345F4" w:rsidRDefault="005E2D4E">
            <w:pPr>
              <w:pStyle w:val="P68B1DB1-Normal14"/>
              <w:spacing w:after="0" w:line="240" w:lineRule="auto"/>
              <w:jc w:val="center"/>
              <w:rPr>
                <w:noProof/>
              </w:rPr>
            </w:pPr>
            <w:r>
              <w:rPr>
                <w:noProof/>
              </w:rPr>
              <w:t>2023</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209724F8" w14:textId="77777777" w:rsidR="00A345F4" w:rsidRDefault="005E2D4E">
            <w:pPr>
              <w:pStyle w:val="P68B1DB1-Normal14"/>
              <w:spacing w:after="0" w:line="240" w:lineRule="auto"/>
              <w:jc w:val="both"/>
              <w:rPr>
                <w:noProof/>
              </w:rPr>
            </w:pPr>
            <w:r>
              <w:rPr>
                <w:noProof/>
              </w:rPr>
              <w:t xml:space="preserve">Acte(s) juridique(s) modifié(s) pour créer un nouvel organe ayant un rôle décisionnel axé sur la RDI et les politiques de spécialisation intelligente, au niveau gouvernemental avec la participation des ministères responsables. </w:t>
            </w:r>
          </w:p>
          <w:p w14:paraId="6171FD2F" w14:textId="77777777" w:rsidR="00A345F4" w:rsidRDefault="005E2D4E">
            <w:pPr>
              <w:pStyle w:val="P68B1DB1-Normal14"/>
              <w:spacing w:after="0" w:line="240" w:lineRule="auto"/>
              <w:jc w:val="both"/>
              <w:rPr>
                <w:noProof/>
              </w:rPr>
            </w:pPr>
            <w:r>
              <w:rPr>
                <w:noProof/>
              </w:rPr>
              <w:t xml:space="preserve">Cet organisme couvre la coordination des activités de RDI (y compris l'innovation axée sur la recherche et l'esprit d'entreprise) au niveau national. Le secrétariat de cet organisme est assuré par l'autorité nationale de la recherche. </w:t>
            </w:r>
          </w:p>
        </w:tc>
      </w:tr>
      <w:tr w:rsidR="00A345F4" w14:paraId="68D3D27A" w14:textId="77777777">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52341F8F" w14:textId="77777777" w:rsidR="00A345F4" w:rsidRDefault="005E2D4E">
            <w:pPr>
              <w:pStyle w:val="P68B1DB1-Normal14"/>
              <w:spacing w:after="0" w:line="240" w:lineRule="auto"/>
              <w:jc w:val="center"/>
              <w:rPr>
                <w:noProof/>
              </w:rPr>
            </w:pPr>
            <w:r>
              <w:rPr>
                <w:noProof/>
              </w:rPr>
              <w:t>274</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4AB92E2" w14:textId="77777777" w:rsidR="00A345F4" w:rsidRDefault="005E2D4E">
            <w:pPr>
              <w:pStyle w:val="P68B1DB1-Normal14"/>
              <w:spacing w:after="0" w:line="240" w:lineRule="auto"/>
              <w:jc w:val="both"/>
              <w:rPr>
                <w:noProof/>
              </w:rPr>
            </w:pPr>
            <w:r>
              <w:rPr>
                <w:noProof/>
              </w:rPr>
              <w:t>Réforme 3. Réforme de la carrière de chercheur</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52EAB17" w14:textId="77777777" w:rsidR="00A345F4" w:rsidRDefault="005E2D4E">
            <w:pPr>
              <w:pStyle w:val="P68B1DB1-Normal14"/>
              <w:spacing w:after="0" w:line="240" w:lineRule="auto"/>
              <w:jc w:val="center"/>
              <w:rPr>
                <w:noProof/>
              </w:rPr>
            </w:pPr>
            <w:r>
              <w:rPr>
                <w:noProof/>
              </w:rPr>
              <w:t>Étape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5A6653AA" w14:textId="77777777" w:rsidR="00A345F4" w:rsidRDefault="005E2D4E">
            <w:pPr>
              <w:pStyle w:val="P68B1DB1-Normal14"/>
              <w:spacing w:after="0" w:line="240" w:lineRule="auto"/>
              <w:jc w:val="both"/>
              <w:rPr>
                <w:noProof/>
              </w:rPr>
            </w:pPr>
            <w:r>
              <w:rPr>
                <w:noProof/>
              </w:rPr>
              <w:t xml:space="preserve">Entrée en vigueur du ou des actes juridiques relatifs à la carrière et au statut du chercheur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22A49772" w14:textId="77777777" w:rsidR="00A345F4" w:rsidRDefault="005E2D4E">
            <w:pPr>
              <w:pStyle w:val="P68B1DB1-Normal14"/>
              <w:spacing w:after="0" w:line="240" w:lineRule="auto"/>
              <w:jc w:val="both"/>
              <w:rPr>
                <w:noProof/>
              </w:rPr>
            </w:pPr>
            <w:r>
              <w:rPr>
                <w:noProof/>
              </w:rPr>
              <w:t>Acte(s) juridique(s) relatif(s) à la carrière et au statut du chercheur</w:t>
            </w:r>
          </w:p>
          <w:p w14:paraId="1F52BF77" w14:textId="77777777" w:rsidR="00A345F4" w:rsidRDefault="00A345F4">
            <w:pPr>
              <w:spacing w:after="0" w:line="240" w:lineRule="auto"/>
              <w:jc w:val="both"/>
              <w:rPr>
                <w:rFonts w:ascii="Times New Roman" w:hAnsi="Times New Roman" w:cs="Times New Roman"/>
                <w:noProof/>
                <w:sz w:val="20"/>
                <w:szCs w:val="20"/>
              </w:rPr>
            </w:pPr>
          </w:p>
          <w:p w14:paraId="448803E8" w14:textId="77777777" w:rsidR="00A345F4" w:rsidRDefault="00A345F4">
            <w:pPr>
              <w:spacing w:after="0" w:line="240" w:lineRule="auto"/>
              <w:jc w:val="both"/>
              <w:rPr>
                <w:rFonts w:ascii="Times New Roman" w:hAnsi="Times New Roman" w:cs="Times New Roman"/>
                <w:noProof/>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310AC6A8" w14:textId="77777777" w:rsidR="00A345F4" w:rsidRDefault="005E2D4E">
            <w:pPr>
              <w:pStyle w:val="P68B1DB1-Normal14"/>
              <w:spacing w:after="0" w:line="240" w:lineRule="auto"/>
              <w:jc w:val="both"/>
              <w:rPr>
                <w:noProof/>
              </w:rPr>
            </w:pPr>
            <w:r>
              <w:rPr>
                <w:noProof/>
              </w:rPr>
              <w:t xml:space="preserve"> </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0573D9AD" w14:textId="77777777" w:rsidR="00A345F4" w:rsidRDefault="005E2D4E">
            <w:pPr>
              <w:pStyle w:val="P68B1DB1-Normal14"/>
              <w:spacing w:after="0" w:line="240" w:lineRule="auto"/>
              <w:jc w:val="both"/>
              <w:rPr>
                <w:noProof/>
              </w:rPr>
            </w:pPr>
            <w:r>
              <w:rPr>
                <w:noProof/>
              </w:rPr>
              <w:t xml:space="preserve"> </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48726FA1" w14:textId="77777777" w:rsidR="00A345F4" w:rsidRDefault="005E2D4E">
            <w:pPr>
              <w:pStyle w:val="P68B1DB1-Normal14"/>
              <w:spacing w:after="0" w:line="240" w:lineRule="auto"/>
              <w:jc w:val="both"/>
              <w:rPr>
                <w:noProof/>
              </w:rPr>
            </w:pPr>
            <w:r>
              <w:rPr>
                <w:noProof/>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9314CA7" w14:textId="77777777" w:rsidR="00A345F4" w:rsidRDefault="005E2D4E">
            <w:pPr>
              <w:pStyle w:val="P68B1DB1-Normal14"/>
              <w:spacing w:after="0" w:line="240" w:lineRule="auto"/>
              <w:jc w:val="center"/>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356825A" w14:textId="77777777" w:rsidR="00A345F4" w:rsidRDefault="005E2D4E">
            <w:pPr>
              <w:pStyle w:val="P68B1DB1-Normal14"/>
              <w:spacing w:after="0" w:line="240" w:lineRule="auto"/>
              <w:jc w:val="center"/>
              <w:rPr>
                <w:noProof/>
              </w:rPr>
            </w:pPr>
            <w:r>
              <w:rPr>
                <w:noProof/>
              </w:rPr>
              <w:t>2024</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8D38ED0" w14:textId="77777777" w:rsidR="00A345F4" w:rsidRDefault="005E2D4E">
            <w:pPr>
              <w:pStyle w:val="P68B1DB1-Normal14"/>
              <w:spacing w:after="0" w:line="240" w:lineRule="auto"/>
              <w:jc w:val="both"/>
              <w:rPr>
                <w:noProof/>
              </w:rPr>
            </w:pPr>
            <w:r>
              <w:rPr>
                <w:noProof/>
              </w:rPr>
              <w:t>Le ou les actes juridiques détaillent les indicateurs clés de performance (qui seront utilisés pour évaluer les performances des chercheurs) et détaillent les normes de «bonne conduite dans la recherche scientifique», et donc l’accès aux financements et aux bourses.</w:t>
            </w:r>
          </w:p>
          <w:p w14:paraId="771A8C6A" w14:textId="77777777" w:rsidR="00A345F4" w:rsidRDefault="005E2D4E">
            <w:pPr>
              <w:pStyle w:val="P68B1DB1-Normal14"/>
              <w:spacing w:after="0" w:line="240" w:lineRule="auto"/>
              <w:jc w:val="both"/>
              <w:rPr>
                <w:noProof/>
              </w:rPr>
            </w:pPr>
            <w:r>
              <w:rPr>
                <w:noProof/>
              </w:rPr>
              <w:t>La nouvelle législation comprend les exigences suivantes:</w:t>
            </w:r>
          </w:p>
          <w:p w14:paraId="5089A9F4" w14:textId="77777777" w:rsidR="00A345F4" w:rsidRDefault="005E2D4E">
            <w:pPr>
              <w:pStyle w:val="P68B1DB1-Normal14"/>
              <w:numPr>
                <w:ilvl w:val="0"/>
                <w:numId w:val="95"/>
              </w:numPr>
              <w:spacing w:after="0" w:line="240" w:lineRule="auto"/>
              <w:contextualSpacing/>
              <w:jc w:val="both"/>
              <w:rPr>
                <w:noProof/>
              </w:rPr>
            </w:pPr>
            <w:r>
              <w:rPr>
                <w:noProof/>
              </w:rPr>
              <w:t xml:space="preserve">faire progresser la carrière dans la recherche sur la base de principes fondés sur le mérite, </w:t>
            </w:r>
          </w:p>
          <w:p w14:paraId="4C49E1C3" w14:textId="19C0DB39" w:rsidR="00A345F4" w:rsidRDefault="005E2D4E">
            <w:pPr>
              <w:pStyle w:val="P68B1DB1-Normal14"/>
              <w:numPr>
                <w:ilvl w:val="0"/>
                <w:numId w:val="95"/>
              </w:numPr>
              <w:spacing w:after="0" w:line="240" w:lineRule="auto"/>
              <w:contextualSpacing/>
              <w:jc w:val="both"/>
              <w:rPr>
                <w:noProof/>
              </w:rPr>
            </w:pPr>
            <w:r>
              <w:rPr>
                <w:noProof/>
              </w:rPr>
              <w:t xml:space="preserve">assurer le recrutement au moyen de procédures transparentes, ouvertes et concurrentielles, </w:t>
            </w:r>
          </w:p>
          <w:p w14:paraId="4966D3CD" w14:textId="77777777" w:rsidR="00A345F4" w:rsidRDefault="005E2D4E">
            <w:pPr>
              <w:pStyle w:val="P68B1DB1-Normal14"/>
              <w:numPr>
                <w:ilvl w:val="0"/>
                <w:numId w:val="95"/>
              </w:numPr>
              <w:spacing w:after="0" w:line="240" w:lineRule="auto"/>
              <w:contextualSpacing/>
              <w:jc w:val="both"/>
              <w:rPr>
                <w:noProof/>
              </w:rPr>
            </w:pPr>
            <w:r>
              <w:rPr>
                <w:noProof/>
              </w:rPr>
              <w:t>Garantir les bonnes pratiques en matière d'éthique et d'intégrité dans la recherche scientifique.</w:t>
            </w:r>
          </w:p>
          <w:p w14:paraId="08D830C6" w14:textId="77777777" w:rsidR="00A345F4" w:rsidRDefault="005E2D4E">
            <w:pPr>
              <w:pStyle w:val="P68B1DB1-Normal14"/>
              <w:spacing w:after="0" w:line="240" w:lineRule="auto"/>
              <w:jc w:val="both"/>
              <w:rPr>
                <w:noProof/>
              </w:rPr>
            </w:pPr>
            <w:r>
              <w:rPr>
                <w:noProof/>
              </w:rPr>
              <w:t xml:space="preserve">Le ou les actes juridiques comprennent également un cadre d’incitations financières et non financières visant à encourager l’adoption de la charte européenne du chercheur et du code pour le recrutement des chercheurs par les établissements de recherche. </w:t>
            </w:r>
          </w:p>
        </w:tc>
      </w:tr>
      <w:tr w:rsidR="00A345F4" w14:paraId="49DADCD7" w14:textId="77777777">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213E7527" w14:textId="77777777" w:rsidR="00A345F4" w:rsidRDefault="005E2D4E">
            <w:pPr>
              <w:pStyle w:val="P68B1DB1-Normal14"/>
              <w:spacing w:after="0" w:line="240" w:lineRule="auto"/>
              <w:jc w:val="center"/>
              <w:rPr>
                <w:noProof/>
              </w:rPr>
            </w:pPr>
            <w:r>
              <w:rPr>
                <w:noProof/>
              </w:rPr>
              <w:t>275</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7421230B" w14:textId="77777777" w:rsidR="00A345F4" w:rsidRDefault="005E2D4E">
            <w:pPr>
              <w:pStyle w:val="P68B1DB1-Normal14"/>
              <w:spacing w:after="0" w:line="240" w:lineRule="auto"/>
              <w:jc w:val="both"/>
              <w:rPr>
                <w:noProof/>
              </w:rPr>
            </w:pPr>
            <w:r>
              <w:rPr>
                <w:noProof/>
              </w:rPr>
              <w:t>Réforme 3. Réforme de la carrière de chercheur</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64A60F2" w14:textId="77777777" w:rsidR="00A345F4" w:rsidRDefault="005E2D4E">
            <w:pPr>
              <w:pStyle w:val="P68B1DB1-Normal14"/>
              <w:spacing w:after="0" w:line="240" w:lineRule="auto"/>
              <w:jc w:val="center"/>
              <w:rPr>
                <w:noProof/>
              </w:rPr>
            </w:pPr>
            <w:r>
              <w:rPr>
                <w:noProof/>
              </w:rPr>
              <w:t>Objectif</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5E75F8CE" w14:textId="77777777" w:rsidR="00A345F4" w:rsidRDefault="005E2D4E">
            <w:pPr>
              <w:pStyle w:val="P68B1DB1-Normal14"/>
              <w:spacing w:after="0" w:line="240" w:lineRule="auto"/>
              <w:jc w:val="both"/>
              <w:rPr>
                <w:noProof/>
              </w:rPr>
            </w:pPr>
            <w:r>
              <w:rPr>
                <w:noProof/>
              </w:rPr>
              <w:t xml:space="preserve">Les institutions qui ont adhéré à la Charte européenne du chercheur et au Code pour le recrutement des chercheurs ont lancé le processus de conception, d'application et d'évaluation des plans d'action.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6ED6EF51" w14:textId="77777777" w:rsidR="00A345F4" w:rsidRDefault="00A345F4">
            <w:pPr>
              <w:spacing w:after="0" w:line="240" w:lineRule="auto"/>
              <w:jc w:val="both"/>
              <w:rPr>
                <w:rFonts w:ascii="Times New Roman" w:hAnsi="Times New Roman" w:cs="Times New Roman"/>
                <w:noProof/>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46A7F9A0" w14:textId="77777777" w:rsidR="00A345F4" w:rsidRDefault="005E2D4E">
            <w:pPr>
              <w:pStyle w:val="P68B1DB1-Normal14"/>
              <w:spacing w:after="0" w:line="240" w:lineRule="auto"/>
              <w:jc w:val="both"/>
              <w:rPr>
                <w:noProof/>
              </w:rPr>
            </w:pPr>
            <w:r>
              <w:rPr>
                <w:noProof/>
              </w:rPr>
              <w:t>Numéro</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35204B10" w14:textId="77777777" w:rsidR="00A345F4" w:rsidRDefault="005E2D4E">
            <w:pPr>
              <w:pStyle w:val="P68B1DB1-Normal14"/>
              <w:spacing w:after="0" w:line="240" w:lineRule="auto"/>
              <w:jc w:val="both"/>
              <w:rPr>
                <w:noProof/>
              </w:rPr>
            </w:pPr>
            <w:r>
              <w:rPr>
                <w:noProof/>
              </w:rPr>
              <w:t>5</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32EC79C8" w14:textId="77777777" w:rsidR="00A345F4" w:rsidRDefault="005E2D4E">
            <w:pPr>
              <w:pStyle w:val="P68B1DB1-Normal14"/>
              <w:spacing w:after="0" w:line="240" w:lineRule="auto"/>
              <w:jc w:val="both"/>
              <w:rPr>
                <w:noProof/>
              </w:rPr>
            </w:pPr>
            <w:r>
              <w:rPr>
                <w:noProof/>
              </w:rPr>
              <w:t>16</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3508C6BF" w14:textId="77777777" w:rsidR="00A345F4" w:rsidRDefault="005E2D4E">
            <w:pPr>
              <w:pStyle w:val="P68B1DB1-Normal14"/>
              <w:spacing w:after="0" w:line="240" w:lineRule="auto"/>
              <w:jc w:val="center"/>
              <w:rPr>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CBD661A" w14:textId="77777777" w:rsidR="00A345F4" w:rsidRDefault="005E2D4E">
            <w:pPr>
              <w:pStyle w:val="P68B1DB1-Normal14"/>
              <w:spacing w:after="0" w:line="240" w:lineRule="auto"/>
              <w:jc w:val="center"/>
              <w:rPr>
                <w:noProof/>
              </w:rPr>
            </w:pPr>
            <w:r>
              <w:rPr>
                <w:noProof/>
              </w:rPr>
              <w:t>2025</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7902CFAE" w14:textId="1A8A19AF" w:rsidR="00A345F4" w:rsidRDefault="005E2D4E">
            <w:pPr>
              <w:pStyle w:val="P68B1DB1-Normal14"/>
              <w:spacing w:after="0" w:line="240" w:lineRule="auto"/>
              <w:jc w:val="both"/>
              <w:rPr>
                <w:noProof/>
              </w:rPr>
            </w:pPr>
            <w:r>
              <w:rPr>
                <w:noProof/>
              </w:rPr>
              <w:t xml:space="preserve">11 institutions supplémentaires qui ont adhéré à la charte européenne du chercheur et au code pour le recrutement des chercheurs engagent le processus de conception, d’application et d’évaluation des plans d’action sur la base de l’outil «Stratégie en matière de ressources humaines pour les chercheurs» (HRS4R) de la Commission européenne. </w:t>
            </w:r>
          </w:p>
          <w:p w14:paraId="7BE6370D" w14:textId="77777777" w:rsidR="00A345F4" w:rsidRDefault="00A345F4">
            <w:pPr>
              <w:spacing w:after="0" w:line="240" w:lineRule="auto"/>
              <w:jc w:val="both"/>
              <w:rPr>
                <w:rFonts w:ascii="Times New Roman" w:hAnsi="Times New Roman" w:cs="Times New Roman"/>
                <w:noProof/>
                <w:sz w:val="20"/>
                <w:szCs w:val="20"/>
              </w:rPr>
            </w:pPr>
          </w:p>
        </w:tc>
      </w:tr>
      <w:tr w:rsidR="00A345F4" w14:paraId="1FD0CA91" w14:textId="77777777">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6C570C54" w14:textId="77777777" w:rsidR="00A345F4" w:rsidRDefault="005E2D4E">
            <w:pPr>
              <w:pStyle w:val="P68B1DB1-Normal14"/>
              <w:spacing w:after="0" w:line="240" w:lineRule="auto"/>
              <w:jc w:val="center"/>
              <w:rPr>
                <w:noProof/>
              </w:rPr>
            </w:pPr>
            <w:r>
              <w:rPr>
                <w:noProof/>
              </w:rPr>
              <w:t>281</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280E5C1" w14:textId="77777777" w:rsidR="00A345F4" w:rsidRDefault="005E2D4E">
            <w:pPr>
              <w:pStyle w:val="P68B1DB1-Normal14"/>
              <w:spacing w:after="0" w:line="240" w:lineRule="auto"/>
              <w:jc w:val="both"/>
              <w:rPr>
                <w:noProof/>
              </w:rPr>
            </w:pPr>
            <w:r>
              <w:rPr>
                <w:noProof/>
              </w:rPr>
              <w:t>Investissement 5.a Création de centres de compétences</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5FB050B" w14:textId="77777777" w:rsidR="00A345F4" w:rsidRDefault="005E2D4E">
            <w:pPr>
              <w:pStyle w:val="P68B1DB1-Normal14"/>
              <w:spacing w:after="0" w:line="240" w:lineRule="auto"/>
              <w:jc w:val="center"/>
              <w:rPr>
                <w:noProof/>
              </w:rPr>
            </w:pPr>
            <w:r>
              <w:rPr>
                <w:noProof/>
              </w:rPr>
              <w:t>Objectif</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09FD2801" w14:textId="77777777" w:rsidR="00A345F4" w:rsidRDefault="005E2D4E">
            <w:pPr>
              <w:pStyle w:val="P68B1DB1-Normal14"/>
              <w:spacing w:after="0" w:line="240" w:lineRule="auto"/>
              <w:jc w:val="both"/>
              <w:rPr>
                <w:noProof/>
              </w:rPr>
            </w:pPr>
            <w:r>
              <w:rPr>
                <w:noProof/>
              </w:rPr>
              <w:t>Entreprises bénéficiant d'un financement pour des activités de recherche, de développement et d'innovation</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4FF459E5" w14:textId="77777777" w:rsidR="00A345F4" w:rsidRDefault="00A345F4">
            <w:pPr>
              <w:spacing w:after="0" w:line="240" w:lineRule="auto"/>
              <w:jc w:val="both"/>
              <w:rPr>
                <w:rFonts w:ascii="Times New Roman" w:hAnsi="Times New Roman" w:cs="Times New Roman"/>
                <w:noProof/>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C29947C" w14:textId="77777777" w:rsidR="00A345F4" w:rsidRDefault="005E2D4E">
            <w:pPr>
              <w:pStyle w:val="P68B1DB1-Normal14"/>
              <w:spacing w:after="0" w:line="240" w:lineRule="auto"/>
              <w:jc w:val="both"/>
              <w:rPr>
                <w:rFonts w:eastAsia="Times New Roman"/>
                <w:noProof/>
              </w:rPr>
            </w:pPr>
            <w:r>
              <w:rPr>
                <w:noProof/>
              </w:rPr>
              <w:t>Numéro</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12324146" w14:textId="77777777" w:rsidR="00A345F4" w:rsidRDefault="005E2D4E">
            <w:pPr>
              <w:pStyle w:val="P68B1DB1-Normal14"/>
              <w:spacing w:after="0" w:line="240" w:lineRule="auto"/>
              <w:jc w:val="both"/>
              <w:rPr>
                <w:rFonts w:eastAsia="Times New Roman"/>
                <w:noProof/>
              </w:rPr>
            </w:pPr>
            <w:r>
              <w:rPr>
                <w:noProof/>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2CFEE762" w14:textId="77777777" w:rsidR="00A345F4" w:rsidRDefault="005E2D4E">
            <w:pPr>
              <w:pStyle w:val="P68B1DB1-Normal14"/>
              <w:spacing w:after="0" w:line="240" w:lineRule="auto"/>
              <w:jc w:val="both"/>
              <w:rPr>
                <w:rFonts w:eastAsia="Times New Roman"/>
                <w:noProof/>
              </w:rPr>
            </w:pPr>
            <w:r>
              <w:rPr>
                <w:noProof/>
              </w:rPr>
              <w:t xml:space="preserve">25 </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49FF62FB" w14:textId="77777777" w:rsidR="00A345F4" w:rsidRDefault="005E2D4E">
            <w:pPr>
              <w:pStyle w:val="P68B1DB1-Normal14"/>
              <w:spacing w:after="0" w:line="240" w:lineRule="auto"/>
              <w:jc w:val="center"/>
              <w:rPr>
                <w:noProof/>
              </w:rPr>
            </w:pPr>
            <w:r>
              <w:rPr>
                <w:noProof/>
              </w:rPr>
              <w:t>T1</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58522DB" w14:textId="77777777" w:rsidR="00A345F4" w:rsidRDefault="005E2D4E">
            <w:pPr>
              <w:pStyle w:val="P68B1DB1-Normal14"/>
              <w:spacing w:after="0" w:line="240" w:lineRule="auto"/>
              <w:jc w:val="center"/>
              <w:rPr>
                <w:noProof/>
              </w:rPr>
            </w:pPr>
            <w:r>
              <w:rPr>
                <w:noProof/>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3F970613" w14:textId="77777777" w:rsidR="00A345F4" w:rsidRDefault="005E2D4E">
            <w:pPr>
              <w:pStyle w:val="P68B1DB1-Normal14"/>
              <w:spacing w:after="0" w:line="240" w:lineRule="auto"/>
              <w:jc w:val="both"/>
              <w:rPr>
                <w:noProof/>
              </w:rPr>
            </w:pPr>
            <w:r>
              <w:rPr>
                <w:noProof/>
              </w:rPr>
              <w:t>Au moins 25 entreprises ont reçu un financement pour des activités de recherche, de développement et d’innovation par l’intermédiaire de centres de compétences.</w:t>
            </w:r>
          </w:p>
        </w:tc>
      </w:tr>
      <w:tr w:rsidR="00A345F4" w14:paraId="2D8C1BDB" w14:textId="77777777">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27F7D0FA" w14:textId="77777777" w:rsidR="00A345F4" w:rsidRDefault="005E2D4E">
            <w:pPr>
              <w:pStyle w:val="P68B1DB1-Normal14"/>
              <w:spacing w:after="0" w:line="240" w:lineRule="auto"/>
              <w:jc w:val="center"/>
              <w:rPr>
                <w:noProof/>
              </w:rPr>
            </w:pPr>
            <w:r>
              <w:rPr>
                <w:noProof/>
              </w:rPr>
              <w:t>284</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918D86A" w14:textId="3528F185" w:rsidR="00A345F4" w:rsidRDefault="005E2D4E">
            <w:pPr>
              <w:pStyle w:val="P68B1DB1-Normal14"/>
              <w:spacing w:after="0" w:line="240" w:lineRule="auto"/>
              <w:jc w:val="both"/>
              <w:rPr>
                <w:noProof/>
              </w:rPr>
            </w:pPr>
            <w:r>
              <w:rPr>
                <w:noProof/>
              </w:rPr>
              <w:t>Investissement 8. Programme visant à attirer des ressources humaines de l'étranger dans les activités de recherche, de développement et d'innovation</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7933534A" w14:textId="77777777" w:rsidR="00A345F4" w:rsidRDefault="005E2D4E">
            <w:pPr>
              <w:pStyle w:val="P68B1DB1-Normal14"/>
              <w:spacing w:after="0" w:line="240" w:lineRule="auto"/>
              <w:jc w:val="center"/>
              <w:rPr>
                <w:noProof/>
              </w:rPr>
            </w:pPr>
            <w:r>
              <w:rPr>
                <w:noProof/>
              </w:rPr>
              <w:t>Objectif</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10F3698" w14:textId="77777777" w:rsidR="00A345F4" w:rsidRDefault="005E2D4E">
            <w:pPr>
              <w:pStyle w:val="P68B1DB1-Normal14"/>
              <w:spacing w:after="0" w:line="240" w:lineRule="auto"/>
              <w:jc w:val="both"/>
              <w:rPr>
                <w:noProof/>
              </w:rPr>
            </w:pPr>
            <w:r>
              <w:rPr>
                <w:noProof/>
              </w:rPr>
              <w:t xml:space="preserve">Projets menés par des chercheurs internationaux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7FAE30AB" w14:textId="77777777" w:rsidR="00A345F4" w:rsidRDefault="005E2D4E">
            <w:pPr>
              <w:pStyle w:val="P68B1DB1-Normal14"/>
              <w:spacing w:after="0" w:line="240" w:lineRule="auto"/>
              <w:jc w:val="both"/>
              <w:rPr>
                <w:noProof/>
              </w:rPr>
            </w:pPr>
            <w:r>
              <w:rPr>
                <w:noProof/>
              </w:rPr>
              <w:t xml:space="preserve"> </w:t>
            </w:r>
          </w:p>
          <w:p w14:paraId="588E0CF3" w14:textId="77777777" w:rsidR="00A345F4" w:rsidRDefault="00A345F4">
            <w:pPr>
              <w:ind w:firstLine="720"/>
              <w:rPr>
                <w:rFonts w:ascii="Times New Roman" w:hAnsi="Times New Roman" w:cs="Times New Roman"/>
                <w:noProof/>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5C93B7CB" w14:textId="77777777" w:rsidR="00A345F4" w:rsidRDefault="005E2D4E">
            <w:pPr>
              <w:pStyle w:val="P68B1DB1-Normal19"/>
              <w:spacing w:after="0" w:line="240" w:lineRule="auto"/>
              <w:jc w:val="both"/>
              <w:rPr>
                <w:noProof/>
              </w:rPr>
            </w:pPr>
            <w:r>
              <w:rPr>
                <w:noProof/>
              </w:rPr>
              <w:t xml:space="preserve">Numéro </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29FEC7B4" w14:textId="77777777" w:rsidR="00A345F4" w:rsidRDefault="005E2D4E">
            <w:pPr>
              <w:pStyle w:val="P68B1DB1-Normal14"/>
              <w:spacing w:after="0" w:line="240" w:lineRule="auto"/>
              <w:jc w:val="both"/>
              <w:rPr>
                <w:rFonts w:eastAsia="Times New Roman"/>
                <w:noProof/>
              </w:rPr>
            </w:pPr>
            <w:r>
              <w:rPr>
                <w:noProof/>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2E401FE1" w14:textId="77777777" w:rsidR="00A345F4" w:rsidRDefault="005E2D4E">
            <w:pPr>
              <w:pStyle w:val="P68B1DB1-Normal14"/>
              <w:spacing w:after="0" w:line="240" w:lineRule="auto"/>
              <w:jc w:val="both"/>
              <w:rPr>
                <w:rFonts w:eastAsia="Times New Roman"/>
                <w:noProof/>
              </w:rPr>
            </w:pPr>
            <w:r>
              <w:rPr>
                <w:noProof/>
              </w:rPr>
              <w:t>100</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D13CC42" w14:textId="77777777" w:rsidR="00A345F4" w:rsidRDefault="005E2D4E">
            <w:pPr>
              <w:pStyle w:val="P68B1DB1-Normal14"/>
              <w:spacing w:after="0" w:line="240" w:lineRule="auto"/>
              <w:jc w:val="center"/>
              <w:rPr>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B8FF1CB" w14:textId="77777777" w:rsidR="00A345F4" w:rsidRDefault="005E2D4E">
            <w:pPr>
              <w:pStyle w:val="P68B1DB1-Normal14"/>
              <w:spacing w:after="0" w:line="240" w:lineRule="auto"/>
              <w:jc w:val="center"/>
              <w:rPr>
                <w:noProof/>
              </w:rPr>
            </w:pPr>
            <w:r>
              <w:rPr>
                <w:noProof/>
              </w:rPr>
              <w:t>2023</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C3BCF4A" w14:textId="77777777" w:rsidR="00A345F4" w:rsidRDefault="005E2D4E">
            <w:pPr>
              <w:pStyle w:val="P68B1DB1-Normal14"/>
              <w:spacing w:after="0" w:line="240" w:lineRule="auto"/>
              <w:jc w:val="both"/>
              <w:rPr>
                <w:noProof/>
              </w:rPr>
            </w:pPr>
            <w:r>
              <w:rPr>
                <w:noProof/>
              </w:rPr>
              <w:t>100 projets sélectionnés menés par des chercheurs internationaux accueillis par des organisations de recherche, de développement et d'innovation en Roumanie.</w:t>
            </w:r>
          </w:p>
        </w:tc>
      </w:tr>
      <w:tr w:rsidR="00A345F4" w14:paraId="79678D84" w14:textId="77777777">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73156F75" w14:textId="77777777" w:rsidR="00A345F4" w:rsidRDefault="005E2D4E">
            <w:pPr>
              <w:pStyle w:val="P68B1DB1-Normal14"/>
              <w:spacing w:after="0" w:line="240" w:lineRule="auto"/>
              <w:jc w:val="center"/>
              <w:rPr>
                <w:noProof/>
              </w:rPr>
            </w:pPr>
            <w:r>
              <w:rPr>
                <w:noProof/>
              </w:rPr>
              <w:t>285</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1861BF9C" w14:textId="77777777" w:rsidR="00A345F4" w:rsidRDefault="005E2D4E">
            <w:pPr>
              <w:pStyle w:val="P68B1DB1-Normal14"/>
              <w:spacing w:after="0" w:line="240" w:lineRule="auto"/>
              <w:jc w:val="both"/>
              <w:rPr>
                <w:noProof/>
              </w:rPr>
            </w:pPr>
            <w:r>
              <w:rPr>
                <w:noProof/>
              </w:rPr>
              <w:t>Investissement 9. Soutien aux titulaires de certificats d'excellence reçus dans le cadre de la bourse individuelle Marie Sklodowska Curie</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790090EB" w14:textId="77777777" w:rsidR="00A345F4" w:rsidRDefault="005E2D4E">
            <w:pPr>
              <w:pStyle w:val="P68B1DB1-Normal14"/>
              <w:spacing w:after="0" w:line="240" w:lineRule="auto"/>
              <w:jc w:val="center"/>
              <w:rPr>
                <w:noProof/>
              </w:rPr>
            </w:pPr>
            <w:r>
              <w:rPr>
                <w:noProof/>
              </w:rPr>
              <w:t>Objectif</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25C491FE" w14:textId="77777777" w:rsidR="00A345F4" w:rsidRDefault="005E2D4E">
            <w:pPr>
              <w:pStyle w:val="P68B1DB1-Normal14"/>
              <w:spacing w:after="0" w:line="240" w:lineRule="auto"/>
              <w:jc w:val="both"/>
              <w:rPr>
                <w:noProof/>
              </w:rPr>
            </w:pPr>
            <w:r>
              <w:rPr>
                <w:noProof/>
              </w:rPr>
              <w:t>Marie Sklodowska Curie lauréate du label d'excellence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01217240" w14:textId="77777777" w:rsidR="00A345F4" w:rsidRDefault="005E2D4E">
            <w:pPr>
              <w:pStyle w:val="P68B1DB1-Normal14"/>
              <w:spacing w:after="0" w:line="240" w:lineRule="auto"/>
              <w:jc w:val="both"/>
              <w:rPr>
                <w:noProof/>
              </w:rPr>
            </w:pPr>
            <w:r>
              <w:rPr>
                <w:noProof/>
              </w:rPr>
              <w:t xml:space="preserv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7B28C4D5" w14:textId="77777777" w:rsidR="00A345F4" w:rsidRDefault="005E2D4E">
            <w:pPr>
              <w:pStyle w:val="P68B1DB1-Normal14"/>
              <w:spacing w:after="0" w:line="240" w:lineRule="auto"/>
              <w:jc w:val="both"/>
              <w:rPr>
                <w:rFonts w:eastAsia="Times New Roman"/>
                <w:noProof/>
              </w:rPr>
            </w:pPr>
            <w:r>
              <w:rPr>
                <w:noProof/>
              </w:rPr>
              <w:t>Numéro</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66141970" w14:textId="77777777" w:rsidR="00A345F4" w:rsidRDefault="005E2D4E">
            <w:pPr>
              <w:pStyle w:val="P68B1DB1-Normal14"/>
              <w:spacing w:after="0" w:line="240" w:lineRule="auto"/>
              <w:jc w:val="both"/>
              <w:rPr>
                <w:rFonts w:eastAsia="Times New Roman"/>
                <w:noProof/>
              </w:rPr>
            </w:pPr>
            <w:r>
              <w:rPr>
                <w:noProof/>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2C20BF05" w14:textId="77777777" w:rsidR="00A345F4" w:rsidRDefault="005E2D4E">
            <w:pPr>
              <w:pStyle w:val="P68B1DB1-Normal14"/>
              <w:spacing w:after="0" w:line="240" w:lineRule="auto"/>
              <w:jc w:val="both"/>
              <w:rPr>
                <w:rFonts w:eastAsia="Times New Roman"/>
                <w:noProof/>
              </w:rPr>
            </w:pPr>
            <w:r>
              <w:rPr>
                <w:noProof/>
              </w:rPr>
              <w:t>10</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F4CFAC7" w14:textId="77777777" w:rsidR="00A345F4" w:rsidRDefault="005E2D4E">
            <w:pPr>
              <w:pStyle w:val="P68B1DB1-Normal14"/>
              <w:spacing w:after="0" w:line="240" w:lineRule="auto"/>
              <w:jc w:val="center"/>
              <w:rPr>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73DADF0" w14:textId="77777777" w:rsidR="00A345F4" w:rsidRDefault="005E2D4E">
            <w:pPr>
              <w:pStyle w:val="P68B1DB1-Normal14"/>
              <w:spacing w:after="0" w:line="240" w:lineRule="auto"/>
              <w:jc w:val="center"/>
              <w:rPr>
                <w:noProof/>
              </w:rPr>
            </w:pPr>
            <w:r>
              <w:rPr>
                <w:noProof/>
              </w:rPr>
              <w:t>2023</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41875AF" w14:textId="20C03075" w:rsidR="00A345F4" w:rsidRDefault="005E2D4E">
            <w:pPr>
              <w:pStyle w:val="P68B1DB1-Normal14"/>
              <w:spacing w:after="0" w:line="240" w:lineRule="auto"/>
              <w:jc w:val="both"/>
              <w:rPr>
                <w:noProof/>
              </w:rPr>
            </w:pPr>
            <w:r>
              <w:rPr>
                <w:noProof/>
              </w:rPr>
              <w:t>Au moins 10 lauréats Marie Sklodowska Curie du label d’excellence pour d’excellentes bourses individuelles recevront une subvention pour mener à bien des projets de recherche relevant d’Horizon 2020 et d’Horizon Europe.</w:t>
            </w:r>
          </w:p>
        </w:tc>
      </w:tr>
      <w:tr w:rsidR="00A345F4" w14:paraId="06509863" w14:textId="77777777">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4AD0415" w14:textId="77777777" w:rsidR="00A345F4" w:rsidRDefault="005E2D4E">
            <w:pPr>
              <w:pStyle w:val="P68B1DB1-Normal14"/>
              <w:spacing w:after="0" w:line="240" w:lineRule="auto"/>
              <w:jc w:val="center"/>
              <w:rPr>
                <w:noProof/>
              </w:rPr>
            </w:pPr>
            <w:r>
              <w:rPr>
                <w:noProof/>
              </w:rPr>
              <w:t>287</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4C82484F" w14:textId="77777777" w:rsidR="00A345F4" w:rsidRDefault="005E2D4E">
            <w:pPr>
              <w:pStyle w:val="P68B1DB1-Normal14"/>
              <w:spacing w:after="0" w:line="240" w:lineRule="auto"/>
              <w:jc w:val="both"/>
              <w:rPr>
                <w:noProof/>
              </w:rPr>
            </w:pPr>
            <w:r>
              <w:rPr>
                <w:noProof/>
              </w:rPr>
              <w:t xml:space="preserve">Investissement 10. Création et soutien financier d'un réseau national de huit centres régionaux d'orientation professionnelle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D1CDEC2" w14:textId="77777777" w:rsidR="00A345F4" w:rsidRDefault="005E2D4E">
            <w:pPr>
              <w:pStyle w:val="P68B1DB1-Normal14"/>
              <w:spacing w:after="0" w:line="240" w:lineRule="auto"/>
              <w:jc w:val="center"/>
              <w:rPr>
                <w:noProof/>
              </w:rPr>
            </w:pPr>
            <w:r>
              <w:rPr>
                <w:noProof/>
              </w:rPr>
              <w:t>Objectif</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179A8D13" w14:textId="18172437" w:rsidR="00A345F4" w:rsidRDefault="005E2D4E">
            <w:pPr>
              <w:pStyle w:val="P68B1DB1-Normal14"/>
              <w:spacing w:after="0" w:line="240" w:lineRule="auto"/>
              <w:jc w:val="both"/>
              <w:rPr>
                <w:noProof/>
              </w:rPr>
            </w:pPr>
            <w:r>
              <w:rPr>
                <w:noProof/>
              </w:rPr>
              <w:t>Création de centres régionaux d'orientation professionnelle dans le domaine de la recherche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1F22C827" w14:textId="77777777" w:rsidR="00A345F4" w:rsidRDefault="005E2D4E">
            <w:pPr>
              <w:pStyle w:val="P68B1DB1-Normal14"/>
              <w:spacing w:after="0" w:line="240" w:lineRule="auto"/>
              <w:jc w:val="both"/>
              <w:rPr>
                <w:noProof/>
              </w:rPr>
            </w:pPr>
            <w:r>
              <w:rPr>
                <w:noProof/>
              </w:rPr>
              <w:t xml:space="preserv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14654721" w14:textId="77777777" w:rsidR="00A345F4" w:rsidRDefault="005E2D4E">
            <w:pPr>
              <w:pStyle w:val="P68B1DB1-Normal14"/>
              <w:spacing w:after="0" w:line="240" w:lineRule="auto"/>
              <w:jc w:val="both"/>
              <w:rPr>
                <w:noProof/>
              </w:rPr>
            </w:pPr>
            <w:r>
              <w:rPr>
                <w:noProof/>
              </w:rPr>
              <w:t>Numéro</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0C6670FE" w14:textId="77777777" w:rsidR="00A345F4" w:rsidRDefault="005E2D4E">
            <w:pPr>
              <w:pStyle w:val="P68B1DB1-Normal14"/>
              <w:spacing w:after="0" w:line="240" w:lineRule="auto"/>
              <w:jc w:val="both"/>
              <w:rPr>
                <w:noProof/>
              </w:rPr>
            </w:pPr>
            <w:r>
              <w:rPr>
                <w:noProof/>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510975FF" w14:textId="77777777" w:rsidR="00A345F4" w:rsidRDefault="005E2D4E">
            <w:pPr>
              <w:pStyle w:val="P68B1DB1-Normal14"/>
              <w:spacing w:after="0" w:line="240" w:lineRule="auto"/>
              <w:jc w:val="both"/>
              <w:rPr>
                <w:noProof/>
              </w:rPr>
            </w:pPr>
            <w:r>
              <w:rPr>
                <w:noProof/>
              </w:rPr>
              <w:t>8</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3009A8A" w14:textId="77777777" w:rsidR="00A345F4" w:rsidRDefault="005E2D4E">
            <w:pPr>
              <w:pStyle w:val="P68B1DB1-Normal14"/>
              <w:spacing w:after="0" w:line="240" w:lineRule="auto"/>
              <w:jc w:val="center"/>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9359757" w14:textId="77777777" w:rsidR="00A345F4" w:rsidRDefault="005E2D4E">
            <w:pPr>
              <w:pStyle w:val="P68B1DB1-Normal14"/>
              <w:spacing w:after="0" w:line="240" w:lineRule="auto"/>
              <w:jc w:val="center"/>
              <w:rPr>
                <w:noProof/>
              </w:rPr>
            </w:pPr>
            <w:r>
              <w:rPr>
                <w:noProof/>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17FBE483" w14:textId="77777777" w:rsidR="00A345F4" w:rsidRDefault="005E2D4E">
            <w:pPr>
              <w:pStyle w:val="P68B1DB1-Normal14"/>
              <w:spacing w:after="0" w:line="240" w:lineRule="auto"/>
              <w:jc w:val="both"/>
              <w:rPr>
                <w:noProof/>
              </w:rPr>
            </w:pPr>
            <w:r>
              <w:rPr>
                <w:noProof/>
              </w:rPr>
              <w:t>8 centres régionaux d'orientation professionnelle dans le domaine de la recherche seront hébergés par 8 universités publiques. Les rôles des centres sont les suivants:</w:t>
            </w:r>
          </w:p>
          <w:p w14:paraId="357A2B77" w14:textId="77777777" w:rsidR="00A345F4" w:rsidRDefault="005E2D4E">
            <w:pPr>
              <w:pStyle w:val="P68B1DB1-Normal14"/>
              <w:numPr>
                <w:ilvl w:val="0"/>
                <w:numId w:val="96"/>
              </w:numPr>
              <w:spacing w:after="0" w:line="240" w:lineRule="auto"/>
              <w:contextualSpacing/>
              <w:jc w:val="both"/>
              <w:rPr>
                <w:noProof/>
              </w:rPr>
            </w:pPr>
            <w:r>
              <w:rPr>
                <w:noProof/>
              </w:rPr>
              <w:t>l'orientation professionnelle des chercheurs,</w:t>
            </w:r>
          </w:p>
          <w:p w14:paraId="2AE23EB6" w14:textId="77777777" w:rsidR="00A345F4" w:rsidRDefault="005E2D4E">
            <w:pPr>
              <w:pStyle w:val="P68B1DB1-Normal14"/>
              <w:numPr>
                <w:ilvl w:val="0"/>
                <w:numId w:val="96"/>
              </w:numPr>
              <w:spacing w:after="0" w:line="240" w:lineRule="auto"/>
              <w:contextualSpacing/>
              <w:jc w:val="both"/>
              <w:rPr>
                <w:noProof/>
              </w:rPr>
            </w:pPr>
            <w:r>
              <w:rPr>
                <w:noProof/>
              </w:rPr>
              <w:t>attirer des personnes vers une carrière de chercheur,</w:t>
            </w:r>
          </w:p>
          <w:p w14:paraId="6032576B" w14:textId="325BCD44" w:rsidR="00A345F4" w:rsidRDefault="005E2D4E">
            <w:pPr>
              <w:pStyle w:val="P68B1DB1-Normal14"/>
              <w:numPr>
                <w:ilvl w:val="0"/>
                <w:numId w:val="96"/>
              </w:numPr>
              <w:spacing w:after="0" w:line="240" w:lineRule="auto"/>
              <w:contextualSpacing/>
              <w:jc w:val="both"/>
              <w:rPr>
                <w:noProof/>
              </w:rPr>
            </w:pPr>
            <w:r>
              <w:rPr>
                <w:noProof/>
              </w:rPr>
              <w:t xml:space="preserve">travailler en réseau. </w:t>
            </w:r>
          </w:p>
        </w:tc>
      </w:tr>
    </w:tbl>
    <w:p w14:paraId="5CF2D2BF" w14:textId="77777777" w:rsidR="00A345F4" w:rsidRDefault="00A345F4">
      <w:pPr>
        <w:spacing w:before="120" w:after="120" w:line="240" w:lineRule="auto"/>
        <w:jc w:val="both"/>
        <w:rPr>
          <w:rFonts w:ascii="Times New Roman" w:hAnsi="Times New Roman" w:cs="Times New Roman"/>
          <w:noProof/>
          <w:sz w:val="20"/>
          <w:szCs w:val="20"/>
        </w:rPr>
      </w:pPr>
    </w:p>
    <w:bookmarkEnd w:id="20"/>
    <w:p w14:paraId="6A8BDFD9" w14:textId="77777777" w:rsidR="00A345F4" w:rsidRDefault="00A345F4">
      <w:pPr>
        <w:spacing w:before="120" w:after="120" w:line="240" w:lineRule="auto"/>
        <w:jc w:val="both"/>
        <w:rPr>
          <w:rFonts w:ascii="Times New Roman" w:hAnsi="Times New Roman" w:cs="Times New Roman"/>
          <w:noProof/>
        </w:rPr>
        <w:sectPr w:rsidR="00A345F4" w:rsidSect="008D6D49">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13176858" w14:textId="77777777" w:rsidR="00A345F4" w:rsidRDefault="005E2D4E">
      <w:pPr>
        <w:keepNext/>
        <w:spacing w:before="120" w:after="120" w:line="240" w:lineRule="auto"/>
        <w:ind w:left="850" w:hanging="850"/>
        <w:jc w:val="both"/>
        <w:outlineLvl w:val="1"/>
        <w:rPr>
          <w:rFonts w:ascii="Times New Roman" w:hAnsi="Times New Roman" w:cs="Times New Roman"/>
          <w:b/>
          <w:noProof/>
        </w:rPr>
      </w:pPr>
      <w:r>
        <w:rPr>
          <w:rFonts w:ascii="Times New Roman" w:hAnsi="Times New Roman" w:cs="Times New Roman"/>
          <w:b/>
          <w:noProof/>
        </w:rPr>
        <w:t xml:space="preserve">I.3. </w:t>
      </w:r>
      <w:r>
        <w:rPr>
          <w:noProof/>
        </w:rPr>
        <w:t xml:space="preserve"> </w:t>
      </w:r>
      <w:r>
        <w:rPr>
          <w:rFonts w:ascii="Times New Roman" w:hAnsi="Times New Roman" w:cs="Times New Roman"/>
          <w:b/>
          <w:noProof/>
        </w:rPr>
        <w:t>Description des réformes et des investissements en matière de prêts</w:t>
      </w:r>
    </w:p>
    <w:p w14:paraId="040AA9A6" w14:textId="77777777" w:rsidR="00A345F4" w:rsidRDefault="005E2D4E">
      <w:pPr>
        <w:pStyle w:val="P68B1DB1-Normal12"/>
        <w:rPr>
          <w:rFonts w:eastAsiaTheme="majorEastAsia"/>
          <w:bCs/>
          <w:noProof/>
        </w:rPr>
      </w:pPr>
      <w:r>
        <w:rPr>
          <w:noProof/>
        </w:rPr>
        <w:t>Réforme 1. Transparence législative, débureaucratisation et simplification des procédures pour les entreprises</w:t>
      </w:r>
    </w:p>
    <w:p w14:paraId="281B0931" w14:textId="77777777" w:rsidR="00A345F4" w:rsidRDefault="005E2D4E">
      <w:pPr>
        <w:pStyle w:val="P68B1DB1-Normal4"/>
        <w:spacing w:before="120" w:after="120" w:line="240" w:lineRule="auto"/>
        <w:jc w:val="both"/>
        <w:rPr>
          <w:noProof/>
        </w:rPr>
      </w:pPr>
      <w:r>
        <w:rPr>
          <w:noProof/>
        </w:rPr>
        <w:t xml:space="preserve">L’objectif de cette réforme est de réduire la charge administrative pesant sur les entreprises. </w:t>
      </w:r>
    </w:p>
    <w:p w14:paraId="303C6602" w14:textId="77777777" w:rsidR="00A345F4" w:rsidRDefault="005E2D4E">
      <w:pPr>
        <w:pStyle w:val="P68B1DB1-Normal4"/>
        <w:spacing w:before="120" w:after="120" w:line="240" w:lineRule="auto"/>
        <w:jc w:val="both"/>
        <w:rPr>
          <w:noProof/>
        </w:rPr>
      </w:pPr>
      <w:r>
        <w:rPr>
          <w:noProof/>
        </w:rPr>
        <w:t xml:space="preserve">Cette réforme consiste en l'adoption d'actes juridiques visant à simplifier et à accroître la transparence des procédures réglementaires pour les entreprises. </w:t>
      </w:r>
    </w:p>
    <w:p w14:paraId="18221FF7" w14:textId="77777777" w:rsidR="00A345F4" w:rsidRDefault="005E2D4E">
      <w:pPr>
        <w:pStyle w:val="P68B1DB1-Normal12"/>
        <w:spacing w:before="120" w:after="120" w:line="240" w:lineRule="auto"/>
        <w:jc w:val="both"/>
        <w:rPr>
          <w:rFonts w:eastAsiaTheme="majorEastAsia"/>
          <w:bCs/>
          <w:noProof/>
        </w:rPr>
      </w:pPr>
      <w:r>
        <w:rPr>
          <w:noProof/>
        </w:rPr>
        <w:t>Investissement 1. Plateformes numériques sur la transparence législative, la débureaucratisation et la simplification des procédures pour les entreprises.</w:t>
      </w:r>
    </w:p>
    <w:p w14:paraId="7030F3E9" w14:textId="77777777" w:rsidR="00A345F4" w:rsidRDefault="005E2D4E">
      <w:pPr>
        <w:pStyle w:val="P68B1DB1-Normal4"/>
        <w:spacing w:before="120" w:after="120" w:line="240" w:lineRule="auto"/>
        <w:jc w:val="both"/>
        <w:rPr>
          <w:noProof/>
        </w:rPr>
      </w:pPr>
      <w:r>
        <w:rPr>
          <w:noProof/>
        </w:rPr>
        <w:t xml:space="preserve">L'objectif de cet investissement est de fournir un accès numérique et la possibilité d'effectuer des opérations liées à des exigences réglementaires spécifiques pour les entreprises. </w:t>
      </w:r>
    </w:p>
    <w:p w14:paraId="210A1FCB" w14:textId="77777777" w:rsidR="00A345F4" w:rsidRDefault="005E2D4E">
      <w:pPr>
        <w:pStyle w:val="P68B1DB1-Normal4"/>
        <w:spacing w:before="120" w:after="120" w:line="240" w:lineRule="auto"/>
        <w:jc w:val="both"/>
        <w:rPr>
          <w:noProof/>
        </w:rPr>
      </w:pPr>
      <w:r>
        <w:rPr>
          <w:noProof/>
        </w:rPr>
        <w:t xml:space="preserve">L'investissement consiste en la mise en place de plateformes numériques pour fournir des services aux entreprises. </w:t>
      </w:r>
    </w:p>
    <w:p w14:paraId="1C7262D3" w14:textId="77777777" w:rsidR="00A345F4" w:rsidRDefault="005E2D4E">
      <w:pPr>
        <w:pStyle w:val="P68B1DB1-Normal18"/>
        <w:suppressAutoHyphens/>
        <w:autoSpaceDN w:val="0"/>
        <w:spacing w:before="240" w:after="0" w:line="240" w:lineRule="auto"/>
        <w:jc w:val="both"/>
        <w:textAlignment w:val="baseline"/>
        <w:rPr>
          <w:rFonts w:eastAsiaTheme="majorEastAsia"/>
          <w:noProof/>
          <w:kern w:val="3"/>
        </w:rPr>
      </w:pPr>
      <w:r>
        <w:rPr>
          <w:noProof/>
          <w:kern w:val="3"/>
        </w:rPr>
        <w:t>Investissement 2.</w:t>
      </w:r>
      <w:r>
        <w:rPr>
          <w:noProof/>
        </w:rPr>
        <w:t xml:space="preserve"> Instruments financiers pour le secteur privé</w:t>
      </w:r>
    </w:p>
    <w:p w14:paraId="6B45F558" w14:textId="77777777" w:rsidR="00A345F4" w:rsidRDefault="005E2D4E">
      <w:pPr>
        <w:pStyle w:val="P68B1DB1-Normal48"/>
        <w:spacing w:before="120" w:after="120" w:line="240" w:lineRule="auto"/>
        <w:jc w:val="both"/>
        <w:rPr>
          <w:iCs/>
          <w:noProof/>
        </w:rPr>
      </w:pPr>
      <w:r>
        <w:rPr>
          <w:noProof/>
        </w:rPr>
        <w:t>Sous-investissement 2.1. Garantie de portefeuille pour la résilience</w:t>
      </w:r>
    </w:p>
    <w:p w14:paraId="75E20FC0" w14:textId="77777777" w:rsidR="00A345F4" w:rsidRDefault="005E2D4E">
      <w:pPr>
        <w:pStyle w:val="P68B1DB1-Normal4"/>
        <w:spacing w:before="120" w:after="120" w:line="240" w:lineRule="auto"/>
        <w:jc w:val="both"/>
        <w:rPr>
          <w:noProof/>
        </w:rPr>
      </w:pPr>
      <w:r>
        <w:rPr>
          <w:noProof/>
        </w:rPr>
        <w:t xml:space="preserve">L’objectif de ce sous-investissement est de remédier aux obstacles financiers rencontrés par les entreprises roumaines pour accéder au financement, à savoir: l’augmentation du coût du financement, l’absence de garanties et la détérioration des canaux de crédit. En particulier, le sous-investissement cible les problèmes de liquidité/solvabilité des entreprises roumaines, qui découlent de la réduction significative et temporaire de leurs revenus en raison de la crise de la COVID-19. Dans ce contexte, l’instrument est conçu pour améliorer l’accès au financement et revitaliser les canaux de prêt bloqués pendant et après la crise de la COVID-19 en soutenant les investissements ou les besoins en fonds de roulement des entreprises. Le sous-investissement prend la forme d’une garantie de portefeuille, à mettre en œuvre à titre de contribution à InvestEU par le Fonds européen d’investissement (FEI). </w:t>
      </w:r>
    </w:p>
    <w:p w14:paraId="7C833068" w14:textId="77777777" w:rsidR="00A345F4" w:rsidRDefault="005E2D4E">
      <w:pPr>
        <w:pStyle w:val="P68B1DB1-Normal4"/>
        <w:spacing w:before="120" w:after="120" w:line="240" w:lineRule="auto"/>
        <w:jc w:val="both"/>
        <w:rPr>
          <w:noProof/>
        </w:rPr>
      </w:pPr>
      <w:r>
        <w:rPr>
          <w:noProof/>
        </w:rPr>
        <w:t>Afin de garantir que le sous-investissement est conforme aux orientations techniques «Ne pas causer de préjudice important» (2021/C58/01), la convention de contribution entre la Commission européenne et le gouvernement roumain exige l’application des orientations techniques de la Commission sur l’évaluation de la durabilité pour le Fonds InvestEU. L'accord de garantie conclu entre la Commission européenne et le FEI exclut en outre de l'éligibilité la liste suivante d'activités et d'actifs: (i) les activités et les actifs liés aux combustibles fossiles, y compris l’utilisation en aval</w:t>
      </w:r>
      <w:r w:rsidRPr="00E75F9B">
        <w:rPr>
          <w:noProof/>
          <w:vertAlign w:val="superscript"/>
        </w:rPr>
        <w:footnoteReference w:id="20"/>
      </w:r>
      <w:r>
        <w:rPr>
          <w:noProof/>
        </w:rPr>
        <w:t xml:space="preserve"> et (ii) les activités et les actifs relevant du système d’échange de quotas d’émission de l’UE (SEQE) permettant d’atteindre des émissions de gaz à effet de serre prévues qui ne sont pas inférieures aux référentiels pertinents.</w:t>
      </w:r>
      <w:r w:rsidRPr="00E75F9B">
        <w:rPr>
          <w:noProof/>
          <w:vertAlign w:val="superscript"/>
        </w:rPr>
        <w:footnoteReference w:id="21"/>
      </w:r>
    </w:p>
    <w:p w14:paraId="4FE50921" w14:textId="77777777" w:rsidR="00A345F4" w:rsidRDefault="005E2D4E">
      <w:pPr>
        <w:pStyle w:val="P68B1DB1-Normal48"/>
        <w:spacing w:before="120" w:after="120" w:line="240" w:lineRule="auto"/>
        <w:jc w:val="both"/>
        <w:rPr>
          <w:noProof/>
        </w:rPr>
      </w:pPr>
      <w:r>
        <w:rPr>
          <w:noProof/>
        </w:rPr>
        <w:t xml:space="preserve">Sous-investissement 2.2. Garantie </w:t>
      </w:r>
      <w:bookmarkStart w:id="21" w:name="_Hlk209625075"/>
      <w:r>
        <w:rPr>
          <w:noProof/>
        </w:rPr>
        <w:t>du portefeuille d’action pour le climat</w:t>
      </w:r>
      <w:bookmarkEnd w:id="21"/>
    </w:p>
    <w:p w14:paraId="209C20DD" w14:textId="77777777" w:rsidR="00A345F4" w:rsidRDefault="005E2D4E">
      <w:pPr>
        <w:pStyle w:val="P68B1DB1-Normal4"/>
        <w:spacing w:before="120" w:after="120" w:line="240" w:lineRule="auto"/>
        <w:jc w:val="both"/>
        <w:rPr>
          <w:noProof/>
        </w:rPr>
      </w:pPr>
      <w:r>
        <w:rPr>
          <w:noProof/>
        </w:rPr>
        <w:t>L’objectif de ce sous-investissement est de fournir des financements et des investissements aux PME (jusqu’à 249 salariés), aux entreprises comptant jusqu’à 500 salariés et aux particuliers au moyen de fonds de roulement, de lignes de crédit, de prêts à l’investissement ou de crédit-bail, en vue d’investissements et</w:t>
      </w:r>
      <w:r>
        <w:rPr>
          <w:noProof/>
          <w:color w:val="FF0000"/>
        </w:rPr>
        <w:t xml:space="preserve"> </w:t>
      </w:r>
      <w:r>
        <w:rPr>
          <w:noProof/>
        </w:rPr>
        <w:t xml:space="preserve">de financements destinés à accroître l’efficacité énergétique dans les entreprises et le secteur résidentiel et du bâtiment. L’objectif de l’instrument est de relever les défis actuels de la Roumanie en matière de soutien aux investissements dans les secteurs de l’efficacité énergétique et des énergies renouvelables. Le sous-investissement prend la forme d’une garantie de portefeuille, à mettre en œuvre à titre de contribution à InvestEU par le Fonds européen d’investissement (FEI). Les objectifs spécifiques et les ambitions en matière d’efficacité énergétique de l’instrument, ainsi que la structure et les critères d’éligibilité, sont pleinement alignés et correspondent à ceux de l’instrument InvestEU-compartiment, actuellement en cours d’élaboration. </w:t>
      </w:r>
    </w:p>
    <w:p w14:paraId="20A58B04" w14:textId="77777777" w:rsidR="00A345F4" w:rsidRDefault="005E2D4E">
      <w:pPr>
        <w:pStyle w:val="P68B1DB1-Normal4"/>
        <w:spacing w:before="120" w:after="120" w:line="240" w:lineRule="auto"/>
        <w:jc w:val="both"/>
        <w:rPr>
          <w:noProof/>
        </w:rPr>
      </w:pPr>
      <w:r>
        <w:rPr>
          <w:noProof/>
        </w:rPr>
        <w:t>Afin de garantir que le sous-investissement est conforme aux orientations techniques «Ne pas causer de préjudice important» (2021/C58/01), la convention de contribution entre la Commission européenne et le gouvernement roumain exige l’application des orientations techniques de la Commission sur l’évaluation de la durabilité pour le Fonds InvestEU. L'accord de garantie conclu entre la Commission européenne et le FEI exclut en outre de l'éligibilité la liste suivante d'activités et d'actifs: (i) les activités et les actifs liés aux combustibles fossiles, y compris l’utilisation en aval</w:t>
      </w:r>
      <w:r w:rsidRPr="00E75F9B">
        <w:rPr>
          <w:noProof/>
          <w:vertAlign w:val="superscript"/>
        </w:rPr>
        <w:footnoteReference w:id="22"/>
      </w:r>
      <w:r>
        <w:rPr>
          <w:noProof/>
        </w:rPr>
        <w:t xml:space="preserve"> et (ii) les activités et les actifs relevant du système d’échange de quotas d’émission de l’UE (SEQE) permettant d’atteindre des émissions de gaz à effet de serre prévues qui ne sont pas inférieures aux référentiels pertinents.</w:t>
      </w:r>
      <w:r w:rsidRPr="00E75F9B">
        <w:rPr>
          <w:noProof/>
          <w:vertAlign w:val="superscript"/>
        </w:rPr>
        <w:footnoteReference w:id="23"/>
      </w:r>
    </w:p>
    <w:p w14:paraId="09D2CBEF" w14:textId="77777777" w:rsidR="00A345F4" w:rsidRDefault="005E2D4E">
      <w:pPr>
        <w:pStyle w:val="P68B1DB1-Normal4"/>
        <w:spacing w:before="120" w:after="120" w:line="240" w:lineRule="auto"/>
        <w:jc w:val="both"/>
        <w:rPr>
          <w:noProof/>
        </w:rPr>
      </w:pPr>
      <w:r>
        <w:rPr>
          <w:noProof/>
        </w:rPr>
        <w:t>Cette mesure complète l’investissement 2.a. Garantie du portefeuille d’action pour le climat</w:t>
      </w:r>
    </w:p>
    <w:p w14:paraId="797760BD" w14:textId="77777777" w:rsidR="00A345F4" w:rsidRDefault="005E2D4E">
      <w:pPr>
        <w:pStyle w:val="P68B1DB1-Normal48"/>
        <w:spacing w:before="120" w:after="120" w:line="240" w:lineRule="auto"/>
        <w:jc w:val="both"/>
        <w:rPr>
          <w:noProof/>
        </w:rPr>
      </w:pPr>
      <w:r>
        <w:rPr>
          <w:noProof/>
        </w:rPr>
        <w:t xml:space="preserve">Sous-investissement 2.3 pour les PME et les entreprises à moyenne capitalisation: Fonds de capital-risque pour la relance </w:t>
      </w:r>
    </w:p>
    <w:p w14:paraId="73C72752" w14:textId="77777777" w:rsidR="00A345F4" w:rsidRDefault="005E2D4E">
      <w:pPr>
        <w:pStyle w:val="P68B1DB1-Normal4"/>
        <w:spacing w:before="120" w:after="120" w:line="240" w:lineRule="auto"/>
        <w:jc w:val="both"/>
        <w:rPr>
          <w:noProof/>
        </w:rPr>
      </w:pPr>
      <w:r>
        <w:rPr>
          <w:noProof/>
        </w:rPr>
        <w:t xml:space="preserve">L’objectif de ce sous-investissement est de fournir un soutien en fonds propres aux PME, aux entreprises à moyenne capitalisation, y compris les jeunes pousses, aux entreprises en phase de croissance précoce et avancée, et aux projets d’infrastructure axés sur les énergies renouvelables et l’efficacité énergétique. Le soutien est fourni par l’intermédiaire de fonds de capital-risque et de fonds d’infrastructure, dans le cadre d’un fonds de capital-risque, géré par le Fonds européen d’investissement (FEI). </w:t>
      </w:r>
    </w:p>
    <w:p w14:paraId="3A3C6DF3" w14:textId="77777777" w:rsidR="00A345F4" w:rsidRDefault="005E2D4E">
      <w:pPr>
        <w:pStyle w:val="P68B1DB1-Normal4"/>
        <w:spacing w:before="120" w:after="120" w:line="240" w:lineRule="auto"/>
        <w:jc w:val="both"/>
        <w:rPr>
          <w:noProof/>
        </w:rPr>
      </w:pPr>
      <w:r>
        <w:rPr>
          <w:noProof/>
        </w:rPr>
        <w:t xml:space="preserve">Afin de garantir que le sous-investissement est conforme aux orientations techniques «Ne pas causer de préjudice important» (2021/C58/01), la convention de financement entre le gouvernement roumain et le FEI et la politique d’investissement ultérieure de l’instrument financier doivent: </w:t>
      </w:r>
    </w:p>
    <w:p w14:paraId="3B52D22D" w14:textId="77777777" w:rsidR="00A345F4" w:rsidRDefault="005E2D4E">
      <w:pPr>
        <w:pStyle w:val="P68B1DB1-Normal49"/>
        <w:numPr>
          <w:ilvl w:val="0"/>
          <w:numId w:val="97"/>
        </w:numPr>
        <w:spacing w:before="120" w:after="120" w:line="240" w:lineRule="auto"/>
        <w:contextualSpacing/>
        <w:jc w:val="both"/>
        <w:rPr>
          <w:noProof/>
        </w:rPr>
      </w:pPr>
      <w:r>
        <w:rPr>
          <w:noProof/>
        </w:rPr>
        <w:t>exiger l’application des orientations techniques de la Commission sur l’évaluation de la durabilité pour le Fonds InvestEU; et</w:t>
      </w:r>
    </w:p>
    <w:p w14:paraId="7355EC73" w14:textId="77777777" w:rsidR="00A345F4" w:rsidRDefault="005E2D4E">
      <w:pPr>
        <w:numPr>
          <w:ilvl w:val="0"/>
          <w:numId w:val="97"/>
        </w:numPr>
        <w:spacing w:before="120" w:after="120" w:line="240" w:lineRule="auto"/>
        <w:contextualSpacing/>
        <w:jc w:val="both"/>
        <w:rPr>
          <w:rFonts w:ascii="Times New Roman" w:hAnsi="Times New Roman" w:cs="Times New Roman"/>
          <w:noProof/>
          <w:bdr w:val="none" w:sz="0" w:space="0" w:color="auto" w:frame="1"/>
        </w:rPr>
      </w:pPr>
      <w:r>
        <w:rPr>
          <w:rFonts w:ascii="Times New Roman" w:eastAsiaTheme="minorHAnsi" w:hAnsi="Times New Roman" w:cs="Times New Roman"/>
          <w:noProof/>
          <w:kern w:val="2"/>
          <w14:ligatures w14:val="standardContextual"/>
        </w:rPr>
        <w:t>exclure de l’éligibilité la liste d’activités et d’actifs suivante: i) les activités et les actifs liés aux combustibles fossiles, y compris leur utilisation en aval;</w:t>
      </w:r>
      <w:r w:rsidRPr="00E75F9B">
        <w:rPr>
          <w:rStyle w:val="FootnoteReference"/>
          <w:rFonts w:ascii="Times New Roman" w:hAnsi="Times New Roman" w:cs="Times New Roman"/>
          <w:noProof/>
        </w:rPr>
        <w:footnoteReference w:id="24"/>
      </w:r>
      <w:r>
        <w:rPr>
          <w:rFonts w:ascii="Times New Roman" w:hAnsi="Times New Roman" w:cs="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sidRPr="00E75F9B">
        <w:rPr>
          <w:rStyle w:val="FootnoteReference"/>
          <w:rFonts w:ascii="Times New Roman" w:hAnsi="Times New Roman" w:cs="Times New Roman"/>
          <w:noProof/>
        </w:rPr>
        <w:footnoteReference w:id="25"/>
      </w:r>
      <w:r>
        <w:rPr>
          <w:rFonts w:ascii="Times New Roman" w:hAnsi="Times New Roman" w:cs="Times New Roman"/>
          <w:noProof/>
        </w:rPr>
        <w:t xml:space="preserve"> iii) les activités et les actifs liés aux décharges de déchets, aux incinérateurs</w:t>
      </w:r>
      <w:r w:rsidRPr="00E75F9B">
        <w:rPr>
          <w:rStyle w:val="FootnoteReference"/>
          <w:rFonts w:ascii="Times New Roman" w:hAnsi="Times New Roman" w:cs="Times New Roman"/>
          <w:noProof/>
        </w:rPr>
        <w:footnoteReference w:id="26"/>
      </w:r>
      <w:r>
        <w:rPr>
          <w:rFonts w:ascii="Times New Roman" w:hAnsi="Times New Roman" w:cs="Times New Roman"/>
          <w:noProof/>
        </w:rPr>
        <w:t xml:space="preserve"> et aux usines de traitement biologique mécanique;</w:t>
      </w:r>
      <w:r w:rsidRPr="00E75F9B">
        <w:rPr>
          <w:rStyle w:val="FootnoteReference"/>
          <w:rFonts w:ascii="Times New Roman" w:hAnsi="Times New Roman" w:cs="Times New Roman"/>
          <w:noProof/>
        </w:rPr>
        <w:footnoteReference w:id="27"/>
      </w:r>
      <w:r>
        <w:rPr>
          <w:rFonts w:ascii="Times New Roman" w:hAnsi="Times New Roman" w:cs="Times New Roman"/>
          <w:noProof/>
        </w:rPr>
        <w:t xml:space="preserve"> et iv) les activités et les actifs pour lesquels l’élimination à long terme des déchets est susceptible de nuire à l’environnement; et</w:t>
      </w:r>
    </w:p>
    <w:p w14:paraId="425CEB64" w14:textId="77777777" w:rsidR="00A345F4" w:rsidRDefault="005E2D4E">
      <w:pPr>
        <w:pStyle w:val="P68B1DB1-Normal49"/>
        <w:numPr>
          <w:ilvl w:val="0"/>
          <w:numId w:val="97"/>
        </w:numPr>
        <w:spacing w:before="120" w:after="120" w:line="240" w:lineRule="auto"/>
        <w:contextualSpacing/>
        <w:jc w:val="both"/>
        <w:rPr>
          <w:noProof/>
        </w:rPr>
      </w:pPr>
      <w:r>
        <w:rPr>
          <w:noProof/>
        </w:rPr>
        <w:t>exiger des entreprises qui ont tiré plus de 50 % de leurs revenus au cours de l’exercice précédent d’activités et/ou d’actifs couverts par la liste d’exclusion qu’elles adoptent et publient des plans de transition écologique; et</w:t>
      </w:r>
    </w:p>
    <w:p w14:paraId="01BF3FA9" w14:textId="77777777" w:rsidR="00A345F4" w:rsidRDefault="005E2D4E">
      <w:pPr>
        <w:pStyle w:val="P68B1DB1-Normal49"/>
        <w:numPr>
          <w:ilvl w:val="0"/>
          <w:numId w:val="97"/>
        </w:numPr>
        <w:spacing w:before="120" w:after="120" w:line="240" w:lineRule="auto"/>
        <w:contextualSpacing/>
        <w:jc w:val="both"/>
        <w:rPr>
          <w:noProof/>
        </w:rPr>
      </w:pPr>
      <w:r>
        <w:rPr>
          <w:noProof/>
        </w:rPr>
        <w:t>exiger du FEI qu’il vérifie la conformité juridique avec la législation environnementale de l’Union et nationale applicable du bénéficiaire pour toutes les transactions, y compris celles exemptées de l’évaluation de la durabilité.</w:t>
      </w:r>
    </w:p>
    <w:p w14:paraId="20F9F231" w14:textId="77777777" w:rsidR="00A345F4" w:rsidRDefault="005E2D4E">
      <w:pPr>
        <w:pStyle w:val="P68B1DB1-Normal48"/>
        <w:spacing w:before="120" w:after="120" w:line="240" w:lineRule="auto"/>
        <w:jc w:val="both"/>
        <w:rPr>
          <w:noProof/>
        </w:rPr>
      </w:pPr>
      <w:r>
        <w:rPr>
          <w:noProof/>
        </w:rPr>
        <w:t>Sous-mesure 2.4: Fonds de fonds pour la numérisation, l’action pour le climat et d’autres domaines d’intérêt</w:t>
      </w:r>
    </w:p>
    <w:p w14:paraId="2FCCF355" w14:textId="77777777" w:rsidR="00A345F4" w:rsidRDefault="005E2D4E">
      <w:pPr>
        <w:pStyle w:val="P68B1DB1-Normal4"/>
        <w:spacing w:before="120" w:after="120" w:line="240" w:lineRule="auto"/>
        <w:jc w:val="both"/>
        <w:rPr>
          <w:noProof/>
        </w:rPr>
      </w:pPr>
      <w:r>
        <w:rPr>
          <w:noProof/>
        </w:rPr>
        <w:t xml:space="preserve">L’objectif du sous-investissement est d’apporter un soutien aux grandes entreprises (ayant plus de 500 salariés et/ou un chiffre d’affaires annuel supérieur à 50 millions d’EUR et un total du bilan annuel supérieur à 43 millions d’EUR), aux entités publiques et aux véhicules à usage spécial, au moyen d’investissements contribuant à l’économie à faible intensité de carbone, ainsi que d’investissements dans la numérisation et les actifs fixes par l’intermédiaire d’un fonds de fonds. Cela encouragera les entreprises cibles à investir davantage pour contribuer à la réalisation des objectifs climatiques et numériques et encouragera la croissance et l’expansion des entreprises, créant ainsi de nouvelles possibilités d’emploi et soutenant la reprise économique au sens large. Le soutien prend la forme d'un fonds de fonds dont la gestion est confiée à la Banque européenne d'investissement (BEI). </w:t>
      </w:r>
    </w:p>
    <w:p w14:paraId="649FD0D4" w14:textId="77777777" w:rsidR="00A345F4" w:rsidRDefault="005E2D4E">
      <w:pPr>
        <w:pStyle w:val="P68B1DB1-Normal4"/>
        <w:spacing w:before="120" w:after="120" w:line="240" w:lineRule="auto"/>
        <w:jc w:val="both"/>
        <w:rPr>
          <w:noProof/>
        </w:rPr>
      </w:pPr>
      <w:r>
        <w:rPr>
          <w:noProof/>
        </w:rPr>
        <w:t xml:space="preserve">Afin de garantir que le sous-investissement est conforme aux orientations techniques «Ne pas causer de préjudice important» (2021/C58/01), la convention de financement entre le gouvernement roumain et la BEI et la politique d’investissement ultérieure de l’instrument financier: </w:t>
      </w:r>
    </w:p>
    <w:p w14:paraId="621B43C2" w14:textId="77777777" w:rsidR="00A345F4" w:rsidRDefault="005E2D4E">
      <w:pPr>
        <w:pStyle w:val="P68B1DB1-Normal49"/>
        <w:numPr>
          <w:ilvl w:val="0"/>
          <w:numId w:val="98"/>
        </w:numPr>
        <w:spacing w:before="120" w:after="120" w:line="240" w:lineRule="auto"/>
        <w:contextualSpacing/>
        <w:jc w:val="both"/>
        <w:rPr>
          <w:noProof/>
        </w:rPr>
      </w:pPr>
      <w:r>
        <w:rPr>
          <w:noProof/>
        </w:rPr>
        <w:t>exiger l’application des orientations techniques de la Commission sur l’évaluation de la durabilité pour le Fonds InvestEU; et</w:t>
      </w:r>
    </w:p>
    <w:p w14:paraId="4B035526" w14:textId="77777777" w:rsidR="00A345F4" w:rsidRDefault="005E2D4E">
      <w:pPr>
        <w:numPr>
          <w:ilvl w:val="0"/>
          <w:numId w:val="98"/>
        </w:numPr>
        <w:spacing w:before="120" w:after="120" w:line="240" w:lineRule="auto"/>
        <w:contextualSpacing/>
        <w:jc w:val="both"/>
        <w:rPr>
          <w:rFonts w:ascii="Times New Roman" w:hAnsi="Times New Roman" w:cs="Times New Roman"/>
          <w:noProof/>
          <w:bdr w:val="none" w:sz="0" w:space="0" w:color="auto" w:frame="1"/>
        </w:rPr>
      </w:pPr>
      <w:r>
        <w:rPr>
          <w:rFonts w:ascii="Times New Roman" w:eastAsiaTheme="minorHAnsi" w:hAnsi="Times New Roman" w:cs="Times New Roman"/>
          <w:noProof/>
          <w:kern w:val="2"/>
          <w14:ligatures w14:val="standardContextual"/>
        </w:rPr>
        <w:t>exclure de l’éligibilité la liste d’activités et d’actifs suivante: i) les activités et les actifs liés aux combustibles fossiles, y compris leur utilisation en aval;</w:t>
      </w:r>
      <w:r w:rsidRPr="00E75F9B">
        <w:rPr>
          <w:rStyle w:val="FootnoteReference"/>
          <w:rFonts w:ascii="Times New Roman" w:hAnsi="Times New Roman" w:cs="Times New Roman"/>
          <w:noProof/>
        </w:rPr>
        <w:footnoteReference w:id="28"/>
      </w:r>
      <w:r>
        <w:rPr>
          <w:rFonts w:ascii="Times New Roman" w:hAnsi="Times New Roman" w:cs="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sidRPr="00E75F9B">
        <w:rPr>
          <w:rStyle w:val="FootnoteReference"/>
          <w:rFonts w:ascii="Times New Roman" w:hAnsi="Times New Roman" w:cs="Times New Roman"/>
          <w:noProof/>
        </w:rPr>
        <w:footnoteReference w:id="29"/>
      </w:r>
      <w:r>
        <w:rPr>
          <w:rFonts w:ascii="Times New Roman" w:hAnsi="Times New Roman" w:cs="Times New Roman"/>
          <w:noProof/>
        </w:rPr>
        <w:t xml:space="preserve"> iii) les activités et les actifs liés aux décharges de déchets, aux incinérateurs</w:t>
      </w:r>
      <w:r w:rsidRPr="00E75F9B">
        <w:rPr>
          <w:rStyle w:val="FootnoteReference"/>
          <w:rFonts w:ascii="Times New Roman" w:hAnsi="Times New Roman" w:cs="Times New Roman"/>
          <w:noProof/>
        </w:rPr>
        <w:footnoteReference w:id="30"/>
      </w:r>
      <w:r>
        <w:rPr>
          <w:rFonts w:ascii="Times New Roman" w:hAnsi="Times New Roman" w:cs="Times New Roman"/>
          <w:noProof/>
        </w:rPr>
        <w:t xml:space="preserve"> et aux usines de traitement biologique mécanique;</w:t>
      </w:r>
      <w:r w:rsidRPr="00E75F9B">
        <w:rPr>
          <w:rStyle w:val="FootnoteReference"/>
          <w:rFonts w:ascii="Times New Roman" w:hAnsi="Times New Roman" w:cs="Times New Roman"/>
          <w:noProof/>
        </w:rPr>
        <w:footnoteReference w:id="31"/>
      </w:r>
      <w:r>
        <w:rPr>
          <w:rFonts w:ascii="Times New Roman" w:hAnsi="Times New Roman" w:cs="Times New Roman"/>
          <w:noProof/>
        </w:rPr>
        <w:t xml:space="preserve"> et iv) les activités et les actifs pour lesquels l’élimination à long terme des déchets est susceptible de nuire à l’environnement; et</w:t>
      </w:r>
    </w:p>
    <w:p w14:paraId="59E66D51" w14:textId="77777777" w:rsidR="00A345F4" w:rsidRDefault="005E2D4E">
      <w:pPr>
        <w:pStyle w:val="P68B1DB1-Normal49"/>
        <w:numPr>
          <w:ilvl w:val="0"/>
          <w:numId w:val="98"/>
        </w:numPr>
        <w:spacing w:before="120" w:after="120" w:line="240" w:lineRule="auto"/>
        <w:contextualSpacing/>
        <w:jc w:val="both"/>
        <w:rPr>
          <w:noProof/>
        </w:rPr>
      </w:pPr>
      <w:r>
        <w:rPr>
          <w:noProof/>
        </w:rPr>
        <w:t>exiger de la BEI qu’elle vérifie la conformité juridique avec la législation environnementale pertinente de l’Union et des États membres du bénéficiaire pour toutes les opérations, y compris celles exemptées de l’évaluation de la durabilité.</w:t>
      </w:r>
    </w:p>
    <w:p w14:paraId="77FCA672" w14:textId="77777777" w:rsidR="00A345F4" w:rsidRDefault="00A345F4">
      <w:pPr>
        <w:spacing w:before="120" w:after="120" w:line="240" w:lineRule="auto"/>
        <w:ind w:left="720"/>
        <w:contextualSpacing/>
        <w:jc w:val="both"/>
        <w:rPr>
          <w:rFonts w:ascii="Times New Roman" w:eastAsiaTheme="minorHAnsi" w:hAnsi="Times New Roman" w:cs="Times New Roman"/>
          <w:noProof/>
          <w:kern w:val="2"/>
          <w:bdr w:val="none" w:sz="0" w:space="0" w:color="auto" w:frame="1"/>
          <w14:ligatures w14:val="standardContextual"/>
        </w:rPr>
      </w:pPr>
    </w:p>
    <w:p w14:paraId="328A6471" w14:textId="77777777" w:rsidR="00A345F4" w:rsidRDefault="005E2D4E">
      <w:pPr>
        <w:pStyle w:val="P68B1DB1-Normal48"/>
        <w:spacing w:before="120" w:after="120" w:line="240" w:lineRule="auto"/>
        <w:jc w:val="both"/>
        <w:rPr>
          <w:noProof/>
        </w:rPr>
      </w:pPr>
      <w:r>
        <w:rPr>
          <w:noProof/>
        </w:rPr>
        <w:t>Sous-investissement 2.5: Investissements dans l'efficacité énergétique dans le secteur résidentiel et du bâtiment</w:t>
      </w:r>
    </w:p>
    <w:p w14:paraId="023C14CD" w14:textId="77777777" w:rsidR="00A345F4" w:rsidRDefault="005E2D4E">
      <w:pPr>
        <w:pStyle w:val="P68B1DB1-Normal4"/>
        <w:spacing w:before="120" w:after="120" w:line="240" w:lineRule="auto"/>
        <w:jc w:val="both"/>
        <w:rPr>
          <w:noProof/>
        </w:rPr>
      </w:pPr>
      <w:r>
        <w:rPr>
          <w:noProof/>
        </w:rPr>
        <w:t>L'instrument financier prend la forme d'une garantie de portefeuille, mise en œuvre par la Banque européenne pour la reconstruction et le développement (BERD).</w:t>
      </w:r>
    </w:p>
    <w:p w14:paraId="55F6B677" w14:textId="77777777" w:rsidR="00A345F4" w:rsidRDefault="005E2D4E">
      <w:pPr>
        <w:pStyle w:val="P68B1DB1-Normal4"/>
        <w:spacing w:before="120" w:after="120" w:line="240" w:lineRule="auto"/>
        <w:jc w:val="both"/>
        <w:rPr>
          <w:noProof/>
        </w:rPr>
      </w:pPr>
      <w:r>
        <w:rPr>
          <w:noProof/>
        </w:rPr>
        <w:t xml:space="preserve">L’objectif de ce sous-investissement est de fournir des financements et des investissements en faveur de l’efficacité énergétique et des énergies renouvelables dans le secteur résidentiel et du bâtiment. Le sous-investissement prend la forme d’une garantie de portefeuille, à mettre en œuvre à titre de contribution à InvestEU. par la Banque européenne pour la reconstruction et le développement (BERD). </w:t>
      </w:r>
    </w:p>
    <w:p w14:paraId="74C2E3B3" w14:textId="77777777" w:rsidR="00A345F4" w:rsidRDefault="005E2D4E">
      <w:pPr>
        <w:pStyle w:val="P68B1DB1-Normal4"/>
        <w:spacing w:before="120" w:after="120" w:line="240" w:lineRule="auto"/>
        <w:jc w:val="both"/>
        <w:rPr>
          <w:noProof/>
        </w:rPr>
      </w:pPr>
      <w:r>
        <w:rPr>
          <w:noProof/>
        </w:rPr>
        <w:t>Afin de garantir que le sous-investissement est conforme aux orientations techniques «Ne pas causer de préjudice important» (2021/C58/01), la convention de contribution entre la Commission européenne et le gouvernement roumain exige l’application des orientations techniques de la Commission sur l’évaluation de la durabilité pour InvestEU. L’accord de garantie conclu entre la Commission européenne et la BERD exclut en outre de l’éligibilité la liste d’activités et d’actifs suivante: (i) les activités et les actifs liés aux combustibles fossiles, y compris l’utilisation en aval</w:t>
      </w:r>
      <w:r w:rsidRPr="00E75F9B">
        <w:rPr>
          <w:noProof/>
          <w:vertAlign w:val="superscript"/>
        </w:rPr>
        <w:footnoteReference w:id="32"/>
      </w:r>
      <w:r>
        <w:rPr>
          <w:noProof/>
        </w:rPr>
        <w:t xml:space="preserve"> et (ii) les activités et les actifs relevant du système d’échange de quotas d’émission de l’UE (SEQE) permettant d’atteindre des émissions de gaz à effet de serre prévues qui ne sont pas inférieures aux référentiels pertinents.</w:t>
      </w:r>
      <w:r w:rsidRPr="00E75F9B">
        <w:rPr>
          <w:noProof/>
          <w:vertAlign w:val="superscript"/>
        </w:rPr>
        <w:footnoteReference w:id="33"/>
      </w:r>
    </w:p>
    <w:p w14:paraId="73A62D28" w14:textId="77777777" w:rsidR="00A345F4" w:rsidRDefault="005E2D4E">
      <w:pPr>
        <w:pStyle w:val="P68B1DB1-Normal12"/>
        <w:spacing w:before="240" w:after="120" w:line="240" w:lineRule="auto"/>
        <w:jc w:val="both"/>
        <w:rPr>
          <w:noProof/>
        </w:rPr>
      </w:pPr>
      <w:r>
        <w:rPr>
          <w:noProof/>
        </w:rPr>
        <w:t>Investissement 3. Régimes d'aides au secteur privé</w:t>
      </w:r>
    </w:p>
    <w:p w14:paraId="491F3D5C" w14:textId="77777777" w:rsidR="00A345F4" w:rsidRDefault="005E2D4E">
      <w:pPr>
        <w:pStyle w:val="P68B1DB1-Normal50"/>
        <w:suppressAutoHyphens/>
        <w:autoSpaceDN w:val="0"/>
        <w:spacing w:before="240" w:after="0" w:line="240" w:lineRule="auto"/>
        <w:textAlignment w:val="baseline"/>
        <w:rPr>
          <w:iCs/>
          <w:noProof/>
        </w:rPr>
      </w:pPr>
      <w:r>
        <w:rPr>
          <w:noProof/>
        </w:rPr>
        <w:t>Sous-investissement 3.1. Régime d’aides en faveur de la numérisation des PME</w:t>
      </w:r>
    </w:p>
    <w:p w14:paraId="4E81C691" w14:textId="77777777" w:rsidR="00A345F4" w:rsidRDefault="005E2D4E">
      <w:pPr>
        <w:pStyle w:val="P68B1DB1-Normal51"/>
        <w:suppressAutoHyphens/>
        <w:autoSpaceDN w:val="0"/>
        <w:spacing w:before="240" w:after="0" w:line="240" w:lineRule="auto"/>
        <w:jc w:val="both"/>
        <w:textAlignment w:val="baseline"/>
        <w:rPr>
          <w:noProof/>
          <w:u w:val="single"/>
        </w:rPr>
      </w:pPr>
      <w:r>
        <w:rPr>
          <w:noProof/>
        </w:rPr>
        <w:t xml:space="preserve">L’objectif de ce sous-investissement est de soutenir la numérisation des petites et moyennes entreprises (PME). </w:t>
      </w:r>
    </w:p>
    <w:p w14:paraId="63AB81D7" w14:textId="77777777" w:rsidR="00A345F4" w:rsidRDefault="005E2D4E">
      <w:pPr>
        <w:pStyle w:val="P68B1DB1-Normal51"/>
        <w:suppressAutoHyphens/>
        <w:autoSpaceDN w:val="0"/>
        <w:spacing w:before="240" w:after="0" w:line="240" w:lineRule="auto"/>
        <w:jc w:val="both"/>
        <w:textAlignment w:val="baseline"/>
        <w:rPr>
          <w:noProof/>
          <w:u w:val="single"/>
        </w:rPr>
      </w:pPr>
      <w:r>
        <w:rPr>
          <w:noProof/>
        </w:rPr>
        <w:t xml:space="preserve">Le sous-investissement se compose de deux instruments: i) un régime de subventions visant à soutenir les entrepreneurs dans le domaine de la R&amp;D et de l’adoption des technologies numériques avancées, et ii) un régime de subventions pouvant aller jusqu’à 100 000 EUR par entreprise pour soutenir les PME qui adoptent les technologies numériques. </w:t>
      </w:r>
    </w:p>
    <w:p w14:paraId="45A0F4CA" w14:textId="77777777" w:rsidR="00A345F4" w:rsidRDefault="005E2D4E">
      <w:pPr>
        <w:pStyle w:val="P68B1DB1-Normal51"/>
        <w:suppressAutoHyphens/>
        <w:autoSpaceDN w:val="0"/>
        <w:spacing w:before="240" w:after="0" w:line="240" w:lineRule="auto"/>
        <w:jc w:val="both"/>
        <w:textAlignment w:val="baseline"/>
        <w:rPr>
          <w:noProof/>
        </w:rPr>
      </w:pPr>
      <w:r>
        <w:rPr>
          <w:noProof/>
        </w:rPr>
        <w:t>Cette mesure complète l’investissement 3.a. Régime d’aides à la numérisation des PME.</w:t>
      </w:r>
    </w:p>
    <w:p w14:paraId="4ADBC180" w14:textId="77777777" w:rsidR="00A345F4" w:rsidRDefault="005E2D4E">
      <w:pPr>
        <w:pStyle w:val="P68B1DB1-Normal48"/>
        <w:spacing w:before="240" w:after="120" w:line="240" w:lineRule="auto"/>
        <w:jc w:val="both"/>
        <w:rPr>
          <w:iCs/>
          <w:noProof/>
        </w:rPr>
      </w:pPr>
      <w:r>
        <w:rPr>
          <w:noProof/>
        </w:rPr>
        <w:t>Sous-investissement 3.2 - Aide aux entreprises roumaines pour la cotation en bourse</w:t>
      </w:r>
    </w:p>
    <w:p w14:paraId="6B9B165A" w14:textId="77777777" w:rsidR="00A345F4" w:rsidRDefault="005E2D4E">
      <w:pPr>
        <w:pStyle w:val="P68B1DB1-Normal4"/>
        <w:spacing w:before="120" w:after="120" w:line="240" w:lineRule="auto"/>
        <w:jc w:val="both"/>
        <w:rPr>
          <w:noProof/>
        </w:rPr>
      </w:pPr>
      <w:r>
        <w:rPr>
          <w:noProof/>
        </w:rPr>
        <w:t xml:space="preserve">L'objectif de ce sous-investissement est d'aider les entreprises à améliorer l'accès au financement par l'émission de nouvelles actions. </w:t>
      </w:r>
    </w:p>
    <w:p w14:paraId="37B56625" w14:textId="6D73DF72" w:rsidR="00A345F4" w:rsidRDefault="005E2D4E">
      <w:pPr>
        <w:pStyle w:val="P68B1DB1-Normal4"/>
        <w:spacing w:before="120" w:after="120" w:line="240" w:lineRule="auto"/>
        <w:jc w:val="both"/>
        <w:rPr>
          <w:noProof/>
        </w:rPr>
      </w:pPr>
      <w:r>
        <w:rPr>
          <w:noProof/>
        </w:rPr>
        <w:t>Le sous-investissement consiste à financer des sociétés en Roumanie au moyen de contrats de financement contenant des dispositions relatives à leur cotation à la Bourse de Bucarest.</w:t>
      </w:r>
    </w:p>
    <w:p w14:paraId="451C5F33" w14:textId="77777777" w:rsidR="00A345F4" w:rsidRDefault="005E2D4E">
      <w:pPr>
        <w:pStyle w:val="P68B1DB1-Normal12"/>
        <w:suppressAutoHyphens/>
        <w:autoSpaceDN w:val="0"/>
        <w:spacing w:before="240" w:after="120" w:line="240" w:lineRule="auto"/>
        <w:jc w:val="both"/>
        <w:textAlignment w:val="baseline"/>
        <w:rPr>
          <w:rFonts w:eastAsiaTheme="majorEastAsia"/>
          <w:noProof/>
        </w:rPr>
      </w:pPr>
      <w:r>
        <w:rPr>
          <w:noProof/>
        </w:rPr>
        <w:t xml:space="preserve">Investissement 4. Projets transfrontières et multinationaux — Processeurs de faible puissance et semi-conducteurs </w:t>
      </w:r>
    </w:p>
    <w:p w14:paraId="6C7D057C" w14:textId="77777777" w:rsidR="00A345F4" w:rsidRDefault="005E2D4E">
      <w:pPr>
        <w:pStyle w:val="P68B1DB1-Normal4"/>
        <w:spacing w:before="120" w:after="120" w:line="240" w:lineRule="auto"/>
        <w:jc w:val="both"/>
        <w:textAlignment w:val="baseline"/>
        <w:rPr>
          <w:noProof/>
        </w:rPr>
      </w:pPr>
      <w:r>
        <w:rPr>
          <w:noProof/>
        </w:rPr>
        <w:t>L'objectif de cet investissement est de soutenir le développement du domaine de la microélectronique en Roumanie.</w:t>
      </w:r>
    </w:p>
    <w:p w14:paraId="13485DB6" w14:textId="48F29564" w:rsidR="00A345F4" w:rsidRDefault="005E2D4E">
      <w:pPr>
        <w:pStyle w:val="P68B1DB1-Normal4"/>
        <w:spacing w:before="120" w:after="120" w:line="240" w:lineRule="auto"/>
        <w:jc w:val="both"/>
        <w:rPr>
          <w:rFonts w:eastAsia="Times New Roman"/>
          <w:noProof/>
        </w:rPr>
      </w:pPr>
      <w:r>
        <w:rPr>
          <w:noProof/>
        </w:rPr>
        <w:t>L'investissement consiste en: i) la sécurisation de la propriété intellectuelle, ii) l'accélération de l'application des technologies de pointe; et iii) la coordination avec les capacités et les besoins au niveau européen.</w:t>
      </w:r>
    </w:p>
    <w:p w14:paraId="5A3FC5BD"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Réforme 2. Rationaliser la gouvernance de la recherche, du développement et de l'innovation </w:t>
      </w:r>
    </w:p>
    <w:p w14:paraId="5B91CD75" w14:textId="77777777" w:rsidR="00A345F4" w:rsidRDefault="005E2D4E">
      <w:pPr>
        <w:pStyle w:val="P68B1DB1-Normal4"/>
        <w:spacing w:before="120" w:after="120" w:line="240" w:lineRule="auto"/>
        <w:jc w:val="both"/>
        <w:rPr>
          <w:noProof/>
        </w:rPr>
      </w:pPr>
      <w:r>
        <w:rPr>
          <w:noProof/>
        </w:rPr>
        <w:t xml:space="preserve">L'objectif de cette réforme est de rationaliser la gouvernance du système de recherche, de développement et d'innovation en Roumanie. </w:t>
      </w:r>
    </w:p>
    <w:p w14:paraId="0383EDA1" w14:textId="77777777" w:rsidR="00A345F4" w:rsidRDefault="005E2D4E">
      <w:pPr>
        <w:pStyle w:val="P68B1DB1-Normal4"/>
        <w:spacing w:before="120" w:after="120" w:line="240" w:lineRule="auto"/>
        <w:jc w:val="both"/>
        <w:rPr>
          <w:noProof/>
        </w:rPr>
      </w:pPr>
      <w:r>
        <w:rPr>
          <w:noProof/>
        </w:rPr>
        <w:t>La réforme consiste en l’adoption d’actes juridiques visant à rationaliser et à renforcer la gouvernance et l’application des politiques de recherche, de développement et d’innovation.</w:t>
      </w:r>
    </w:p>
    <w:p w14:paraId="773FF115" w14:textId="77777777" w:rsidR="00A345F4" w:rsidRDefault="005E2D4E">
      <w:pPr>
        <w:pStyle w:val="P68B1DB1-Normal4"/>
        <w:spacing w:before="120" w:after="120" w:line="240" w:lineRule="auto"/>
        <w:jc w:val="both"/>
        <w:rPr>
          <w:noProof/>
        </w:rPr>
      </w:pPr>
      <w:r>
        <w:rPr>
          <w:noProof/>
        </w:rPr>
        <w:t>Cette sous-mesure complète la réforme 2.a. Rationaliser la gouvernance de la recherche, du développement et de l’innovation</w:t>
      </w:r>
    </w:p>
    <w:p w14:paraId="6B10AA49"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Réforme 4. Renforcement de la coopération entre les entreprises et la recherche </w:t>
      </w:r>
    </w:p>
    <w:p w14:paraId="7961B5DE" w14:textId="1D133953" w:rsidR="00A345F4" w:rsidRDefault="005E2D4E">
      <w:pPr>
        <w:pStyle w:val="P68B1DB1-Normal4"/>
        <w:spacing w:before="120" w:after="120" w:line="240" w:lineRule="auto"/>
        <w:jc w:val="both"/>
        <w:rPr>
          <w:noProof/>
        </w:rPr>
      </w:pPr>
      <w:r>
        <w:rPr>
          <w:noProof/>
        </w:rPr>
        <w:t xml:space="preserve">L'objectif de la réforme est d'accroître la coopération entre les entreprises et les organismes publics de recherche et de créer un environnement favorable aux investissements publics et privés. </w:t>
      </w:r>
    </w:p>
    <w:p w14:paraId="348AEF86" w14:textId="3D2C2D10" w:rsidR="00A345F4" w:rsidRDefault="005E2D4E">
      <w:pPr>
        <w:pStyle w:val="P68B1DB1-Normal4"/>
        <w:spacing w:before="120" w:after="120" w:line="240" w:lineRule="auto"/>
        <w:jc w:val="both"/>
        <w:rPr>
          <w:noProof/>
        </w:rPr>
      </w:pPr>
      <w:r>
        <w:rPr>
          <w:noProof/>
        </w:rPr>
        <w:t xml:space="preserve">La réforme consiste à simplifier la gestion des projets de recherche et à renforcer la coopération entre les entreprises et la recherche. </w:t>
      </w:r>
    </w:p>
    <w:p w14:paraId="5113B47B" w14:textId="77777777" w:rsidR="00A345F4" w:rsidRDefault="005E2D4E">
      <w:pPr>
        <w:pStyle w:val="P68B1DB1-Normal4"/>
        <w:spacing w:before="120" w:after="120" w:line="240" w:lineRule="auto"/>
        <w:jc w:val="both"/>
        <w:rPr>
          <w:noProof/>
        </w:rPr>
      </w:pPr>
      <w:r>
        <w:rPr>
          <w:noProof/>
          <w:u w:val="single"/>
        </w:rPr>
        <w:t>Réforme 5. Soutien à l'intégration des organisations de recherche, de développement et d'innovation en Roumanie dans l'Espace européen de la recherche</w:t>
      </w:r>
      <w:r>
        <w:rPr>
          <w:noProof/>
        </w:rPr>
        <w:t xml:space="preserve"> </w:t>
      </w:r>
    </w:p>
    <w:p w14:paraId="7BFFB37D" w14:textId="77777777" w:rsidR="00A345F4" w:rsidRDefault="005E2D4E">
      <w:pPr>
        <w:pStyle w:val="P68B1DB1-Normal4"/>
        <w:spacing w:before="120" w:after="120" w:line="240" w:lineRule="auto"/>
        <w:jc w:val="both"/>
        <w:rPr>
          <w:noProof/>
        </w:rPr>
      </w:pPr>
      <w:r>
        <w:rPr>
          <w:noProof/>
        </w:rPr>
        <w:t xml:space="preserve">L'objectif de cette réforme est d'accroître les performances et la consolidation des organismes publics de recherche, de développement et d'innovation en Roumanie et leur intégration dans l'Espace européen de la recherche. </w:t>
      </w:r>
    </w:p>
    <w:p w14:paraId="1B95B654" w14:textId="77777777" w:rsidR="00A345F4" w:rsidRDefault="005E2D4E">
      <w:pPr>
        <w:pStyle w:val="P68B1DB1-Normal4"/>
        <w:spacing w:before="120" w:after="120" w:line="240" w:lineRule="auto"/>
        <w:jc w:val="both"/>
        <w:rPr>
          <w:noProof/>
        </w:rPr>
      </w:pPr>
      <w:r>
        <w:rPr>
          <w:noProof/>
        </w:rPr>
        <w:t xml:space="preserve">La réforme consiste en l’adoption d’un ou de plusieurs actes juridiques pour l’intégration des établissements de recherche. </w:t>
      </w:r>
    </w:p>
    <w:p w14:paraId="598067FD"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Investissement 5. Création de centres de compétences</w:t>
      </w:r>
    </w:p>
    <w:p w14:paraId="2E224CF2" w14:textId="77777777" w:rsidR="00A345F4" w:rsidRDefault="005E2D4E">
      <w:pPr>
        <w:pStyle w:val="P68B1DB1-Normal4"/>
        <w:spacing w:before="120" w:after="120" w:line="240" w:lineRule="auto"/>
        <w:jc w:val="both"/>
        <w:rPr>
          <w:noProof/>
        </w:rPr>
      </w:pPr>
      <w:r>
        <w:rPr>
          <w:noProof/>
        </w:rPr>
        <w:t xml:space="preserve">L'objectif de l'investissement est de lutter contre la fragmentation thématique des organisations de recherche, de développement et d'innovation. </w:t>
      </w:r>
    </w:p>
    <w:p w14:paraId="74EEB94D" w14:textId="77777777" w:rsidR="00A345F4" w:rsidRDefault="005E2D4E">
      <w:pPr>
        <w:pStyle w:val="P68B1DB1-Normal4"/>
        <w:spacing w:before="120" w:after="120" w:line="240" w:lineRule="auto"/>
        <w:jc w:val="both"/>
        <w:rPr>
          <w:noProof/>
        </w:rPr>
      </w:pPr>
      <w:r>
        <w:rPr>
          <w:noProof/>
        </w:rPr>
        <w:t xml:space="preserve">L’investissement consiste en la création de cinq «centres de compétences» pour mener des activités de recherche. </w:t>
      </w:r>
    </w:p>
    <w:p w14:paraId="0547B391" w14:textId="77777777" w:rsidR="00A345F4" w:rsidRDefault="005E2D4E">
      <w:pPr>
        <w:pStyle w:val="P68B1DB1-Normal4"/>
        <w:spacing w:before="120" w:after="120" w:line="240" w:lineRule="auto"/>
        <w:jc w:val="both"/>
        <w:rPr>
          <w:noProof/>
        </w:rPr>
      </w:pPr>
      <w:r>
        <w:rPr>
          <w:noProof/>
        </w:rPr>
        <w:t>Cette mesure complète l’investissement 5.a. Création et mise en service de centres de compétences.</w:t>
      </w:r>
    </w:p>
    <w:p w14:paraId="2AC06711" w14:textId="77777777" w:rsidR="00A345F4" w:rsidRDefault="00A345F4">
      <w:pPr>
        <w:spacing w:before="120" w:after="120" w:line="240" w:lineRule="auto"/>
        <w:jc w:val="both"/>
        <w:rPr>
          <w:rFonts w:ascii="Times New Roman" w:hAnsi="Times New Roman" w:cs="Times New Roman"/>
          <w:noProof/>
        </w:rPr>
      </w:pPr>
    </w:p>
    <w:p w14:paraId="323EC327" w14:textId="77777777" w:rsidR="00A345F4" w:rsidRDefault="00A345F4">
      <w:pPr>
        <w:rPr>
          <w:rFonts w:ascii="Times New Roman" w:hAnsi="Times New Roman" w:cs="Times New Roman"/>
          <w:noProof/>
        </w:rPr>
      </w:pPr>
    </w:p>
    <w:p w14:paraId="2CD1900D" w14:textId="77777777" w:rsidR="00A345F4" w:rsidRDefault="00A345F4">
      <w:pPr>
        <w:rPr>
          <w:rFonts w:ascii="Times New Roman" w:hAnsi="Times New Roman" w:cs="Times New Roman"/>
          <w:noProof/>
        </w:rPr>
        <w:sectPr w:rsidR="00A345F4" w:rsidSect="008D6D49">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60"/>
        </w:sectPr>
      </w:pPr>
    </w:p>
    <w:p w14:paraId="7E90173D" w14:textId="77777777" w:rsidR="00A345F4" w:rsidRDefault="005E2D4E">
      <w:pPr>
        <w:pStyle w:val="P68B1DB1-Normal4"/>
        <w:keepNext/>
        <w:numPr>
          <w:ilvl w:val="1"/>
          <w:numId w:val="0"/>
        </w:numPr>
        <w:spacing w:before="120" w:after="120" w:line="240" w:lineRule="auto"/>
        <w:ind w:left="850" w:hanging="130"/>
        <w:jc w:val="both"/>
        <w:outlineLvl w:val="1"/>
        <w:rPr>
          <w:rFonts w:eastAsiaTheme="majorEastAsia"/>
          <w:b/>
          <w:bCs/>
          <w:noProof/>
          <w:szCs w:val="26"/>
        </w:rPr>
      </w:pPr>
      <w:r>
        <w:rPr>
          <w:b/>
          <w:noProof/>
        </w:rPr>
        <w:t xml:space="preserve">I.4. </w:t>
      </w:r>
      <w:r>
        <w:rPr>
          <w:noProof/>
        </w:rPr>
        <w:t xml:space="preserve"> </w:t>
      </w:r>
      <w:r>
        <w:rPr>
          <w:b/>
          <w:noProof/>
        </w:rPr>
        <w:t xml:space="preserve">Étapes, objectifs, indicateurs et calendrier du suivi et de la mise en œuvre du prêt </w:t>
      </w:r>
    </w:p>
    <w:tbl>
      <w:tblPr>
        <w:tblW w:w="15876" w:type="dxa"/>
        <w:jc w:val="center"/>
        <w:tblLayout w:type="fixed"/>
        <w:tblCellMar>
          <w:left w:w="28" w:type="dxa"/>
          <w:right w:w="28" w:type="dxa"/>
        </w:tblCellMar>
        <w:tblLook w:val="04A0" w:firstRow="1" w:lastRow="0" w:firstColumn="1" w:lastColumn="0" w:noHBand="0" w:noVBand="1"/>
      </w:tblPr>
      <w:tblGrid>
        <w:gridCol w:w="606"/>
        <w:gridCol w:w="1844"/>
        <w:gridCol w:w="1373"/>
        <w:gridCol w:w="1212"/>
        <w:gridCol w:w="1766"/>
        <w:gridCol w:w="1558"/>
        <w:gridCol w:w="1116"/>
        <w:gridCol w:w="858"/>
        <w:gridCol w:w="943"/>
        <w:gridCol w:w="1065"/>
        <w:gridCol w:w="3535"/>
      </w:tblGrid>
      <w:tr w:rsidR="00A345F4" w14:paraId="05CB1867" w14:textId="77777777" w:rsidTr="004A7372">
        <w:trPr>
          <w:trHeight w:val="300"/>
          <w:tblHeader/>
          <w:jc w:val="center"/>
        </w:trPr>
        <w:tc>
          <w:tcPr>
            <w:tcW w:w="6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D87B2A" w14:textId="77777777" w:rsidR="00A345F4" w:rsidRDefault="005E2D4E">
            <w:pPr>
              <w:pStyle w:val="P68B1DB1-Normal13"/>
              <w:spacing w:after="0" w:line="240" w:lineRule="auto"/>
              <w:jc w:val="center"/>
              <w:rPr>
                <w:rFonts w:eastAsia="Times New Roman"/>
                <w:noProof/>
              </w:rPr>
            </w:pPr>
            <w:r>
              <w:rPr>
                <w:noProof/>
              </w:rPr>
              <w:t>Seq. num</w:t>
            </w:r>
          </w:p>
        </w:tc>
        <w:tc>
          <w:tcPr>
            <w:tcW w:w="18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F9EBC7"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3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D6EBF6" w14:textId="5DCD0046" w:rsidR="00A345F4" w:rsidRDefault="005E2D4E">
            <w:pPr>
              <w:pStyle w:val="P68B1DB1-Normal13"/>
              <w:spacing w:after="0" w:line="240" w:lineRule="auto"/>
              <w:jc w:val="center"/>
              <w:rPr>
                <w:rFonts w:eastAsia="Times New Roman"/>
                <w:noProof/>
              </w:rPr>
            </w:pPr>
            <w:r>
              <w:rPr>
                <w:noProof/>
              </w:rPr>
              <w:t>Étape/objectif</w:t>
            </w:r>
          </w:p>
        </w:tc>
        <w:tc>
          <w:tcPr>
            <w:tcW w:w="12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271ED2" w14:textId="77777777" w:rsidR="00A345F4" w:rsidRDefault="005E2D4E">
            <w:pPr>
              <w:pStyle w:val="P68B1DB1-Normal13"/>
              <w:spacing w:after="0" w:line="240" w:lineRule="auto"/>
              <w:jc w:val="center"/>
              <w:rPr>
                <w:rFonts w:eastAsia="Times New Roman"/>
                <w:noProof/>
              </w:rPr>
            </w:pPr>
            <w:r>
              <w:rPr>
                <w:noProof/>
              </w:rPr>
              <w:t>Nom</w:t>
            </w:r>
          </w:p>
        </w:tc>
        <w:tc>
          <w:tcPr>
            <w:tcW w:w="17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16AEEA" w14:textId="1C5B792E" w:rsidR="00A345F4" w:rsidRDefault="005E2D4E">
            <w:pPr>
              <w:pStyle w:val="P68B1DB1-Normal14"/>
              <w:spacing w:after="0" w:line="240" w:lineRule="auto"/>
              <w:jc w:val="center"/>
              <w:rPr>
                <w:rFonts w:eastAsia="Times New Roman"/>
                <w:b/>
                <w:noProof/>
              </w:rPr>
            </w:pPr>
            <w:r>
              <w:rPr>
                <w:b/>
                <w:noProof/>
              </w:rPr>
              <w:t>Indicateurs qualitatifs</w:t>
            </w:r>
            <w:r>
              <w:rPr>
                <w:noProof/>
              </w:rPr>
              <w:t xml:space="preserve"> </w:t>
            </w:r>
            <w:r>
              <w:rPr>
                <w:noProof/>
              </w:rPr>
              <w:br/>
            </w:r>
            <w:r>
              <w:rPr>
                <w:b/>
                <w:noProof/>
              </w:rPr>
              <w:t>(pour les jalons)</w:t>
            </w:r>
          </w:p>
        </w:tc>
        <w:tc>
          <w:tcPr>
            <w:tcW w:w="353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E8D8266" w14:textId="6429FF3B"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2008" w:type="dxa"/>
            <w:gridSpan w:val="2"/>
            <w:tcBorders>
              <w:top w:val="single" w:sz="4" w:space="0" w:color="auto"/>
              <w:left w:val="nil"/>
              <w:bottom w:val="single" w:sz="4" w:space="0" w:color="auto"/>
              <w:right w:val="single" w:sz="4" w:space="0" w:color="auto"/>
            </w:tcBorders>
            <w:shd w:val="clear" w:color="auto" w:fill="BDD7EE"/>
            <w:vAlign w:val="center"/>
            <w:hideMark/>
          </w:tcPr>
          <w:p w14:paraId="7A8A9541" w14:textId="139A1AA9" w:rsidR="00A345F4" w:rsidRDefault="005E2D4E">
            <w:pPr>
              <w:pStyle w:val="P68B1DB1-Normal13"/>
              <w:spacing w:after="0" w:line="240" w:lineRule="auto"/>
              <w:jc w:val="center"/>
              <w:rPr>
                <w:rFonts w:eastAsia="Times New Roman"/>
                <w:noProof/>
              </w:rPr>
            </w:pPr>
            <w:r>
              <w:rPr>
                <w:noProof/>
              </w:rPr>
              <w:t xml:space="preserve">Calendrier indicatif d'achèvement </w:t>
            </w:r>
          </w:p>
        </w:tc>
        <w:tc>
          <w:tcPr>
            <w:tcW w:w="35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8CE8C8"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4718AFC0" w14:textId="77777777" w:rsidTr="004A7372">
        <w:trPr>
          <w:trHeight w:val="560"/>
          <w:tblHeader/>
          <w:jc w:val="center"/>
        </w:trPr>
        <w:tc>
          <w:tcPr>
            <w:tcW w:w="606" w:type="dxa"/>
            <w:vMerge/>
            <w:tcBorders>
              <w:top w:val="single" w:sz="4" w:space="0" w:color="auto"/>
              <w:left w:val="single" w:sz="4" w:space="0" w:color="auto"/>
              <w:bottom w:val="single" w:sz="4" w:space="0" w:color="auto"/>
              <w:right w:val="single" w:sz="4" w:space="0" w:color="auto"/>
            </w:tcBorders>
            <w:hideMark/>
          </w:tcPr>
          <w:p w14:paraId="5B73CF6E" w14:textId="77777777" w:rsidR="00A345F4" w:rsidRDefault="00A345F4">
            <w:pPr>
              <w:spacing w:after="0" w:line="240" w:lineRule="auto"/>
              <w:jc w:val="center"/>
              <w:rPr>
                <w:rFonts w:ascii="Times New Roman" w:eastAsia="Times New Roman" w:hAnsi="Times New Roman" w:cs="Times New Roman"/>
                <w:noProof/>
                <w:sz w:val="20"/>
                <w:szCs w:val="20"/>
              </w:rPr>
            </w:pPr>
          </w:p>
        </w:tc>
        <w:tc>
          <w:tcPr>
            <w:tcW w:w="1844" w:type="dxa"/>
            <w:vMerge/>
            <w:tcBorders>
              <w:top w:val="single" w:sz="4" w:space="0" w:color="auto"/>
              <w:left w:val="single" w:sz="4" w:space="0" w:color="auto"/>
              <w:bottom w:val="single" w:sz="4" w:space="0" w:color="auto"/>
              <w:right w:val="single" w:sz="4" w:space="0" w:color="auto"/>
            </w:tcBorders>
            <w:hideMark/>
          </w:tcPr>
          <w:p w14:paraId="04E988A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73" w:type="dxa"/>
            <w:vMerge/>
            <w:tcBorders>
              <w:top w:val="single" w:sz="4" w:space="0" w:color="auto"/>
              <w:left w:val="single" w:sz="4" w:space="0" w:color="auto"/>
              <w:bottom w:val="single" w:sz="4" w:space="0" w:color="auto"/>
              <w:right w:val="single" w:sz="4" w:space="0" w:color="auto"/>
            </w:tcBorders>
            <w:hideMark/>
          </w:tcPr>
          <w:p w14:paraId="0E2C3268" w14:textId="77777777" w:rsidR="00A345F4" w:rsidRDefault="00A345F4">
            <w:pPr>
              <w:spacing w:after="0" w:line="240" w:lineRule="auto"/>
              <w:jc w:val="center"/>
              <w:rPr>
                <w:rFonts w:ascii="Times New Roman" w:eastAsia="Times New Roman" w:hAnsi="Times New Roman" w:cs="Times New Roman"/>
                <w:noProof/>
                <w:sz w:val="20"/>
                <w:szCs w:val="20"/>
              </w:rPr>
            </w:pPr>
          </w:p>
        </w:tc>
        <w:tc>
          <w:tcPr>
            <w:tcW w:w="1212" w:type="dxa"/>
            <w:vMerge/>
            <w:tcBorders>
              <w:top w:val="single" w:sz="4" w:space="0" w:color="auto"/>
              <w:left w:val="single" w:sz="4" w:space="0" w:color="auto"/>
              <w:bottom w:val="single" w:sz="4" w:space="0" w:color="auto"/>
              <w:right w:val="single" w:sz="4" w:space="0" w:color="auto"/>
            </w:tcBorders>
            <w:hideMark/>
          </w:tcPr>
          <w:p w14:paraId="50967B0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766" w:type="dxa"/>
            <w:vMerge/>
            <w:tcBorders>
              <w:top w:val="single" w:sz="4" w:space="0" w:color="auto"/>
              <w:left w:val="single" w:sz="4" w:space="0" w:color="auto"/>
              <w:bottom w:val="single" w:sz="4" w:space="0" w:color="auto"/>
              <w:right w:val="single" w:sz="4" w:space="0" w:color="auto"/>
            </w:tcBorders>
            <w:hideMark/>
          </w:tcPr>
          <w:p w14:paraId="37FB6F3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58" w:type="dxa"/>
            <w:tcBorders>
              <w:top w:val="nil"/>
              <w:left w:val="single" w:sz="4" w:space="0" w:color="auto"/>
              <w:bottom w:val="single" w:sz="4" w:space="0" w:color="auto"/>
              <w:right w:val="single" w:sz="4" w:space="0" w:color="auto"/>
            </w:tcBorders>
            <w:shd w:val="clear" w:color="auto" w:fill="BDD7EE"/>
            <w:vAlign w:val="center"/>
            <w:hideMark/>
          </w:tcPr>
          <w:p w14:paraId="5E1F73F4" w14:textId="77FDC720" w:rsidR="00A345F4" w:rsidRDefault="005E2D4E">
            <w:pPr>
              <w:pStyle w:val="P68B1DB1-Normal13"/>
              <w:spacing w:after="0" w:line="240" w:lineRule="auto"/>
              <w:jc w:val="center"/>
              <w:rPr>
                <w:rFonts w:eastAsia="Times New Roman"/>
                <w:noProof/>
              </w:rPr>
            </w:pPr>
            <w:r>
              <w:rPr>
                <w:noProof/>
              </w:rPr>
              <w:t>Unité de mesure</w:t>
            </w:r>
          </w:p>
        </w:tc>
        <w:tc>
          <w:tcPr>
            <w:tcW w:w="1116" w:type="dxa"/>
            <w:tcBorders>
              <w:top w:val="nil"/>
              <w:left w:val="nil"/>
              <w:bottom w:val="single" w:sz="4" w:space="0" w:color="auto"/>
              <w:right w:val="single" w:sz="4" w:space="0" w:color="auto"/>
            </w:tcBorders>
            <w:shd w:val="clear" w:color="auto" w:fill="BDD7EE"/>
            <w:vAlign w:val="center"/>
            <w:hideMark/>
          </w:tcPr>
          <w:p w14:paraId="77B04F5F" w14:textId="77777777" w:rsidR="00A345F4" w:rsidRDefault="005E2D4E">
            <w:pPr>
              <w:pStyle w:val="P68B1DB1-Normal13"/>
              <w:spacing w:after="0" w:line="240" w:lineRule="auto"/>
              <w:jc w:val="center"/>
              <w:rPr>
                <w:rFonts w:eastAsia="Times New Roman"/>
                <w:noProof/>
              </w:rPr>
            </w:pPr>
            <w:r>
              <w:rPr>
                <w:noProof/>
              </w:rPr>
              <w:t xml:space="preserve">Données de référence </w:t>
            </w:r>
          </w:p>
        </w:tc>
        <w:tc>
          <w:tcPr>
            <w:tcW w:w="858" w:type="dxa"/>
            <w:tcBorders>
              <w:top w:val="nil"/>
              <w:left w:val="nil"/>
              <w:bottom w:val="single" w:sz="4" w:space="0" w:color="auto"/>
              <w:right w:val="single" w:sz="4" w:space="0" w:color="auto"/>
            </w:tcBorders>
            <w:shd w:val="clear" w:color="auto" w:fill="BDD7EE"/>
            <w:vAlign w:val="center"/>
            <w:hideMark/>
          </w:tcPr>
          <w:p w14:paraId="41E1F9C1" w14:textId="77777777" w:rsidR="00A345F4" w:rsidRDefault="005E2D4E">
            <w:pPr>
              <w:pStyle w:val="P68B1DB1-Normal13"/>
              <w:spacing w:after="0" w:line="240" w:lineRule="auto"/>
              <w:jc w:val="center"/>
              <w:rPr>
                <w:rFonts w:eastAsia="Times New Roman"/>
                <w:noProof/>
              </w:rPr>
            </w:pPr>
            <w:r>
              <w:rPr>
                <w:noProof/>
              </w:rPr>
              <w:t xml:space="preserve">Objectif </w:t>
            </w:r>
          </w:p>
        </w:tc>
        <w:tc>
          <w:tcPr>
            <w:tcW w:w="943" w:type="dxa"/>
            <w:tcBorders>
              <w:top w:val="nil"/>
              <w:left w:val="nil"/>
              <w:bottom w:val="single" w:sz="4" w:space="0" w:color="auto"/>
              <w:right w:val="single" w:sz="4" w:space="0" w:color="auto"/>
            </w:tcBorders>
            <w:shd w:val="clear" w:color="auto" w:fill="BDD7EE"/>
            <w:vAlign w:val="center"/>
            <w:hideMark/>
          </w:tcPr>
          <w:p w14:paraId="15373FE7" w14:textId="77777777" w:rsidR="00A345F4" w:rsidRDefault="005E2D4E">
            <w:pPr>
              <w:pStyle w:val="P68B1DB1-Normal13"/>
              <w:spacing w:after="0" w:line="240" w:lineRule="auto"/>
              <w:jc w:val="center"/>
              <w:rPr>
                <w:rFonts w:eastAsia="Times New Roman"/>
                <w:noProof/>
              </w:rPr>
            </w:pPr>
            <w:r>
              <w:rPr>
                <w:noProof/>
              </w:rPr>
              <w:t>Trimestre</w:t>
            </w:r>
          </w:p>
        </w:tc>
        <w:tc>
          <w:tcPr>
            <w:tcW w:w="1065" w:type="dxa"/>
            <w:tcBorders>
              <w:top w:val="nil"/>
              <w:left w:val="nil"/>
              <w:bottom w:val="single" w:sz="4" w:space="0" w:color="auto"/>
              <w:right w:val="single" w:sz="4" w:space="0" w:color="auto"/>
            </w:tcBorders>
            <w:shd w:val="clear" w:color="auto" w:fill="BDD7EE"/>
            <w:vAlign w:val="center"/>
            <w:hideMark/>
          </w:tcPr>
          <w:p w14:paraId="039B2BC8" w14:textId="77777777" w:rsidR="00A345F4" w:rsidRDefault="005E2D4E">
            <w:pPr>
              <w:pStyle w:val="P68B1DB1-Normal13"/>
              <w:spacing w:after="0" w:line="240" w:lineRule="auto"/>
              <w:jc w:val="center"/>
              <w:rPr>
                <w:rFonts w:eastAsia="Times New Roman"/>
                <w:noProof/>
              </w:rPr>
            </w:pPr>
            <w:r>
              <w:rPr>
                <w:noProof/>
              </w:rPr>
              <w:t>Année</w:t>
            </w:r>
          </w:p>
        </w:tc>
        <w:tc>
          <w:tcPr>
            <w:tcW w:w="3535" w:type="dxa"/>
            <w:vMerge/>
            <w:tcBorders>
              <w:top w:val="single" w:sz="4" w:space="0" w:color="auto"/>
              <w:bottom w:val="single" w:sz="4" w:space="0" w:color="auto"/>
              <w:right w:val="single" w:sz="4" w:space="0" w:color="auto"/>
            </w:tcBorders>
            <w:hideMark/>
          </w:tcPr>
          <w:p w14:paraId="72EB473C" w14:textId="77777777" w:rsidR="00A345F4" w:rsidRDefault="00A345F4">
            <w:pPr>
              <w:spacing w:after="0" w:line="240" w:lineRule="auto"/>
              <w:jc w:val="both"/>
              <w:rPr>
                <w:rFonts w:ascii="Times New Roman" w:eastAsia="Times New Roman" w:hAnsi="Times New Roman" w:cs="Times New Roman"/>
                <w:noProof/>
                <w:sz w:val="20"/>
                <w:szCs w:val="20"/>
              </w:rPr>
            </w:pPr>
          </w:p>
        </w:tc>
      </w:tr>
      <w:tr w:rsidR="00A345F4" w14:paraId="4D09007D" w14:textId="77777777" w:rsidTr="004A737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91B2268" w14:textId="77777777" w:rsidR="00A345F4" w:rsidRDefault="005E2D4E">
            <w:pPr>
              <w:pStyle w:val="P68B1DB1-Normal14"/>
              <w:spacing w:after="0" w:line="240" w:lineRule="auto"/>
              <w:jc w:val="center"/>
              <w:rPr>
                <w:noProof/>
              </w:rPr>
            </w:pPr>
            <w:r>
              <w:rPr>
                <w:noProof/>
              </w:rPr>
              <w:t>241</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4103B876" w14:textId="77777777" w:rsidR="00A345F4" w:rsidRDefault="005E2D4E">
            <w:pPr>
              <w:pStyle w:val="P68B1DB1-Normal14"/>
              <w:spacing w:after="0" w:line="240" w:lineRule="auto"/>
              <w:jc w:val="both"/>
              <w:rPr>
                <w:noProof/>
              </w:rPr>
            </w:pPr>
            <w:r>
              <w:rPr>
                <w:noProof/>
              </w:rPr>
              <w:t xml:space="preserve">Réforme 1. Transparence législative, débureaucratisation et simplification des procédures pour les entreprises </w:t>
            </w:r>
          </w:p>
        </w:tc>
        <w:tc>
          <w:tcPr>
            <w:tcW w:w="1373" w:type="dxa"/>
            <w:tcBorders>
              <w:top w:val="single" w:sz="4" w:space="0" w:color="auto"/>
              <w:left w:val="single" w:sz="4" w:space="0" w:color="auto"/>
              <w:bottom w:val="single" w:sz="4" w:space="0" w:color="auto"/>
              <w:right w:val="single" w:sz="4" w:space="0" w:color="auto"/>
            </w:tcBorders>
            <w:shd w:val="clear" w:color="auto" w:fill="C6EFCE"/>
            <w:noWrap/>
          </w:tcPr>
          <w:p w14:paraId="46C8680D" w14:textId="77777777" w:rsidR="00A345F4" w:rsidRDefault="005E2D4E">
            <w:pPr>
              <w:pStyle w:val="P68B1DB1-Normal14"/>
              <w:spacing w:after="0" w:line="240" w:lineRule="auto"/>
              <w:jc w:val="center"/>
              <w:rPr>
                <w:noProof/>
              </w:rPr>
            </w:pPr>
            <w:r>
              <w:rPr>
                <w:noProof/>
              </w:rPr>
              <w:t>Étape</w:t>
            </w:r>
          </w:p>
        </w:tc>
        <w:tc>
          <w:tcPr>
            <w:tcW w:w="1212" w:type="dxa"/>
            <w:tcBorders>
              <w:top w:val="single" w:sz="4" w:space="0" w:color="auto"/>
              <w:left w:val="single" w:sz="4" w:space="0" w:color="auto"/>
              <w:bottom w:val="single" w:sz="4" w:space="0" w:color="auto"/>
              <w:right w:val="single" w:sz="4" w:space="0" w:color="auto"/>
            </w:tcBorders>
            <w:shd w:val="clear" w:color="auto" w:fill="C6EFCE"/>
            <w:noWrap/>
          </w:tcPr>
          <w:p w14:paraId="114C84C1" w14:textId="77777777" w:rsidR="00A345F4" w:rsidRDefault="005E2D4E">
            <w:pPr>
              <w:pStyle w:val="P68B1DB1-Normal14"/>
              <w:spacing w:after="0" w:line="240" w:lineRule="auto"/>
              <w:jc w:val="both"/>
              <w:rPr>
                <w:noProof/>
              </w:rPr>
            </w:pPr>
            <w:r>
              <w:rPr>
                <w:noProof/>
              </w:rPr>
              <w:t xml:space="preserve">Entrée en vigueur des modifications législatives visant à rationaliser, simplifier et numériser entièrement les procédures liées aux entreprises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F8DA546" w14:textId="77777777" w:rsidR="00A345F4" w:rsidRDefault="005E2D4E">
            <w:pPr>
              <w:pStyle w:val="P68B1DB1-Normal14"/>
              <w:spacing w:after="0" w:line="240" w:lineRule="auto"/>
              <w:jc w:val="both"/>
              <w:rPr>
                <w:noProof/>
              </w:rPr>
            </w:pPr>
            <w:r>
              <w:rPr>
                <w:noProof/>
              </w:rPr>
              <w:t xml:space="preserve">Disposition de la loi indiquant l’entrée en vigueur i) de la loi n° 31/1990 – droit des sociétés, ii) de la loi n° 26/1990, republiée, relative au registre du commerce, iii) du décret-loi n° 122/1990 sur l’autorisation et le fonctionnement en Roumanie des représentants des sociétés et organisations économiques étrangères et iv) de la loi n° 53/2003 – code du travail </w:t>
            </w:r>
          </w:p>
        </w:tc>
        <w:tc>
          <w:tcPr>
            <w:tcW w:w="1558" w:type="dxa"/>
            <w:tcBorders>
              <w:top w:val="nil"/>
              <w:left w:val="single" w:sz="4" w:space="0" w:color="auto"/>
              <w:bottom w:val="single" w:sz="4" w:space="0" w:color="auto"/>
              <w:right w:val="single" w:sz="4" w:space="0" w:color="auto"/>
            </w:tcBorders>
            <w:shd w:val="clear" w:color="auto" w:fill="C6EFCE"/>
            <w:noWrap/>
          </w:tcPr>
          <w:p w14:paraId="380A3B02" w14:textId="77777777" w:rsidR="00A345F4" w:rsidRDefault="005E2D4E">
            <w:pPr>
              <w:pStyle w:val="P68B1DB1-Normal14"/>
              <w:spacing w:after="0" w:line="240" w:lineRule="auto"/>
              <w:jc w:val="both"/>
              <w:rPr>
                <w:rFonts w:eastAsia="Times New Roman"/>
                <w:noProof/>
              </w:rPr>
            </w:pPr>
            <w:r>
              <w:rPr>
                <w:noProof/>
              </w:rPr>
              <w:t xml:space="preserve"> </w:t>
            </w:r>
          </w:p>
        </w:tc>
        <w:tc>
          <w:tcPr>
            <w:tcW w:w="1116" w:type="dxa"/>
            <w:tcBorders>
              <w:top w:val="nil"/>
              <w:left w:val="single" w:sz="4" w:space="0" w:color="auto"/>
              <w:bottom w:val="single" w:sz="4" w:space="0" w:color="auto"/>
              <w:right w:val="single" w:sz="4" w:space="0" w:color="auto"/>
            </w:tcBorders>
            <w:shd w:val="clear" w:color="auto" w:fill="C6EFCE"/>
            <w:noWrap/>
          </w:tcPr>
          <w:p w14:paraId="7B8687A0" w14:textId="77777777" w:rsidR="00A345F4" w:rsidRDefault="005E2D4E">
            <w:pPr>
              <w:pStyle w:val="P68B1DB1-Normal14"/>
              <w:spacing w:after="0" w:line="240" w:lineRule="auto"/>
              <w:jc w:val="both"/>
              <w:rPr>
                <w:rFonts w:eastAsia="Times New Roman"/>
                <w:noProof/>
              </w:rPr>
            </w:pPr>
            <w:r>
              <w:rPr>
                <w:noProof/>
              </w:rPr>
              <w:t xml:space="preserve"> </w:t>
            </w:r>
          </w:p>
        </w:tc>
        <w:tc>
          <w:tcPr>
            <w:tcW w:w="858" w:type="dxa"/>
            <w:tcBorders>
              <w:top w:val="nil"/>
              <w:left w:val="single" w:sz="4" w:space="0" w:color="auto"/>
              <w:bottom w:val="single" w:sz="4" w:space="0" w:color="auto"/>
              <w:right w:val="single" w:sz="4" w:space="0" w:color="auto"/>
            </w:tcBorders>
            <w:shd w:val="clear" w:color="auto" w:fill="C6EFCE"/>
            <w:noWrap/>
          </w:tcPr>
          <w:p w14:paraId="730E0566" w14:textId="77777777" w:rsidR="00A345F4" w:rsidRDefault="005E2D4E">
            <w:pPr>
              <w:pStyle w:val="P68B1DB1-Normal14"/>
              <w:spacing w:after="0" w:line="240" w:lineRule="auto"/>
              <w:jc w:val="both"/>
              <w:rPr>
                <w:rFonts w:eastAsia="Times New Roman"/>
                <w:noProof/>
              </w:rPr>
            </w:pPr>
            <w:r>
              <w:rPr>
                <w:noProof/>
              </w:rPr>
              <w:t xml:space="preserve"> </w:t>
            </w:r>
          </w:p>
        </w:tc>
        <w:tc>
          <w:tcPr>
            <w:tcW w:w="943" w:type="dxa"/>
            <w:tcBorders>
              <w:top w:val="nil"/>
              <w:left w:val="single" w:sz="4" w:space="0" w:color="auto"/>
              <w:bottom w:val="single" w:sz="4" w:space="0" w:color="auto"/>
              <w:right w:val="single" w:sz="4" w:space="0" w:color="auto"/>
            </w:tcBorders>
            <w:shd w:val="clear" w:color="auto" w:fill="C6EFCE"/>
            <w:noWrap/>
          </w:tcPr>
          <w:p w14:paraId="7BF2190E" w14:textId="77777777" w:rsidR="00A345F4" w:rsidRDefault="005E2D4E">
            <w:pPr>
              <w:pStyle w:val="P68B1DB1-Normal14"/>
              <w:spacing w:after="0" w:line="240" w:lineRule="auto"/>
              <w:jc w:val="center"/>
              <w:rPr>
                <w:noProof/>
              </w:rPr>
            </w:pPr>
            <w:r>
              <w:rPr>
                <w:noProof/>
              </w:rPr>
              <w:t>T3</w:t>
            </w:r>
          </w:p>
        </w:tc>
        <w:tc>
          <w:tcPr>
            <w:tcW w:w="1065" w:type="dxa"/>
            <w:tcBorders>
              <w:top w:val="nil"/>
              <w:left w:val="single" w:sz="4" w:space="0" w:color="auto"/>
              <w:bottom w:val="single" w:sz="4" w:space="0" w:color="auto"/>
              <w:right w:val="single" w:sz="4" w:space="0" w:color="auto"/>
            </w:tcBorders>
            <w:shd w:val="clear" w:color="auto" w:fill="C6EFCE"/>
            <w:noWrap/>
          </w:tcPr>
          <w:p w14:paraId="11B829CC" w14:textId="77777777" w:rsidR="00A345F4" w:rsidRDefault="005E2D4E">
            <w:pPr>
              <w:pStyle w:val="P68B1DB1-Normal14"/>
              <w:spacing w:after="0" w:line="240" w:lineRule="auto"/>
              <w:jc w:val="center"/>
              <w:rPr>
                <w:noProof/>
              </w:rPr>
            </w:pPr>
            <w:r>
              <w:rPr>
                <w:noProof/>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61282663" w14:textId="77777777" w:rsidR="00A345F4" w:rsidRDefault="005E2D4E">
            <w:pPr>
              <w:pStyle w:val="P68B1DB1-Normal14"/>
              <w:spacing w:after="0" w:line="240" w:lineRule="auto"/>
              <w:jc w:val="both"/>
              <w:rPr>
                <w:noProof/>
              </w:rPr>
            </w:pPr>
            <w:r>
              <w:rPr>
                <w:noProof/>
              </w:rPr>
              <w:t>Les modifications législatives réduisent la charge administrative pesant sur l’environnement des entreprises en simplifiant la législation/les procédures de démarrage/de sortie pour les entreprises, en particulier les processus suivants:</w:t>
            </w:r>
          </w:p>
          <w:p w14:paraId="5C559568" w14:textId="77777777" w:rsidR="00A345F4" w:rsidRDefault="005E2D4E">
            <w:pPr>
              <w:pStyle w:val="P68B1DB1-Normal14"/>
              <w:spacing w:after="0" w:line="240" w:lineRule="auto"/>
              <w:jc w:val="both"/>
              <w:rPr>
                <w:noProof/>
              </w:rPr>
            </w:pPr>
            <w:r>
              <w:rPr>
                <w:noProof/>
              </w:rPr>
              <w:t xml:space="preserve">a) créer une entreprise, sortir du marché/fermer une entreprise; </w:t>
            </w:r>
          </w:p>
          <w:p w14:paraId="5A5190C5" w14:textId="77777777" w:rsidR="00A345F4" w:rsidRDefault="005E2D4E">
            <w:pPr>
              <w:pStyle w:val="P68B1DB1-Normal14"/>
              <w:spacing w:after="0" w:line="240" w:lineRule="auto"/>
              <w:jc w:val="both"/>
              <w:rPr>
                <w:noProof/>
              </w:rPr>
            </w:pPr>
            <w:r>
              <w:rPr>
                <w:noProof/>
              </w:rPr>
              <w:t xml:space="preserve">b) rationaliser, simplifier et numériser les procédures d'autorisation et d'exploitation des représentations étrangères en Roumanie; </w:t>
            </w:r>
          </w:p>
          <w:p w14:paraId="062BB52E" w14:textId="77777777" w:rsidR="00A345F4" w:rsidRDefault="005E2D4E">
            <w:pPr>
              <w:pStyle w:val="P68B1DB1-Normal14"/>
              <w:spacing w:after="0" w:line="240" w:lineRule="auto"/>
              <w:jc w:val="both"/>
              <w:rPr>
                <w:noProof/>
              </w:rPr>
            </w:pPr>
            <w:r>
              <w:rPr>
                <w:noProof/>
              </w:rPr>
              <w:t>c) Déclaration des obligations des entreprises en matière de marché du travail et autres déclarations obligatoires</w:t>
            </w:r>
          </w:p>
          <w:p w14:paraId="55D2507E" w14:textId="77777777" w:rsidR="00A345F4" w:rsidRDefault="005E2D4E">
            <w:pPr>
              <w:pStyle w:val="P68B1DB1-Normal14"/>
              <w:spacing w:after="0" w:line="240" w:lineRule="auto"/>
              <w:jc w:val="both"/>
              <w:rPr>
                <w:noProof/>
              </w:rPr>
            </w:pPr>
            <w:r>
              <w:rPr>
                <w:noProof/>
              </w:rPr>
              <w:t>Des modifications législatives sont apportées aux actes normatifs suivants:</w:t>
            </w:r>
          </w:p>
          <w:p w14:paraId="0066E71E" w14:textId="77777777" w:rsidR="00A345F4" w:rsidRDefault="005E2D4E">
            <w:pPr>
              <w:pStyle w:val="P68B1DB1-Normal14"/>
              <w:spacing w:after="0" w:line="240" w:lineRule="auto"/>
              <w:jc w:val="both"/>
              <w:rPr>
                <w:noProof/>
              </w:rPr>
            </w:pPr>
            <w:r>
              <w:rPr>
                <w:noProof/>
              </w:rPr>
              <w:t>Droit des sociétés n° 31/1990, initié par le Ministère de la Justice;</w:t>
            </w:r>
          </w:p>
          <w:p w14:paraId="06BD0840" w14:textId="77777777" w:rsidR="00A345F4" w:rsidRDefault="005E2D4E">
            <w:pPr>
              <w:pStyle w:val="P68B1DB1-Normal14"/>
              <w:spacing w:after="0" w:line="240" w:lineRule="auto"/>
              <w:jc w:val="both"/>
              <w:rPr>
                <w:noProof/>
              </w:rPr>
            </w:pPr>
            <w:r>
              <w:rPr>
                <w:noProof/>
              </w:rPr>
              <w:t>Loi n° 26/1990, republiée, relative au registre du commerce;</w:t>
            </w:r>
          </w:p>
          <w:p w14:paraId="1CF22205" w14:textId="77777777" w:rsidR="00A345F4" w:rsidRDefault="005E2D4E">
            <w:pPr>
              <w:pStyle w:val="P68B1DB1-Normal14"/>
              <w:spacing w:after="0" w:line="240" w:lineRule="auto"/>
              <w:jc w:val="both"/>
              <w:rPr>
                <w:noProof/>
              </w:rPr>
            </w:pPr>
            <w:r>
              <w:rPr>
                <w:noProof/>
              </w:rPr>
              <w:t>Décret-loi n° 122/1990 sur l'autorisation et le fonctionnement en Roumanie des représentants des entreprises et organisations économiques étrangères, initié par le ministère de l'Économie, de l'Entrepreneuriat et du Tourisme;</w:t>
            </w:r>
          </w:p>
          <w:p w14:paraId="100FE676" w14:textId="77777777" w:rsidR="00A345F4" w:rsidRDefault="005E2D4E">
            <w:pPr>
              <w:pStyle w:val="P68B1DB1-Normal14"/>
              <w:spacing w:after="0" w:line="240" w:lineRule="auto"/>
              <w:jc w:val="both"/>
              <w:rPr>
                <w:noProof/>
              </w:rPr>
            </w:pPr>
            <w:r>
              <w:rPr>
                <w:noProof/>
              </w:rPr>
              <w:t>Loi no 53/2003 sur le Code du travail, promulguée par le Ministère du travail et de la protection sociale</w:t>
            </w:r>
          </w:p>
        </w:tc>
      </w:tr>
      <w:tr w:rsidR="00A345F4" w14:paraId="64E97D5D"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D64A5C5" w14:textId="77777777" w:rsidR="00A345F4" w:rsidRDefault="005E2D4E">
            <w:pPr>
              <w:pStyle w:val="P68B1DB1-Normal14"/>
              <w:spacing w:after="0" w:line="240" w:lineRule="auto"/>
              <w:jc w:val="center"/>
              <w:rPr>
                <w:noProof/>
              </w:rPr>
            </w:pPr>
            <w:r>
              <w:rPr>
                <w:noProof/>
              </w:rPr>
              <w:t>242</w:t>
            </w:r>
          </w:p>
        </w:tc>
        <w:tc>
          <w:tcPr>
            <w:tcW w:w="1844" w:type="dxa"/>
            <w:tcBorders>
              <w:top w:val="nil"/>
              <w:left w:val="single" w:sz="4" w:space="0" w:color="auto"/>
              <w:bottom w:val="single" w:sz="4" w:space="0" w:color="auto"/>
              <w:right w:val="single" w:sz="4" w:space="0" w:color="auto"/>
            </w:tcBorders>
            <w:shd w:val="clear" w:color="auto" w:fill="C6EFCE"/>
            <w:noWrap/>
          </w:tcPr>
          <w:p w14:paraId="49385D5E" w14:textId="77777777" w:rsidR="00A345F4" w:rsidRDefault="005E2D4E">
            <w:pPr>
              <w:pStyle w:val="P68B1DB1-Normal14"/>
              <w:spacing w:after="0" w:line="240" w:lineRule="auto"/>
              <w:jc w:val="both"/>
              <w:rPr>
                <w:noProof/>
              </w:rPr>
            </w:pPr>
            <w:r>
              <w:rPr>
                <w:noProof/>
              </w:rPr>
              <w:t xml:space="preserve">Réforme 1. Transparence législative, débureaucratisation et simplification des procédures pour les entreprises </w:t>
            </w:r>
          </w:p>
        </w:tc>
        <w:tc>
          <w:tcPr>
            <w:tcW w:w="1373" w:type="dxa"/>
            <w:tcBorders>
              <w:top w:val="nil"/>
              <w:left w:val="single" w:sz="4" w:space="0" w:color="auto"/>
              <w:bottom w:val="single" w:sz="4" w:space="0" w:color="auto"/>
              <w:right w:val="single" w:sz="4" w:space="0" w:color="auto"/>
            </w:tcBorders>
            <w:shd w:val="clear" w:color="auto" w:fill="C6EFCE"/>
            <w:noWrap/>
          </w:tcPr>
          <w:p w14:paraId="1262C115" w14:textId="77777777" w:rsidR="00A345F4" w:rsidRDefault="005E2D4E">
            <w:pPr>
              <w:pStyle w:val="P68B1DB1-Normal14"/>
              <w:spacing w:after="0"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7196059D" w14:textId="77777777" w:rsidR="00A345F4" w:rsidRDefault="005E2D4E">
            <w:pPr>
              <w:pStyle w:val="P68B1DB1-Normal14"/>
              <w:spacing w:after="0" w:line="240" w:lineRule="auto"/>
              <w:jc w:val="both"/>
              <w:rPr>
                <w:noProof/>
              </w:rPr>
            </w:pPr>
            <w:r>
              <w:rPr>
                <w:noProof/>
              </w:rPr>
              <w:t>Entrée en vigueur des modifications législatives visant à simplifier et à rendre transparente et applicable la réalisation du test PME</w:t>
            </w:r>
          </w:p>
        </w:tc>
        <w:tc>
          <w:tcPr>
            <w:tcW w:w="1766" w:type="dxa"/>
            <w:tcBorders>
              <w:top w:val="nil"/>
              <w:left w:val="single" w:sz="4" w:space="0" w:color="auto"/>
              <w:bottom w:val="single" w:sz="4" w:space="0" w:color="auto"/>
              <w:right w:val="single" w:sz="4" w:space="0" w:color="auto"/>
            </w:tcBorders>
            <w:shd w:val="clear" w:color="auto" w:fill="C6EFCE"/>
            <w:noWrap/>
          </w:tcPr>
          <w:p w14:paraId="236240B6" w14:textId="77777777" w:rsidR="00A345F4" w:rsidRDefault="005E2D4E">
            <w:pPr>
              <w:pStyle w:val="P68B1DB1-Normal14"/>
              <w:spacing w:after="0" w:line="240" w:lineRule="auto"/>
              <w:jc w:val="both"/>
              <w:rPr>
                <w:noProof/>
              </w:rPr>
            </w:pPr>
            <w:r>
              <w:rPr>
                <w:noProof/>
              </w:rPr>
              <w:t>Disposition de la loi indiquant l'entrée en vigueur de la loi no 346/2004 sur la promotion de la création et du développement des petites et moyennes entreprises</w:t>
            </w:r>
          </w:p>
        </w:tc>
        <w:tc>
          <w:tcPr>
            <w:tcW w:w="1558" w:type="dxa"/>
            <w:tcBorders>
              <w:top w:val="nil"/>
              <w:left w:val="single" w:sz="4" w:space="0" w:color="auto"/>
              <w:bottom w:val="single" w:sz="4" w:space="0" w:color="auto"/>
              <w:right w:val="single" w:sz="4" w:space="0" w:color="auto"/>
            </w:tcBorders>
            <w:shd w:val="clear" w:color="auto" w:fill="C6EFCE"/>
            <w:noWrap/>
          </w:tcPr>
          <w:p w14:paraId="0B595685" w14:textId="77777777" w:rsidR="00A345F4" w:rsidRDefault="005E2D4E">
            <w:pPr>
              <w:pStyle w:val="P68B1DB1-Normal14"/>
              <w:spacing w:after="0" w:line="240" w:lineRule="auto"/>
              <w:jc w:val="both"/>
              <w:rPr>
                <w:rFonts w:eastAsia="Times New Roman"/>
                <w:noProof/>
              </w:rPr>
            </w:pPr>
            <w:r>
              <w:rPr>
                <w:noProof/>
              </w:rPr>
              <w:t xml:space="preserve"> </w:t>
            </w:r>
          </w:p>
        </w:tc>
        <w:tc>
          <w:tcPr>
            <w:tcW w:w="1116" w:type="dxa"/>
            <w:tcBorders>
              <w:top w:val="nil"/>
              <w:left w:val="single" w:sz="4" w:space="0" w:color="auto"/>
              <w:bottom w:val="single" w:sz="4" w:space="0" w:color="auto"/>
              <w:right w:val="single" w:sz="4" w:space="0" w:color="auto"/>
            </w:tcBorders>
            <w:shd w:val="clear" w:color="auto" w:fill="C6EFCE"/>
            <w:noWrap/>
          </w:tcPr>
          <w:p w14:paraId="7D58DBF8" w14:textId="77777777" w:rsidR="00A345F4" w:rsidRDefault="005E2D4E">
            <w:pPr>
              <w:pStyle w:val="P68B1DB1-Normal14"/>
              <w:spacing w:after="0" w:line="240" w:lineRule="auto"/>
              <w:jc w:val="both"/>
              <w:rPr>
                <w:rFonts w:eastAsia="Times New Roman"/>
                <w:noProof/>
              </w:rPr>
            </w:pPr>
            <w:r>
              <w:rPr>
                <w:noProof/>
              </w:rPr>
              <w:t xml:space="preserve"> </w:t>
            </w:r>
          </w:p>
        </w:tc>
        <w:tc>
          <w:tcPr>
            <w:tcW w:w="858" w:type="dxa"/>
            <w:tcBorders>
              <w:top w:val="nil"/>
              <w:left w:val="single" w:sz="4" w:space="0" w:color="auto"/>
              <w:bottom w:val="single" w:sz="4" w:space="0" w:color="auto"/>
              <w:right w:val="single" w:sz="4" w:space="0" w:color="auto"/>
            </w:tcBorders>
            <w:shd w:val="clear" w:color="auto" w:fill="C6EFCE"/>
            <w:noWrap/>
          </w:tcPr>
          <w:p w14:paraId="54FBA703" w14:textId="77777777" w:rsidR="00A345F4" w:rsidRDefault="005E2D4E">
            <w:pPr>
              <w:pStyle w:val="P68B1DB1-Normal14"/>
              <w:spacing w:after="0" w:line="240" w:lineRule="auto"/>
              <w:jc w:val="both"/>
              <w:rPr>
                <w:rFonts w:eastAsia="Times New Roman"/>
                <w:noProof/>
              </w:rPr>
            </w:pPr>
            <w:r>
              <w:rPr>
                <w:noProof/>
              </w:rPr>
              <w:t xml:space="preserve"> </w:t>
            </w:r>
          </w:p>
        </w:tc>
        <w:tc>
          <w:tcPr>
            <w:tcW w:w="943" w:type="dxa"/>
            <w:tcBorders>
              <w:top w:val="nil"/>
              <w:left w:val="single" w:sz="4" w:space="0" w:color="auto"/>
              <w:bottom w:val="single" w:sz="4" w:space="0" w:color="auto"/>
              <w:right w:val="single" w:sz="4" w:space="0" w:color="auto"/>
            </w:tcBorders>
            <w:shd w:val="clear" w:color="auto" w:fill="C6EFCE"/>
            <w:noWrap/>
          </w:tcPr>
          <w:p w14:paraId="554309E9" w14:textId="77777777" w:rsidR="00A345F4" w:rsidRDefault="005E2D4E">
            <w:pPr>
              <w:pStyle w:val="P68B1DB1-Normal14"/>
              <w:spacing w:after="0" w:line="240" w:lineRule="auto"/>
              <w:jc w:val="center"/>
              <w:rPr>
                <w:noProof/>
              </w:rPr>
            </w:pPr>
            <w:r>
              <w:rPr>
                <w:noProof/>
              </w:rPr>
              <w:t>T3</w:t>
            </w:r>
          </w:p>
        </w:tc>
        <w:tc>
          <w:tcPr>
            <w:tcW w:w="1065" w:type="dxa"/>
            <w:tcBorders>
              <w:top w:val="nil"/>
              <w:left w:val="single" w:sz="4" w:space="0" w:color="auto"/>
              <w:bottom w:val="single" w:sz="4" w:space="0" w:color="auto"/>
              <w:right w:val="single" w:sz="4" w:space="0" w:color="auto"/>
            </w:tcBorders>
            <w:shd w:val="clear" w:color="auto" w:fill="C6EFCE"/>
            <w:noWrap/>
          </w:tcPr>
          <w:p w14:paraId="07E01819" w14:textId="77777777" w:rsidR="00A345F4" w:rsidRDefault="005E2D4E">
            <w:pPr>
              <w:pStyle w:val="P68B1DB1-Normal14"/>
              <w:spacing w:after="0" w:line="240" w:lineRule="auto"/>
              <w:jc w:val="center"/>
              <w:rPr>
                <w:noProof/>
              </w:rPr>
            </w:pPr>
            <w:r>
              <w:rPr>
                <w:noProof/>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3B093280" w14:textId="77777777" w:rsidR="00A345F4" w:rsidRDefault="005E2D4E">
            <w:pPr>
              <w:pStyle w:val="P68B1DB1-Normal14"/>
              <w:spacing w:after="0" w:line="240" w:lineRule="auto"/>
              <w:jc w:val="both"/>
              <w:rPr>
                <w:noProof/>
              </w:rPr>
            </w:pPr>
            <w:r>
              <w:rPr>
                <w:noProof/>
              </w:rPr>
              <w:t xml:space="preserve">Les modifications législatives sont liées au test PME (l’évaluation ex ante de l’incidence économique, sociale et environnementale des propositions législatives sur les PME). </w:t>
            </w:r>
          </w:p>
          <w:p w14:paraId="6AE333E9" w14:textId="77777777" w:rsidR="00A345F4" w:rsidRDefault="005E2D4E">
            <w:pPr>
              <w:pStyle w:val="P68B1DB1-Normal14"/>
              <w:spacing w:after="0" w:line="240" w:lineRule="auto"/>
              <w:jc w:val="both"/>
              <w:rPr>
                <w:noProof/>
              </w:rPr>
            </w:pPr>
            <w:r>
              <w:rPr>
                <w:noProof/>
              </w:rPr>
              <w:t>Les modifications garantissent que:</w:t>
            </w:r>
          </w:p>
          <w:p w14:paraId="294B6290" w14:textId="77777777" w:rsidR="00A345F4" w:rsidRDefault="005E2D4E">
            <w:pPr>
              <w:pStyle w:val="P68B1DB1-Normal14"/>
              <w:numPr>
                <w:ilvl w:val="0"/>
                <w:numId w:val="99"/>
              </w:numPr>
              <w:spacing w:before="120" w:after="0" w:line="240" w:lineRule="auto"/>
              <w:ind w:left="299" w:hanging="218"/>
              <w:contextualSpacing/>
              <w:jc w:val="both"/>
              <w:rPr>
                <w:noProof/>
              </w:rPr>
            </w:pPr>
            <w:r>
              <w:rPr>
                <w:noProof/>
              </w:rPr>
              <w:t>Un échantillon plus large et représentatif de PME est consulté.</w:t>
            </w:r>
          </w:p>
          <w:p w14:paraId="4C10FDF6" w14:textId="77777777" w:rsidR="00A345F4" w:rsidRDefault="005E2D4E">
            <w:pPr>
              <w:pStyle w:val="P68B1DB1-Normal14"/>
              <w:numPr>
                <w:ilvl w:val="0"/>
                <w:numId w:val="99"/>
              </w:numPr>
              <w:spacing w:before="120" w:after="0" w:line="240" w:lineRule="auto"/>
              <w:ind w:left="299" w:hanging="218"/>
              <w:contextualSpacing/>
              <w:jc w:val="both"/>
              <w:rPr>
                <w:noProof/>
              </w:rPr>
            </w:pPr>
            <w:r>
              <w:rPr>
                <w:noProof/>
              </w:rPr>
              <w:t>les résultats du test PME pour chaque proposition législative sont publiés dans un délai de 30 jours;</w:t>
            </w:r>
          </w:p>
          <w:p w14:paraId="42EBA36E" w14:textId="77777777" w:rsidR="00A345F4" w:rsidRDefault="005E2D4E">
            <w:pPr>
              <w:pStyle w:val="P68B1DB1-Normal14"/>
              <w:numPr>
                <w:ilvl w:val="0"/>
                <w:numId w:val="99"/>
              </w:numPr>
              <w:spacing w:before="120" w:after="0" w:line="240" w:lineRule="auto"/>
              <w:ind w:left="299" w:hanging="218"/>
              <w:contextualSpacing/>
              <w:jc w:val="both"/>
              <w:rPr>
                <w:noProof/>
              </w:rPr>
            </w:pPr>
            <w:r>
              <w:rPr>
                <w:noProof/>
              </w:rPr>
              <w:t>les résultats du test PME sont intégrés dans la proposition législative/les amendements relatifs aux PME.</w:t>
            </w:r>
          </w:p>
        </w:tc>
      </w:tr>
      <w:tr w:rsidR="00A345F4" w14:paraId="2CD12B0B"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C7B40C9" w14:textId="77777777" w:rsidR="00A345F4" w:rsidRDefault="005E2D4E">
            <w:pPr>
              <w:pStyle w:val="P68B1DB1-Normal14"/>
              <w:spacing w:after="0" w:line="240" w:lineRule="auto"/>
              <w:jc w:val="center"/>
              <w:rPr>
                <w:noProof/>
              </w:rPr>
            </w:pPr>
            <w:r>
              <w:rPr>
                <w:noProof/>
              </w:rPr>
              <w:t>243</w:t>
            </w:r>
          </w:p>
        </w:tc>
        <w:tc>
          <w:tcPr>
            <w:tcW w:w="1844" w:type="dxa"/>
            <w:tcBorders>
              <w:top w:val="nil"/>
              <w:left w:val="single" w:sz="4" w:space="0" w:color="auto"/>
              <w:bottom w:val="single" w:sz="4" w:space="0" w:color="auto"/>
              <w:right w:val="single" w:sz="4" w:space="0" w:color="auto"/>
            </w:tcBorders>
            <w:shd w:val="clear" w:color="auto" w:fill="C6EFCE"/>
            <w:noWrap/>
          </w:tcPr>
          <w:p w14:paraId="4F713D5B" w14:textId="77777777" w:rsidR="00A345F4" w:rsidRDefault="005E2D4E">
            <w:pPr>
              <w:pStyle w:val="P68B1DB1-Normal14"/>
              <w:spacing w:after="0" w:line="240" w:lineRule="auto"/>
              <w:jc w:val="both"/>
              <w:rPr>
                <w:noProof/>
              </w:rPr>
            </w:pPr>
            <w:r>
              <w:rPr>
                <w:noProof/>
              </w:rPr>
              <w:t xml:space="preserve">Réforme 1. Transparence législative, débureaucratisation et simplification des procédures pour les entreprises </w:t>
            </w:r>
          </w:p>
        </w:tc>
        <w:tc>
          <w:tcPr>
            <w:tcW w:w="1373" w:type="dxa"/>
            <w:tcBorders>
              <w:top w:val="nil"/>
              <w:left w:val="single" w:sz="4" w:space="0" w:color="auto"/>
              <w:bottom w:val="single" w:sz="4" w:space="0" w:color="auto"/>
              <w:right w:val="single" w:sz="4" w:space="0" w:color="auto"/>
            </w:tcBorders>
            <w:shd w:val="clear" w:color="auto" w:fill="C6EFCE"/>
            <w:noWrap/>
          </w:tcPr>
          <w:p w14:paraId="464B99E9" w14:textId="77777777" w:rsidR="00A345F4" w:rsidRDefault="005E2D4E">
            <w:pPr>
              <w:pStyle w:val="P68B1DB1-Normal14"/>
              <w:spacing w:after="0"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5D5C4EEB" w14:textId="77777777" w:rsidR="00A345F4" w:rsidRDefault="005E2D4E">
            <w:pPr>
              <w:pStyle w:val="P68B1DB1-Normal14"/>
              <w:spacing w:after="0" w:line="240" w:lineRule="auto"/>
              <w:jc w:val="both"/>
              <w:rPr>
                <w:noProof/>
              </w:rPr>
            </w:pPr>
            <w:r>
              <w:rPr>
                <w:noProof/>
              </w:rPr>
              <w:t xml:space="preserve">Entrée en vigueur de la loi «licence industrielle unique» </w:t>
            </w:r>
          </w:p>
        </w:tc>
        <w:tc>
          <w:tcPr>
            <w:tcW w:w="1766" w:type="dxa"/>
            <w:tcBorders>
              <w:top w:val="nil"/>
              <w:left w:val="single" w:sz="4" w:space="0" w:color="auto"/>
              <w:bottom w:val="single" w:sz="4" w:space="0" w:color="auto"/>
              <w:right w:val="single" w:sz="4" w:space="0" w:color="auto"/>
            </w:tcBorders>
            <w:shd w:val="clear" w:color="auto" w:fill="C6EFCE"/>
            <w:noWrap/>
          </w:tcPr>
          <w:p w14:paraId="394C6DF4" w14:textId="77777777" w:rsidR="00A345F4" w:rsidRDefault="005E2D4E">
            <w:pPr>
              <w:pStyle w:val="P68B1DB1-Normal14"/>
              <w:spacing w:after="0" w:line="240" w:lineRule="auto"/>
              <w:jc w:val="both"/>
              <w:rPr>
                <w:noProof/>
              </w:rPr>
            </w:pPr>
            <w:r>
              <w:rPr>
                <w:noProof/>
              </w:rPr>
              <w:t>Disposition de la loi indiquant l'entrée en vigueur de la licence industrielle unique</w:t>
            </w:r>
          </w:p>
        </w:tc>
        <w:tc>
          <w:tcPr>
            <w:tcW w:w="1558" w:type="dxa"/>
            <w:tcBorders>
              <w:top w:val="nil"/>
              <w:left w:val="single" w:sz="4" w:space="0" w:color="auto"/>
              <w:bottom w:val="single" w:sz="4" w:space="0" w:color="auto"/>
              <w:right w:val="single" w:sz="4" w:space="0" w:color="auto"/>
            </w:tcBorders>
            <w:shd w:val="clear" w:color="auto" w:fill="C6EFCE"/>
            <w:noWrap/>
          </w:tcPr>
          <w:p w14:paraId="442308A6" w14:textId="77777777" w:rsidR="00A345F4" w:rsidRDefault="005E2D4E">
            <w:pPr>
              <w:pStyle w:val="P68B1DB1-Normal14"/>
              <w:spacing w:after="0" w:line="240" w:lineRule="auto"/>
              <w:jc w:val="both"/>
              <w:rPr>
                <w:rFonts w:eastAsia="Times New Roman"/>
                <w:noProof/>
              </w:rPr>
            </w:pPr>
            <w:r>
              <w:rPr>
                <w:noProof/>
              </w:rPr>
              <w:t xml:space="preserve"> </w:t>
            </w:r>
          </w:p>
        </w:tc>
        <w:tc>
          <w:tcPr>
            <w:tcW w:w="1116" w:type="dxa"/>
            <w:tcBorders>
              <w:top w:val="nil"/>
              <w:left w:val="single" w:sz="4" w:space="0" w:color="auto"/>
              <w:bottom w:val="single" w:sz="4" w:space="0" w:color="auto"/>
              <w:right w:val="single" w:sz="4" w:space="0" w:color="auto"/>
            </w:tcBorders>
            <w:shd w:val="clear" w:color="auto" w:fill="C6EFCE"/>
            <w:noWrap/>
          </w:tcPr>
          <w:p w14:paraId="0F0FAE6F" w14:textId="77777777" w:rsidR="00A345F4" w:rsidRDefault="005E2D4E">
            <w:pPr>
              <w:pStyle w:val="P68B1DB1-Normal14"/>
              <w:spacing w:after="0" w:line="240" w:lineRule="auto"/>
              <w:jc w:val="both"/>
              <w:rPr>
                <w:rFonts w:eastAsia="Times New Roman"/>
                <w:noProof/>
              </w:rPr>
            </w:pPr>
            <w:r>
              <w:rPr>
                <w:noProof/>
              </w:rPr>
              <w:t xml:space="preserve"> </w:t>
            </w:r>
          </w:p>
        </w:tc>
        <w:tc>
          <w:tcPr>
            <w:tcW w:w="858" w:type="dxa"/>
            <w:tcBorders>
              <w:top w:val="nil"/>
              <w:left w:val="single" w:sz="4" w:space="0" w:color="auto"/>
              <w:bottom w:val="single" w:sz="4" w:space="0" w:color="auto"/>
              <w:right w:val="single" w:sz="4" w:space="0" w:color="auto"/>
            </w:tcBorders>
            <w:shd w:val="clear" w:color="auto" w:fill="C6EFCE"/>
            <w:noWrap/>
          </w:tcPr>
          <w:p w14:paraId="67A3A1E7" w14:textId="77777777" w:rsidR="00A345F4" w:rsidRDefault="005E2D4E">
            <w:pPr>
              <w:pStyle w:val="P68B1DB1-Normal14"/>
              <w:spacing w:after="0" w:line="240" w:lineRule="auto"/>
              <w:jc w:val="both"/>
              <w:rPr>
                <w:rFonts w:eastAsia="Times New Roman"/>
                <w:noProof/>
              </w:rPr>
            </w:pPr>
            <w:r>
              <w:rPr>
                <w:noProof/>
              </w:rPr>
              <w:t xml:space="preserve"> </w:t>
            </w:r>
          </w:p>
        </w:tc>
        <w:tc>
          <w:tcPr>
            <w:tcW w:w="943" w:type="dxa"/>
            <w:tcBorders>
              <w:top w:val="nil"/>
              <w:left w:val="single" w:sz="4" w:space="0" w:color="auto"/>
              <w:bottom w:val="single" w:sz="4" w:space="0" w:color="auto"/>
              <w:right w:val="single" w:sz="4" w:space="0" w:color="auto"/>
            </w:tcBorders>
            <w:shd w:val="clear" w:color="auto" w:fill="C6EFCE"/>
            <w:noWrap/>
          </w:tcPr>
          <w:p w14:paraId="0B8702FF" w14:textId="77777777" w:rsidR="00A345F4" w:rsidRDefault="005E2D4E">
            <w:pPr>
              <w:pStyle w:val="P68B1DB1-Normal14"/>
              <w:spacing w:after="0" w:line="240" w:lineRule="auto"/>
              <w:jc w:val="center"/>
              <w:rPr>
                <w:noProof/>
              </w:rPr>
            </w:pPr>
            <w:r>
              <w:rPr>
                <w:noProof/>
              </w:rPr>
              <w:t>T4</w:t>
            </w:r>
          </w:p>
        </w:tc>
        <w:tc>
          <w:tcPr>
            <w:tcW w:w="1065" w:type="dxa"/>
            <w:tcBorders>
              <w:top w:val="nil"/>
              <w:left w:val="single" w:sz="4" w:space="0" w:color="auto"/>
              <w:bottom w:val="single" w:sz="4" w:space="0" w:color="auto"/>
              <w:right w:val="single" w:sz="4" w:space="0" w:color="auto"/>
            </w:tcBorders>
            <w:shd w:val="clear" w:color="auto" w:fill="C6EFCE"/>
            <w:noWrap/>
          </w:tcPr>
          <w:p w14:paraId="558AAF93" w14:textId="77777777" w:rsidR="00A345F4" w:rsidRDefault="005E2D4E">
            <w:pPr>
              <w:pStyle w:val="P68B1DB1-Normal14"/>
              <w:spacing w:after="0" w:line="240" w:lineRule="auto"/>
              <w:jc w:val="center"/>
              <w:rPr>
                <w:noProof/>
              </w:rPr>
            </w:pPr>
            <w:r>
              <w:rPr>
                <w:noProof/>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447E8A6C" w14:textId="77777777" w:rsidR="00A345F4" w:rsidRDefault="005E2D4E">
            <w:pPr>
              <w:pStyle w:val="P68B1DB1-Normal14"/>
              <w:spacing w:after="0" w:line="240" w:lineRule="auto"/>
              <w:jc w:val="both"/>
              <w:rPr>
                <w:noProof/>
              </w:rPr>
            </w:pPr>
            <w:r>
              <w:rPr>
                <w:noProof/>
              </w:rPr>
              <w:t xml:space="preserve">Le droit de la licence industrielle unique garantit: </w:t>
            </w:r>
          </w:p>
          <w:p w14:paraId="459119EA" w14:textId="77777777" w:rsidR="00A345F4" w:rsidRDefault="005E2D4E">
            <w:pPr>
              <w:pStyle w:val="P68B1DB1-Normal14"/>
              <w:numPr>
                <w:ilvl w:val="0"/>
                <w:numId w:val="100"/>
              </w:numPr>
              <w:spacing w:before="120" w:after="0" w:line="240" w:lineRule="auto"/>
              <w:ind w:left="441"/>
              <w:contextualSpacing/>
              <w:jc w:val="both"/>
              <w:rPr>
                <w:noProof/>
              </w:rPr>
            </w:pPr>
            <w:r>
              <w:rPr>
                <w:noProof/>
              </w:rPr>
              <w:t>une réorganisation des procédures nécessaires à l'obtention des licences liées à l'industrie,</w:t>
            </w:r>
          </w:p>
          <w:p w14:paraId="6A9C0730" w14:textId="77777777" w:rsidR="00A345F4" w:rsidRDefault="005E2D4E">
            <w:pPr>
              <w:pStyle w:val="P68B1DB1-Normal14"/>
              <w:numPr>
                <w:ilvl w:val="0"/>
                <w:numId w:val="100"/>
              </w:numPr>
              <w:spacing w:before="120" w:after="0" w:line="240" w:lineRule="auto"/>
              <w:ind w:left="441"/>
              <w:contextualSpacing/>
              <w:jc w:val="both"/>
              <w:rPr>
                <w:noProof/>
              </w:rPr>
            </w:pPr>
            <w:r>
              <w:rPr>
                <w:noProof/>
              </w:rPr>
              <w:t xml:space="preserve"> l'intégration des licences sectorielles existantes en une seule procédure simplifiée, </w:t>
            </w:r>
          </w:p>
          <w:p w14:paraId="7ECCACD4" w14:textId="77777777" w:rsidR="00A345F4" w:rsidRDefault="005E2D4E">
            <w:pPr>
              <w:pStyle w:val="P68B1DB1-Normal14"/>
              <w:numPr>
                <w:ilvl w:val="0"/>
                <w:numId w:val="100"/>
              </w:numPr>
              <w:spacing w:before="120" w:after="0" w:line="240" w:lineRule="auto"/>
              <w:ind w:left="441"/>
              <w:contextualSpacing/>
              <w:jc w:val="both"/>
              <w:rPr>
                <w:noProof/>
              </w:rPr>
            </w:pPr>
            <w:r>
              <w:rPr>
                <w:noProof/>
              </w:rPr>
              <w:t xml:space="preserve">la refonte des procédures de demande, l'institution d'un organe de coordination, d'un groupe de travail interministériel, pour coordonner ces procédures, </w:t>
            </w:r>
          </w:p>
          <w:p w14:paraId="0D0F2C8B" w14:textId="77777777" w:rsidR="00A345F4" w:rsidRDefault="005E2D4E">
            <w:pPr>
              <w:pStyle w:val="P68B1DB1-Normal14"/>
              <w:numPr>
                <w:ilvl w:val="0"/>
                <w:numId w:val="100"/>
              </w:numPr>
              <w:spacing w:before="120" w:after="0" w:line="240" w:lineRule="auto"/>
              <w:ind w:left="441"/>
              <w:contextualSpacing/>
              <w:jc w:val="both"/>
              <w:rPr>
                <w:noProof/>
              </w:rPr>
            </w:pPr>
            <w:r>
              <w:rPr>
                <w:noProof/>
              </w:rPr>
              <w:t xml:space="preserve">la suppression du double contrôle et des exigences inutiles en matière de renouvellement des licences, </w:t>
            </w:r>
          </w:p>
          <w:p w14:paraId="1A2C76C9" w14:textId="77777777" w:rsidR="00A345F4" w:rsidRDefault="005E2D4E">
            <w:pPr>
              <w:pStyle w:val="P68B1DB1-Normal14"/>
              <w:numPr>
                <w:ilvl w:val="0"/>
                <w:numId w:val="100"/>
              </w:numPr>
              <w:spacing w:before="120" w:after="0" w:line="240" w:lineRule="auto"/>
              <w:ind w:left="441"/>
              <w:contextualSpacing/>
              <w:jc w:val="both"/>
              <w:rPr>
                <w:noProof/>
              </w:rPr>
            </w:pPr>
            <w:r>
              <w:rPr>
                <w:noProof/>
              </w:rPr>
              <w:t xml:space="preserve">Création d'une taxonomie des types de licences, en fonction de leurs principales caractéristiques et caractéristiques </w:t>
            </w:r>
          </w:p>
          <w:p w14:paraId="36D5CFE4" w14:textId="77777777" w:rsidR="00A345F4" w:rsidRDefault="005E2D4E">
            <w:pPr>
              <w:pStyle w:val="P68B1DB1-Normal14"/>
              <w:numPr>
                <w:ilvl w:val="0"/>
                <w:numId w:val="100"/>
              </w:numPr>
              <w:spacing w:before="120" w:after="0" w:line="240" w:lineRule="auto"/>
              <w:ind w:left="441"/>
              <w:contextualSpacing/>
              <w:jc w:val="both"/>
              <w:rPr>
                <w:noProof/>
              </w:rPr>
            </w:pPr>
            <w:r>
              <w:rPr>
                <w:noProof/>
              </w:rPr>
              <w:t>une modification de la loi de 2003 qui établit une politique de «silence is consent» (ordonnance gouvernementale d’urgence no 27/2003) visant à prévoir un délai d’approbation tacite (le silence est un consentement) qui entre en vigueur lorsque la plateforme électronique enregistre la demande de licence. La demande d'autorisation est accordée automatiquement si/lorsque l'approbation tacite a lieu;</w:t>
            </w:r>
          </w:p>
          <w:p w14:paraId="4395339F" w14:textId="77777777" w:rsidR="00A345F4" w:rsidRDefault="005E2D4E">
            <w:pPr>
              <w:pStyle w:val="P68B1DB1-Normal14"/>
              <w:numPr>
                <w:ilvl w:val="0"/>
                <w:numId w:val="100"/>
              </w:numPr>
              <w:spacing w:before="120" w:after="0" w:line="240" w:lineRule="auto"/>
              <w:ind w:left="441"/>
              <w:contextualSpacing/>
              <w:jc w:val="both"/>
              <w:rPr>
                <w:noProof/>
              </w:rPr>
            </w:pPr>
            <w:r>
              <w:rPr>
                <w:noProof/>
              </w:rPr>
              <w:t>l’adoption, dans la législation roumaine, du principe «une fois pour toutes», permettant aux investisseurs de n’être tenus de fournir les mêmes informations ou documents aux institutions publiques qu’une seule fois;</w:t>
            </w:r>
          </w:p>
          <w:p w14:paraId="4DEA33C7" w14:textId="77777777" w:rsidR="00A345F4" w:rsidRDefault="005E2D4E">
            <w:pPr>
              <w:pStyle w:val="P68B1DB1-Normal14"/>
              <w:numPr>
                <w:ilvl w:val="0"/>
                <w:numId w:val="100"/>
              </w:numPr>
              <w:spacing w:before="120" w:after="0" w:line="240" w:lineRule="auto"/>
              <w:ind w:left="441"/>
              <w:contextualSpacing/>
              <w:jc w:val="both"/>
              <w:rPr>
                <w:noProof/>
              </w:rPr>
            </w:pPr>
            <w:r>
              <w:rPr>
                <w:noProof/>
              </w:rPr>
              <w:t xml:space="preserve">l’adoption des modifications législatives nécessaires à la mise en œuvre intégrale d’un point de contact unique électronique, y compris une définition de ses principales caractéristiques. </w:t>
            </w:r>
          </w:p>
        </w:tc>
      </w:tr>
      <w:tr w:rsidR="00A345F4" w14:paraId="10593180"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F6CFEFD" w14:textId="77777777" w:rsidR="00A345F4" w:rsidRDefault="005E2D4E">
            <w:pPr>
              <w:pStyle w:val="P68B1DB1-Normal14"/>
              <w:spacing w:after="0" w:line="240" w:lineRule="auto"/>
              <w:jc w:val="center"/>
              <w:rPr>
                <w:noProof/>
              </w:rPr>
            </w:pPr>
            <w:r>
              <w:rPr>
                <w:noProof/>
              </w:rPr>
              <w:t>244</w:t>
            </w:r>
          </w:p>
        </w:tc>
        <w:tc>
          <w:tcPr>
            <w:tcW w:w="1844" w:type="dxa"/>
            <w:tcBorders>
              <w:top w:val="nil"/>
              <w:left w:val="single" w:sz="4" w:space="0" w:color="auto"/>
              <w:bottom w:val="single" w:sz="4" w:space="0" w:color="auto"/>
              <w:right w:val="single" w:sz="4" w:space="0" w:color="auto"/>
            </w:tcBorders>
            <w:shd w:val="clear" w:color="auto" w:fill="C6EFCE"/>
            <w:noWrap/>
          </w:tcPr>
          <w:p w14:paraId="437F2061" w14:textId="77777777" w:rsidR="00A345F4" w:rsidRDefault="005E2D4E">
            <w:pPr>
              <w:pStyle w:val="P68B1DB1-Normal14"/>
              <w:spacing w:after="0" w:line="240" w:lineRule="auto"/>
              <w:jc w:val="both"/>
              <w:rPr>
                <w:noProof/>
              </w:rPr>
            </w:pPr>
            <w:r>
              <w:rPr>
                <w:noProof/>
              </w:rPr>
              <w:t xml:space="preserve">Réforme 1. Transparence législative, débureaucratisation et simplification des procédures pour les entreprises </w:t>
            </w:r>
          </w:p>
        </w:tc>
        <w:tc>
          <w:tcPr>
            <w:tcW w:w="1373" w:type="dxa"/>
            <w:tcBorders>
              <w:top w:val="nil"/>
              <w:left w:val="single" w:sz="4" w:space="0" w:color="auto"/>
              <w:bottom w:val="single" w:sz="4" w:space="0" w:color="auto"/>
              <w:right w:val="single" w:sz="4" w:space="0" w:color="auto"/>
            </w:tcBorders>
            <w:shd w:val="clear" w:color="auto" w:fill="C6EFCE"/>
            <w:noWrap/>
          </w:tcPr>
          <w:p w14:paraId="7F09F570" w14:textId="77777777" w:rsidR="00A345F4" w:rsidRDefault="005E2D4E">
            <w:pPr>
              <w:pStyle w:val="P68B1DB1-Normal14"/>
              <w:spacing w:after="0" w:line="240" w:lineRule="auto"/>
              <w:jc w:val="center"/>
              <w:rPr>
                <w:noProof/>
              </w:rPr>
            </w:pPr>
            <w:r>
              <w:rPr>
                <w:noProof/>
              </w:rPr>
              <w:t>Objectif</w:t>
            </w:r>
          </w:p>
        </w:tc>
        <w:tc>
          <w:tcPr>
            <w:tcW w:w="1212" w:type="dxa"/>
            <w:tcBorders>
              <w:top w:val="nil"/>
              <w:left w:val="single" w:sz="4" w:space="0" w:color="auto"/>
              <w:bottom w:val="single" w:sz="4" w:space="0" w:color="auto"/>
              <w:right w:val="single" w:sz="4" w:space="0" w:color="auto"/>
            </w:tcBorders>
            <w:shd w:val="clear" w:color="auto" w:fill="C6EFCE"/>
            <w:noWrap/>
          </w:tcPr>
          <w:p w14:paraId="3C19BF7A" w14:textId="69E6BC5D" w:rsidR="00A345F4" w:rsidRDefault="005E2D4E">
            <w:pPr>
              <w:pStyle w:val="P68B1DB1-Normal14"/>
              <w:spacing w:after="0" w:line="240" w:lineRule="auto"/>
              <w:jc w:val="both"/>
              <w:rPr>
                <w:noProof/>
              </w:rPr>
            </w:pPr>
            <w:r>
              <w:rPr>
                <w:noProof/>
              </w:rPr>
              <w:t xml:space="preserve">Réduire le temps de démarrage d'une entreprise </w:t>
            </w:r>
          </w:p>
        </w:tc>
        <w:tc>
          <w:tcPr>
            <w:tcW w:w="1766" w:type="dxa"/>
            <w:tcBorders>
              <w:top w:val="nil"/>
              <w:left w:val="single" w:sz="4" w:space="0" w:color="auto"/>
              <w:bottom w:val="single" w:sz="4" w:space="0" w:color="auto"/>
              <w:right w:val="single" w:sz="4" w:space="0" w:color="auto"/>
            </w:tcBorders>
            <w:shd w:val="clear" w:color="auto" w:fill="C6EFCE"/>
            <w:noWrap/>
          </w:tcPr>
          <w:p w14:paraId="42D3737A" w14:textId="77777777" w:rsidR="00A345F4" w:rsidRDefault="005E2D4E">
            <w:pPr>
              <w:pStyle w:val="P68B1DB1-Normal14"/>
              <w:spacing w:after="0" w:line="240" w:lineRule="auto"/>
              <w:jc w:val="both"/>
              <w:rPr>
                <w:noProof/>
              </w:rPr>
            </w:pPr>
            <w:r>
              <w:rPr>
                <w:noProof/>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501E616" w14:textId="77777777" w:rsidR="00A345F4" w:rsidRDefault="005E2D4E">
            <w:pPr>
              <w:pStyle w:val="P68B1DB1-Normal14"/>
              <w:spacing w:after="0" w:line="240" w:lineRule="auto"/>
              <w:rPr>
                <w:rFonts w:eastAsia="Times New Roman"/>
                <w:noProof/>
              </w:rPr>
            </w:pPr>
            <w:r>
              <w:rPr>
                <w:noProof/>
              </w:rPr>
              <w:t>Pourcentage (%)</w:t>
            </w:r>
          </w:p>
          <w:p w14:paraId="74E4C0D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06C7ED8D" w14:textId="77777777" w:rsidR="00A345F4" w:rsidRDefault="005E2D4E">
            <w:pPr>
              <w:pStyle w:val="P68B1DB1-Normal14"/>
              <w:spacing w:after="0" w:line="240" w:lineRule="auto"/>
              <w:jc w:val="both"/>
              <w:rPr>
                <w:noProof/>
              </w:rPr>
            </w:pPr>
            <w:r>
              <w:rPr>
                <w:noProof/>
              </w:rPr>
              <w:t>0</w:t>
            </w:r>
          </w:p>
        </w:tc>
        <w:tc>
          <w:tcPr>
            <w:tcW w:w="858" w:type="dxa"/>
            <w:tcBorders>
              <w:top w:val="nil"/>
              <w:left w:val="single" w:sz="4" w:space="0" w:color="auto"/>
              <w:bottom w:val="single" w:sz="4" w:space="0" w:color="auto"/>
              <w:right w:val="single" w:sz="4" w:space="0" w:color="auto"/>
            </w:tcBorders>
            <w:shd w:val="clear" w:color="auto" w:fill="C6EFCE"/>
            <w:noWrap/>
          </w:tcPr>
          <w:p w14:paraId="3EF0F916" w14:textId="77777777" w:rsidR="00A345F4" w:rsidRDefault="005E2D4E">
            <w:pPr>
              <w:pStyle w:val="P68B1DB1-Normal14"/>
              <w:spacing w:after="0" w:line="240" w:lineRule="auto"/>
              <w:jc w:val="both"/>
              <w:rPr>
                <w:rFonts w:eastAsia="Times New Roman"/>
                <w:noProof/>
              </w:rPr>
            </w:pPr>
            <w:r>
              <w:rPr>
                <w:noProof/>
              </w:rPr>
              <w:t>50</w:t>
            </w:r>
          </w:p>
        </w:tc>
        <w:tc>
          <w:tcPr>
            <w:tcW w:w="943" w:type="dxa"/>
            <w:tcBorders>
              <w:top w:val="nil"/>
              <w:left w:val="single" w:sz="4" w:space="0" w:color="auto"/>
              <w:bottom w:val="single" w:sz="4" w:space="0" w:color="auto"/>
              <w:right w:val="single" w:sz="4" w:space="0" w:color="auto"/>
            </w:tcBorders>
            <w:shd w:val="clear" w:color="auto" w:fill="C6EFCE"/>
            <w:noWrap/>
          </w:tcPr>
          <w:p w14:paraId="3D90AA0B" w14:textId="77777777" w:rsidR="00A345F4" w:rsidRDefault="005E2D4E">
            <w:pPr>
              <w:pStyle w:val="P68B1DB1-Normal14"/>
              <w:spacing w:after="0" w:line="240" w:lineRule="auto"/>
              <w:jc w:val="center"/>
              <w:rPr>
                <w:noProof/>
              </w:rPr>
            </w:pPr>
            <w:r>
              <w:rPr>
                <w:noProof/>
              </w:rPr>
              <w:t>T4</w:t>
            </w:r>
          </w:p>
        </w:tc>
        <w:tc>
          <w:tcPr>
            <w:tcW w:w="1065" w:type="dxa"/>
            <w:tcBorders>
              <w:top w:val="nil"/>
              <w:left w:val="single" w:sz="4" w:space="0" w:color="auto"/>
              <w:bottom w:val="single" w:sz="4" w:space="0" w:color="auto"/>
              <w:right w:val="single" w:sz="4" w:space="0" w:color="auto"/>
            </w:tcBorders>
            <w:shd w:val="clear" w:color="auto" w:fill="C6EFCE"/>
            <w:noWrap/>
          </w:tcPr>
          <w:p w14:paraId="71D834CB" w14:textId="77777777" w:rsidR="00A345F4" w:rsidRDefault="005E2D4E">
            <w:pPr>
              <w:pStyle w:val="P68B1DB1-Normal14"/>
              <w:spacing w:after="0" w:line="240" w:lineRule="auto"/>
              <w:jc w:val="center"/>
              <w:rPr>
                <w:noProof/>
              </w:rPr>
            </w:pPr>
            <w:r>
              <w:rPr>
                <w:noProof/>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0E6E56EC" w14:textId="77777777" w:rsidR="00A345F4" w:rsidRDefault="005E2D4E">
            <w:pPr>
              <w:pStyle w:val="P68B1DB1-Normal14"/>
              <w:spacing w:before="120" w:after="0" w:line="240" w:lineRule="auto"/>
              <w:contextualSpacing/>
              <w:jc w:val="both"/>
              <w:rPr>
                <w:noProof/>
              </w:rPr>
            </w:pPr>
            <w:r>
              <w:rPr>
                <w:noProof/>
              </w:rPr>
              <w:t>Réduction de 50 % du temps nécessaire pour démarrer une entreprise en 2025 par rapport à la base de référence de 20 jours pour 2020</w:t>
            </w:r>
          </w:p>
          <w:p w14:paraId="3A0942EC" w14:textId="77777777" w:rsidR="00A345F4" w:rsidRDefault="00A345F4">
            <w:pPr>
              <w:spacing w:before="120" w:after="0" w:line="240" w:lineRule="auto"/>
              <w:contextualSpacing/>
              <w:jc w:val="both"/>
              <w:rPr>
                <w:rFonts w:ascii="Times New Roman" w:hAnsi="Times New Roman" w:cs="Times New Roman"/>
                <w:noProof/>
                <w:sz w:val="20"/>
                <w:szCs w:val="20"/>
              </w:rPr>
            </w:pPr>
          </w:p>
        </w:tc>
      </w:tr>
      <w:tr w:rsidR="00A345F4" w14:paraId="19FFBD96"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8CCC634" w14:textId="77777777" w:rsidR="00A345F4" w:rsidRDefault="005E2D4E">
            <w:pPr>
              <w:pStyle w:val="P68B1DB1-Normal14"/>
              <w:spacing w:after="0" w:line="240" w:lineRule="auto"/>
              <w:jc w:val="center"/>
              <w:rPr>
                <w:noProof/>
              </w:rPr>
            </w:pPr>
            <w:r>
              <w:rPr>
                <w:noProof/>
              </w:rPr>
              <w:t>245</w:t>
            </w:r>
          </w:p>
        </w:tc>
        <w:tc>
          <w:tcPr>
            <w:tcW w:w="1844" w:type="dxa"/>
            <w:tcBorders>
              <w:top w:val="nil"/>
              <w:left w:val="single" w:sz="4" w:space="0" w:color="auto"/>
              <w:bottom w:val="single" w:sz="4" w:space="0" w:color="auto"/>
              <w:right w:val="single" w:sz="4" w:space="0" w:color="auto"/>
            </w:tcBorders>
            <w:shd w:val="clear" w:color="auto" w:fill="C6EFCE"/>
            <w:noWrap/>
          </w:tcPr>
          <w:p w14:paraId="72DC9666" w14:textId="659C9588" w:rsidR="00A345F4" w:rsidRDefault="005E2D4E">
            <w:pPr>
              <w:pStyle w:val="P68B1DB1-Normal14"/>
              <w:spacing w:after="0" w:line="240" w:lineRule="auto"/>
              <w:jc w:val="both"/>
              <w:rPr>
                <w:noProof/>
              </w:rPr>
            </w:pPr>
            <w:r>
              <w:rPr>
                <w:noProof/>
              </w:rPr>
              <w:t xml:space="preserve">Réforme 1 Transparence législative, débureaucratisation et simplification des procédures pour les entreprises </w:t>
            </w:r>
          </w:p>
          <w:p w14:paraId="1382BB46" w14:textId="77777777" w:rsidR="00A345F4" w:rsidRDefault="00A345F4">
            <w:pPr>
              <w:spacing w:after="0" w:line="240" w:lineRule="auto"/>
              <w:jc w:val="both"/>
              <w:rPr>
                <w:rFonts w:ascii="Times New Roman" w:hAnsi="Times New Roman" w:cs="Times New Roman"/>
                <w:noProof/>
                <w:sz w:val="20"/>
                <w:szCs w:val="20"/>
              </w:rPr>
            </w:pPr>
          </w:p>
        </w:tc>
        <w:tc>
          <w:tcPr>
            <w:tcW w:w="1373" w:type="dxa"/>
            <w:tcBorders>
              <w:top w:val="nil"/>
              <w:left w:val="single" w:sz="4" w:space="0" w:color="auto"/>
              <w:bottom w:val="single" w:sz="4" w:space="0" w:color="auto"/>
              <w:right w:val="single" w:sz="4" w:space="0" w:color="auto"/>
            </w:tcBorders>
            <w:shd w:val="clear" w:color="auto" w:fill="C6EFCE"/>
            <w:noWrap/>
          </w:tcPr>
          <w:p w14:paraId="1957156B" w14:textId="77777777" w:rsidR="00A345F4" w:rsidRDefault="005E2D4E">
            <w:pPr>
              <w:pStyle w:val="P68B1DB1-Normal14"/>
              <w:spacing w:after="0" w:line="240" w:lineRule="auto"/>
              <w:jc w:val="center"/>
              <w:rPr>
                <w:noProof/>
              </w:rPr>
            </w:pPr>
            <w:r>
              <w:rPr>
                <w:noProof/>
              </w:rPr>
              <w:t>Objectif</w:t>
            </w:r>
          </w:p>
        </w:tc>
        <w:tc>
          <w:tcPr>
            <w:tcW w:w="1212" w:type="dxa"/>
            <w:tcBorders>
              <w:top w:val="nil"/>
              <w:left w:val="single" w:sz="4" w:space="0" w:color="auto"/>
              <w:bottom w:val="single" w:sz="4" w:space="0" w:color="auto"/>
              <w:right w:val="single" w:sz="4" w:space="0" w:color="auto"/>
            </w:tcBorders>
            <w:shd w:val="clear" w:color="auto" w:fill="C6EFCE"/>
            <w:noWrap/>
          </w:tcPr>
          <w:p w14:paraId="3CDD6B0F" w14:textId="77777777" w:rsidR="00A345F4" w:rsidRDefault="005E2D4E">
            <w:pPr>
              <w:pStyle w:val="P68B1DB1-Normal14"/>
              <w:spacing w:after="0" w:line="240" w:lineRule="auto"/>
              <w:jc w:val="both"/>
              <w:rPr>
                <w:noProof/>
              </w:rPr>
            </w:pPr>
            <w:r>
              <w:rPr>
                <w:noProof/>
              </w:rPr>
              <w:t>Actes législatifs/modifications concernant les PME pour lesquelles le test a été appliqué</w:t>
            </w:r>
          </w:p>
        </w:tc>
        <w:tc>
          <w:tcPr>
            <w:tcW w:w="1766" w:type="dxa"/>
            <w:tcBorders>
              <w:top w:val="nil"/>
              <w:left w:val="single" w:sz="4" w:space="0" w:color="auto"/>
              <w:bottom w:val="single" w:sz="4" w:space="0" w:color="auto"/>
              <w:right w:val="single" w:sz="4" w:space="0" w:color="auto"/>
            </w:tcBorders>
            <w:shd w:val="clear" w:color="auto" w:fill="C6EFCE"/>
            <w:noWrap/>
          </w:tcPr>
          <w:p w14:paraId="1560F957" w14:textId="77777777" w:rsidR="00A345F4" w:rsidRDefault="005E2D4E">
            <w:pPr>
              <w:pStyle w:val="P68B1DB1-Normal14"/>
              <w:spacing w:after="0" w:line="240" w:lineRule="auto"/>
              <w:jc w:val="both"/>
              <w:rPr>
                <w:noProof/>
              </w:rPr>
            </w:pPr>
            <w:r>
              <w:rPr>
                <w:noProof/>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44A3EBF" w14:textId="77777777" w:rsidR="00A345F4" w:rsidRDefault="005E2D4E">
            <w:pPr>
              <w:pStyle w:val="P68B1DB1-Normal14"/>
              <w:spacing w:after="0" w:line="240" w:lineRule="auto"/>
              <w:rPr>
                <w:rFonts w:eastAsia="Times New Roman"/>
                <w:noProof/>
              </w:rPr>
            </w:pPr>
            <w:r>
              <w:rPr>
                <w:noProof/>
              </w:rPr>
              <w:t>Pourcentage (%)</w:t>
            </w:r>
          </w:p>
          <w:p w14:paraId="6F55EB7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4E3647E2" w14:textId="77777777" w:rsidR="00A345F4" w:rsidRDefault="005E2D4E">
            <w:pPr>
              <w:pStyle w:val="P68B1DB1-Normal14"/>
              <w:spacing w:after="0" w:line="240" w:lineRule="auto"/>
              <w:jc w:val="both"/>
              <w:rPr>
                <w:noProof/>
              </w:rPr>
            </w:pPr>
            <w:r>
              <w:rPr>
                <w:noProof/>
              </w:rPr>
              <w:t>50 % [2020]</w:t>
            </w:r>
          </w:p>
          <w:p w14:paraId="1370906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858" w:type="dxa"/>
            <w:tcBorders>
              <w:top w:val="nil"/>
              <w:left w:val="single" w:sz="4" w:space="0" w:color="auto"/>
              <w:bottom w:val="single" w:sz="4" w:space="0" w:color="auto"/>
              <w:right w:val="single" w:sz="4" w:space="0" w:color="auto"/>
            </w:tcBorders>
            <w:shd w:val="clear" w:color="auto" w:fill="C6EFCE"/>
            <w:noWrap/>
          </w:tcPr>
          <w:p w14:paraId="606191F1" w14:textId="77777777" w:rsidR="00A345F4" w:rsidRDefault="005E2D4E">
            <w:pPr>
              <w:pStyle w:val="P68B1DB1-Normal14"/>
              <w:spacing w:after="0" w:line="240" w:lineRule="auto"/>
              <w:jc w:val="both"/>
              <w:rPr>
                <w:noProof/>
              </w:rPr>
            </w:pPr>
            <w:r>
              <w:rPr>
                <w:noProof/>
              </w:rPr>
              <w:t xml:space="preserve">100% </w:t>
            </w:r>
          </w:p>
          <w:p w14:paraId="1A28BD6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27F776CF" w14:textId="77777777" w:rsidR="00A345F4" w:rsidRDefault="005E2D4E">
            <w:pPr>
              <w:pStyle w:val="P68B1DB1-Normal14"/>
              <w:spacing w:after="0" w:line="240" w:lineRule="auto"/>
              <w:jc w:val="center"/>
              <w:rPr>
                <w:noProof/>
              </w:rPr>
            </w:pPr>
            <w:r>
              <w:rPr>
                <w:noProof/>
              </w:rPr>
              <w:t>T2</w:t>
            </w:r>
          </w:p>
        </w:tc>
        <w:tc>
          <w:tcPr>
            <w:tcW w:w="1065" w:type="dxa"/>
            <w:tcBorders>
              <w:top w:val="nil"/>
              <w:left w:val="single" w:sz="4" w:space="0" w:color="auto"/>
              <w:bottom w:val="single" w:sz="4" w:space="0" w:color="auto"/>
              <w:right w:val="single" w:sz="4" w:space="0" w:color="auto"/>
            </w:tcBorders>
            <w:shd w:val="clear" w:color="auto" w:fill="C6EFCE"/>
            <w:noWrap/>
          </w:tcPr>
          <w:p w14:paraId="5B959ADF" w14:textId="77777777" w:rsidR="00A345F4" w:rsidRDefault="005E2D4E">
            <w:pPr>
              <w:pStyle w:val="P68B1DB1-Normal14"/>
              <w:spacing w:after="0" w:line="240" w:lineRule="auto"/>
              <w:jc w:val="center"/>
              <w:rPr>
                <w:noProof/>
              </w:rPr>
            </w:pPr>
            <w:r>
              <w:rPr>
                <w:noProof/>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15633548" w14:textId="77777777" w:rsidR="00A345F4" w:rsidRDefault="005E2D4E">
            <w:pPr>
              <w:pStyle w:val="P68B1DB1-Normal14"/>
              <w:spacing w:after="0" w:line="240" w:lineRule="auto"/>
              <w:jc w:val="both"/>
              <w:rPr>
                <w:noProof/>
              </w:rPr>
            </w:pPr>
            <w:r>
              <w:rPr>
                <w:noProof/>
              </w:rPr>
              <w:t>Le test PME est appliqué à 100 % des projets d’actes législatifs ayant une incidence sur les PME, soumis à l’approbation du ministère compétent chargé des petites et moyennes entreprises.</w:t>
            </w:r>
          </w:p>
        </w:tc>
      </w:tr>
      <w:tr w:rsidR="00A345F4" w14:paraId="1978E5AD"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0318E057" w14:textId="77777777" w:rsidR="00A345F4" w:rsidRDefault="005E2D4E">
            <w:pPr>
              <w:pStyle w:val="P68B1DB1-Normal14"/>
              <w:spacing w:after="0" w:line="240" w:lineRule="auto"/>
              <w:jc w:val="center"/>
              <w:rPr>
                <w:noProof/>
              </w:rPr>
            </w:pPr>
            <w:r>
              <w:rPr>
                <w:noProof/>
              </w:rPr>
              <w:t>246</w:t>
            </w:r>
          </w:p>
        </w:tc>
        <w:tc>
          <w:tcPr>
            <w:tcW w:w="1844" w:type="dxa"/>
            <w:tcBorders>
              <w:top w:val="nil"/>
              <w:left w:val="single" w:sz="4" w:space="0" w:color="auto"/>
              <w:bottom w:val="single" w:sz="4" w:space="0" w:color="auto"/>
              <w:right w:val="single" w:sz="4" w:space="0" w:color="auto"/>
            </w:tcBorders>
            <w:shd w:val="clear" w:color="auto" w:fill="C6EFCE"/>
            <w:noWrap/>
          </w:tcPr>
          <w:p w14:paraId="6C630999" w14:textId="77777777" w:rsidR="00A345F4" w:rsidRDefault="005E2D4E">
            <w:pPr>
              <w:pStyle w:val="P68B1DB1-Normal14"/>
              <w:spacing w:after="0" w:line="240" w:lineRule="auto"/>
              <w:jc w:val="both"/>
              <w:rPr>
                <w:noProof/>
              </w:rPr>
            </w:pPr>
            <w:r>
              <w:rPr>
                <w:noProof/>
              </w:rPr>
              <w:t xml:space="preserve">Investissement 1. Plateformes numériques sur la transparence législative, la débureaucratisation et la simplification des procédures pour les entreprises. </w:t>
            </w:r>
          </w:p>
        </w:tc>
        <w:tc>
          <w:tcPr>
            <w:tcW w:w="1373" w:type="dxa"/>
            <w:tcBorders>
              <w:top w:val="nil"/>
              <w:left w:val="single" w:sz="4" w:space="0" w:color="auto"/>
              <w:bottom w:val="single" w:sz="4" w:space="0" w:color="auto"/>
              <w:right w:val="single" w:sz="4" w:space="0" w:color="auto"/>
            </w:tcBorders>
            <w:shd w:val="clear" w:color="auto" w:fill="C6EFCE"/>
            <w:noWrap/>
          </w:tcPr>
          <w:p w14:paraId="2E7421EE" w14:textId="77777777" w:rsidR="00A345F4" w:rsidRDefault="005E2D4E">
            <w:pPr>
              <w:pStyle w:val="P68B1DB1-Normal14"/>
              <w:spacing w:after="0"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38466EDE" w14:textId="77777777" w:rsidR="00A345F4" w:rsidRDefault="005E2D4E">
            <w:pPr>
              <w:pStyle w:val="P68B1DB1-Normal14"/>
              <w:spacing w:after="0" w:line="240" w:lineRule="auto"/>
              <w:jc w:val="both"/>
              <w:rPr>
                <w:noProof/>
              </w:rPr>
            </w:pPr>
            <w:r>
              <w:rPr>
                <w:noProof/>
              </w:rPr>
              <w:t xml:space="preserve">Plateformes numériques connectées au cloud gouvernemental et accessibles </w:t>
            </w:r>
          </w:p>
        </w:tc>
        <w:tc>
          <w:tcPr>
            <w:tcW w:w="1766" w:type="dxa"/>
            <w:tcBorders>
              <w:top w:val="nil"/>
              <w:left w:val="single" w:sz="4" w:space="0" w:color="auto"/>
              <w:bottom w:val="single" w:sz="4" w:space="0" w:color="auto"/>
              <w:right w:val="single" w:sz="4" w:space="0" w:color="auto"/>
            </w:tcBorders>
            <w:shd w:val="clear" w:color="auto" w:fill="C6EFCE"/>
            <w:noWrap/>
          </w:tcPr>
          <w:p w14:paraId="01181876" w14:textId="77777777" w:rsidR="00A345F4" w:rsidRDefault="005E2D4E">
            <w:pPr>
              <w:pStyle w:val="P68B1DB1-Normal14"/>
              <w:spacing w:after="0" w:line="240" w:lineRule="auto"/>
              <w:jc w:val="both"/>
              <w:rPr>
                <w:noProof/>
              </w:rPr>
            </w:pPr>
            <w:r>
              <w:rPr>
                <w:noProof/>
              </w:rPr>
              <w:t>Plateformes numériques établies et accessibles</w:t>
            </w:r>
          </w:p>
        </w:tc>
        <w:tc>
          <w:tcPr>
            <w:tcW w:w="1558" w:type="dxa"/>
            <w:tcBorders>
              <w:top w:val="nil"/>
              <w:left w:val="single" w:sz="4" w:space="0" w:color="auto"/>
              <w:bottom w:val="single" w:sz="4" w:space="0" w:color="auto"/>
              <w:right w:val="single" w:sz="4" w:space="0" w:color="auto"/>
            </w:tcBorders>
            <w:shd w:val="clear" w:color="auto" w:fill="C6EFCE"/>
            <w:noWrap/>
          </w:tcPr>
          <w:p w14:paraId="146F2A3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07B3D83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858" w:type="dxa"/>
            <w:tcBorders>
              <w:top w:val="nil"/>
              <w:left w:val="single" w:sz="4" w:space="0" w:color="auto"/>
              <w:bottom w:val="single" w:sz="4" w:space="0" w:color="auto"/>
              <w:right w:val="single" w:sz="4" w:space="0" w:color="auto"/>
            </w:tcBorders>
            <w:shd w:val="clear" w:color="auto" w:fill="C6EFCE"/>
            <w:noWrap/>
          </w:tcPr>
          <w:p w14:paraId="197AF04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1C612675" w14:textId="77777777" w:rsidR="00A345F4" w:rsidRDefault="005E2D4E">
            <w:pPr>
              <w:pStyle w:val="P68B1DB1-Normal14"/>
              <w:spacing w:after="0" w:line="240" w:lineRule="auto"/>
              <w:jc w:val="center"/>
              <w:rPr>
                <w:noProof/>
              </w:rPr>
            </w:pPr>
            <w:r>
              <w:rPr>
                <w:noProof/>
              </w:rPr>
              <w:t>T4</w:t>
            </w:r>
          </w:p>
        </w:tc>
        <w:tc>
          <w:tcPr>
            <w:tcW w:w="1065" w:type="dxa"/>
            <w:tcBorders>
              <w:top w:val="nil"/>
              <w:left w:val="single" w:sz="4" w:space="0" w:color="auto"/>
              <w:bottom w:val="single" w:sz="4" w:space="0" w:color="auto"/>
              <w:right w:val="single" w:sz="4" w:space="0" w:color="auto"/>
            </w:tcBorders>
            <w:shd w:val="clear" w:color="auto" w:fill="C6EFCE"/>
            <w:noWrap/>
          </w:tcPr>
          <w:p w14:paraId="560D10FC" w14:textId="77777777" w:rsidR="00A345F4" w:rsidRDefault="005E2D4E">
            <w:pPr>
              <w:pStyle w:val="P68B1DB1-Normal14"/>
              <w:spacing w:after="0" w:line="240" w:lineRule="auto"/>
              <w:jc w:val="center"/>
              <w:rPr>
                <w:noProof/>
              </w:rPr>
            </w:pPr>
            <w:r>
              <w:rPr>
                <w:noProof/>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4E5177C3" w14:textId="77777777" w:rsidR="00A345F4" w:rsidRDefault="005E2D4E">
            <w:pPr>
              <w:pStyle w:val="P68B1DB1-Normal14"/>
              <w:spacing w:after="0" w:line="240" w:lineRule="auto"/>
              <w:jc w:val="both"/>
              <w:rPr>
                <w:noProof/>
              </w:rPr>
            </w:pPr>
            <w:r>
              <w:rPr>
                <w:noProof/>
              </w:rPr>
              <w:t xml:space="preserve">Au moins deux plateformes numériques publiques connectées au nuage gouvernemental sont accessibles en ligne: </w:t>
            </w:r>
          </w:p>
          <w:p w14:paraId="266C5EB1" w14:textId="77777777" w:rsidR="00A345F4" w:rsidRDefault="005E2D4E">
            <w:pPr>
              <w:pStyle w:val="P68B1DB1-Normal14"/>
              <w:spacing w:after="0" w:line="240" w:lineRule="auto"/>
              <w:jc w:val="both"/>
              <w:rPr>
                <w:noProof/>
              </w:rPr>
            </w:pPr>
            <w:r>
              <w:rPr>
                <w:noProof/>
              </w:rPr>
              <w:t>- Un guichet unique pour les licences / autorisations / certifications,</w:t>
            </w:r>
          </w:p>
          <w:p w14:paraId="26796087" w14:textId="77777777" w:rsidR="00A345F4" w:rsidRDefault="005E2D4E">
            <w:pPr>
              <w:pStyle w:val="P68B1DB1-Normal14"/>
              <w:spacing w:after="0" w:line="240" w:lineRule="auto"/>
              <w:jc w:val="both"/>
              <w:rPr>
                <w:rFonts w:eastAsia="Times New Roman"/>
                <w:noProof/>
              </w:rPr>
            </w:pPr>
            <w:r>
              <w:rPr>
                <w:noProof/>
              </w:rPr>
              <w:t>Une plate-forme permettant l'autorisation numérique des représentations étrangères et permettant un dialogue consultatif avec le secteur des entreprises.</w:t>
            </w:r>
          </w:p>
        </w:tc>
      </w:tr>
      <w:tr w:rsidR="00A345F4" w14:paraId="6B188EA9"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E0FCE07" w14:textId="77777777" w:rsidR="00A345F4" w:rsidRDefault="005E2D4E">
            <w:pPr>
              <w:pStyle w:val="P68B1DB1-Normal14"/>
              <w:spacing w:after="0" w:line="240" w:lineRule="auto"/>
              <w:jc w:val="center"/>
              <w:rPr>
                <w:noProof/>
              </w:rPr>
            </w:pPr>
            <w:r>
              <w:rPr>
                <w:noProof/>
              </w:rPr>
              <w:t>247</w:t>
            </w:r>
          </w:p>
        </w:tc>
        <w:tc>
          <w:tcPr>
            <w:tcW w:w="1844" w:type="dxa"/>
            <w:tcBorders>
              <w:top w:val="nil"/>
              <w:left w:val="single" w:sz="4" w:space="0" w:color="auto"/>
              <w:bottom w:val="single" w:sz="4" w:space="0" w:color="auto"/>
              <w:right w:val="single" w:sz="4" w:space="0" w:color="auto"/>
            </w:tcBorders>
            <w:shd w:val="clear" w:color="auto" w:fill="C6EFCE"/>
            <w:noWrap/>
          </w:tcPr>
          <w:p w14:paraId="4F5FB484" w14:textId="77777777" w:rsidR="00A345F4" w:rsidRDefault="005E2D4E">
            <w:pPr>
              <w:pStyle w:val="P68B1DB1-Normal14"/>
              <w:spacing w:after="0" w:line="240" w:lineRule="auto"/>
              <w:jc w:val="both"/>
              <w:rPr>
                <w:noProof/>
              </w:rPr>
            </w:pPr>
            <w:r>
              <w:rPr>
                <w:noProof/>
              </w:rPr>
              <w:t xml:space="preserve">Investissement 2.1 Instruments financiers pour le secteur privé - Garantie de portefeuille pour la résilience </w:t>
            </w:r>
          </w:p>
        </w:tc>
        <w:tc>
          <w:tcPr>
            <w:tcW w:w="1373" w:type="dxa"/>
            <w:tcBorders>
              <w:top w:val="nil"/>
              <w:left w:val="single" w:sz="4" w:space="0" w:color="auto"/>
              <w:bottom w:val="single" w:sz="4" w:space="0" w:color="auto"/>
              <w:right w:val="single" w:sz="4" w:space="0" w:color="auto"/>
            </w:tcBorders>
            <w:shd w:val="clear" w:color="auto" w:fill="C6EFCE"/>
            <w:noWrap/>
          </w:tcPr>
          <w:p w14:paraId="259CFADB" w14:textId="77777777" w:rsidR="00A345F4" w:rsidRDefault="005E2D4E">
            <w:pPr>
              <w:pStyle w:val="P68B1DB1-Normal14"/>
              <w:spacing w:after="0"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1250614D" w14:textId="77777777" w:rsidR="00A345F4" w:rsidRDefault="005E2D4E">
            <w:pPr>
              <w:pStyle w:val="P68B1DB1-Normal14"/>
              <w:spacing w:after="0" w:line="240" w:lineRule="auto"/>
              <w:jc w:val="both"/>
              <w:rPr>
                <w:noProof/>
              </w:rPr>
            </w:pPr>
            <w:r>
              <w:rPr>
                <w:noProof/>
              </w:rPr>
              <w:t>Signature de la convention de contribution entre la Commission européenne et le gouvernement roumain.</w:t>
            </w:r>
          </w:p>
        </w:tc>
        <w:tc>
          <w:tcPr>
            <w:tcW w:w="1766" w:type="dxa"/>
            <w:tcBorders>
              <w:top w:val="nil"/>
              <w:left w:val="single" w:sz="4" w:space="0" w:color="auto"/>
              <w:bottom w:val="single" w:sz="4" w:space="0" w:color="auto"/>
              <w:right w:val="single" w:sz="4" w:space="0" w:color="auto"/>
            </w:tcBorders>
            <w:shd w:val="clear" w:color="auto" w:fill="C6EFCE"/>
            <w:noWrap/>
          </w:tcPr>
          <w:p w14:paraId="30B1943A" w14:textId="77777777" w:rsidR="00A345F4" w:rsidRDefault="005E2D4E">
            <w:pPr>
              <w:pStyle w:val="P68B1DB1-Normal14"/>
              <w:spacing w:after="0" w:line="240" w:lineRule="auto"/>
              <w:jc w:val="both"/>
              <w:rPr>
                <w:noProof/>
              </w:rPr>
            </w:pPr>
            <w:r>
              <w:rPr>
                <w:noProof/>
              </w:rPr>
              <w:t> Signature de l'accord</w:t>
            </w:r>
          </w:p>
        </w:tc>
        <w:tc>
          <w:tcPr>
            <w:tcW w:w="1558" w:type="dxa"/>
            <w:tcBorders>
              <w:top w:val="nil"/>
              <w:left w:val="single" w:sz="4" w:space="0" w:color="auto"/>
              <w:bottom w:val="single" w:sz="4" w:space="0" w:color="auto"/>
              <w:right w:val="single" w:sz="4" w:space="0" w:color="auto"/>
            </w:tcBorders>
            <w:shd w:val="clear" w:color="auto" w:fill="C6EFCE"/>
            <w:noWrap/>
          </w:tcPr>
          <w:p w14:paraId="279032F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61FFE28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858" w:type="dxa"/>
            <w:tcBorders>
              <w:top w:val="nil"/>
              <w:left w:val="single" w:sz="4" w:space="0" w:color="auto"/>
              <w:bottom w:val="single" w:sz="4" w:space="0" w:color="auto"/>
              <w:right w:val="single" w:sz="4" w:space="0" w:color="auto"/>
            </w:tcBorders>
            <w:shd w:val="clear" w:color="auto" w:fill="C6EFCE"/>
            <w:noWrap/>
          </w:tcPr>
          <w:p w14:paraId="30A33D9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017EF286" w14:textId="77777777" w:rsidR="00A345F4" w:rsidRDefault="005E2D4E">
            <w:pPr>
              <w:pStyle w:val="P68B1DB1-Normal14"/>
              <w:spacing w:after="0" w:line="240" w:lineRule="auto"/>
              <w:jc w:val="center"/>
              <w:rPr>
                <w:noProof/>
              </w:rPr>
            </w:pPr>
            <w:r>
              <w:rPr>
                <w:noProof/>
              </w:rPr>
              <w:t>T4</w:t>
            </w:r>
          </w:p>
        </w:tc>
        <w:tc>
          <w:tcPr>
            <w:tcW w:w="1065" w:type="dxa"/>
            <w:tcBorders>
              <w:top w:val="nil"/>
              <w:left w:val="single" w:sz="4" w:space="0" w:color="auto"/>
              <w:bottom w:val="single" w:sz="4" w:space="0" w:color="auto"/>
              <w:right w:val="single" w:sz="4" w:space="0" w:color="auto"/>
            </w:tcBorders>
            <w:shd w:val="clear" w:color="auto" w:fill="C6EFCE"/>
            <w:noWrap/>
          </w:tcPr>
          <w:p w14:paraId="7E2AAD48" w14:textId="77777777" w:rsidR="00A345F4" w:rsidRDefault="005E2D4E">
            <w:pPr>
              <w:pStyle w:val="P68B1DB1-Normal14"/>
              <w:spacing w:after="0" w:line="240" w:lineRule="auto"/>
              <w:jc w:val="center"/>
              <w:rPr>
                <w:noProof/>
              </w:rPr>
            </w:pPr>
            <w:r>
              <w:rPr>
                <w:noProof/>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4646A29C" w14:textId="77777777" w:rsidR="00A345F4" w:rsidRDefault="005E2D4E">
            <w:pPr>
              <w:pStyle w:val="P68B1DB1-Normal14"/>
              <w:spacing w:after="0" w:line="240" w:lineRule="auto"/>
              <w:jc w:val="both"/>
              <w:rPr>
                <w:noProof/>
              </w:rPr>
            </w:pPr>
            <w:r>
              <w:rPr>
                <w:noProof/>
              </w:rPr>
              <w:t>Signature de la convention de contribution entre la Commission européenne et le gouvernement roumain, y compris:</w:t>
            </w:r>
          </w:p>
          <w:p w14:paraId="1ED91F01" w14:textId="77777777" w:rsidR="00A345F4" w:rsidRDefault="005E2D4E">
            <w:pPr>
              <w:pStyle w:val="P68B1DB1-Normal14"/>
              <w:numPr>
                <w:ilvl w:val="2"/>
                <w:numId w:val="101"/>
              </w:numPr>
              <w:spacing w:after="0" w:line="240" w:lineRule="auto"/>
              <w:ind w:left="178" w:hanging="308"/>
              <w:jc w:val="both"/>
              <w:rPr>
                <w:noProof/>
              </w:rPr>
            </w:pPr>
            <w:r>
              <w:rPr>
                <w:noProof/>
              </w:rPr>
              <w:t>Respect des orientations techniques «Ne pas causer de préjudice important» (2021/C58/01) pour les opérations bénéficiant d’un soutien au titre de la présente mesure grâce à l’utilisation d’une évaluation de la durabilité et d’une liste d’exclusion.</w:t>
            </w:r>
          </w:p>
          <w:p w14:paraId="0A872529" w14:textId="77777777" w:rsidR="00A345F4" w:rsidRDefault="005E2D4E">
            <w:pPr>
              <w:pStyle w:val="P68B1DB1-Normal14"/>
              <w:numPr>
                <w:ilvl w:val="2"/>
                <w:numId w:val="101"/>
              </w:numPr>
              <w:spacing w:after="0" w:line="240" w:lineRule="auto"/>
              <w:ind w:left="178" w:hanging="308"/>
              <w:jc w:val="both"/>
              <w:rPr>
                <w:noProof/>
              </w:rPr>
            </w:pPr>
            <w:r>
              <w:rPr>
                <w:noProof/>
              </w:rPr>
              <w:t>Critères visant à garantir que l’instrument financier est conforme à la note d’orientation de la Commission du 22 janvier 2021 [SWD(2021) 12 final] relative aux instruments financiers.</w:t>
            </w:r>
          </w:p>
          <w:p w14:paraId="7DA9476B" w14:textId="77777777" w:rsidR="00A345F4" w:rsidRDefault="005E2D4E">
            <w:pPr>
              <w:pStyle w:val="P68B1DB1-Normal14"/>
              <w:spacing w:after="0" w:line="240" w:lineRule="auto"/>
              <w:jc w:val="both"/>
              <w:rPr>
                <w:noProof/>
              </w:rPr>
            </w:pPr>
            <w:r>
              <w:rPr>
                <w:noProof/>
              </w:rPr>
              <w:t>Étant donné que l’instrument proposé est mis en œuvre à titre de contribution à InvestEU (compartiment EM ou complément d’un produit existant au titre du compartiment UE), les points a) et b) mentionnés ci-dessus sont assurés par l’application des dispositions d’InvestEU et de la politique de prêt et des critères d’exclusion du partenaire chargé de la mise en œuvre sélectionné. Des exclusions supplémentaires nécessaires pour garantir le respect des orientations techniques «Ne pas causer de préjudice important» (2021/C58/01) sont précisées dans l’accord de garantie entre la Commission européenne et le Fonds européen d’investissement (FEI).</w:t>
            </w:r>
          </w:p>
          <w:p w14:paraId="6225D68B" w14:textId="77777777" w:rsidR="00A345F4" w:rsidRDefault="005E2D4E">
            <w:pPr>
              <w:pStyle w:val="P68B1DB1-Normal14"/>
              <w:spacing w:after="0" w:line="240" w:lineRule="auto"/>
              <w:jc w:val="both"/>
              <w:rPr>
                <w:rFonts w:eastAsia="Times New Roman"/>
                <w:noProof/>
              </w:rPr>
            </w:pPr>
            <w:r>
              <w:rPr>
                <w:noProof/>
              </w:rPr>
              <w:t xml:space="preserve">L’instrument financier prend la forme d’une garantie de portefeuille, mise en œuvre par le FEI, et fournit des financements et des investissements aux PME comptant jusqu’à 249 salariés et/ou aux entreprises comptant jusqu’à 500 salariés et/ou aux particuliers («bénéficiaires») au moyen de fonds de roulement, de lignes de crédit, de prêts à l’investissement ou de crédit-bail. L’instrument financier vise à lever les obstacles auxquels se heurtent actuellement les entreprises roumaines pour accéder au financement, à savoir: l’augmentation du coût du financement, l’absence de garanties et la détérioration des canaux de crédit. En particulier, l’instrument cible les problèmes de liquidité/solvabilité auxquels les entreprises sont confrontées en raison de leur incapacité à honorer leurs obligations financières résultant de la réduction significative et temporaire de leurs revenus, en raison de la crise de la COVID-19. Dans ce contexte, l’instrument est conçu pour améliorer l’accès au financement et revitaliser les canaux de prêt bloqués pendant et après la crise de la COVID-19 en soutenant les investissements ou les besoins en fonds de roulement des entreprises. Au moins 1 500 bénéficiaires devraient bénéficier d’un soutien au titre de l’instrument. </w:t>
            </w:r>
          </w:p>
          <w:p w14:paraId="60A48A4E" w14:textId="77777777" w:rsidR="00A345F4" w:rsidRDefault="005E2D4E">
            <w:pPr>
              <w:pStyle w:val="P68B1DB1-Normal14"/>
              <w:spacing w:after="0" w:line="240" w:lineRule="auto"/>
              <w:jc w:val="both"/>
              <w:rPr>
                <w:noProof/>
              </w:rPr>
            </w:pPr>
            <w:r>
              <w:rPr>
                <w:noProof/>
              </w:rPr>
              <w:t xml:space="preserve">La structure de l'instrument permet de mobiliser des fonds privés. </w:t>
            </w:r>
          </w:p>
          <w:p w14:paraId="235ABD30" w14:textId="77777777" w:rsidR="00A345F4" w:rsidRDefault="005E2D4E">
            <w:pPr>
              <w:pStyle w:val="P68B1DB1-Normal14"/>
              <w:spacing w:after="0" w:line="240" w:lineRule="auto"/>
              <w:jc w:val="both"/>
              <w:rPr>
                <w:rFonts w:eastAsia="Times New Roman"/>
                <w:noProof/>
              </w:rPr>
            </w:pPr>
            <w:r>
              <w:rPr>
                <w:noProof/>
              </w:rPr>
              <w:t>Tous les rendements de l’instrument financier, y compris les remboursements, ainsi que les bénéfices obtenus grâce à l’utilisation des fonds de la FRR, moins la rémunération du gestionnaire de fonds et des intermédiaires financiers, sont utilisés pour les mêmes objectifs stratégiques, y compris après 2026.</w:t>
            </w:r>
          </w:p>
        </w:tc>
      </w:tr>
      <w:tr w:rsidR="00A345F4" w14:paraId="395AE62A"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2825DA63" w14:textId="77777777" w:rsidR="00A345F4" w:rsidRDefault="005E2D4E">
            <w:pPr>
              <w:pStyle w:val="P68B1DB1-Normal14"/>
              <w:spacing w:line="240" w:lineRule="auto"/>
              <w:jc w:val="center"/>
              <w:rPr>
                <w:noProof/>
              </w:rPr>
            </w:pPr>
            <w:r>
              <w:rPr>
                <w:noProof/>
              </w:rPr>
              <w:t>248</w:t>
            </w:r>
          </w:p>
        </w:tc>
        <w:tc>
          <w:tcPr>
            <w:tcW w:w="1844" w:type="dxa"/>
            <w:tcBorders>
              <w:top w:val="nil"/>
              <w:left w:val="single" w:sz="4" w:space="0" w:color="auto"/>
              <w:bottom w:val="single" w:sz="4" w:space="0" w:color="auto"/>
              <w:right w:val="single" w:sz="4" w:space="0" w:color="auto"/>
            </w:tcBorders>
            <w:shd w:val="clear" w:color="auto" w:fill="C6EFCE"/>
            <w:noWrap/>
          </w:tcPr>
          <w:p w14:paraId="4F37DE82" w14:textId="364B8C01" w:rsidR="00A345F4" w:rsidRDefault="005E2D4E">
            <w:pPr>
              <w:pStyle w:val="P68B1DB1-Normal14"/>
              <w:spacing w:line="240" w:lineRule="auto"/>
              <w:jc w:val="both"/>
              <w:rPr>
                <w:noProof/>
              </w:rPr>
            </w:pPr>
            <w:r>
              <w:rPr>
                <w:noProof/>
              </w:rPr>
              <w:t xml:space="preserve">Investissement 2.1 Instruments financiers pour le secteur privé - Garantie de portefeuille pour la résilience </w:t>
            </w:r>
          </w:p>
        </w:tc>
        <w:tc>
          <w:tcPr>
            <w:tcW w:w="1373" w:type="dxa"/>
            <w:tcBorders>
              <w:top w:val="nil"/>
              <w:left w:val="single" w:sz="4" w:space="0" w:color="auto"/>
              <w:bottom w:val="single" w:sz="4" w:space="0" w:color="auto"/>
              <w:right w:val="single" w:sz="4" w:space="0" w:color="auto"/>
            </w:tcBorders>
            <w:shd w:val="clear" w:color="auto" w:fill="C6EFCE"/>
            <w:noWrap/>
          </w:tcPr>
          <w:p w14:paraId="2D5FF333" w14:textId="77777777" w:rsidR="00A345F4" w:rsidRDefault="005E2D4E">
            <w:pPr>
              <w:pStyle w:val="P68B1DB1-Normal14"/>
              <w:spacing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5501BA6D" w14:textId="77777777" w:rsidR="00A345F4" w:rsidRDefault="005E2D4E">
            <w:pPr>
              <w:pStyle w:val="P68B1DB1-Normal14"/>
              <w:spacing w:line="240" w:lineRule="auto"/>
              <w:jc w:val="both"/>
              <w:rPr>
                <w:noProof/>
              </w:rPr>
            </w:pPr>
            <w:r>
              <w:rPr>
                <w:noProof/>
              </w:rPr>
              <w:t>Adoption par le gouvernement de l'accord de contribution signé</w:t>
            </w:r>
          </w:p>
        </w:tc>
        <w:tc>
          <w:tcPr>
            <w:tcW w:w="1766" w:type="dxa"/>
            <w:tcBorders>
              <w:top w:val="nil"/>
              <w:left w:val="single" w:sz="4" w:space="0" w:color="auto"/>
              <w:bottom w:val="single" w:sz="4" w:space="0" w:color="auto"/>
              <w:right w:val="single" w:sz="4" w:space="0" w:color="auto"/>
            </w:tcBorders>
            <w:shd w:val="clear" w:color="auto" w:fill="C6EFCE"/>
            <w:noWrap/>
          </w:tcPr>
          <w:p w14:paraId="3E59CBB4" w14:textId="77777777" w:rsidR="00A345F4" w:rsidRDefault="005E2D4E">
            <w:pPr>
              <w:pStyle w:val="P68B1DB1-Normal14"/>
              <w:spacing w:line="240" w:lineRule="auto"/>
              <w:jc w:val="both"/>
              <w:rPr>
                <w:noProof/>
              </w:rPr>
            </w:pPr>
            <w:r>
              <w:rPr>
                <w:noProof/>
              </w:rPr>
              <w:t>L'accord de contribution signé et son adoption par le gouvernement</w:t>
            </w:r>
          </w:p>
        </w:tc>
        <w:tc>
          <w:tcPr>
            <w:tcW w:w="1558" w:type="dxa"/>
            <w:tcBorders>
              <w:top w:val="nil"/>
              <w:left w:val="single" w:sz="4" w:space="0" w:color="auto"/>
              <w:bottom w:val="single" w:sz="4" w:space="0" w:color="auto"/>
              <w:right w:val="single" w:sz="4" w:space="0" w:color="auto"/>
            </w:tcBorders>
            <w:shd w:val="clear" w:color="auto" w:fill="C6EFCE"/>
            <w:noWrap/>
          </w:tcPr>
          <w:p w14:paraId="15E885A5" w14:textId="77777777" w:rsidR="00A345F4" w:rsidRDefault="00A345F4">
            <w:pPr>
              <w:spacing w:line="240" w:lineRule="auto"/>
              <w:rPr>
                <w:rFonts w:ascii="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145BC8D6" w14:textId="77777777" w:rsidR="00A345F4" w:rsidRDefault="00A345F4">
            <w:pPr>
              <w:spacing w:line="240" w:lineRule="auto"/>
              <w:jc w:val="both"/>
              <w:rPr>
                <w:rFonts w:ascii="Times New Roman" w:hAnsi="Times New Roman" w:cs="Times New Roman"/>
                <w:noProof/>
                <w:sz w:val="20"/>
                <w:szCs w:val="20"/>
              </w:rPr>
            </w:pPr>
          </w:p>
        </w:tc>
        <w:tc>
          <w:tcPr>
            <w:tcW w:w="858" w:type="dxa"/>
            <w:tcBorders>
              <w:top w:val="nil"/>
              <w:left w:val="single" w:sz="4" w:space="0" w:color="auto"/>
              <w:bottom w:val="single" w:sz="4" w:space="0" w:color="auto"/>
              <w:right w:val="single" w:sz="4" w:space="0" w:color="auto"/>
            </w:tcBorders>
            <w:shd w:val="clear" w:color="auto" w:fill="C6EFCE"/>
            <w:noWrap/>
          </w:tcPr>
          <w:p w14:paraId="20346E92" w14:textId="77777777" w:rsidR="00A345F4" w:rsidRDefault="00A345F4">
            <w:pPr>
              <w:spacing w:line="240" w:lineRule="auto"/>
              <w:jc w:val="both"/>
              <w:rPr>
                <w:rFonts w:ascii="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16828CB1" w14:textId="77777777" w:rsidR="00A345F4" w:rsidRDefault="005E2D4E">
            <w:pPr>
              <w:pStyle w:val="P68B1DB1-Normal14"/>
              <w:spacing w:line="240" w:lineRule="auto"/>
              <w:jc w:val="center"/>
              <w:rPr>
                <w:noProof/>
              </w:rPr>
            </w:pPr>
            <w:r>
              <w:rPr>
                <w:noProof/>
              </w:rPr>
              <w:t>T2</w:t>
            </w:r>
          </w:p>
        </w:tc>
        <w:tc>
          <w:tcPr>
            <w:tcW w:w="1065" w:type="dxa"/>
            <w:tcBorders>
              <w:top w:val="nil"/>
              <w:left w:val="single" w:sz="4" w:space="0" w:color="auto"/>
              <w:bottom w:val="single" w:sz="4" w:space="0" w:color="auto"/>
              <w:right w:val="single" w:sz="4" w:space="0" w:color="auto"/>
            </w:tcBorders>
            <w:shd w:val="clear" w:color="auto" w:fill="C6EFCE"/>
            <w:noWrap/>
          </w:tcPr>
          <w:p w14:paraId="295C17E0" w14:textId="77777777" w:rsidR="00A345F4" w:rsidRDefault="005E2D4E">
            <w:pPr>
              <w:pStyle w:val="P68B1DB1-Normal14"/>
              <w:spacing w:line="240" w:lineRule="auto"/>
              <w:jc w:val="center"/>
              <w:rPr>
                <w:noProof/>
              </w:rPr>
            </w:pPr>
            <w:r>
              <w:rPr>
                <w:noProof/>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4D0CC158" w14:textId="77777777" w:rsidR="00A345F4" w:rsidRDefault="005E2D4E">
            <w:pPr>
              <w:pStyle w:val="P68B1DB1-Normal14"/>
              <w:spacing w:line="240" w:lineRule="auto"/>
              <w:jc w:val="both"/>
              <w:rPr>
                <w:noProof/>
              </w:rPr>
            </w:pPr>
            <w:r>
              <w:rPr>
                <w:noProof/>
              </w:rPr>
              <w:t xml:space="preserve">Adoption par le gouvernement d’une convention de contribution signée en ce qui concerne le compartiment «États membres» au titre du programme InvestEU (en plus de l’accord couvert par l’étape 247) entre le gouvernement roumain et la Commission européenne pour un montant de 200 millions d’EUR, alloué au volet «PME». </w:t>
            </w:r>
          </w:p>
          <w:p w14:paraId="7D62260E" w14:textId="77777777" w:rsidR="00A345F4" w:rsidRDefault="005E2D4E">
            <w:pPr>
              <w:pStyle w:val="P68B1DB1-Normal14"/>
              <w:spacing w:line="240" w:lineRule="auto"/>
              <w:jc w:val="both"/>
              <w:rPr>
                <w:noProof/>
              </w:rPr>
            </w:pPr>
            <w:r>
              <w:rPr>
                <w:noProof/>
              </w:rPr>
              <w:t>La convention de contribution comprend le partenaire de mise en œuvre proposé et la description du système de suivi à utiliser pour rendre compte des fonds mobilisés.</w:t>
            </w:r>
          </w:p>
        </w:tc>
      </w:tr>
      <w:tr w:rsidR="00A345F4" w14:paraId="6F8E8CD4"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F3CB57E" w14:textId="77777777" w:rsidR="00A345F4" w:rsidRDefault="005E2D4E">
            <w:pPr>
              <w:pStyle w:val="P68B1DB1-Normal14"/>
              <w:spacing w:after="0" w:line="240" w:lineRule="auto"/>
              <w:jc w:val="center"/>
              <w:rPr>
                <w:noProof/>
              </w:rPr>
            </w:pPr>
            <w:r>
              <w:rPr>
                <w:noProof/>
              </w:rPr>
              <w:t>249</w:t>
            </w:r>
          </w:p>
        </w:tc>
        <w:tc>
          <w:tcPr>
            <w:tcW w:w="1844" w:type="dxa"/>
            <w:tcBorders>
              <w:top w:val="nil"/>
              <w:left w:val="single" w:sz="4" w:space="0" w:color="auto"/>
              <w:bottom w:val="single" w:sz="4" w:space="0" w:color="auto"/>
              <w:right w:val="single" w:sz="4" w:space="0" w:color="auto"/>
            </w:tcBorders>
            <w:shd w:val="clear" w:color="auto" w:fill="C6EFCE"/>
            <w:noWrap/>
          </w:tcPr>
          <w:p w14:paraId="070B939F" w14:textId="77777777" w:rsidR="00A345F4" w:rsidRDefault="005E2D4E">
            <w:pPr>
              <w:pStyle w:val="P68B1DB1-Normal14"/>
              <w:spacing w:after="0" w:line="240" w:lineRule="auto"/>
              <w:jc w:val="both"/>
              <w:rPr>
                <w:noProof/>
              </w:rPr>
            </w:pPr>
            <w:r>
              <w:rPr>
                <w:noProof/>
              </w:rPr>
              <w:t xml:space="preserve">Investissement 2.1 Instruments financiers pour le secteur privé - Garantie de portefeuille pour la résilience </w:t>
            </w:r>
          </w:p>
        </w:tc>
        <w:tc>
          <w:tcPr>
            <w:tcW w:w="1373" w:type="dxa"/>
            <w:tcBorders>
              <w:top w:val="nil"/>
              <w:left w:val="single" w:sz="4" w:space="0" w:color="auto"/>
              <w:bottom w:val="single" w:sz="4" w:space="0" w:color="auto"/>
              <w:right w:val="single" w:sz="4" w:space="0" w:color="auto"/>
            </w:tcBorders>
            <w:shd w:val="clear" w:color="auto" w:fill="C6EFCE"/>
            <w:noWrap/>
          </w:tcPr>
          <w:p w14:paraId="622ADD27" w14:textId="77777777" w:rsidR="00A345F4" w:rsidRDefault="005E2D4E">
            <w:pPr>
              <w:pStyle w:val="P68B1DB1-Normal14"/>
              <w:spacing w:after="0" w:line="240" w:lineRule="auto"/>
              <w:jc w:val="center"/>
              <w:rPr>
                <w:noProof/>
              </w:rPr>
            </w:pPr>
            <w:r>
              <w:rPr>
                <w:noProof/>
              </w:rPr>
              <w:t>Objectif</w:t>
            </w:r>
          </w:p>
        </w:tc>
        <w:tc>
          <w:tcPr>
            <w:tcW w:w="1212" w:type="dxa"/>
            <w:tcBorders>
              <w:top w:val="nil"/>
              <w:left w:val="single" w:sz="4" w:space="0" w:color="auto"/>
              <w:bottom w:val="single" w:sz="4" w:space="0" w:color="auto"/>
              <w:right w:val="single" w:sz="4" w:space="0" w:color="auto"/>
            </w:tcBorders>
            <w:shd w:val="clear" w:color="auto" w:fill="C6EFCE"/>
            <w:noWrap/>
          </w:tcPr>
          <w:p w14:paraId="21730952" w14:textId="77777777" w:rsidR="00A345F4" w:rsidRDefault="005E2D4E">
            <w:pPr>
              <w:pStyle w:val="P68B1DB1-Normal14"/>
              <w:spacing w:after="0" w:line="240" w:lineRule="auto"/>
              <w:jc w:val="both"/>
              <w:rPr>
                <w:noProof/>
              </w:rPr>
            </w:pPr>
            <w:r>
              <w:rPr>
                <w:noProof/>
              </w:rPr>
              <w:t>Opérations de financement ou d’investissement représentant 100 % des ressources allouées à l’instrument approuvé par le comité d’investissement InvestEU.</w:t>
            </w:r>
          </w:p>
        </w:tc>
        <w:tc>
          <w:tcPr>
            <w:tcW w:w="1766" w:type="dxa"/>
            <w:tcBorders>
              <w:top w:val="nil"/>
              <w:left w:val="single" w:sz="4" w:space="0" w:color="auto"/>
              <w:bottom w:val="single" w:sz="4" w:space="0" w:color="auto"/>
              <w:right w:val="single" w:sz="4" w:space="0" w:color="auto"/>
            </w:tcBorders>
            <w:shd w:val="clear" w:color="auto" w:fill="C6EFCE"/>
            <w:noWrap/>
          </w:tcPr>
          <w:p w14:paraId="553954B2" w14:textId="77777777" w:rsidR="00A345F4" w:rsidRDefault="005E2D4E">
            <w:pPr>
              <w:pStyle w:val="P68B1DB1-Normal14"/>
              <w:spacing w:after="0" w:line="240" w:lineRule="auto"/>
              <w:jc w:val="both"/>
              <w:rPr>
                <w:noProof/>
              </w:rPr>
            </w:pPr>
            <w:r>
              <w:rPr>
                <w:noProof/>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13731C90" w14:textId="77777777" w:rsidR="00A345F4" w:rsidRDefault="005E2D4E">
            <w:pPr>
              <w:pStyle w:val="P68B1DB1-Normal14"/>
              <w:spacing w:after="0" w:line="240" w:lineRule="auto"/>
              <w:rPr>
                <w:rFonts w:eastAsia="Times New Roman"/>
                <w:noProof/>
              </w:rPr>
            </w:pPr>
            <w:r>
              <w:rPr>
                <w:noProof/>
              </w:rPr>
              <w:t>Pourcentage (%)</w:t>
            </w:r>
          </w:p>
          <w:p w14:paraId="421B895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3571B8CF" w14:textId="77777777" w:rsidR="00A345F4" w:rsidRDefault="005E2D4E">
            <w:pPr>
              <w:pStyle w:val="P68B1DB1-Normal14"/>
              <w:spacing w:after="0" w:line="240" w:lineRule="auto"/>
              <w:jc w:val="both"/>
              <w:rPr>
                <w:rFonts w:eastAsia="Times New Roman"/>
                <w:noProof/>
              </w:rPr>
            </w:pPr>
            <w:r>
              <w:rPr>
                <w:noProof/>
              </w:rPr>
              <w:t>0</w:t>
            </w:r>
          </w:p>
        </w:tc>
        <w:tc>
          <w:tcPr>
            <w:tcW w:w="858" w:type="dxa"/>
            <w:tcBorders>
              <w:top w:val="nil"/>
              <w:left w:val="single" w:sz="4" w:space="0" w:color="auto"/>
              <w:bottom w:val="single" w:sz="4" w:space="0" w:color="auto"/>
              <w:right w:val="single" w:sz="4" w:space="0" w:color="auto"/>
            </w:tcBorders>
            <w:shd w:val="clear" w:color="auto" w:fill="C6EFCE"/>
            <w:noWrap/>
          </w:tcPr>
          <w:p w14:paraId="66CBB8FC" w14:textId="77777777" w:rsidR="00A345F4" w:rsidRDefault="005E2D4E">
            <w:pPr>
              <w:pStyle w:val="P68B1DB1-Normal14"/>
              <w:spacing w:after="0" w:line="240" w:lineRule="auto"/>
              <w:jc w:val="both"/>
              <w:rPr>
                <w:rFonts w:eastAsia="Times New Roman"/>
                <w:noProof/>
              </w:rPr>
            </w:pPr>
            <w:r>
              <w:rPr>
                <w:noProof/>
              </w:rPr>
              <w:t>100</w:t>
            </w:r>
          </w:p>
        </w:tc>
        <w:tc>
          <w:tcPr>
            <w:tcW w:w="943" w:type="dxa"/>
            <w:tcBorders>
              <w:top w:val="nil"/>
              <w:left w:val="single" w:sz="4" w:space="0" w:color="auto"/>
              <w:bottom w:val="single" w:sz="4" w:space="0" w:color="auto"/>
              <w:right w:val="single" w:sz="4" w:space="0" w:color="auto"/>
            </w:tcBorders>
            <w:shd w:val="clear" w:color="auto" w:fill="C6EFCE"/>
            <w:noWrap/>
          </w:tcPr>
          <w:p w14:paraId="308488F2" w14:textId="77777777" w:rsidR="00A345F4" w:rsidRDefault="005E2D4E">
            <w:pPr>
              <w:pStyle w:val="P68B1DB1-Normal14"/>
              <w:spacing w:after="0" w:line="240" w:lineRule="auto"/>
              <w:jc w:val="center"/>
              <w:rPr>
                <w:noProof/>
              </w:rPr>
            </w:pPr>
            <w:r>
              <w:rPr>
                <w:noProof/>
              </w:rPr>
              <w:t>T2</w:t>
            </w:r>
          </w:p>
        </w:tc>
        <w:tc>
          <w:tcPr>
            <w:tcW w:w="1065" w:type="dxa"/>
            <w:tcBorders>
              <w:top w:val="nil"/>
              <w:left w:val="single" w:sz="4" w:space="0" w:color="auto"/>
              <w:bottom w:val="single" w:sz="4" w:space="0" w:color="auto"/>
              <w:right w:val="single" w:sz="4" w:space="0" w:color="auto"/>
            </w:tcBorders>
            <w:shd w:val="clear" w:color="auto" w:fill="C6EFCE"/>
            <w:noWrap/>
          </w:tcPr>
          <w:p w14:paraId="678666E1" w14:textId="77777777" w:rsidR="00A345F4" w:rsidRDefault="005E2D4E">
            <w:pPr>
              <w:pStyle w:val="P68B1DB1-Normal14"/>
              <w:spacing w:after="0" w:line="240" w:lineRule="auto"/>
              <w:jc w:val="center"/>
              <w:rPr>
                <w:noProof/>
              </w:rPr>
            </w:pPr>
            <w:r>
              <w:rPr>
                <w:noProof/>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2A25C412" w14:textId="77777777" w:rsidR="00A345F4" w:rsidRDefault="005E2D4E">
            <w:pPr>
              <w:pStyle w:val="P68B1DB1-Normal14"/>
              <w:spacing w:after="0" w:line="240" w:lineRule="auto"/>
              <w:jc w:val="both"/>
              <w:rPr>
                <w:noProof/>
              </w:rPr>
            </w:pPr>
            <w:r>
              <w:rPr>
                <w:noProof/>
              </w:rPr>
              <w:t>Opérations de financement ou d’investissement représentant 100 % du montant total des ressources allouées à l’instrument (500 millions d’EUR) approuvé par le comité d’investissement InvestEU.</w:t>
            </w:r>
          </w:p>
          <w:p w14:paraId="05DFA376" w14:textId="77777777" w:rsidR="00A345F4" w:rsidRDefault="00A345F4">
            <w:pPr>
              <w:spacing w:after="0" w:line="240" w:lineRule="auto"/>
              <w:jc w:val="both"/>
              <w:rPr>
                <w:rFonts w:ascii="Times New Roman" w:hAnsi="Times New Roman" w:cs="Times New Roman"/>
                <w:noProof/>
                <w:sz w:val="20"/>
                <w:szCs w:val="20"/>
              </w:rPr>
            </w:pPr>
          </w:p>
        </w:tc>
      </w:tr>
      <w:tr w:rsidR="00A345F4" w14:paraId="4530A291"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ABD8C3D" w14:textId="77777777" w:rsidR="00A345F4" w:rsidRDefault="005E2D4E">
            <w:pPr>
              <w:pStyle w:val="P68B1DB1-Normal14"/>
              <w:spacing w:after="0" w:line="240" w:lineRule="auto"/>
              <w:jc w:val="center"/>
              <w:rPr>
                <w:noProof/>
              </w:rPr>
            </w:pPr>
            <w:r>
              <w:rPr>
                <w:noProof/>
              </w:rPr>
              <w:t>250</w:t>
            </w:r>
          </w:p>
        </w:tc>
        <w:tc>
          <w:tcPr>
            <w:tcW w:w="1844" w:type="dxa"/>
            <w:tcBorders>
              <w:top w:val="nil"/>
              <w:left w:val="single" w:sz="4" w:space="0" w:color="auto"/>
              <w:bottom w:val="single" w:sz="4" w:space="0" w:color="auto"/>
              <w:right w:val="single" w:sz="4" w:space="0" w:color="auto"/>
            </w:tcBorders>
            <w:shd w:val="clear" w:color="auto" w:fill="C6EFCE"/>
            <w:noWrap/>
          </w:tcPr>
          <w:p w14:paraId="64B9D74D" w14:textId="77777777" w:rsidR="00A345F4" w:rsidRDefault="005E2D4E">
            <w:pPr>
              <w:pStyle w:val="P68B1DB1-Normal14"/>
              <w:spacing w:after="0" w:line="240" w:lineRule="auto"/>
              <w:jc w:val="both"/>
              <w:rPr>
                <w:noProof/>
              </w:rPr>
            </w:pPr>
            <w:r>
              <w:rPr>
                <w:noProof/>
              </w:rPr>
              <w:t xml:space="preserve">Investissement 2.2. Instruments financiers pour le secteur privé - Garantie du portefeuille d'action pour le climat </w:t>
            </w:r>
          </w:p>
        </w:tc>
        <w:tc>
          <w:tcPr>
            <w:tcW w:w="1373" w:type="dxa"/>
            <w:tcBorders>
              <w:top w:val="nil"/>
              <w:left w:val="single" w:sz="4" w:space="0" w:color="auto"/>
              <w:bottom w:val="single" w:sz="4" w:space="0" w:color="auto"/>
              <w:right w:val="single" w:sz="4" w:space="0" w:color="auto"/>
            </w:tcBorders>
            <w:shd w:val="clear" w:color="auto" w:fill="C6EFCE"/>
            <w:noWrap/>
          </w:tcPr>
          <w:p w14:paraId="48858854" w14:textId="77777777" w:rsidR="00A345F4" w:rsidRDefault="005E2D4E">
            <w:pPr>
              <w:pStyle w:val="P68B1DB1-Normal14"/>
              <w:spacing w:after="0"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45CBD2CF" w14:textId="77777777" w:rsidR="00A345F4" w:rsidRDefault="005E2D4E">
            <w:pPr>
              <w:pStyle w:val="P68B1DB1-Normal14"/>
              <w:spacing w:after="0" w:line="240" w:lineRule="auto"/>
              <w:jc w:val="both"/>
              <w:rPr>
                <w:noProof/>
              </w:rPr>
            </w:pPr>
            <w:r>
              <w:rPr>
                <w:noProof/>
              </w:rPr>
              <w:t>Signature de la convention de contribution entre la Commission européenne et le gouvernement roumain.</w:t>
            </w:r>
          </w:p>
        </w:tc>
        <w:tc>
          <w:tcPr>
            <w:tcW w:w="1766" w:type="dxa"/>
            <w:tcBorders>
              <w:top w:val="nil"/>
              <w:left w:val="single" w:sz="4" w:space="0" w:color="auto"/>
              <w:bottom w:val="single" w:sz="4" w:space="0" w:color="auto"/>
              <w:right w:val="single" w:sz="4" w:space="0" w:color="auto"/>
            </w:tcBorders>
            <w:shd w:val="clear" w:color="auto" w:fill="C6EFCE"/>
            <w:noWrap/>
          </w:tcPr>
          <w:p w14:paraId="3763364D" w14:textId="77777777" w:rsidR="00A345F4" w:rsidRDefault="005E2D4E">
            <w:pPr>
              <w:pStyle w:val="P68B1DB1-Normal14"/>
              <w:spacing w:after="0" w:line="240" w:lineRule="auto"/>
              <w:jc w:val="both"/>
              <w:rPr>
                <w:noProof/>
              </w:rPr>
            </w:pPr>
            <w:r>
              <w:rPr>
                <w:noProof/>
              </w:rPr>
              <w:t> Signature de l'accord</w:t>
            </w:r>
          </w:p>
        </w:tc>
        <w:tc>
          <w:tcPr>
            <w:tcW w:w="1558" w:type="dxa"/>
            <w:tcBorders>
              <w:top w:val="nil"/>
              <w:left w:val="single" w:sz="4" w:space="0" w:color="auto"/>
              <w:bottom w:val="single" w:sz="4" w:space="0" w:color="auto"/>
              <w:right w:val="single" w:sz="4" w:space="0" w:color="auto"/>
            </w:tcBorders>
            <w:shd w:val="clear" w:color="auto" w:fill="C6EFCE"/>
            <w:noWrap/>
          </w:tcPr>
          <w:p w14:paraId="7426FF6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17215E60"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858" w:type="dxa"/>
            <w:tcBorders>
              <w:top w:val="nil"/>
              <w:left w:val="single" w:sz="4" w:space="0" w:color="auto"/>
              <w:bottom w:val="single" w:sz="4" w:space="0" w:color="auto"/>
              <w:right w:val="single" w:sz="4" w:space="0" w:color="auto"/>
            </w:tcBorders>
            <w:shd w:val="clear" w:color="auto" w:fill="C6EFCE"/>
            <w:noWrap/>
          </w:tcPr>
          <w:p w14:paraId="762E4CD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69467DEA" w14:textId="77777777" w:rsidR="00A345F4" w:rsidRDefault="005E2D4E">
            <w:pPr>
              <w:pStyle w:val="P68B1DB1-Normal14"/>
              <w:spacing w:after="0" w:line="240" w:lineRule="auto"/>
              <w:jc w:val="center"/>
              <w:rPr>
                <w:noProof/>
              </w:rPr>
            </w:pPr>
            <w:r>
              <w:rPr>
                <w:noProof/>
              </w:rPr>
              <w:t>T4</w:t>
            </w:r>
          </w:p>
        </w:tc>
        <w:tc>
          <w:tcPr>
            <w:tcW w:w="1065" w:type="dxa"/>
            <w:tcBorders>
              <w:top w:val="nil"/>
              <w:left w:val="single" w:sz="4" w:space="0" w:color="auto"/>
              <w:bottom w:val="single" w:sz="4" w:space="0" w:color="auto"/>
              <w:right w:val="single" w:sz="4" w:space="0" w:color="auto"/>
            </w:tcBorders>
            <w:shd w:val="clear" w:color="auto" w:fill="C6EFCE"/>
            <w:noWrap/>
          </w:tcPr>
          <w:p w14:paraId="505961A2" w14:textId="77777777" w:rsidR="00A345F4" w:rsidRDefault="005E2D4E">
            <w:pPr>
              <w:pStyle w:val="P68B1DB1-Normal14"/>
              <w:spacing w:after="0" w:line="240" w:lineRule="auto"/>
              <w:jc w:val="center"/>
              <w:rPr>
                <w:noProof/>
              </w:rPr>
            </w:pPr>
            <w:r>
              <w:rPr>
                <w:noProof/>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100365B6" w14:textId="77777777" w:rsidR="00A345F4" w:rsidRDefault="005E2D4E">
            <w:pPr>
              <w:pStyle w:val="P68B1DB1-Normal14"/>
              <w:spacing w:after="0" w:line="240" w:lineRule="auto"/>
              <w:jc w:val="both"/>
              <w:rPr>
                <w:noProof/>
              </w:rPr>
            </w:pPr>
            <w:r>
              <w:rPr>
                <w:noProof/>
              </w:rPr>
              <w:t>Signature de la convention de contribution entre la Commission européenne et le gouvernement roumain, y compris:</w:t>
            </w:r>
          </w:p>
          <w:p w14:paraId="6D61B322" w14:textId="77777777" w:rsidR="00A345F4" w:rsidRDefault="005E2D4E">
            <w:pPr>
              <w:pStyle w:val="P68B1DB1-Normal14"/>
              <w:spacing w:after="0" w:line="240" w:lineRule="auto"/>
              <w:jc w:val="both"/>
              <w:rPr>
                <w:noProof/>
              </w:rPr>
            </w:pPr>
            <w:r>
              <w:rPr>
                <w:noProof/>
              </w:rPr>
              <w:t>a. Critères de sélection pour la conformité aux orientations techniques «Ne pas causer de préjudice important» (2021/C58/01) des opérations bénéficiant d’un soutien au titre de la présente mesure au moyen de l’évaluation de la durabilité, et liste d’exclusion.</w:t>
            </w:r>
          </w:p>
          <w:p w14:paraId="58220C25" w14:textId="77777777" w:rsidR="00A345F4" w:rsidRDefault="005E2D4E">
            <w:pPr>
              <w:pStyle w:val="P68B1DB1-Normal14"/>
              <w:spacing w:after="0" w:line="240" w:lineRule="auto"/>
              <w:jc w:val="both"/>
              <w:rPr>
                <w:noProof/>
              </w:rPr>
            </w:pPr>
            <w:r>
              <w:rPr>
                <w:noProof/>
              </w:rPr>
              <w:t>b. Critères visant à garantir que l’instrument financier est conforme à la note d’orientation de la Commission du 22 janvier 2021 [SWD(2021) 12 final] relative aux instruments financiers.</w:t>
            </w:r>
          </w:p>
          <w:p w14:paraId="2D38DDC1" w14:textId="77777777" w:rsidR="00A345F4" w:rsidRDefault="005E2D4E">
            <w:pPr>
              <w:pStyle w:val="P68B1DB1-Normal14"/>
              <w:spacing w:after="0" w:line="240" w:lineRule="auto"/>
              <w:jc w:val="both"/>
              <w:rPr>
                <w:noProof/>
              </w:rPr>
            </w:pPr>
            <w:r>
              <w:rPr>
                <w:noProof/>
              </w:rPr>
              <w:t>Étant donné que l’instrument proposé est mis en œuvre à titre de contribution à InvestEU (complément potentiel d’un produit existant au titre du compartiment «UE»), les points a) et b) susmentionnés sont assurés par l’application des dispositions d’InvestEU et de la politique de prêt et des critères d’exclusion du partenaire chargé de la mise en œuvre sélectionné. Des exclusions supplémentaires nécessaires pour garantir le respect des orientations techniques «Ne pas causer de préjudice important» (2021/C58/01) sont précisées dans l’accord de garantie entre la Commission européenne et le Fonds européen d’investissement (FEI).</w:t>
            </w:r>
          </w:p>
          <w:p w14:paraId="79A007AE" w14:textId="77777777" w:rsidR="00A345F4" w:rsidRDefault="005E2D4E">
            <w:pPr>
              <w:pStyle w:val="P68B1DB1-Normal14"/>
              <w:spacing w:after="0" w:line="240" w:lineRule="auto"/>
              <w:jc w:val="both"/>
              <w:rPr>
                <w:noProof/>
              </w:rPr>
            </w:pPr>
            <w:r>
              <w:rPr>
                <w:noProof/>
              </w:rPr>
              <w:t>L’instrument financier prend la forme d’une garantie de portefeuille, mise en œuvre par le FEI, et fournit des financements et des investissements aux PME comptant jusqu’à 249 salariés, aux entreprises comptant jusqu’à 500 salariés et aux particuliers («bénéficiaires») au moyen de fonds de roulement, de lignes de crédit, de prêts à l’investissement ou de crédits-bails, en vue d’investissements et de financements destinés à améliorer l’efficacité énergétique dans les entreprises et le secteur résidentiel et immobilier. Au moins 250 bénéficiaires devraient bénéficier d’un soutien au titre de l’instrument. L’objectif de l’instrument est de relever les défis actuels de la Roumanie en matière de soutien aux investissements dans les secteurs de l’efficacité énergétique et des énergies renouvelables. Les objectifs spécifiques et les ambitions en matière d’efficacité énergétique de l’instrument, ainsi que la structure et les critères d’éligibilité, sont pleinement alignés et correspondent à ceux de l’instrument InvestEU-compartiment, actuellement en cours d’élaboration.</w:t>
            </w:r>
          </w:p>
          <w:p w14:paraId="0B53A4DC" w14:textId="77777777" w:rsidR="00A345F4" w:rsidRDefault="005E2D4E">
            <w:pPr>
              <w:pStyle w:val="P68B1DB1-Normal14"/>
              <w:spacing w:after="0" w:line="240" w:lineRule="auto"/>
              <w:jc w:val="both"/>
              <w:rPr>
                <w:noProof/>
              </w:rPr>
            </w:pPr>
            <w:r>
              <w:rPr>
                <w:noProof/>
              </w:rPr>
              <w:t xml:space="preserve">La structure de l'instrument permet de mobiliser des fonds privés. </w:t>
            </w:r>
          </w:p>
          <w:p w14:paraId="22E84F22" w14:textId="77777777" w:rsidR="00A345F4" w:rsidRDefault="005E2D4E">
            <w:pPr>
              <w:pStyle w:val="P68B1DB1-Normal14"/>
              <w:spacing w:after="0" w:line="240" w:lineRule="auto"/>
              <w:jc w:val="both"/>
              <w:rPr>
                <w:noProof/>
              </w:rPr>
            </w:pPr>
            <w:r>
              <w:rPr>
                <w:noProof/>
              </w:rPr>
              <w:t>Tous les rendements de l’instrument financier, y compris les remboursements, ainsi que les bénéfices obtenus grâce à l’utilisation des fonds de la FRR, moins la rémunération du gestionnaire de fonds et des intermédiaires financiers, sont utilisés pour les mêmes objectifs stratégiques, y compris après 2026.</w:t>
            </w:r>
          </w:p>
        </w:tc>
      </w:tr>
      <w:tr w:rsidR="00A345F4" w14:paraId="124EDB20"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75D97EFF" w14:textId="77777777" w:rsidR="00A345F4" w:rsidRDefault="005E2D4E">
            <w:pPr>
              <w:pStyle w:val="P68B1DB1-Normal14"/>
              <w:spacing w:after="0" w:line="240" w:lineRule="auto"/>
              <w:jc w:val="center"/>
              <w:rPr>
                <w:noProof/>
              </w:rPr>
            </w:pPr>
            <w:r>
              <w:rPr>
                <w:noProof/>
              </w:rPr>
              <w:t>253</w:t>
            </w:r>
          </w:p>
        </w:tc>
        <w:tc>
          <w:tcPr>
            <w:tcW w:w="1844" w:type="dxa"/>
            <w:tcBorders>
              <w:top w:val="nil"/>
              <w:left w:val="single" w:sz="4" w:space="0" w:color="auto"/>
              <w:bottom w:val="single" w:sz="4" w:space="0" w:color="auto"/>
              <w:right w:val="single" w:sz="4" w:space="0" w:color="auto"/>
            </w:tcBorders>
            <w:shd w:val="clear" w:color="auto" w:fill="C6EFCE"/>
            <w:noWrap/>
          </w:tcPr>
          <w:p w14:paraId="33E9F32D" w14:textId="77777777" w:rsidR="00A345F4" w:rsidRDefault="005E2D4E">
            <w:pPr>
              <w:pStyle w:val="P68B1DB1-Normal14"/>
              <w:spacing w:after="0" w:line="240" w:lineRule="auto"/>
              <w:jc w:val="both"/>
              <w:rPr>
                <w:noProof/>
              </w:rPr>
            </w:pPr>
            <w:r>
              <w:rPr>
                <w:noProof/>
              </w:rPr>
              <w:t xml:space="preserve">Investissement 2.3 Instruments financiers pour le secteur privé - Fonds de capital-risque pour la relance </w:t>
            </w:r>
          </w:p>
        </w:tc>
        <w:tc>
          <w:tcPr>
            <w:tcW w:w="1373" w:type="dxa"/>
            <w:tcBorders>
              <w:top w:val="nil"/>
              <w:left w:val="single" w:sz="4" w:space="0" w:color="auto"/>
              <w:bottom w:val="single" w:sz="4" w:space="0" w:color="auto"/>
              <w:right w:val="single" w:sz="4" w:space="0" w:color="auto"/>
            </w:tcBorders>
            <w:shd w:val="clear" w:color="auto" w:fill="C6EFCE"/>
            <w:noWrap/>
          </w:tcPr>
          <w:p w14:paraId="3122C69D" w14:textId="77777777" w:rsidR="00A345F4" w:rsidRDefault="005E2D4E">
            <w:pPr>
              <w:pStyle w:val="P68B1DB1-Normal14"/>
              <w:spacing w:after="0"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1E2A3088" w14:textId="77777777" w:rsidR="00A345F4" w:rsidRDefault="005E2D4E">
            <w:pPr>
              <w:pStyle w:val="P68B1DB1-Normal14"/>
              <w:spacing w:after="0" w:line="240" w:lineRule="auto"/>
              <w:jc w:val="both"/>
              <w:rPr>
                <w:noProof/>
              </w:rPr>
            </w:pPr>
            <w:r>
              <w:rPr>
                <w:noProof/>
              </w:rPr>
              <w:t xml:space="preserve">Signature de la convention de financement entre le Fonds européen d’investissement et le gouvernement roumain pour la création du Fonds de capital-risque pour la relance (ci-après le «Fonds») et adoption de la politique d’investissement du Fonds. </w:t>
            </w:r>
          </w:p>
        </w:tc>
        <w:tc>
          <w:tcPr>
            <w:tcW w:w="1766" w:type="dxa"/>
            <w:tcBorders>
              <w:top w:val="nil"/>
              <w:left w:val="single" w:sz="4" w:space="0" w:color="auto"/>
              <w:bottom w:val="single" w:sz="4" w:space="0" w:color="auto"/>
              <w:right w:val="single" w:sz="4" w:space="0" w:color="auto"/>
            </w:tcBorders>
            <w:shd w:val="clear" w:color="auto" w:fill="C6EFCE"/>
            <w:noWrap/>
          </w:tcPr>
          <w:p w14:paraId="53948D6C" w14:textId="77777777" w:rsidR="00A345F4" w:rsidRDefault="005E2D4E">
            <w:pPr>
              <w:pStyle w:val="P68B1DB1-Normal14"/>
              <w:spacing w:after="0" w:line="240" w:lineRule="auto"/>
              <w:jc w:val="both"/>
              <w:rPr>
                <w:noProof/>
              </w:rPr>
            </w:pPr>
            <w:r>
              <w:rPr>
                <w:noProof/>
              </w:rPr>
              <w:t> Signature de l'accord</w:t>
            </w:r>
          </w:p>
        </w:tc>
        <w:tc>
          <w:tcPr>
            <w:tcW w:w="1558" w:type="dxa"/>
            <w:tcBorders>
              <w:top w:val="nil"/>
              <w:left w:val="single" w:sz="4" w:space="0" w:color="auto"/>
              <w:bottom w:val="single" w:sz="4" w:space="0" w:color="auto"/>
              <w:right w:val="single" w:sz="4" w:space="0" w:color="auto"/>
            </w:tcBorders>
            <w:shd w:val="clear" w:color="auto" w:fill="C6EFCE"/>
            <w:noWrap/>
          </w:tcPr>
          <w:p w14:paraId="0502550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4584E3D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858" w:type="dxa"/>
            <w:tcBorders>
              <w:top w:val="nil"/>
              <w:left w:val="single" w:sz="4" w:space="0" w:color="auto"/>
              <w:bottom w:val="single" w:sz="4" w:space="0" w:color="auto"/>
              <w:right w:val="single" w:sz="4" w:space="0" w:color="auto"/>
            </w:tcBorders>
            <w:shd w:val="clear" w:color="auto" w:fill="C6EFCE"/>
            <w:noWrap/>
          </w:tcPr>
          <w:p w14:paraId="16261B22"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4EEBA145" w14:textId="77777777" w:rsidR="00A345F4" w:rsidRDefault="005E2D4E">
            <w:pPr>
              <w:pStyle w:val="P68B1DB1-Normal14"/>
              <w:spacing w:after="0" w:line="240" w:lineRule="auto"/>
              <w:jc w:val="center"/>
              <w:rPr>
                <w:noProof/>
              </w:rPr>
            </w:pPr>
            <w:r>
              <w:rPr>
                <w:noProof/>
              </w:rPr>
              <w:t>T4</w:t>
            </w:r>
          </w:p>
        </w:tc>
        <w:tc>
          <w:tcPr>
            <w:tcW w:w="1065" w:type="dxa"/>
            <w:tcBorders>
              <w:top w:val="nil"/>
              <w:left w:val="single" w:sz="4" w:space="0" w:color="auto"/>
              <w:bottom w:val="single" w:sz="4" w:space="0" w:color="auto"/>
              <w:right w:val="single" w:sz="4" w:space="0" w:color="auto"/>
            </w:tcBorders>
            <w:shd w:val="clear" w:color="auto" w:fill="C6EFCE"/>
            <w:noWrap/>
          </w:tcPr>
          <w:p w14:paraId="4096BD91" w14:textId="77777777" w:rsidR="00A345F4" w:rsidRDefault="005E2D4E">
            <w:pPr>
              <w:pStyle w:val="P68B1DB1-Normal14"/>
              <w:spacing w:after="0" w:line="240" w:lineRule="auto"/>
              <w:jc w:val="center"/>
              <w:rPr>
                <w:noProof/>
              </w:rPr>
            </w:pPr>
            <w:r>
              <w:rPr>
                <w:noProof/>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71F333EC" w14:textId="77777777" w:rsidR="00A345F4" w:rsidRDefault="005E2D4E">
            <w:pPr>
              <w:pStyle w:val="P68B1DB1-Normal14"/>
              <w:spacing w:after="0" w:line="240" w:lineRule="auto"/>
              <w:jc w:val="both"/>
              <w:rPr>
                <w:noProof/>
              </w:rPr>
            </w:pPr>
            <w:r>
              <w:rPr>
                <w:noProof/>
              </w:rPr>
              <w:t>Signature de la convention de financement entre le Fonds européen d'investissement et le gouvernement roumain et adoption de la politique d'investissement du Fonds. Ce dernier:</w:t>
            </w:r>
          </w:p>
          <w:p w14:paraId="1A1BD32E" w14:textId="77777777" w:rsidR="00A345F4" w:rsidRDefault="005E2D4E">
            <w:pPr>
              <w:pStyle w:val="P68B1DB1-Normal14"/>
              <w:spacing w:after="0" w:line="240" w:lineRule="auto"/>
              <w:jc w:val="both"/>
              <w:rPr>
                <w:noProof/>
              </w:rPr>
            </w:pPr>
            <w:r>
              <w:rPr>
                <w:noProof/>
              </w:rPr>
              <w:t>- être adoptées par les organes directeurs de l'instrument financier;</w:t>
            </w:r>
          </w:p>
          <w:p w14:paraId="38815BA9" w14:textId="77777777" w:rsidR="00A345F4" w:rsidRDefault="005E2D4E">
            <w:pPr>
              <w:pStyle w:val="P68B1DB1-Normal14"/>
              <w:spacing w:after="0" w:line="240" w:lineRule="auto"/>
              <w:jc w:val="both"/>
              <w:rPr>
                <w:noProof/>
              </w:rPr>
            </w:pPr>
            <w:r>
              <w:rPr>
                <w:noProof/>
              </w:rPr>
              <w:t>- être conforme à la note d’orientation de la Commission du 22 janvier 2021 [SWD(2021) 12 final] relative aux instruments financiers;</w:t>
            </w:r>
          </w:p>
          <w:p w14:paraId="55A634F7" w14:textId="77777777" w:rsidR="00A345F4" w:rsidRDefault="005E2D4E">
            <w:pPr>
              <w:pStyle w:val="P68B1DB1-Normal14"/>
              <w:spacing w:after="0" w:line="240" w:lineRule="auto"/>
              <w:jc w:val="both"/>
              <w:rPr>
                <w:noProof/>
              </w:rPr>
            </w:pPr>
            <w:r>
              <w:rPr>
                <w:noProof/>
              </w:rPr>
              <w:t>- inclure des critères de sélection visant à garantir le respect des orientations techniques «Ne pas causer de préjudice important» (2021/C58/01) des opérations bénéficiant d’un soutien au titre de cette mesure grâce à l’utilisation d’une évaluation de la durabilité, d’une liste d’exclusion et de l’exigence de conformité avec la législation environnementale pertinente de l’UE et nationale;</w:t>
            </w:r>
          </w:p>
          <w:p w14:paraId="644AC803" w14:textId="77777777" w:rsidR="00A345F4" w:rsidRDefault="005E2D4E">
            <w:pPr>
              <w:pStyle w:val="P68B1DB1-Normal14"/>
              <w:spacing w:after="0" w:line="240" w:lineRule="auto"/>
              <w:jc w:val="both"/>
              <w:rPr>
                <w:noProof/>
              </w:rPr>
            </w:pPr>
            <w:r>
              <w:rPr>
                <w:noProof/>
              </w:rPr>
              <w:t>inclure l’obligation pour les bénéficiaires qui ont tiré plus de 50 % de leurs recettes au cours de l’exercice précédent d’activités ou d’actifs de la liste d’exclusion d’adopter et de publier des plans de transition écologique.</w:t>
            </w:r>
          </w:p>
          <w:p w14:paraId="23E80497" w14:textId="77777777" w:rsidR="00A345F4" w:rsidRDefault="005E2D4E">
            <w:pPr>
              <w:pStyle w:val="P68B1DB1-Normal14"/>
              <w:spacing w:after="0" w:line="240" w:lineRule="auto"/>
              <w:jc w:val="both"/>
              <w:rPr>
                <w:noProof/>
              </w:rPr>
            </w:pPr>
            <w:r>
              <w:rPr>
                <w:noProof/>
              </w:rPr>
              <w:t>Le Fonds fournit un soutien sous forme d’instruments financiers (fonds propres) aux PME, aux entreprises à moyenne capitalisation, y compris les jeunes pousses, aux entreprises en phase de croissance précoce et avancée, et aux projets d’infrastructure axés sur les énergies renouvelables et l’efficacité énergétique. L'aide est fournie par l'intermédiaire de fonds de capital-risque et de fonds d'infrastructure. Le nombre visé de bénéficiaires est de 100.</w:t>
            </w:r>
          </w:p>
          <w:p w14:paraId="1704E51B" w14:textId="77777777" w:rsidR="00A345F4" w:rsidRDefault="005E2D4E">
            <w:pPr>
              <w:pStyle w:val="P68B1DB1-Normal14"/>
              <w:spacing w:after="0" w:line="240" w:lineRule="auto"/>
              <w:jc w:val="both"/>
              <w:rPr>
                <w:noProof/>
              </w:rPr>
            </w:pPr>
            <w:r>
              <w:rPr>
                <w:noProof/>
              </w:rPr>
              <w:t xml:space="preserve">La gestion du Fonds est confiée au Fonds européen d'investissement (FEI). Un comité d'investissement est institué et chargé d'approuver les opérations avec les intermédiaires proposées par le gestionnaire de fonds (FEI) sur la base des besoins du marché et d'une manière ouverte et conforme au marché. Les frais de gestion du FEI comprennent un élément de performance. </w:t>
            </w:r>
          </w:p>
          <w:p w14:paraId="31D604E4" w14:textId="77777777" w:rsidR="00A345F4" w:rsidRDefault="005E2D4E">
            <w:pPr>
              <w:pStyle w:val="P68B1DB1-Normal14"/>
              <w:spacing w:after="0" w:line="240" w:lineRule="auto"/>
              <w:jc w:val="both"/>
              <w:rPr>
                <w:noProof/>
              </w:rPr>
            </w:pPr>
            <w:r>
              <w:rPr>
                <w:noProof/>
              </w:rPr>
              <w:t xml:space="preserve">La structure du Fonds permet de mobiliser des fonds privés. </w:t>
            </w:r>
          </w:p>
          <w:p w14:paraId="7A866EA0" w14:textId="77777777" w:rsidR="00A345F4" w:rsidRDefault="005E2D4E">
            <w:pPr>
              <w:pStyle w:val="P68B1DB1-Normal14"/>
              <w:spacing w:after="0" w:line="240" w:lineRule="auto"/>
              <w:jc w:val="both"/>
              <w:rPr>
                <w:noProof/>
              </w:rPr>
            </w:pPr>
            <w:r>
              <w:rPr>
                <w:noProof/>
              </w:rPr>
              <w:t>Tous les rendements du Fonds ou des instruments financiers, y compris les remboursements, ainsi que les bénéfices obtenus grâce à l’utilisation des fonds de la FRR, moins la rémunération du gestionnaire du fonds et des intermédiaires financiers, sont utilisés pour les mêmes objectifs stratégiques, y compris après 2026.</w:t>
            </w:r>
          </w:p>
        </w:tc>
      </w:tr>
      <w:tr w:rsidR="00A345F4" w14:paraId="2823634C"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76391CC9" w14:textId="77777777" w:rsidR="00A345F4" w:rsidRDefault="005E2D4E">
            <w:pPr>
              <w:pStyle w:val="P68B1DB1-Normal14"/>
              <w:spacing w:after="0" w:line="240" w:lineRule="auto"/>
              <w:jc w:val="center"/>
              <w:rPr>
                <w:noProof/>
              </w:rPr>
            </w:pPr>
            <w:r>
              <w:rPr>
                <w:noProof/>
              </w:rPr>
              <w:t>255</w:t>
            </w:r>
          </w:p>
        </w:tc>
        <w:tc>
          <w:tcPr>
            <w:tcW w:w="1844" w:type="dxa"/>
            <w:tcBorders>
              <w:top w:val="nil"/>
              <w:left w:val="single" w:sz="4" w:space="0" w:color="auto"/>
              <w:bottom w:val="single" w:sz="4" w:space="0" w:color="auto"/>
              <w:right w:val="single" w:sz="4" w:space="0" w:color="auto"/>
            </w:tcBorders>
            <w:shd w:val="clear" w:color="auto" w:fill="C6EFCE"/>
            <w:noWrap/>
          </w:tcPr>
          <w:p w14:paraId="081233C6" w14:textId="77777777" w:rsidR="00A345F4" w:rsidRDefault="005E2D4E">
            <w:pPr>
              <w:pStyle w:val="P68B1DB1-Normal14"/>
              <w:spacing w:after="0" w:line="240" w:lineRule="auto"/>
              <w:jc w:val="both"/>
              <w:rPr>
                <w:noProof/>
              </w:rPr>
            </w:pPr>
            <w:r>
              <w:rPr>
                <w:noProof/>
              </w:rPr>
              <w:t xml:space="preserve">Investissement 2.3 Instruments financiers pour le secteur privé - Fonds de capital-risque pour la relance </w:t>
            </w:r>
          </w:p>
        </w:tc>
        <w:tc>
          <w:tcPr>
            <w:tcW w:w="1373" w:type="dxa"/>
            <w:tcBorders>
              <w:top w:val="nil"/>
              <w:left w:val="single" w:sz="4" w:space="0" w:color="auto"/>
              <w:bottom w:val="single" w:sz="4" w:space="0" w:color="auto"/>
              <w:right w:val="single" w:sz="4" w:space="0" w:color="auto"/>
            </w:tcBorders>
            <w:shd w:val="clear" w:color="auto" w:fill="C6EFCE"/>
            <w:noWrap/>
          </w:tcPr>
          <w:p w14:paraId="3D58E402" w14:textId="77777777" w:rsidR="00A345F4" w:rsidRDefault="005E2D4E">
            <w:pPr>
              <w:pStyle w:val="P68B1DB1-Normal14"/>
              <w:spacing w:after="0" w:line="240" w:lineRule="auto"/>
              <w:jc w:val="center"/>
              <w:rPr>
                <w:noProof/>
              </w:rPr>
            </w:pPr>
            <w:r>
              <w:rPr>
                <w:noProof/>
              </w:rPr>
              <w:t>Objectif</w:t>
            </w:r>
          </w:p>
        </w:tc>
        <w:tc>
          <w:tcPr>
            <w:tcW w:w="1212" w:type="dxa"/>
            <w:tcBorders>
              <w:top w:val="nil"/>
              <w:left w:val="single" w:sz="4" w:space="0" w:color="auto"/>
              <w:bottom w:val="single" w:sz="4" w:space="0" w:color="auto"/>
              <w:right w:val="single" w:sz="4" w:space="0" w:color="auto"/>
            </w:tcBorders>
            <w:shd w:val="clear" w:color="auto" w:fill="C6EFCE"/>
            <w:noWrap/>
          </w:tcPr>
          <w:p w14:paraId="162FF998" w14:textId="77777777" w:rsidR="00A345F4" w:rsidRDefault="005E2D4E">
            <w:pPr>
              <w:pStyle w:val="P68B1DB1-Normal14"/>
              <w:spacing w:after="0" w:line="240" w:lineRule="auto"/>
              <w:jc w:val="both"/>
              <w:rPr>
                <w:noProof/>
              </w:rPr>
            </w:pPr>
            <w:r>
              <w:rPr>
                <w:noProof/>
              </w:rPr>
              <w:t>Opérations de financement ou d’investissement représentant 100 % du montant total des financements ou investissements ciblés approuvés par le comité d’investissement.</w:t>
            </w:r>
          </w:p>
        </w:tc>
        <w:tc>
          <w:tcPr>
            <w:tcW w:w="1766" w:type="dxa"/>
            <w:tcBorders>
              <w:top w:val="nil"/>
              <w:left w:val="single" w:sz="4" w:space="0" w:color="auto"/>
              <w:bottom w:val="single" w:sz="4" w:space="0" w:color="auto"/>
              <w:right w:val="single" w:sz="4" w:space="0" w:color="auto"/>
            </w:tcBorders>
            <w:shd w:val="clear" w:color="auto" w:fill="C6EFCE"/>
            <w:noWrap/>
          </w:tcPr>
          <w:p w14:paraId="49870007" w14:textId="77777777" w:rsidR="00A345F4" w:rsidRDefault="005E2D4E">
            <w:pPr>
              <w:pStyle w:val="P68B1DB1-Normal14"/>
              <w:spacing w:after="0" w:line="240" w:lineRule="auto"/>
              <w:jc w:val="both"/>
              <w:rPr>
                <w:noProof/>
              </w:rPr>
            </w:pPr>
            <w:r>
              <w:rPr>
                <w:noProof/>
              </w:rPr>
              <w:t> Le comité d’investissement approuve 100 % du montant total du financement ou de l’investissement ciblé</w:t>
            </w:r>
          </w:p>
        </w:tc>
        <w:tc>
          <w:tcPr>
            <w:tcW w:w="1558" w:type="dxa"/>
            <w:tcBorders>
              <w:top w:val="nil"/>
              <w:left w:val="single" w:sz="4" w:space="0" w:color="auto"/>
              <w:bottom w:val="single" w:sz="4" w:space="0" w:color="auto"/>
              <w:right w:val="single" w:sz="4" w:space="0" w:color="auto"/>
            </w:tcBorders>
            <w:shd w:val="clear" w:color="auto" w:fill="C6EFCE"/>
            <w:noWrap/>
          </w:tcPr>
          <w:p w14:paraId="5B18F524" w14:textId="77777777" w:rsidR="00A345F4" w:rsidRDefault="005E2D4E">
            <w:pPr>
              <w:pStyle w:val="P68B1DB1-Normal14"/>
              <w:spacing w:after="0" w:line="240" w:lineRule="auto"/>
              <w:rPr>
                <w:rFonts w:eastAsia="Times New Roman"/>
                <w:noProof/>
              </w:rPr>
            </w:pPr>
            <w:r>
              <w:rPr>
                <w:noProof/>
              </w:rPr>
              <w:t>Pourcentage (%)</w:t>
            </w:r>
          </w:p>
          <w:p w14:paraId="678155C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67C54647" w14:textId="77777777" w:rsidR="00A345F4" w:rsidRDefault="005E2D4E">
            <w:pPr>
              <w:pStyle w:val="P68B1DB1-Normal14"/>
              <w:spacing w:after="0" w:line="240" w:lineRule="auto"/>
              <w:jc w:val="both"/>
              <w:rPr>
                <w:rFonts w:eastAsia="Times New Roman"/>
                <w:noProof/>
              </w:rPr>
            </w:pPr>
            <w:r>
              <w:rPr>
                <w:noProof/>
              </w:rPr>
              <w:t>0</w:t>
            </w:r>
          </w:p>
        </w:tc>
        <w:tc>
          <w:tcPr>
            <w:tcW w:w="858" w:type="dxa"/>
            <w:tcBorders>
              <w:top w:val="nil"/>
              <w:left w:val="single" w:sz="4" w:space="0" w:color="auto"/>
              <w:bottom w:val="single" w:sz="4" w:space="0" w:color="auto"/>
              <w:right w:val="single" w:sz="4" w:space="0" w:color="auto"/>
            </w:tcBorders>
            <w:shd w:val="clear" w:color="auto" w:fill="C6EFCE"/>
            <w:noWrap/>
          </w:tcPr>
          <w:p w14:paraId="16260376" w14:textId="77777777" w:rsidR="00A345F4" w:rsidRDefault="005E2D4E">
            <w:pPr>
              <w:pStyle w:val="P68B1DB1-Normal14"/>
              <w:spacing w:after="0" w:line="240" w:lineRule="auto"/>
              <w:jc w:val="both"/>
              <w:rPr>
                <w:rFonts w:eastAsia="Times New Roman"/>
                <w:noProof/>
              </w:rPr>
            </w:pPr>
            <w:r>
              <w:rPr>
                <w:noProof/>
              </w:rPr>
              <w:t>100</w:t>
            </w:r>
          </w:p>
        </w:tc>
        <w:tc>
          <w:tcPr>
            <w:tcW w:w="943" w:type="dxa"/>
            <w:tcBorders>
              <w:top w:val="nil"/>
              <w:left w:val="single" w:sz="4" w:space="0" w:color="auto"/>
              <w:bottom w:val="single" w:sz="4" w:space="0" w:color="auto"/>
              <w:right w:val="single" w:sz="4" w:space="0" w:color="auto"/>
            </w:tcBorders>
            <w:shd w:val="clear" w:color="auto" w:fill="C6EFCE"/>
            <w:noWrap/>
          </w:tcPr>
          <w:p w14:paraId="4B5F8E66" w14:textId="77777777" w:rsidR="00A345F4" w:rsidRDefault="005E2D4E">
            <w:pPr>
              <w:pStyle w:val="P68B1DB1-Normal14"/>
              <w:spacing w:after="0" w:line="240" w:lineRule="auto"/>
              <w:jc w:val="center"/>
              <w:rPr>
                <w:noProof/>
              </w:rPr>
            </w:pPr>
            <w:r>
              <w:rPr>
                <w:noProof/>
              </w:rPr>
              <w:t>T2</w:t>
            </w:r>
          </w:p>
        </w:tc>
        <w:tc>
          <w:tcPr>
            <w:tcW w:w="1065" w:type="dxa"/>
            <w:tcBorders>
              <w:top w:val="nil"/>
              <w:left w:val="single" w:sz="4" w:space="0" w:color="auto"/>
              <w:bottom w:val="single" w:sz="4" w:space="0" w:color="auto"/>
              <w:right w:val="single" w:sz="4" w:space="0" w:color="auto"/>
            </w:tcBorders>
            <w:shd w:val="clear" w:color="auto" w:fill="C6EFCE"/>
            <w:noWrap/>
          </w:tcPr>
          <w:p w14:paraId="2BE6B24D" w14:textId="77777777" w:rsidR="00A345F4" w:rsidRDefault="005E2D4E">
            <w:pPr>
              <w:pStyle w:val="P68B1DB1-Normal14"/>
              <w:spacing w:after="0" w:line="240" w:lineRule="auto"/>
              <w:jc w:val="center"/>
              <w:rPr>
                <w:noProof/>
              </w:rPr>
            </w:pPr>
            <w:r>
              <w:rPr>
                <w:noProof/>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4C53063E" w14:textId="77777777" w:rsidR="00A345F4" w:rsidRDefault="005E2D4E">
            <w:pPr>
              <w:pStyle w:val="P68B1DB1-Normal14"/>
              <w:spacing w:after="0" w:line="240" w:lineRule="auto"/>
              <w:jc w:val="both"/>
              <w:rPr>
                <w:noProof/>
              </w:rPr>
            </w:pPr>
            <w:r>
              <w:rPr>
                <w:noProof/>
              </w:rPr>
              <w:t>Opérations de financement ou d’investissement représentant 100 % du montant total des financements ou investissements ciblés approuvés par le comité d’investissement.</w:t>
            </w:r>
          </w:p>
        </w:tc>
      </w:tr>
      <w:tr w:rsidR="00A345F4" w14:paraId="4C24C2FA"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70A52E3A" w14:textId="77777777" w:rsidR="00A345F4" w:rsidRDefault="005E2D4E">
            <w:pPr>
              <w:pStyle w:val="P68B1DB1-Normal14"/>
              <w:spacing w:after="0" w:line="240" w:lineRule="auto"/>
              <w:jc w:val="center"/>
              <w:rPr>
                <w:noProof/>
              </w:rPr>
            </w:pPr>
            <w:r>
              <w:rPr>
                <w:noProof/>
              </w:rPr>
              <w:t>256</w:t>
            </w:r>
          </w:p>
        </w:tc>
        <w:tc>
          <w:tcPr>
            <w:tcW w:w="1844" w:type="dxa"/>
            <w:tcBorders>
              <w:top w:val="nil"/>
              <w:left w:val="single" w:sz="4" w:space="0" w:color="auto"/>
              <w:bottom w:val="single" w:sz="4" w:space="0" w:color="auto"/>
              <w:right w:val="single" w:sz="4" w:space="0" w:color="auto"/>
            </w:tcBorders>
            <w:shd w:val="clear" w:color="auto" w:fill="C6EFCE"/>
            <w:noWrap/>
          </w:tcPr>
          <w:p w14:paraId="0BEB5C30" w14:textId="77777777" w:rsidR="00A345F4" w:rsidRDefault="005E2D4E">
            <w:pPr>
              <w:pStyle w:val="P68B1DB1-Normal14"/>
              <w:spacing w:after="0" w:line="240" w:lineRule="auto"/>
              <w:jc w:val="both"/>
              <w:rPr>
                <w:noProof/>
              </w:rPr>
            </w:pPr>
            <w:r>
              <w:rPr>
                <w:noProof/>
              </w:rPr>
              <w:t xml:space="preserve">Investissement 2.4 Instruments financiers pour le secteur privé - Fonds pour la numérisation, l'action pour le climat et d'autres domaines d'intérêt </w:t>
            </w:r>
          </w:p>
        </w:tc>
        <w:tc>
          <w:tcPr>
            <w:tcW w:w="1373" w:type="dxa"/>
            <w:tcBorders>
              <w:top w:val="nil"/>
              <w:left w:val="single" w:sz="4" w:space="0" w:color="auto"/>
              <w:bottom w:val="single" w:sz="4" w:space="0" w:color="auto"/>
              <w:right w:val="single" w:sz="4" w:space="0" w:color="auto"/>
            </w:tcBorders>
            <w:shd w:val="clear" w:color="auto" w:fill="C6EFCE"/>
            <w:noWrap/>
          </w:tcPr>
          <w:p w14:paraId="5F3C4D51" w14:textId="77777777" w:rsidR="00A345F4" w:rsidRDefault="005E2D4E">
            <w:pPr>
              <w:pStyle w:val="P68B1DB1-Normal14"/>
              <w:spacing w:after="0"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276EF8E4" w14:textId="77777777" w:rsidR="00A345F4" w:rsidRDefault="005E2D4E">
            <w:pPr>
              <w:pStyle w:val="P68B1DB1-Normal14"/>
              <w:spacing w:after="0" w:line="240" w:lineRule="auto"/>
              <w:jc w:val="both"/>
              <w:rPr>
                <w:noProof/>
              </w:rPr>
            </w:pPr>
            <w:r>
              <w:rPr>
                <w:noProof/>
              </w:rPr>
              <w:t>Établissement de l’instrument financier (ci-après le «Fonds») et adoption de la politique d’investissement du Fonds.</w:t>
            </w:r>
          </w:p>
        </w:tc>
        <w:tc>
          <w:tcPr>
            <w:tcW w:w="1766" w:type="dxa"/>
            <w:tcBorders>
              <w:top w:val="nil"/>
              <w:left w:val="single" w:sz="4" w:space="0" w:color="auto"/>
              <w:bottom w:val="single" w:sz="4" w:space="0" w:color="auto"/>
              <w:right w:val="single" w:sz="4" w:space="0" w:color="auto"/>
            </w:tcBorders>
            <w:shd w:val="clear" w:color="auto" w:fill="C6EFCE"/>
            <w:noWrap/>
          </w:tcPr>
          <w:p w14:paraId="674EFBD9" w14:textId="77777777" w:rsidR="00A345F4" w:rsidRDefault="005E2D4E">
            <w:pPr>
              <w:pStyle w:val="P68B1DB1-Normal14"/>
              <w:spacing w:after="0" w:line="240" w:lineRule="auto"/>
              <w:jc w:val="both"/>
              <w:rPr>
                <w:noProof/>
              </w:rPr>
            </w:pPr>
            <w:r>
              <w:rPr>
                <w:noProof/>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5C209670"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69382206"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858" w:type="dxa"/>
            <w:tcBorders>
              <w:top w:val="nil"/>
              <w:left w:val="single" w:sz="4" w:space="0" w:color="auto"/>
              <w:bottom w:val="single" w:sz="4" w:space="0" w:color="auto"/>
              <w:right w:val="single" w:sz="4" w:space="0" w:color="auto"/>
            </w:tcBorders>
            <w:shd w:val="clear" w:color="auto" w:fill="C6EFCE"/>
            <w:noWrap/>
          </w:tcPr>
          <w:p w14:paraId="297E2A2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682307AE" w14:textId="77777777" w:rsidR="00A345F4" w:rsidRDefault="005E2D4E">
            <w:pPr>
              <w:pStyle w:val="P68B1DB1-Normal14"/>
              <w:spacing w:after="0" w:line="240" w:lineRule="auto"/>
              <w:jc w:val="center"/>
              <w:rPr>
                <w:noProof/>
              </w:rPr>
            </w:pPr>
            <w:r>
              <w:rPr>
                <w:noProof/>
              </w:rPr>
              <w:t>T1</w:t>
            </w:r>
          </w:p>
        </w:tc>
        <w:tc>
          <w:tcPr>
            <w:tcW w:w="1065" w:type="dxa"/>
            <w:tcBorders>
              <w:top w:val="nil"/>
              <w:left w:val="single" w:sz="4" w:space="0" w:color="auto"/>
              <w:bottom w:val="single" w:sz="4" w:space="0" w:color="auto"/>
              <w:right w:val="single" w:sz="4" w:space="0" w:color="auto"/>
            </w:tcBorders>
            <w:shd w:val="clear" w:color="auto" w:fill="C6EFCE"/>
            <w:noWrap/>
          </w:tcPr>
          <w:p w14:paraId="22EA9A4B" w14:textId="77777777" w:rsidR="00A345F4" w:rsidRDefault="005E2D4E">
            <w:pPr>
              <w:pStyle w:val="P68B1DB1-Normal14"/>
              <w:spacing w:after="0" w:line="240" w:lineRule="auto"/>
              <w:jc w:val="center"/>
              <w:rPr>
                <w:noProof/>
              </w:rPr>
            </w:pPr>
            <w:r>
              <w:rPr>
                <w:noProof/>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1D2E014C" w14:textId="77777777" w:rsidR="00A345F4" w:rsidRDefault="005E2D4E">
            <w:pPr>
              <w:pStyle w:val="P68B1DB1-Normal14"/>
              <w:spacing w:after="0" w:line="240" w:lineRule="auto"/>
              <w:jc w:val="both"/>
              <w:rPr>
                <w:noProof/>
              </w:rPr>
            </w:pPr>
            <w:r>
              <w:rPr>
                <w:noProof/>
              </w:rPr>
              <w:t>Signature de la convention de financement entre la Banque européenne d'investissement et le gouvernement roumain et adoption de la politique d'investissement du Fonds. Ce dernier:</w:t>
            </w:r>
          </w:p>
          <w:p w14:paraId="08F4701E" w14:textId="77777777" w:rsidR="00A345F4" w:rsidRDefault="005E2D4E">
            <w:pPr>
              <w:pStyle w:val="P68B1DB1-Normal14"/>
              <w:spacing w:after="0" w:line="240" w:lineRule="auto"/>
              <w:jc w:val="both"/>
              <w:rPr>
                <w:noProof/>
              </w:rPr>
            </w:pPr>
            <w:r>
              <w:rPr>
                <w:noProof/>
              </w:rPr>
              <w:t>- être adoptées par les organes directeurs de l'instrument financier;</w:t>
            </w:r>
          </w:p>
          <w:p w14:paraId="247DE885" w14:textId="77777777" w:rsidR="00A345F4" w:rsidRDefault="005E2D4E">
            <w:pPr>
              <w:pStyle w:val="P68B1DB1-Normal14"/>
              <w:spacing w:after="0" w:line="240" w:lineRule="auto"/>
              <w:jc w:val="both"/>
              <w:rPr>
                <w:noProof/>
              </w:rPr>
            </w:pPr>
            <w:r>
              <w:rPr>
                <w:noProof/>
              </w:rPr>
              <w:t>- être conforme à la note d’orientation de la Commission du 22 janvier 2021 [SWD(2021) 12 final] relative aux instruments financiers;</w:t>
            </w:r>
          </w:p>
          <w:p w14:paraId="0D4E03F2" w14:textId="77777777" w:rsidR="00A345F4" w:rsidRDefault="005E2D4E">
            <w:pPr>
              <w:pStyle w:val="P68B1DB1-Normal14"/>
              <w:spacing w:after="0" w:line="240" w:lineRule="auto"/>
              <w:jc w:val="both"/>
              <w:rPr>
                <w:noProof/>
              </w:rPr>
            </w:pPr>
            <w:r>
              <w:rPr>
                <w:noProof/>
              </w:rPr>
              <w:t xml:space="preserve">- inclure des critères de sélection visant à garantir la conformité avec les orientations techniques «Ne pas causer de préjudice important» (2021/C58/01) des opérations bénéficiant d’un soutien au titre de la présente mesure grâce à l’utilisation d’une évaluation de la durabilité, d’une liste d’exclusion et de l’exigence de conformité avec la législation environnementale pertinente de l’UE et nationale; </w:t>
            </w:r>
          </w:p>
          <w:p w14:paraId="04FA154A" w14:textId="77777777" w:rsidR="00A345F4" w:rsidRDefault="005E2D4E">
            <w:pPr>
              <w:pStyle w:val="P68B1DB1-Normal14"/>
              <w:spacing w:after="0" w:line="240" w:lineRule="auto"/>
              <w:jc w:val="both"/>
              <w:rPr>
                <w:noProof/>
              </w:rPr>
            </w:pPr>
            <w:r>
              <w:rPr>
                <w:noProof/>
              </w:rPr>
              <w:t>inclure un engagement d’investir au moins 33 % des fonds pour soutenir la transition climatique et 16 % des fonds pour soutenir la transition numérique, en utilisant la méthode décrite aux annexes VI et VII du règlement FRR.</w:t>
            </w:r>
          </w:p>
          <w:p w14:paraId="090F581B" w14:textId="77777777" w:rsidR="00A345F4" w:rsidRDefault="005E2D4E">
            <w:pPr>
              <w:pStyle w:val="P68B1DB1-Normal14"/>
              <w:spacing w:after="0" w:line="240" w:lineRule="auto"/>
              <w:jc w:val="both"/>
              <w:rPr>
                <w:noProof/>
              </w:rPr>
            </w:pPr>
            <w:r>
              <w:rPr>
                <w:noProof/>
              </w:rPr>
              <w:t xml:space="preserve">Le Fonds fournit un soutien sous forme d’instruments financiers (dette) à au moins huit grandes entreprises (ayant plus de 500 salariés et/ou un chiffre d’affaires annuel supérieur à 50 millions d’EUR et un total du bilan annuel supérieur à 43 millions d’EUR), entités publiques et véhicules à usage spécial, au moyen d’investissements contribuant à l’économie à faible intensité de carbone, ainsi que d’investissements dans la numérisation et les actifs fixes, dans le but d’encourager un plus grand nombre d’investissements contribuant aux objectifs climatiques et numériques par les entreprises cibles et également d’encourager la croissance et l’expansion des entreprises, créant ainsi de nouvelles possibilités d’emploi et soutenant la reprise économique au sens large. Le montant alloué aux domaines d’intervention liés au climat, conformément à l’annexe VI du règlement FRR, s’élève à 33 millions d’EUR. Le montant alloué aux domaines d’intervention liés à la numérisation, conformément à l’annexe VII du règlement FRR, s’élève à 16 millions d’EUR. Le Fonds peut également inclure d’autres dépenses liées au climat et à la numérisation. </w:t>
            </w:r>
          </w:p>
          <w:p w14:paraId="2CB3BB55" w14:textId="77777777" w:rsidR="00A345F4" w:rsidRDefault="005E2D4E">
            <w:pPr>
              <w:pStyle w:val="P68B1DB1-Normal14"/>
              <w:spacing w:after="0" w:line="240" w:lineRule="auto"/>
              <w:jc w:val="both"/>
              <w:rPr>
                <w:noProof/>
              </w:rPr>
            </w:pPr>
            <w:r>
              <w:rPr>
                <w:noProof/>
              </w:rPr>
              <w:t xml:space="preserve">La gestion du Fonds est confiée à la Banque européenne d'investissement (BEI). Un comité d’investissement est institué, comprenant des experts indépendants, et est chargé d’approuver les composantes des projets des bénéficiaires finaux (investisseurs) liées aux subventions, telles que proposées par le gestionnaire de fonds (BEI) sur la base des besoins du marché et d’une manière ouverte et conforme au marché. </w:t>
            </w:r>
          </w:p>
          <w:p w14:paraId="06267636" w14:textId="77777777" w:rsidR="00A345F4" w:rsidRDefault="005E2D4E">
            <w:pPr>
              <w:pStyle w:val="P68B1DB1-Normal14"/>
              <w:spacing w:after="0" w:line="240" w:lineRule="auto"/>
              <w:jc w:val="both"/>
              <w:rPr>
                <w:noProof/>
              </w:rPr>
            </w:pPr>
            <w:r>
              <w:rPr>
                <w:noProof/>
              </w:rPr>
              <w:t xml:space="preserve">La structure du Fonds permet de mobiliser des fonds privés. </w:t>
            </w:r>
          </w:p>
          <w:p w14:paraId="0C91B04A" w14:textId="77777777" w:rsidR="00A345F4" w:rsidRDefault="005E2D4E">
            <w:pPr>
              <w:pStyle w:val="P68B1DB1-Normal14"/>
              <w:spacing w:after="0" w:line="240" w:lineRule="auto"/>
              <w:jc w:val="both"/>
              <w:rPr>
                <w:noProof/>
              </w:rPr>
            </w:pPr>
            <w:r>
              <w:rPr>
                <w:noProof/>
              </w:rPr>
              <w:t>Tous les rendements du Fonds ou des instruments financiers, y compris les remboursements, ainsi que les bénéfices obtenus grâce à l’utilisation des fonds de la FRR, moins la rémunération du gestionnaire du fonds et des intermédiaires financiers, sont utilisés pour les mêmes objectifs stratégiques, y compris après 2026.</w:t>
            </w:r>
          </w:p>
        </w:tc>
      </w:tr>
      <w:tr w:rsidR="00A345F4" w14:paraId="39A99721"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3958BE39" w14:textId="77777777" w:rsidR="00A345F4" w:rsidRDefault="005E2D4E">
            <w:pPr>
              <w:pStyle w:val="P68B1DB1-Normal14"/>
              <w:spacing w:after="0" w:line="240" w:lineRule="auto"/>
              <w:jc w:val="center"/>
              <w:rPr>
                <w:noProof/>
              </w:rPr>
            </w:pPr>
            <w:r>
              <w:rPr>
                <w:noProof/>
              </w:rPr>
              <w:t>258</w:t>
            </w:r>
          </w:p>
        </w:tc>
        <w:tc>
          <w:tcPr>
            <w:tcW w:w="1844" w:type="dxa"/>
            <w:tcBorders>
              <w:top w:val="nil"/>
              <w:left w:val="single" w:sz="4" w:space="0" w:color="auto"/>
              <w:bottom w:val="single" w:sz="4" w:space="0" w:color="auto"/>
              <w:right w:val="single" w:sz="4" w:space="0" w:color="auto"/>
            </w:tcBorders>
            <w:shd w:val="clear" w:color="auto" w:fill="C6EFCE"/>
            <w:noWrap/>
          </w:tcPr>
          <w:p w14:paraId="1C865C89" w14:textId="77777777" w:rsidR="00A345F4" w:rsidRDefault="005E2D4E">
            <w:pPr>
              <w:pStyle w:val="P68B1DB1-Normal14"/>
              <w:spacing w:after="0" w:line="240" w:lineRule="auto"/>
              <w:jc w:val="both"/>
              <w:rPr>
                <w:noProof/>
              </w:rPr>
            </w:pPr>
            <w:r>
              <w:rPr>
                <w:noProof/>
              </w:rPr>
              <w:t>Investissement 2.4 Instruments financiers pour le secteur privé - Fonds pour la numérisation, l'action pour le climat et d'autres domaines d'intérêt</w:t>
            </w:r>
          </w:p>
        </w:tc>
        <w:tc>
          <w:tcPr>
            <w:tcW w:w="1373" w:type="dxa"/>
            <w:tcBorders>
              <w:top w:val="nil"/>
              <w:left w:val="single" w:sz="4" w:space="0" w:color="auto"/>
              <w:bottom w:val="single" w:sz="4" w:space="0" w:color="auto"/>
              <w:right w:val="single" w:sz="4" w:space="0" w:color="auto"/>
            </w:tcBorders>
            <w:shd w:val="clear" w:color="auto" w:fill="C6EFCE"/>
            <w:noWrap/>
          </w:tcPr>
          <w:p w14:paraId="6998C6B7" w14:textId="77777777" w:rsidR="00A345F4" w:rsidRDefault="005E2D4E">
            <w:pPr>
              <w:pStyle w:val="P68B1DB1-Normal14"/>
              <w:spacing w:after="0" w:line="240" w:lineRule="auto"/>
              <w:jc w:val="center"/>
              <w:rPr>
                <w:noProof/>
              </w:rPr>
            </w:pPr>
            <w:r>
              <w:rPr>
                <w:noProof/>
              </w:rPr>
              <w:t>Objectif</w:t>
            </w:r>
          </w:p>
        </w:tc>
        <w:tc>
          <w:tcPr>
            <w:tcW w:w="1212" w:type="dxa"/>
            <w:tcBorders>
              <w:top w:val="nil"/>
              <w:left w:val="single" w:sz="4" w:space="0" w:color="auto"/>
              <w:bottom w:val="single" w:sz="4" w:space="0" w:color="auto"/>
              <w:right w:val="single" w:sz="4" w:space="0" w:color="auto"/>
            </w:tcBorders>
            <w:shd w:val="clear" w:color="auto" w:fill="C6EFCE"/>
            <w:noWrap/>
          </w:tcPr>
          <w:p w14:paraId="250C373E" w14:textId="77777777" w:rsidR="00A345F4" w:rsidRDefault="005E2D4E">
            <w:pPr>
              <w:pStyle w:val="P68B1DB1-Normal14"/>
              <w:spacing w:after="0" w:line="240" w:lineRule="auto"/>
              <w:jc w:val="both"/>
              <w:rPr>
                <w:noProof/>
              </w:rPr>
            </w:pPr>
            <w:r>
              <w:rPr>
                <w:noProof/>
              </w:rPr>
              <w:t>100 % des bénéficiaires ciblés ont bénéficié d’un soutien.</w:t>
            </w:r>
          </w:p>
        </w:tc>
        <w:tc>
          <w:tcPr>
            <w:tcW w:w="1766" w:type="dxa"/>
            <w:tcBorders>
              <w:top w:val="nil"/>
              <w:left w:val="single" w:sz="4" w:space="0" w:color="auto"/>
              <w:bottom w:val="single" w:sz="4" w:space="0" w:color="auto"/>
              <w:right w:val="single" w:sz="4" w:space="0" w:color="auto"/>
            </w:tcBorders>
            <w:shd w:val="clear" w:color="auto" w:fill="C6EFCE"/>
            <w:noWrap/>
          </w:tcPr>
          <w:p w14:paraId="60B01A6A" w14:textId="77777777" w:rsidR="00A345F4" w:rsidRDefault="005E2D4E">
            <w:pPr>
              <w:pStyle w:val="P68B1DB1-Normal14"/>
              <w:spacing w:after="0" w:line="240" w:lineRule="auto"/>
              <w:jc w:val="both"/>
              <w:rPr>
                <w:noProof/>
              </w:rPr>
            </w:pPr>
            <w:r>
              <w:rPr>
                <w:noProof/>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5EF24CFE" w14:textId="77777777" w:rsidR="00A345F4" w:rsidRDefault="005E2D4E">
            <w:pPr>
              <w:pStyle w:val="P68B1DB1-Normal14"/>
              <w:spacing w:after="0" w:line="240" w:lineRule="auto"/>
              <w:rPr>
                <w:rFonts w:eastAsia="Times New Roman"/>
                <w:noProof/>
              </w:rPr>
            </w:pPr>
            <w:r>
              <w:rPr>
                <w:noProof/>
              </w:rPr>
              <w:t>Pourcentage (%)</w:t>
            </w:r>
          </w:p>
          <w:p w14:paraId="1080891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2E18D309" w14:textId="77777777" w:rsidR="00A345F4" w:rsidRDefault="005E2D4E">
            <w:pPr>
              <w:pStyle w:val="P68B1DB1-Normal14"/>
              <w:spacing w:after="0" w:line="240" w:lineRule="auto"/>
              <w:jc w:val="both"/>
              <w:rPr>
                <w:rFonts w:eastAsia="Times New Roman"/>
                <w:noProof/>
              </w:rPr>
            </w:pPr>
            <w:r>
              <w:rPr>
                <w:noProof/>
              </w:rPr>
              <w:t>0</w:t>
            </w:r>
          </w:p>
        </w:tc>
        <w:tc>
          <w:tcPr>
            <w:tcW w:w="858" w:type="dxa"/>
            <w:tcBorders>
              <w:top w:val="nil"/>
              <w:left w:val="single" w:sz="4" w:space="0" w:color="auto"/>
              <w:bottom w:val="single" w:sz="4" w:space="0" w:color="auto"/>
              <w:right w:val="single" w:sz="4" w:space="0" w:color="auto"/>
            </w:tcBorders>
            <w:shd w:val="clear" w:color="auto" w:fill="C6EFCE"/>
            <w:noWrap/>
          </w:tcPr>
          <w:p w14:paraId="0964CE46" w14:textId="77777777" w:rsidR="00A345F4" w:rsidRDefault="005E2D4E">
            <w:pPr>
              <w:pStyle w:val="P68B1DB1-Normal14"/>
              <w:spacing w:after="0" w:line="240" w:lineRule="auto"/>
              <w:jc w:val="both"/>
              <w:rPr>
                <w:rFonts w:eastAsia="Times New Roman"/>
                <w:noProof/>
              </w:rPr>
            </w:pPr>
            <w:r>
              <w:rPr>
                <w:noProof/>
              </w:rPr>
              <w:t>100</w:t>
            </w:r>
          </w:p>
        </w:tc>
        <w:tc>
          <w:tcPr>
            <w:tcW w:w="943" w:type="dxa"/>
            <w:tcBorders>
              <w:top w:val="nil"/>
              <w:left w:val="single" w:sz="4" w:space="0" w:color="auto"/>
              <w:bottom w:val="single" w:sz="4" w:space="0" w:color="auto"/>
              <w:right w:val="single" w:sz="4" w:space="0" w:color="auto"/>
            </w:tcBorders>
            <w:shd w:val="clear" w:color="auto" w:fill="C6EFCE"/>
            <w:noWrap/>
          </w:tcPr>
          <w:p w14:paraId="7B4A0A46" w14:textId="77777777" w:rsidR="00A345F4" w:rsidRDefault="005E2D4E">
            <w:pPr>
              <w:pStyle w:val="P68B1DB1-Normal14"/>
              <w:spacing w:after="0" w:line="240" w:lineRule="auto"/>
              <w:jc w:val="center"/>
              <w:rPr>
                <w:noProof/>
              </w:rPr>
            </w:pPr>
            <w:r>
              <w:rPr>
                <w:noProof/>
              </w:rPr>
              <w:t>T2</w:t>
            </w:r>
          </w:p>
        </w:tc>
        <w:tc>
          <w:tcPr>
            <w:tcW w:w="1065" w:type="dxa"/>
            <w:tcBorders>
              <w:top w:val="nil"/>
              <w:left w:val="single" w:sz="4" w:space="0" w:color="auto"/>
              <w:bottom w:val="single" w:sz="4" w:space="0" w:color="auto"/>
              <w:right w:val="single" w:sz="4" w:space="0" w:color="auto"/>
            </w:tcBorders>
            <w:shd w:val="clear" w:color="auto" w:fill="C6EFCE"/>
            <w:noWrap/>
          </w:tcPr>
          <w:p w14:paraId="62791E22" w14:textId="77777777" w:rsidR="00A345F4" w:rsidRDefault="005E2D4E">
            <w:pPr>
              <w:pStyle w:val="P68B1DB1-Normal14"/>
              <w:spacing w:after="0" w:line="240" w:lineRule="auto"/>
              <w:jc w:val="center"/>
              <w:rPr>
                <w:noProof/>
              </w:rPr>
            </w:pPr>
            <w:r>
              <w:rPr>
                <w:noProof/>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5B85DE2F" w14:textId="77777777" w:rsidR="00A345F4" w:rsidRDefault="005E2D4E">
            <w:pPr>
              <w:pStyle w:val="P68B1DB1-Normal14"/>
              <w:spacing w:after="0" w:line="240" w:lineRule="auto"/>
              <w:jc w:val="both"/>
              <w:rPr>
                <w:noProof/>
              </w:rPr>
            </w:pPr>
            <w:r>
              <w:rPr>
                <w:noProof/>
              </w:rPr>
              <w:t>100 % des bénéficiaires ciblés ont bénéficié d’un soutien.</w:t>
            </w:r>
          </w:p>
        </w:tc>
      </w:tr>
      <w:tr w:rsidR="00A345F4" w14:paraId="11C1A8CD"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3A178F9A" w14:textId="77777777" w:rsidR="00A345F4" w:rsidRDefault="005E2D4E">
            <w:pPr>
              <w:pStyle w:val="P68B1DB1-Normal14"/>
              <w:spacing w:after="0" w:line="240" w:lineRule="auto"/>
              <w:jc w:val="center"/>
              <w:rPr>
                <w:noProof/>
              </w:rPr>
            </w:pPr>
            <w:r>
              <w:rPr>
                <w:noProof/>
              </w:rPr>
              <w:t>259</w:t>
            </w:r>
          </w:p>
        </w:tc>
        <w:tc>
          <w:tcPr>
            <w:tcW w:w="1844" w:type="dxa"/>
            <w:tcBorders>
              <w:top w:val="nil"/>
              <w:left w:val="single" w:sz="4" w:space="0" w:color="auto"/>
              <w:bottom w:val="single" w:sz="4" w:space="0" w:color="auto"/>
              <w:right w:val="single" w:sz="4" w:space="0" w:color="auto"/>
            </w:tcBorders>
            <w:shd w:val="clear" w:color="auto" w:fill="C6EFCE"/>
            <w:noWrap/>
          </w:tcPr>
          <w:p w14:paraId="34ECCCC8" w14:textId="77777777" w:rsidR="00A345F4" w:rsidRDefault="005E2D4E">
            <w:pPr>
              <w:pStyle w:val="P68B1DB1-Normal14"/>
              <w:spacing w:after="0" w:line="240" w:lineRule="auto"/>
              <w:jc w:val="both"/>
              <w:rPr>
                <w:noProof/>
              </w:rPr>
            </w:pPr>
            <w:r>
              <w:rPr>
                <w:noProof/>
              </w:rPr>
              <w:t>Investissement 2.5 Instruments financiers pour le secteur privé - Investissements dans l'efficacité énergétique dans le secteur résidentiel et du bâtiment</w:t>
            </w:r>
            <w:r>
              <w:rPr>
                <w:i/>
                <w:strike/>
                <w:noProof/>
              </w:rPr>
              <w:t xml:space="preserve"> </w:t>
            </w:r>
          </w:p>
        </w:tc>
        <w:tc>
          <w:tcPr>
            <w:tcW w:w="1373" w:type="dxa"/>
            <w:tcBorders>
              <w:top w:val="nil"/>
              <w:left w:val="single" w:sz="4" w:space="0" w:color="auto"/>
              <w:bottom w:val="single" w:sz="4" w:space="0" w:color="auto"/>
              <w:right w:val="single" w:sz="4" w:space="0" w:color="auto"/>
            </w:tcBorders>
            <w:shd w:val="clear" w:color="auto" w:fill="C6EFCE"/>
            <w:noWrap/>
          </w:tcPr>
          <w:p w14:paraId="7B78D338" w14:textId="77777777" w:rsidR="00A345F4" w:rsidRDefault="005E2D4E">
            <w:pPr>
              <w:pStyle w:val="P68B1DB1-Normal14"/>
              <w:spacing w:after="0"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654BFEE2" w14:textId="77777777" w:rsidR="00A345F4" w:rsidRDefault="005E2D4E">
            <w:pPr>
              <w:pStyle w:val="P68B1DB1-Normal14"/>
              <w:spacing w:after="0" w:line="240" w:lineRule="auto"/>
              <w:jc w:val="both"/>
              <w:rPr>
                <w:noProof/>
              </w:rPr>
            </w:pPr>
            <w:r>
              <w:rPr>
                <w:noProof/>
              </w:rPr>
              <w:t>Signature de la convention de contribution entre la Commission européenne et le gouvernement roumain.</w:t>
            </w:r>
          </w:p>
        </w:tc>
        <w:tc>
          <w:tcPr>
            <w:tcW w:w="1766" w:type="dxa"/>
            <w:tcBorders>
              <w:top w:val="nil"/>
              <w:left w:val="single" w:sz="4" w:space="0" w:color="auto"/>
              <w:bottom w:val="single" w:sz="4" w:space="0" w:color="auto"/>
              <w:right w:val="single" w:sz="4" w:space="0" w:color="auto"/>
            </w:tcBorders>
            <w:shd w:val="clear" w:color="auto" w:fill="C6EFCE"/>
            <w:noWrap/>
          </w:tcPr>
          <w:p w14:paraId="2F7E018A" w14:textId="77777777" w:rsidR="00A345F4" w:rsidRDefault="005E2D4E">
            <w:pPr>
              <w:pStyle w:val="P68B1DB1-Normal14"/>
              <w:spacing w:after="0" w:line="240" w:lineRule="auto"/>
              <w:jc w:val="both"/>
              <w:rPr>
                <w:noProof/>
              </w:rPr>
            </w:pPr>
            <w:r>
              <w:rPr>
                <w:noProof/>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100DD20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7D3EB6D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858" w:type="dxa"/>
            <w:tcBorders>
              <w:top w:val="nil"/>
              <w:left w:val="single" w:sz="4" w:space="0" w:color="auto"/>
              <w:bottom w:val="single" w:sz="4" w:space="0" w:color="auto"/>
              <w:right w:val="single" w:sz="4" w:space="0" w:color="auto"/>
            </w:tcBorders>
            <w:shd w:val="clear" w:color="auto" w:fill="C6EFCE"/>
            <w:noWrap/>
          </w:tcPr>
          <w:p w14:paraId="69F9830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2424F92A" w14:textId="77777777" w:rsidR="00A345F4" w:rsidRDefault="005E2D4E">
            <w:pPr>
              <w:pStyle w:val="P68B1DB1-Normal14"/>
              <w:spacing w:after="0" w:line="240" w:lineRule="auto"/>
              <w:jc w:val="center"/>
              <w:rPr>
                <w:noProof/>
              </w:rPr>
            </w:pPr>
            <w:r>
              <w:rPr>
                <w:noProof/>
              </w:rPr>
              <w:t>T4</w:t>
            </w:r>
          </w:p>
        </w:tc>
        <w:tc>
          <w:tcPr>
            <w:tcW w:w="1065" w:type="dxa"/>
            <w:tcBorders>
              <w:top w:val="nil"/>
              <w:left w:val="single" w:sz="4" w:space="0" w:color="auto"/>
              <w:bottom w:val="single" w:sz="4" w:space="0" w:color="auto"/>
              <w:right w:val="single" w:sz="4" w:space="0" w:color="auto"/>
            </w:tcBorders>
            <w:shd w:val="clear" w:color="auto" w:fill="C6EFCE"/>
            <w:noWrap/>
          </w:tcPr>
          <w:p w14:paraId="397794A1" w14:textId="77777777" w:rsidR="00A345F4" w:rsidRDefault="005E2D4E">
            <w:pPr>
              <w:pStyle w:val="P68B1DB1-Normal14"/>
              <w:spacing w:after="0" w:line="240" w:lineRule="auto"/>
              <w:jc w:val="center"/>
              <w:rPr>
                <w:noProof/>
              </w:rPr>
            </w:pPr>
            <w:r>
              <w:rPr>
                <w:noProof/>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3B8DAC32" w14:textId="77777777" w:rsidR="00A345F4" w:rsidRDefault="005E2D4E">
            <w:pPr>
              <w:pStyle w:val="P68B1DB1-Normal14"/>
              <w:spacing w:after="0" w:line="240" w:lineRule="auto"/>
              <w:jc w:val="both"/>
              <w:rPr>
                <w:noProof/>
              </w:rPr>
            </w:pPr>
            <w:r>
              <w:rPr>
                <w:noProof/>
              </w:rPr>
              <w:t>Signature de la convention de contribution entre la Commission européenne et le gouvernement roumain, y compris:</w:t>
            </w:r>
          </w:p>
          <w:p w14:paraId="4513CD7C" w14:textId="77777777" w:rsidR="00A345F4" w:rsidRDefault="005E2D4E">
            <w:pPr>
              <w:pStyle w:val="P68B1DB1-Normal14"/>
              <w:numPr>
                <w:ilvl w:val="0"/>
                <w:numId w:val="102"/>
              </w:numPr>
              <w:spacing w:after="0" w:line="240" w:lineRule="auto"/>
              <w:ind w:hanging="414"/>
              <w:contextualSpacing/>
              <w:jc w:val="both"/>
              <w:rPr>
                <w:noProof/>
              </w:rPr>
            </w:pPr>
            <w:r>
              <w:rPr>
                <w:noProof/>
              </w:rPr>
              <w:t>Critères de sélection pour la conformité avec les orientations techniques «Ne pas causer de préjudice important» (2021/C58/01) de l’opération bénéficiant d’un soutien au titre de cette mesure au moyen d’une évaluation de la durabilité et d’une liste d’exclusion.</w:t>
            </w:r>
          </w:p>
          <w:p w14:paraId="23BEE74A" w14:textId="77777777" w:rsidR="00A345F4" w:rsidRDefault="005E2D4E">
            <w:pPr>
              <w:pStyle w:val="P68B1DB1-Normal14"/>
              <w:numPr>
                <w:ilvl w:val="0"/>
                <w:numId w:val="102"/>
              </w:numPr>
              <w:spacing w:after="0" w:line="240" w:lineRule="auto"/>
              <w:ind w:hanging="414"/>
              <w:contextualSpacing/>
              <w:jc w:val="both"/>
              <w:rPr>
                <w:noProof/>
              </w:rPr>
            </w:pPr>
            <w:r>
              <w:rPr>
                <w:noProof/>
              </w:rPr>
              <w:t>Critères visant à garantir que l’instrument financier est conforme à la note d’orientation de la Commission du 22 janvier 2021 [SWD(2021) 12 final] relative aux instruments financiers.</w:t>
            </w:r>
          </w:p>
          <w:p w14:paraId="6DBBC22B" w14:textId="77777777" w:rsidR="00A345F4" w:rsidRDefault="005E2D4E">
            <w:pPr>
              <w:pStyle w:val="P68B1DB1-Normal14"/>
              <w:numPr>
                <w:ilvl w:val="0"/>
                <w:numId w:val="102"/>
              </w:numPr>
              <w:spacing w:after="0" w:line="240" w:lineRule="auto"/>
              <w:ind w:hanging="414"/>
              <w:contextualSpacing/>
              <w:jc w:val="both"/>
              <w:rPr>
                <w:noProof/>
              </w:rPr>
            </w:pPr>
            <w:r>
              <w:rPr>
                <w:noProof/>
              </w:rPr>
              <w:t xml:space="preserve">Étant donné que l’instrument proposé est mis en œuvre à titre de contribution à InvestEU, les points a) et b) susmentionnés sont assurés par l’application des dispositions d’InvestEU et de la politique de prêt et des critères d’exclusion du partenaire chargé de la mise en œuvre sélectionné. Des exclusions supplémentaires nécessaires pour garantir le respect des orientations techniques «Ne pas causer de préjudice important» (2021/C58/01) sont précisées dans l’accord de garantie entre la Commission européenne et la Banque européenne pour la reconstruction et le développement (BERD). </w:t>
            </w:r>
          </w:p>
          <w:p w14:paraId="5714E5FA" w14:textId="77777777" w:rsidR="00A345F4" w:rsidRDefault="005E2D4E">
            <w:pPr>
              <w:pStyle w:val="P68B1DB1-Normal14"/>
              <w:spacing w:after="0" w:line="240" w:lineRule="auto"/>
              <w:jc w:val="both"/>
              <w:rPr>
                <w:noProof/>
              </w:rPr>
            </w:pPr>
            <w:r>
              <w:rPr>
                <w:noProof/>
              </w:rPr>
              <w:t>L’instrument financier prend la forme d’une garantie de portefeuille, mise en œuvre par la Banque européenne pour la reconstruction et le développement (BERD), et fournit des financements et des investissements en faveur de l’efficacité énergétique et des énergies renouvelables dans le secteur résidentiel et du bâtiment, aux PME (jusqu’à 249 salariés), aux entreprises (jusqu’à 500 salariés) et aux particuliers («bénéficiaires»). L’accord de garantie peut également prévoir le financement de transports durables et de solutions fondées sur la biodiversité/les natuaires/les infrastructures vertes, ainsi que d’autres catégories de bénéficiaires. Au moins 100 bénéficiaires devraient bénéficier d’un soutien au titre de l’instrument.</w:t>
            </w:r>
          </w:p>
          <w:p w14:paraId="57C7997C" w14:textId="77777777" w:rsidR="00A345F4" w:rsidRDefault="005E2D4E">
            <w:pPr>
              <w:pStyle w:val="P68B1DB1-Normal14"/>
              <w:spacing w:after="0" w:line="240" w:lineRule="auto"/>
              <w:jc w:val="both"/>
              <w:rPr>
                <w:noProof/>
              </w:rPr>
            </w:pPr>
            <w:r>
              <w:rPr>
                <w:noProof/>
              </w:rPr>
              <w:t xml:space="preserve">La structure de l'instrument permet de mobiliser des fonds privés. </w:t>
            </w:r>
          </w:p>
          <w:p w14:paraId="1F5818F1" w14:textId="77777777" w:rsidR="00A345F4" w:rsidRDefault="005E2D4E">
            <w:pPr>
              <w:pStyle w:val="P68B1DB1-Normal14"/>
              <w:spacing w:after="0" w:line="240" w:lineRule="auto"/>
              <w:jc w:val="both"/>
              <w:rPr>
                <w:noProof/>
              </w:rPr>
            </w:pPr>
            <w:r>
              <w:rPr>
                <w:noProof/>
              </w:rPr>
              <w:t>Tous les rendements de l’instrument financier, y compris les remboursements, ainsi que les bénéfices obtenus grâce à l’utilisation des fonds de la FRR, moins la rémunération du gestionnaire de fonds et des intermédiaires financiers, sont utilisés pour les mêmes objectifs stratégiques, y compris après 2026.</w:t>
            </w:r>
          </w:p>
        </w:tc>
      </w:tr>
      <w:tr w:rsidR="00A345F4" w14:paraId="71E92E4F"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D756C61" w14:textId="77777777" w:rsidR="00A345F4" w:rsidRDefault="005E2D4E">
            <w:pPr>
              <w:pStyle w:val="P68B1DB1-Normal14"/>
              <w:spacing w:after="0" w:line="240" w:lineRule="auto"/>
              <w:jc w:val="center"/>
              <w:rPr>
                <w:noProof/>
              </w:rPr>
            </w:pPr>
            <w:r>
              <w:rPr>
                <w:noProof/>
              </w:rPr>
              <w:t>261</w:t>
            </w:r>
          </w:p>
        </w:tc>
        <w:tc>
          <w:tcPr>
            <w:tcW w:w="1844" w:type="dxa"/>
            <w:tcBorders>
              <w:top w:val="nil"/>
              <w:left w:val="single" w:sz="4" w:space="0" w:color="auto"/>
              <w:bottom w:val="single" w:sz="4" w:space="0" w:color="auto"/>
              <w:right w:val="single" w:sz="4" w:space="0" w:color="auto"/>
            </w:tcBorders>
            <w:shd w:val="clear" w:color="auto" w:fill="C6EFCE"/>
            <w:noWrap/>
          </w:tcPr>
          <w:p w14:paraId="2CCBB003" w14:textId="77777777" w:rsidR="00A345F4" w:rsidRDefault="005E2D4E">
            <w:pPr>
              <w:pStyle w:val="P68B1DB1-Normal14"/>
              <w:spacing w:after="0" w:line="240" w:lineRule="auto"/>
              <w:jc w:val="both"/>
              <w:rPr>
                <w:noProof/>
              </w:rPr>
            </w:pPr>
            <w:r>
              <w:rPr>
                <w:noProof/>
              </w:rPr>
              <w:t xml:space="preserve">Investissement 2.5 Instruments financiers pour le secteur privé - Investissements dans l'efficacité énergétique dans le secteur résidentiel et du bâtiment </w:t>
            </w:r>
          </w:p>
        </w:tc>
        <w:tc>
          <w:tcPr>
            <w:tcW w:w="1373" w:type="dxa"/>
            <w:tcBorders>
              <w:top w:val="nil"/>
              <w:left w:val="single" w:sz="4" w:space="0" w:color="auto"/>
              <w:bottom w:val="single" w:sz="4" w:space="0" w:color="auto"/>
              <w:right w:val="single" w:sz="4" w:space="0" w:color="auto"/>
            </w:tcBorders>
            <w:shd w:val="clear" w:color="auto" w:fill="C6EFCE"/>
            <w:noWrap/>
          </w:tcPr>
          <w:p w14:paraId="1D2C36B6" w14:textId="77777777" w:rsidR="00A345F4" w:rsidRDefault="005E2D4E">
            <w:pPr>
              <w:pStyle w:val="P68B1DB1-Normal14"/>
              <w:spacing w:after="0" w:line="240" w:lineRule="auto"/>
              <w:jc w:val="center"/>
              <w:rPr>
                <w:noProof/>
              </w:rPr>
            </w:pPr>
            <w:r>
              <w:rPr>
                <w:noProof/>
              </w:rPr>
              <w:t>Objectif</w:t>
            </w:r>
          </w:p>
        </w:tc>
        <w:tc>
          <w:tcPr>
            <w:tcW w:w="1212" w:type="dxa"/>
            <w:tcBorders>
              <w:top w:val="nil"/>
              <w:left w:val="single" w:sz="4" w:space="0" w:color="auto"/>
              <w:bottom w:val="single" w:sz="4" w:space="0" w:color="auto"/>
              <w:right w:val="single" w:sz="4" w:space="0" w:color="auto"/>
            </w:tcBorders>
            <w:shd w:val="clear" w:color="auto" w:fill="C6EFCE"/>
            <w:noWrap/>
          </w:tcPr>
          <w:p w14:paraId="443BB2DE" w14:textId="77777777" w:rsidR="00A345F4" w:rsidRDefault="005E2D4E">
            <w:pPr>
              <w:pStyle w:val="P68B1DB1-Normal14"/>
              <w:spacing w:after="0" w:line="240" w:lineRule="auto"/>
              <w:jc w:val="both"/>
              <w:rPr>
                <w:noProof/>
              </w:rPr>
            </w:pPr>
            <w:r>
              <w:rPr>
                <w:noProof/>
              </w:rPr>
              <w:t>Opérations de financement ou d’investissement représentant 100 % du montant total des financements ou investissements ciblés, approuvées par le comité d’investissement InvestEU.</w:t>
            </w:r>
          </w:p>
        </w:tc>
        <w:tc>
          <w:tcPr>
            <w:tcW w:w="1766" w:type="dxa"/>
            <w:tcBorders>
              <w:top w:val="nil"/>
              <w:left w:val="single" w:sz="4" w:space="0" w:color="auto"/>
              <w:bottom w:val="single" w:sz="4" w:space="0" w:color="auto"/>
              <w:right w:val="single" w:sz="4" w:space="0" w:color="auto"/>
            </w:tcBorders>
            <w:shd w:val="clear" w:color="auto" w:fill="C6EFCE"/>
            <w:noWrap/>
          </w:tcPr>
          <w:p w14:paraId="4149C4D1" w14:textId="77777777" w:rsidR="00A345F4" w:rsidRDefault="005E2D4E">
            <w:pPr>
              <w:pStyle w:val="P68B1DB1-Normal14"/>
              <w:spacing w:after="0" w:line="240" w:lineRule="auto"/>
              <w:jc w:val="both"/>
              <w:rPr>
                <w:noProof/>
              </w:rPr>
            </w:pPr>
            <w:r>
              <w:rPr>
                <w:noProof/>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6105B6B" w14:textId="77777777" w:rsidR="00A345F4" w:rsidRDefault="005E2D4E">
            <w:pPr>
              <w:pStyle w:val="P68B1DB1-Normal14"/>
              <w:spacing w:after="0" w:line="240" w:lineRule="auto"/>
              <w:rPr>
                <w:rFonts w:eastAsia="Times New Roman"/>
                <w:noProof/>
              </w:rPr>
            </w:pPr>
            <w:r>
              <w:rPr>
                <w:noProof/>
              </w:rPr>
              <w:t>Pourcentage (%)</w:t>
            </w:r>
          </w:p>
          <w:p w14:paraId="7C8FFB5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3AAB741B" w14:textId="77777777" w:rsidR="00A345F4" w:rsidRDefault="005E2D4E">
            <w:pPr>
              <w:pStyle w:val="P68B1DB1-Normal14"/>
              <w:spacing w:after="0" w:line="240" w:lineRule="auto"/>
              <w:jc w:val="both"/>
              <w:rPr>
                <w:rFonts w:eastAsia="Times New Roman"/>
                <w:noProof/>
              </w:rPr>
            </w:pPr>
            <w:r>
              <w:rPr>
                <w:noProof/>
              </w:rPr>
              <w:t>0</w:t>
            </w:r>
          </w:p>
        </w:tc>
        <w:tc>
          <w:tcPr>
            <w:tcW w:w="858" w:type="dxa"/>
            <w:tcBorders>
              <w:top w:val="nil"/>
              <w:left w:val="single" w:sz="4" w:space="0" w:color="auto"/>
              <w:bottom w:val="single" w:sz="4" w:space="0" w:color="auto"/>
              <w:right w:val="single" w:sz="4" w:space="0" w:color="auto"/>
            </w:tcBorders>
            <w:shd w:val="clear" w:color="auto" w:fill="C6EFCE"/>
            <w:noWrap/>
          </w:tcPr>
          <w:p w14:paraId="5E920EBE" w14:textId="77777777" w:rsidR="00A345F4" w:rsidRDefault="005E2D4E">
            <w:pPr>
              <w:pStyle w:val="P68B1DB1-Normal14"/>
              <w:spacing w:after="0" w:line="240" w:lineRule="auto"/>
              <w:jc w:val="both"/>
              <w:rPr>
                <w:rFonts w:eastAsia="Times New Roman"/>
                <w:noProof/>
              </w:rPr>
            </w:pPr>
            <w:r>
              <w:rPr>
                <w:noProof/>
              </w:rPr>
              <w:t>100</w:t>
            </w:r>
          </w:p>
        </w:tc>
        <w:tc>
          <w:tcPr>
            <w:tcW w:w="943" w:type="dxa"/>
            <w:tcBorders>
              <w:top w:val="nil"/>
              <w:left w:val="single" w:sz="4" w:space="0" w:color="auto"/>
              <w:bottom w:val="single" w:sz="4" w:space="0" w:color="auto"/>
              <w:right w:val="single" w:sz="4" w:space="0" w:color="auto"/>
            </w:tcBorders>
            <w:shd w:val="clear" w:color="auto" w:fill="C6EFCE"/>
            <w:noWrap/>
          </w:tcPr>
          <w:p w14:paraId="244C6E2F" w14:textId="77777777" w:rsidR="00A345F4" w:rsidRDefault="005E2D4E">
            <w:pPr>
              <w:pStyle w:val="P68B1DB1-Normal14"/>
              <w:spacing w:after="0" w:line="240" w:lineRule="auto"/>
              <w:jc w:val="center"/>
              <w:rPr>
                <w:noProof/>
              </w:rPr>
            </w:pPr>
            <w:r>
              <w:rPr>
                <w:noProof/>
              </w:rPr>
              <w:t>T2</w:t>
            </w:r>
          </w:p>
        </w:tc>
        <w:tc>
          <w:tcPr>
            <w:tcW w:w="1065" w:type="dxa"/>
            <w:tcBorders>
              <w:top w:val="nil"/>
              <w:left w:val="single" w:sz="4" w:space="0" w:color="auto"/>
              <w:bottom w:val="single" w:sz="4" w:space="0" w:color="auto"/>
              <w:right w:val="single" w:sz="4" w:space="0" w:color="auto"/>
            </w:tcBorders>
            <w:shd w:val="clear" w:color="auto" w:fill="C6EFCE"/>
            <w:noWrap/>
          </w:tcPr>
          <w:p w14:paraId="232BCEC7" w14:textId="77777777" w:rsidR="00A345F4" w:rsidRDefault="005E2D4E">
            <w:pPr>
              <w:pStyle w:val="P68B1DB1-Normal14"/>
              <w:spacing w:after="0" w:line="240" w:lineRule="auto"/>
              <w:jc w:val="center"/>
              <w:rPr>
                <w:noProof/>
              </w:rPr>
            </w:pPr>
            <w:r>
              <w:rPr>
                <w:noProof/>
              </w:rPr>
              <w:t>2024</w:t>
            </w:r>
          </w:p>
        </w:tc>
        <w:tc>
          <w:tcPr>
            <w:tcW w:w="3535" w:type="dxa"/>
            <w:tcBorders>
              <w:top w:val="nil"/>
              <w:left w:val="single" w:sz="4" w:space="0" w:color="auto"/>
              <w:bottom w:val="single" w:sz="4" w:space="0" w:color="auto"/>
              <w:right w:val="single" w:sz="4" w:space="0" w:color="auto"/>
            </w:tcBorders>
            <w:shd w:val="clear" w:color="auto" w:fill="C6EFCE"/>
            <w:noWrap/>
          </w:tcPr>
          <w:p w14:paraId="62A869A1" w14:textId="77777777" w:rsidR="00A345F4" w:rsidRDefault="005E2D4E">
            <w:pPr>
              <w:pStyle w:val="P68B1DB1-Normal14"/>
              <w:spacing w:after="0" w:line="240" w:lineRule="auto"/>
              <w:jc w:val="both"/>
              <w:rPr>
                <w:noProof/>
              </w:rPr>
            </w:pPr>
            <w:r>
              <w:rPr>
                <w:noProof/>
              </w:rPr>
              <w:t>Les opérations de financement ou d’investissement représentant 100 % du montant total des investissements ciblés ont été approuvées par le comité d’investissement InvestEU.</w:t>
            </w:r>
          </w:p>
        </w:tc>
      </w:tr>
      <w:tr w:rsidR="00A345F4" w14:paraId="4A1E3A68"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19A29153" w14:textId="77777777" w:rsidR="00A345F4" w:rsidRDefault="005E2D4E">
            <w:pPr>
              <w:pStyle w:val="P68B1DB1-Normal14"/>
              <w:spacing w:after="0" w:line="240" w:lineRule="auto"/>
              <w:jc w:val="center"/>
              <w:rPr>
                <w:noProof/>
              </w:rPr>
            </w:pPr>
            <w:r>
              <w:rPr>
                <w:noProof/>
              </w:rPr>
              <w:t>262</w:t>
            </w:r>
          </w:p>
        </w:tc>
        <w:tc>
          <w:tcPr>
            <w:tcW w:w="1844" w:type="dxa"/>
            <w:tcBorders>
              <w:top w:val="nil"/>
              <w:left w:val="single" w:sz="4" w:space="0" w:color="auto"/>
              <w:bottom w:val="single" w:sz="4" w:space="0" w:color="auto"/>
              <w:right w:val="single" w:sz="4" w:space="0" w:color="auto"/>
            </w:tcBorders>
            <w:shd w:val="clear" w:color="auto" w:fill="C6EFCE"/>
            <w:noWrap/>
          </w:tcPr>
          <w:p w14:paraId="0CADE41D" w14:textId="39749D50" w:rsidR="00A345F4" w:rsidRDefault="005E2D4E">
            <w:pPr>
              <w:pStyle w:val="P68B1DB1-Normal14"/>
              <w:spacing w:after="0" w:line="240" w:lineRule="auto"/>
              <w:jc w:val="both"/>
              <w:rPr>
                <w:noProof/>
              </w:rPr>
            </w:pPr>
            <w:r>
              <w:rPr>
                <w:noProof/>
              </w:rPr>
              <w:t>Investissement 3.1. Régimes d’aides au secteur privé – Régime d’aides à la numérisation des PME</w:t>
            </w:r>
          </w:p>
        </w:tc>
        <w:tc>
          <w:tcPr>
            <w:tcW w:w="1373" w:type="dxa"/>
            <w:tcBorders>
              <w:top w:val="nil"/>
              <w:left w:val="single" w:sz="4" w:space="0" w:color="auto"/>
              <w:bottom w:val="single" w:sz="4" w:space="0" w:color="auto"/>
              <w:right w:val="single" w:sz="4" w:space="0" w:color="auto"/>
            </w:tcBorders>
            <w:shd w:val="clear" w:color="auto" w:fill="C6EFCE"/>
            <w:noWrap/>
          </w:tcPr>
          <w:p w14:paraId="0614E08A" w14:textId="77777777" w:rsidR="00A345F4" w:rsidRDefault="005E2D4E">
            <w:pPr>
              <w:pStyle w:val="P68B1DB1-Normal14"/>
              <w:spacing w:after="0"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69F6C3DB" w14:textId="77777777" w:rsidR="00A345F4" w:rsidRDefault="005E2D4E">
            <w:pPr>
              <w:pStyle w:val="P68B1DB1-Normal14"/>
              <w:spacing w:after="0" w:line="240" w:lineRule="auto"/>
              <w:jc w:val="both"/>
              <w:rPr>
                <w:noProof/>
              </w:rPr>
            </w:pPr>
            <w:r>
              <w:rPr>
                <w:noProof/>
              </w:rPr>
              <w:t xml:space="preserve">Sélection de l'administrateur du régime. </w:t>
            </w:r>
          </w:p>
        </w:tc>
        <w:tc>
          <w:tcPr>
            <w:tcW w:w="1766" w:type="dxa"/>
            <w:tcBorders>
              <w:top w:val="nil"/>
              <w:left w:val="single" w:sz="4" w:space="0" w:color="auto"/>
              <w:bottom w:val="single" w:sz="4" w:space="0" w:color="auto"/>
              <w:right w:val="single" w:sz="4" w:space="0" w:color="auto"/>
            </w:tcBorders>
            <w:shd w:val="clear" w:color="auto" w:fill="C6EFCE"/>
            <w:noWrap/>
          </w:tcPr>
          <w:p w14:paraId="3AC48B77" w14:textId="77777777" w:rsidR="00A345F4" w:rsidRDefault="005E2D4E">
            <w:pPr>
              <w:pStyle w:val="P68B1DB1-Normal14"/>
              <w:spacing w:after="0" w:line="240" w:lineRule="auto"/>
              <w:jc w:val="both"/>
              <w:rPr>
                <w:noProof/>
              </w:rPr>
            </w:pPr>
            <w:r>
              <w:rPr>
                <w:noProof/>
              </w:rPr>
              <w:t>Communication de la sélection</w:t>
            </w:r>
          </w:p>
        </w:tc>
        <w:tc>
          <w:tcPr>
            <w:tcW w:w="1558" w:type="dxa"/>
            <w:tcBorders>
              <w:top w:val="nil"/>
              <w:left w:val="single" w:sz="4" w:space="0" w:color="auto"/>
              <w:bottom w:val="single" w:sz="4" w:space="0" w:color="auto"/>
              <w:right w:val="single" w:sz="4" w:space="0" w:color="auto"/>
            </w:tcBorders>
            <w:shd w:val="clear" w:color="auto" w:fill="C6EFCE"/>
            <w:noWrap/>
          </w:tcPr>
          <w:p w14:paraId="21272515" w14:textId="77777777" w:rsidR="00A345F4" w:rsidRDefault="00A345F4">
            <w:pPr>
              <w:spacing w:after="0" w:line="240" w:lineRule="auto"/>
              <w:jc w:val="both"/>
              <w:rPr>
                <w:rFonts w:ascii="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75C649BA" w14:textId="77777777" w:rsidR="00A345F4" w:rsidRDefault="00A345F4">
            <w:pPr>
              <w:spacing w:after="0" w:line="240" w:lineRule="auto"/>
              <w:jc w:val="both"/>
              <w:rPr>
                <w:rFonts w:ascii="Times New Roman" w:hAnsi="Times New Roman" w:cs="Times New Roman"/>
                <w:noProof/>
                <w:sz w:val="20"/>
                <w:szCs w:val="20"/>
              </w:rPr>
            </w:pPr>
          </w:p>
        </w:tc>
        <w:tc>
          <w:tcPr>
            <w:tcW w:w="858" w:type="dxa"/>
            <w:tcBorders>
              <w:top w:val="nil"/>
              <w:left w:val="single" w:sz="4" w:space="0" w:color="auto"/>
              <w:bottom w:val="single" w:sz="4" w:space="0" w:color="auto"/>
              <w:right w:val="single" w:sz="4" w:space="0" w:color="auto"/>
            </w:tcBorders>
            <w:shd w:val="clear" w:color="auto" w:fill="C6EFCE"/>
            <w:noWrap/>
          </w:tcPr>
          <w:p w14:paraId="53076020" w14:textId="77777777" w:rsidR="00A345F4" w:rsidRDefault="00A345F4">
            <w:pPr>
              <w:spacing w:after="0" w:line="240" w:lineRule="auto"/>
              <w:jc w:val="both"/>
              <w:rPr>
                <w:rFonts w:ascii="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5CFF99B1" w14:textId="77777777" w:rsidR="00A345F4" w:rsidRDefault="005E2D4E">
            <w:pPr>
              <w:pStyle w:val="P68B1DB1-Normal14"/>
              <w:spacing w:after="0" w:line="240" w:lineRule="auto"/>
              <w:jc w:val="center"/>
              <w:rPr>
                <w:noProof/>
              </w:rPr>
            </w:pPr>
            <w:r>
              <w:rPr>
                <w:noProof/>
              </w:rPr>
              <w:t>T1</w:t>
            </w:r>
          </w:p>
        </w:tc>
        <w:tc>
          <w:tcPr>
            <w:tcW w:w="1065" w:type="dxa"/>
            <w:tcBorders>
              <w:top w:val="nil"/>
              <w:left w:val="single" w:sz="4" w:space="0" w:color="auto"/>
              <w:bottom w:val="single" w:sz="4" w:space="0" w:color="auto"/>
              <w:right w:val="single" w:sz="4" w:space="0" w:color="auto"/>
            </w:tcBorders>
            <w:shd w:val="clear" w:color="auto" w:fill="C6EFCE"/>
            <w:noWrap/>
          </w:tcPr>
          <w:p w14:paraId="54B814FC" w14:textId="77777777" w:rsidR="00A345F4" w:rsidRDefault="005E2D4E">
            <w:pPr>
              <w:pStyle w:val="P68B1DB1-Normal14"/>
              <w:spacing w:after="0" w:line="240" w:lineRule="auto"/>
              <w:jc w:val="center"/>
              <w:rPr>
                <w:noProof/>
              </w:rPr>
            </w:pPr>
            <w:r>
              <w:rPr>
                <w:noProof/>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3509E0CA" w14:textId="77777777" w:rsidR="00A345F4" w:rsidRDefault="005E2D4E">
            <w:pPr>
              <w:pStyle w:val="P68B1DB1-Normal14"/>
              <w:spacing w:after="0" w:line="240" w:lineRule="auto"/>
              <w:jc w:val="both"/>
              <w:rPr>
                <w:noProof/>
              </w:rPr>
            </w:pPr>
            <w:r>
              <w:rPr>
                <w:noProof/>
              </w:rPr>
              <w:t>Sélection d'un gestionnaire de système qui mettra en œuvre le système de minimis (lancement de l'appel, évaluation des contrats et suivi des projets).</w:t>
            </w:r>
          </w:p>
          <w:p w14:paraId="570165AC" w14:textId="77777777" w:rsidR="00A345F4" w:rsidRDefault="005E2D4E">
            <w:pPr>
              <w:pStyle w:val="P68B1DB1-Normal14"/>
              <w:spacing w:after="0" w:line="240" w:lineRule="auto"/>
              <w:jc w:val="both"/>
              <w:rPr>
                <w:noProof/>
              </w:rPr>
            </w:pPr>
            <w:r>
              <w:rPr>
                <w:noProof/>
              </w:rPr>
              <w:t>Les critères de sélection des projets garantissent:</w:t>
            </w:r>
          </w:p>
          <w:p w14:paraId="6BA64B7A" w14:textId="77777777" w:rsidR="00A345F4" w:rsidRDefault="005E2D4E">
            <w:pPr>
              <w:pStyle w:val="P68B1DB1-Normal14"/>
              <w:numPr>
                <w:ilvl w:val="0"/>
                <w:numId w:val="99"/>
              </w:numPr>
              <w:spacing w:before="120" w:after="0" w:line="240" w:lineRule="auto"/>
              <w:ind w:left="299" w:hanging="218"/>
              <w:contextualSpacing/>
              <w:jc w:val="both"/>
              <w:rPr>
                <w:noProof/>
              </w:rPr>
            </w:pPr>
            <w:r>
              <w:rPr>
                <w:noProof/>
              </w:rPr>
              <w:t>engagement d’investir 100 % des fonds pour soutenir la transition numérique, conformément aux domaines d’intervention 010, 012, 021quater et 021quinquies de l’annexe VII du règlement FRR.</w:t>
            </w:r>
          </w:p>
          <w:p w14:paraId="65AA78E9" w14:textId="77777777" w:rsidR="00A345F4" w:rsidRDefault="005E2D4E">
            <w:pPr>
              <w:pStyle w:val="P68B1DB1-Normal14"/>
              <w:numPr>
                <w:ilvl w:val="0"/>
                <w:numId w:val="99"/>
              </w:numPr>
              <w:spacing w:before="120" w:after="0" w:line="240" w:lineRule="auto"/>
              <w:ind w:left="299" w:hanging="218"/>
              <w:contextualSpacing/>
              <w:jc w:val="both"/>
              <w:rPr>
                <w:noProof/>
              </w:rPr>
            </w:pPr>
            <w:r>
              <w:rPr>
                <w:noProof/>
              </w:rPr>
              <w:t xml:space="preserve">le respect des orientations techniques «Ne pas causer de préjudice important» (2021/C58/01). Lors de la présentation de la demande de convention de financement, le plan d’entreprise présente tous les risques potentiels qui peuvent survenir pour l’environnement et quelles sont les méthodes utilisées pour y faire face. </w:t>
            </w:r>
          </w:p>
          <w:p w14:paraId="57ED6A92" w14:textId="77777777" w:rsidR="00A345F4" w:rsidRDefault="005E2D4E">
            <w:pPr>
              <w:pStyle w:val="P68B1DB1-Normal14"/>
              <w:spacing w:after="0" w:line="240" w:lineRule="auto"/>
              <w:jc w:val="both"/>
              <w:rPr>
                <w:noProof/>
              </w:rPr>
            </w:pPr>
            <w:r>
              <w:rPr>
                <w:noProof/>
              </w:rPr>
              <w:t>Un système de gestion et de contrôle efficace est mis en œuvre, y compris en prenant des mesures correctives chaque fois que cela est nécessaire et en effectuant des contrôles par sondage au niveau des PME.</w:t>
            </w:r>
          </w:p>
        </w:tc>
      </w:tr>
      <w:tr w:rsidR="00A345F4" w14:paraId="743D3D48"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04B379AF" w14:textId="77777777" w:rsidR="00A345F4" w:rsidRDefault="005E2D4E">
            <w:pPr>
              <w:pStyle w:val="P68B1DB1-Normal14"/>
              <w:spacing w:after="0" w:line="240" w:lineRule="auto"/>
              <w:jc w:val="center"/>
              <w:rPr>
                <w:noProof/>
              </w:rPr>
            </w:pPr>
            <w:r>
              <w:rPr>
                <w:noProof/>
              </w:rPr>
              <w:t>264</w:t>
            </w:r>
          </w:p>
        </w:tc>
        <w:tc>
          <w:tcPr>
            <w:tcW w:w="1844" w:type="dxa"/>
            <w:tcBorders>
              <w:top w:val="nil"/>
              <w:left w:val="single" w:sz="4" w:space="0" w:color="auto"/>
              <w:bottom w:val="single" w:sz="4" w:space="0" w:color="auto"/>
              <w:right w:val="single" w:sz="4" w:space="0" w:color="auto"/>
            </w:tcBorders>
            <w:shd w:val="clear" w:color="auto" w:fill="C6EFCE"/>
            <w:noWrap/>
          </w:tcPr>
          <w:p w14:paraId="744FD024" w14:textId="77777777" w:rsidR="00A345F4" w:rsidRDefault="005E2D4E">
            <w:pPr>
              <w:pStyle w:val="P68B1DB1-Normal14"/>
              <w:spacing w:after="0" w:line="240" w:lineRule="auto"/>
              <w:jc w:val="both"/>
              <w:rPr>
                <w:noProof/>
              </w:rPr>
            </w:pPr>
            <w:r>
              <w:rPr>
                <w:noProof/>
              </w:rPr>
              <w:t>Investissement 3.2 Régimes d'aides au secteur privé - Régime de minimis destiné à aider les entreprises roumaines à entrer en bourse</w:t>
            </w:r>
          </w:p>
        </w:tc>
        <w:tc>
          <w:tcPr>
            <w:tcW w:w="1373" w:type="dxa"/>
            <w:tcBorders>
              <w:top w:val="nil"/>
              <w:left w:val="single" w:sz="4" w:space="0" w:color="auto"/>
              <w:bottom w:val="single" w:sz="4" w:space="0" w:color="auto"/>
              <w:right w:val="single" w:sz="4" w:space="0" w:color="auto"/>
            </w:tcBorders>
            <w:shd w:val="clear" w:color="auto" w:fill="C6EFCE"/>
            <w:noWrap/>
          </w:tcPr>
          <w:p w14:paraId="34F0DD4E" w14:textId="77777777" w:rsidR="00A345F4" w:rsidRDefault="005E2D4E">
            <w:pPr>
              <w:pStyle w:val="P68B1DB1-Normal14"/>
              <w:spacing w:after="0" w:line="240" w:lineRule="auto"/>
              <w:jc w:val="center"/>
              <w:rPr>
                <w:noProof/>
              </w:rPr>
            </w:pPr>
            <w:r>
              <w:rPr>
                <w:noProof/>
              </w:rPr>
              <w:t>Étape</w:t>
            </w:r>
          </w:p>
        </w:tc>
        <w:tc>
          <w:tcPr>
            <w:tcW w:w="1212" w:type="dxa"/>
            <w:tcBorders>
              <w:top w:val="nil"/>
              <w:left w:val="single" w:sz="4" w:space="0" w:color="auto"/>
              <w:bottom w:val="single" w:sz="4" w:space="0" w:color="auto"/>
              <w:right w:val="single" w:sz="4" w:space="0" w:color="auto"/>
            </w:tcBorders>
            <w:shd w:val="clear" w:color="auto" w:fill="C6EFCE"/>
            <w:noWrap/>
          </w:tcPr>
          <w:p w14:paraId="1766C64A" w14:textId="77777777" w:rsidR="00A345F4" w:rsidRDefault="005E2D4E">
            <w:pPr>
              <w:pStyle w:val="P68B1DB1-Normal14"/>
              <w:spacing w:after="0" w:line="240" w:lineRule="auto"/>
              <w:jc w:val="both"/>
              <w:rPr>
                <w:noProof/>
              </w:rPr>
            </w:pPr>
            <w:r>
              <w:rPr>
                <w:noProof/>
              </w:rPr>
              <w:t xml:space="preserve">Sélection de l'administrateur du régime </w:t>
            </w:r>
          </w:p>
        </w:tc>
        <w:tc>
          <w:tcPr>
            <w:tcW w:w="1766" w:type="dxa"/>
            <w:tcBorders>
              <w:top w:val="nil"/>
              <w:left w:val="single" w:sz="4" w:space="0" w:color="auto"/>
              <w:bottom w:val="single" w:sz="4" w:space="0" w:color="auto"/>
              <w:right w:val="single" w:sz="4" w:space="0" w:color="auto"/>
            </w:tcBorders>
            <w:shd w:val="clear" w:color="auto" w:fill="C6EFCE"/>
            <w:noWrap/>
          </w:tcPr>
          <w:p w14:paraId="5CD1CD43" w14:textId="77777777" w:rsidR="00A345F4" w:rsidRDefault="005E2D4E">
            <w:pPr>
              <w:pStyle w:val="P68B1DB1-Normal14"/>
              <w:spacing w:after="0" w:line="240" w:lineRule="auto"/>
              <w:jc w:val="both"/>
              <w:rPr>
                <w:noProof/>
              </w:rPr>
            </w:pPr>
            <w:r>
              <w:rPr>
                <w:noProof/>
              </w:rPr>
              <w:t>Communication de la sélection</w:t>
            </w:r>
          </w:p>
        </w:tc>
        <w:tc>
          <w:tcPr>
            <w:tcW w:w="1558" w:type="dxa"/>
            <w:tcBorders>
              <w:top w:val="nil"/>
              <w:left w:val="single" w:sz="4" w:space="0" w:color="auto"/>
              <w:bottom w:val="single" w:sz="4" w:space="0" w:color="auto"/>
              <w:right w:val="single" w:sz="4" w:space="0" w:color="auto"/>
            </w:tcBorders>
            <w:shd w:val="clear" w:color="auto" w:fill="C6EFCE"/>
            <w:noWrap/>
          </w:tcPr>
          <w:p w14:paraId="77BC6F02" w14:textId="77777777" w:rsidR="00A345F4" w:rsidRDefault="00A345F4">
            <w:pPr>
              <w:spacing w:after="0" w:line="240" w:lineRule="auto"/>
              <w:jc w:val="both"/>
              <w:rPr>
                <w:rFonts w:ascii="Times New Roman" w:hAnsi="Times New Roman" w:cs="Times New Roman"/>
                <w:noProof/>
                <w:sz w:val="20"/>
                <w:szCs w:val="20"/>
              </w:rPr>
            </w:pPr>
          </w:p>
        </w:tc>
        <w:tc>
          <w:tcPr>
            <w:tcW w:w="1116" w:type="dxa"/>
            <w:tcBorders>
              <w:top w:val="nil"/>
              <w:left w:val="single" w:sz="4" w:space="0" w:color="auto"/>
              <w:bottom w:val="single" w:sz="4" w:space="0" w:color="auto"/>
              <w:right w:val="single" w:sz="4" w:space="0" w:color="auto"/>
            </w:tcBorders>
            <w:shd w:val="clear" w:color="auto" w:fill="C6EFCE"/>
            <w:noWrap/>
          </w:tcPr>
          <w:p w14:paraId="12FBA09B" w14:textId="77777777" w:rsidR="00A345F4" w:rsidRDefault="00A345F4">
            <w:pPr>
              <w:spacing w:after="0" w:line="240" w:lineRule="auto"/>
              <w:jc w:val="both"/>
              <w:rPr>
                <w:rFonts w:ascii="Times New Roman" w:hAnsi="Times New Roman" w:cs="Times New Roman"/>
                <w:noProof/>
                <w:sz w:val="20"/>
                <w:szCs w:val="20"/>
              </w:rPr>
            </w:pPr>
          </w:p>
        </w:tc>
        <w:tc>
          <w:tcPr>
            <w:tcW w:w="858" w:type="dxa"/>
            <w:tcBorders>
              <w:top w:val="nil"/>
              <w:left w:val="single" w:sz="4" w:space="0" w:color="auto"/>
              <w:bottom w:val="single" w:sz="4" w:space="0" w:color="auto"/>
              <w:right w:val="single" w:sz="4" w:space="0" w:color="auto"/>
            </w:tcBorders>
            <w:shd w:val="clear" w:color="auto" w:fill="C6EFCE"/>
            <w:noWrap/>
          </w:tcPr>
          <w:p w14:paraId="5A4D1DF8" w14:textId="77777777" w:rsidR="00A345F4" w:rsidRDefault="00A345F4">
            <w:pPr>
              <w:spacing w:after="0" w:line="240" w:lineRule="auto"/>
              <w:jc w:val="both"/>
              <w:rPr>
                <w:rFonts w:ascii="Times New Roman" w:hAnsi="Times New Roman" w:cs="Times New Roman"/>
                <w:noProof/>
                <w:sz w:val="20"/>
                <w:szCs w:val="20"/>
              </w:rPr>
            </w:pPr>
          </w:p>
        </w:tc>
        <w:tc>
          <w:tcPr>
            <w:tcW w:w="943" w:type="dxa"/>
            <w:tcBorders>
              <w:top w:val="nil"/>
              <w:left w:val="single" w:sz="4" w:space="0" w:color="auto"/>
              <w:bottom w:val="single" w:sz="4" w:space="0" w:color="auto"/>
              <w:right w:val="single" w:sz="4" w:space="0" w:color="auto"/>
            </w:tcBorders>
            <w:shd w:val="clear" w:color="auto" w:fill="C6EFCE"/>
            <w:noWrap/>
          </w:tcPr>
          <w:p w14:paraId="5B838DC1" w14:textId="77777777" w:rsidR="00A345F4" w:rsidRDefault="005E2D4E">
            <w:pPr>
              <w:pStyle w:val="P68B1DB1-Normal14"/>
              <w:spacing w:after="0" w:line="240" w:lineRule="auto"/>
              <w:jc w:val="center"/>
              <w:rPr>
                <w:noProof/>
              </w:rPr>
            </w:pPr>
            <w:r>
              <w:rPr>
                <w:noProof/>
              </w:rPr>
              <w:t>T3</w:t>
            </w:r>
          </w:p>
        </w:tc>
        <w:tc>
          <w:tcPr>
            <w:tcW w:w="1065" w:type="dxa"/>
            <w:tcBorders>
              <w:top w:val="nil"/>
              <w:left w:val="single" w:sz="4" w:space="0" w:color="auto"/>
              <w:bottom w:val="single" w:sz="4" w:space="0" w:color="auto"/>
              <w:right w:val="single" w:sz="4" w:space="0" w:color="auto"/>
            </w:tcBorders>
            <w:shd w:val="clear" w:color="auto" w:fill="C6EFCE"/>
            <w:noWrap/>
          </w:tcPr>
          <w:p w14:paraId="60E21D12" w14:textId="77777777" w:rsidR="00A345F4" w:rsidRDefault="005E2D4E">
            <w:pPr>
              <w:pStyle w:val="P68B1DB1-Normal14"/>
              <w:spacing w:after="0" w:line="240" w:lineRule="auto"/>
              <w:jc w:val="center"/>
              <w:rPr>
                <w:noProof/>
              </w:rPr>
            </w:pPr>
            <w:r>
              <w:rPr>
                <w:noProof/>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5D823452" w14:textId="77777777" w:rsidR="00A345F4" w:rsidRDefault="005E2D4E">
            <w:pPr>
              <w:pStyle w:val="P68B1DB1-Normal14"/>
              <w:spacing w:after="0" w:line="240" w:lineRule="auto"/>
              <w:jc w:val="both"/>
              <w:rPr>
                <w:noProof/>
              </w:rPr>
            </w:pPr>
            <w:r>
              <w:rPr>
                <w:noProof/>
              </w:rPr>
              <w:t>Sélection d'un gestionnaire de système qui mettra en œuvre le système de minimis (lancement de l'appel, évaluation des contrats et suivi des projets)</w:t>
            </w:r>
          </w:p>
          <w:p w14:paraId="671E267F" w14:textId="77777777" w:rsidR="00A345F4" w:rsidRDefault="005E2D4E">
            <w:pPr>
              <w:pStyle w:val="P68B1DB1-Normal14"/>
              <w:spacing w:after="0" w:line="240" w:lineRule="auto"/>
              <w:jc w:val="both"/>
              <w:rPr>
                <w:noProof/>
              </w:rPr>
            </w:pPr>
            <w:r>
              <w:rPr>
                <w:noProof/>
              </w:rPr>
              <w:t xml:space="preserve">Des subventions seront accordées aux sociétés désireuses d'effectuer une émission d'actions, préqualifiées pour la cotation, selon les conditions de la Bourse de Bucarest, selon le principe du premier arrivé, premier servi. </w:t>
            </w:r>
          </w:p>
          <w:p w14:paraId="0AB7C7E2" w14:textId="77777777" w:rsidR="00A345F4" w:rsidRDefault="005E2D4E">
            <w:pPr>
              <w:pStyle w:val="P68B1DB1-Normal14"/>
              <w:spacing w:after="0" w:line="240" w:lineRule="auto"/>
              <w:jc w:val="both"/>
              <w:rPr>
                <w:noProof/>
              </w:rPr>
            </w:pPr>
            <w:r>
              <w:rPr>
                <w:noProof/>
              </w:rPr>
              <w:t>L'objectif est de préparer les entreprises qui adhèrent aux règles de cotation à la Bourse de Bucarest pour un financement réussi du marché des capitaux sur l'un des segments de marché disponibles.</w:t>
            </w:r>
          </w:p>
          <w:p w14:paraId="477BD23D" w14:textId="77777777" w:rsidR="00A345F4" w:rsidRDefault="005E2D4E">
            <w:pPr>
              <w:pStyle w:val="P68B1DB1-Normal14"/>
              <w:spacing w:after="0" w:line="240" w:lineRule="auto"/>
              <w:jc w:val="both"/>
              <w:rPr>
                <w:noProof/>
              </w:rPr>
            </w:pPr>
            <w:r>
              <w:rPr>
                <w:noProof/>
              </w:rPr>
              <w:t>Afin de garantir le respect des orientations techniques «Ne pas causer de préjudice important» (2021/C58/01), les entreprises qui ont tiré plus de 50 % de leurs revenus au cours de l’exercice précédent d’activités ou d’actifs figurant sur la liste d’exclusion sont tenues d’adopter et de publier des plans de transition écologique. La liste suivante d'activités et d'actifs est exclue: i) les activités et les actifs liés aux combustibles fossiles, y compris leur utilisation en aval; ii) les activités et les actifs relevant du système d’échange de quotas d’émission (SEQE) de l’UE permettant d’atteindre des émissions de gaz à effet de serre prévues qui ne sont pas inférieures aux référentiels pertinents; iii) les activités et les actifs liés aux décharges de déchets, aux incinérateurs et aux usines de traitement biologique mécanique; et iv) les activités et les actifs pour lesquels l’élimination à long terme des déchets est susceptible de nuire à l’environnement.</w:t>
            </w:r>
          </w:p>
        </w:tc>
      </w:tr>
      <w:tr w:rsidR="00A345F4" w14:paraId="06437E5C" w14:textId="77777777" w:rsidTr="004A737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C64EC2A" w14:textId="77777777" w:rsidR="00A345F4" w:rsidRDefault="005E2D4E">
            <w:pPr>
              <w:pStyle w:val="P68B1DB1-Normal14"/>
              <w:spacing w:after="0" w:line="240" w:lineRule="auto"/>
              <w:jc w:val="center"/>
              <w:rPr>
                <w:noProof/>
              </w:rPr>
            </w:pPr>
            <w:r>
              <w:rPr>
                <w:noProof/>
              </w:rPr>
              <w:t>265</w:t>
            </w:r>
          </w:p>
        </w:tc>
        <w:tc>
          <w:tcPr>
            <w:tcW w:w="1844" w:type="dxa"/>
            <w:tcBorders>
              <w:top w:val="nil"/>
              <w:left w:val="single" w:sz="4" w:space="0" w:color="auto"/>
              <w:bottom w:val="single" w:sz="4" w:space="0" w:color="auto"/>
              <w:right w:val="single" w:sz="4" w:space="0" w:color="auto"/>
            </w:tcBorders>
            <w:shd w:val="clear" w:color="auto" w:fill="C6EFCE"/>
            <w:noWrap/>
          </w:tcPr>
          <w:p w14:paraId="76C4EE95" w14:textId="089006DC" w:rsidR="00A345F4" w:rsidRDefault="005E2D4E">
            <w:pPr>
              <w:pStyle w:val="P68B1DB1-Normal14"/>
              <w:spacing w:after="0" w:line="240" w:lineRule="auto"/>
              <w:jc w:val="both"/>
              <w:rPr>
                <w:noProof/>
              </w:rPr>
            </w:pPr>
            <w:r>
              <w:rPr>
                <w:noProof/>
              </w:rPr>
              <w:t>Investissement 3.2 Aide aux entreprises roumaines pour la cotation en bourse</w:t>
            </w:r>
          </w:p>
        </w:tc>
        <w:tc>
          <w:tcPr>
            <w:tcW w:w="1373" w:type="dxa"/>
            <w:tcBorders>
              <w:top w:val="nil"/>
              <w:left w:val="single" w:sz="4" w:space="0" w:color="auto"/>
              <w:bottom w:val="single" w:sz="4" w:space="0" w:color="auto"/>
              <w:right w:val="single" w:sz="4" w:space="0" w:color="auto"/>
            </w:tcBorders>
            <w:shd w:val="clear" w:color="auto" w:fill="C6EFCE"/>
            <w:noWrap/>
          </w:tcPr>
          <w:p w14:paraId="7C01B68C" w14:textId="77777777" w:rsidR="00A345F4" w:rsidRDefault="005E2D4E">
            <w:pPr>
              <w:pStyle w:val="P68B1DB1-Normal14"/>
              <w:spacing w:after="0" w:line="240" w:lineRule="auto"/>
              <w:jc w:val="center"/>
              <w:rPr>
                <w:noProof/>
              </w:rPr>
            </w:pPr>
            <w:r>
              <w:rPr>
                <w:noProof/>
              </w:rPr>
              <w:t>Objectif</w:t>
            </w:r>
          </w:p>
        </w:tc>
        <w:tc>
          <w:tcPr>
            <w:tcW w:w="1212" w:type="dxa"/>
            <w:tcBorders>
              <w:top w:val="nil"/>
              <w:left w:val="single" w:sz="4" w:space="0" w:color="auto"/>
              <w:bottom w:val="single" w:sz="4" w:space="0" w:color="auto"/>
              <w:right w:val="single" w:sz="4" w:space="0" w:color="auto"/>
            </w:tcBorders>
            <w:shd w:val="clear" w:color="auto" w:fill="C6EFCE"/>
            <w:noWrap/>
          </w:tcPr>
          <w:p w14:paraId="68C512C4" w14:textId="77777777" w:rsidR="00A345F4" w:rsidRDefault="005E2D4E">
            <w:pPr>
              <w:pStyle w:val="P68B1DB1-Normal14"/>
              <w:spacing w:after="0" w:line="240" w:lineRule="auto"/>
              <w:jc w:val="both"/>
              <w:rPr>
                <w:noProof/>
              </w:rPr>
            </w:pPr>
            <w:r>
              <w:rPr>
                <w:noProof/>
              </w:rPr>
              <w:t>Nombre de contrats de financement signés</w:t>
            </w:r>
          </w:p>
        </w:tc>
        <w:tc>
          <w:tcPr>
            <w:tcW w:w="1766" w:type="dxa"/>
            <w:tcBorders>
              <w:top w:val="nil"/>
              <w:left w:val="single" w:sz="4" w:space="0" w:color="auto"/>
              <w:bottom w:val="single" w:sz="4" w:space="0" w:color="auto"/>
              <w:right w:val="single" w:sz="4" w:space="0" w:color="auto"/>
            </w:tcBorders>
            <w:shd w:val="clear" w:color="auto" w:fill="C6EFCE"/>
            <w:noWrap/>
          </w:tcPr>
          <w:p w14:paraId="6B6DD76C" w14:textId="77777777" w:rsidR="00A345F4" w:rsidRDefault="005E2D4E">
            <w:pPr>
              <w:pStyle w:val="P68B1DB1-Normal14"/>
              <w:spacing w:after="0" w:line="240" w:lineRule="auto"/>
              <w:jc w:val="both"/>
              <w:rPr>
                <w:noProof/>
              </w:rPr>
            </w:pPr>
            <w:r>
              <w:rPr>
                <w:noProof/>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6FEE2B7D" w14:textId="77777777" w:rsidR="00A345F4" w:rsidRDefault="005E2D4E">
            <w:pPr>
              <w:pStyle w:val="P68B1DB1-Normal14"/>
              <w:spacing w:after="0" w:line="240" w:lineRule="auto"/>
              <w:jc w:val="both"/>
              <w:rPr>
                <w:noProof/>
              </w:rPr>
            </w:pPr>
            <w:r>
              <w:rPr>
                <w:noProof/>
              </w:rPr>
              <w:t>Numéro</w:t>
            </w:r>
          </w:p>
        </w:tc>
        <w:tc>
          <w:tcPr>
            <w:tcW w:w="1116" w:type="dxa"/>
            <w:tcBorders>
              <w:top w:val="nil"/>
              <w:left w:val="single" w:sz="4" w:space="0" w:color="auto"/>
              <w:bottom w:val="single" w:sz="4" w:space="0" w:color="auto"/>
              <w:right w:val="single" w:sz="4" w:space="0" w:color="auto"/>
            </w:tcBorders>
            <w:shd w:val="clear" w:color="auto" w:fill="C6EFCE"/>
            <w:noWrap/>
          </w:tcPr>
          <w:p w14:paraId="1F0751EC" w14:textId="77777777" w:rsidR="00A345F4" w:rsidRDefault="005E2D4E">
            <w:pPr>
              <w:pStyle w:val="P68B1DB1-Normal14"/>
              <w:spacing w:after="0" w:line="240" w:lineRule="auto"/>
              <w:jc w:val="both"/>
              <w:rPr>
                <w:noProof/>
              </w:rPr>
            </w:pPr>
            <w:r>
              <w:rPr>
                <w:noProof/>
              </w:rPr>
              <w:t>0</w:t>
            </w:r>
          </w:p>
        </w:tc>
        <w:tc>
          <w:tcPr>
            <w:tcW w:w="858" w:type="dxa"/>
            <w:tcBorders>
              <w:top w:val="nil"/>
              <w:left w:val="single" w:sz="4" w:space="0" w:color="auto"/>
              <w:bottom w:val="single" w:sz="4" w:space="0" w:color="auto"/>
              <w:right w:val="single" w:sz="4" w:space="0" w:color="auto"/>
            </w:tcBorders>
            <w:shd w:val="clear" w:color="auto" w:fill="C6EFCE"/>
            <w:noWrap/>
          </w:tcPr>
          <w:p w14:paraId="76DE99C8" w14:textId="77777777" w:rsidR="00A345F4" w:rsidRDefault="005E2D4E">
            <w:pPr>
              <w:pStyle w:val="P68B1DB1-Normal14"/>
              <w:spacing w:after="0" w:line="240" w:lineRule="auto"/>
              <w:jc w:val="both"/>
              <w:rPr>
                <w:noProof/>
              </w:rPr>
            </w:pPr>
            <w:r>
              <w:rPr>
                <w:noProof/>
              </w:rPr>
              <w:t>2</w:t>
            </w:r>
          </w:p>
        </w:tc>
        <w:tc>
          <w:tcPr>
            <w:tcW w:w="943" w:type="dxa"/>
            <w:tcBorders>
              <w:top w:val="nil"/>
              <w:left w:val="single" w:sz="4" w:space="0" w:color="auto"/>
              <w:bottom w:val="single" w:sz="4" w:space="0" w:color="auto"/>
              <w:right w:val="single" w:sz="4" w:space="0" w:color="auto"/>
            </w:tcBorders>
            <w:shd w:val="clear" w:color="auto" w:fill="C6EFCE"/>
            <w:noWrap/>
          </w:tcPr>
          <w:p w14:paraId="54BE7FB2" w14:textId="77777777" w:rsidR="00A345F4" w:rsidRDefault="005E2D4E">
            <w:pPr>
              <w:pStyle w:val="P68B1DB1-Normal14"/>
              <w:spacing w:after="0" w:line="240" w:lineRule="auto"/>
              <w:jc w:val="center"/>
              <w:rPr>
                <w:noProof/>
              </w:rPr>
            </w:pPr>
            <w:r>
              <w:rPr>
                <w:noProof/>
              </w:rPr>
              <w:t>T3</w:t>
            </w:r>
          </w:p>
        </w:tc>
        <w:tc>
          <w:tcPr>
            <w:tcW w:w="1065" w:type="dxa"/>
            <w:tcBorders>
              <w:top w:val="nil"/>
              <w:left w:val="single" w:sz="4" w:space="0" w:color="auto"/>
              <w:bottom w:val="single" w:sz="4" w:space="0" w:color="auto"/>
              <w:right w:val="single" w:sz="4" w:space="0" w:color="auto"/>
            </w:tcBorders>
            <w:shd w:val="clear" w:color="auto" w:fill="C6EFCE"/>
            <w:noWrap/>
          </w:tcPr>
          <w:p w14:paraId="2B35BB30" w14:textId="77777777" w:rsidR="00A345F4" w:rsidRDefault="005E2D4E">
            <w:pPr>
              <w:pStyle w:val="P68B1DB1-Normal14"/>
              <w:spacing w:after="0" w:line="240" w:lineRule="auto"/>
              <w:jc w:val="center"/>
              <w:rPr>
                <w:noProof/>
              </w:rPr>
            </w:pPr>
            <w:r>
              <w:rPr>
                <w:noProof/>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475AED04" w14:textId="77777777" w:rsidR="00A345F4" w:rsidRDefault="005E2D4E">
            <w:pPr>
              <w:pStyle w:val="P68B1DB1-Normal14"/>
              <w:spacing w:after="0" w:line="240" w:lineRule="auto"/>
              <w:jc w:val="both"/>
              <w:rPr>
                <w:noProof/>
              </w:rPr>
            </w:pPr>
            <w:r>
              <w:rPr>
                <w:noProof/>
              </w:rPr>
              <w:t>Au moins deux contrats de financement seront signés avec des entreprises, qui contiendront des dispositions relatives à la cotation à la Bourse de Bucarest.</w:t>
            </w:r>
          </w:p>
        </w:tc>
      </w:tr>
      <w:tr w:rsidR="00A345F4" w14:paraId="5F5D48FD" w14:textId="77777777" w:rsidTr="004A737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665342F8" w14:textId="77777777" w:rsidR="00A345F4" w:rsidRDefault="005E2D4E">
            <w:pPr>
              <w:pStyle w:val="P68B1DB1-Normal14"/>
              <w:spacing w:after="0" w:line="240" w:lineRule="auto"/>
              <w:jc w:val="center"/>
              <w:rPr>
                <w:noProof/>
              </w:rPr>
            </w:pPr>
            <w:r>
              <w:rPr>
                <w:noProof/>
              </w:rPr>
              <w:t>266</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233D2319" w14:textId="77777777" w:rsidR="00A345F4" w:rsidRDefault="005E2D4E">
            <w:pPr>
              <w:pStyle w:val="P68B1DB1-Normal14"/>
              <w:spacing w:after="0" w:line="240" w:lineRule="auto"/>
              <w:jc w:val="both"/>
              <w:rPr>
                <w:noProof/>
              </w:rPr>
            </w:pPr>
            <w:r>
              <w:rPr>
                <w:noProof/>
              </w:rPr>
              <w:t>Investissement 4. Transfrontalier</w:t>
            </w:r>
          </w:p>
          <w:p w14:paraId="7B784B59" w14:textId="77777777" w:rsidR="00A345F4" w:rsidRDefault="005E2D4E">
            <w:pPr>
              <w:pStyle w:val="P68B1DB1-Normal14"/>
              <w:spacing w:after="0" w:line="240" w:lineRule="auto"/>
              <w:jc w:val="both"/>
              <w:rPr>
                <w:noProof/>
              </w:rPr>
            </w:pPr>
            <w:r>
              <w:rPr>
                <w:noProof/>
              </w:rPr>
              <w:t>et multi-pays</w:t>
            </w:r>
          </w:p>
          <w:p w14:paraId="43289AC0" w14:textId="43E7FFE6" w:rsidR="00A345F4" w:rsidRDefault="005E2D4E">
            <w:pPr>
              <w:pStyle w:val="P68B1DB1-Normal14"/>
              <w:spacing w:after="0" w:line="240" w:lineRule="auto"/>
              <w:jc w:val="both"/>
              <w:rPr>
                <w:noProof/>
              </w:rPr>
            </w:pPr>
            <w:r>
              <w:rPr>
                <w:noProof/>
              </w:rPr>
              <w:t xml:space="preserve">projets – Processeurs de faible puissance et semi-conducteurs </w:t>
            </w:r>
          </w:p>
        </w:tc>
        <w:tc>
          <w:tcPr>
            <w:tcW w:w="1373" w:type="dxa"/>
            <w:tcBorders>
              <w:top w:val="single" w:sz="4" w:space="0" w:color="auto"/>
              <w:left w:val="single" w:sz="4" w:space="0" w:color="auto"/>
              <w:bottom w:val="single" w:sz="4" w:space="0" w:color="auto"/>
              <w:right w:val="single" w:sz="4" w:space="0" w:color="auto"/>
            </w:tcBorders>
            <w:shd w:val="clear" w:color="auto" w:fill="C6EFCE"/>
            <w:noWrap/>
          </w:tcPr>
          <w:p w14:paraId="07C5A167" w14:textId="77777777" w:rsidR="00A345F4" w:rsidRDefault="005E2D4E">
            <w:pPr>
              <w:pStyle w:val="P68B1DB1-Normal14"/>
              <w:spacing w:after="0" w:line="240" w:lineRule="auto"/>
              <w:jc w:val="center"/>
              <w:rPr>
                <w:noProof/>
              </w:rPr>
            </w:pPr>
            <w:r>
              <w:rPr>
                <w:noProof/>
              </w:rPr>
              <w:t>Étape</w:t>
            </w:r>
          </w:p>
        </w:tc>
        <w:tc>
          <w:tcPr>
            <w:tcW w:w="1212" w:type="dxa"/>
            <w:tcBorders>
              <w:top w:val="single" w:sz="4" w:space="0" w:color="auto"/>
              <w:left w:val="single" w:sz="4" w:space="0" w:color="auto"/>
              <w:bottom w:val="single" w:sz="4" w:space="0" w:color="auto"/>
              <w:right w:val="single" w:sz="4" w:space="0" w:color="auto"/>
            </w:tcBorders>
            <w:shd w:val="clear" w:color="auto" w:fill="C6EFCE"/>
            <w:noWrap/>
          </w:tcPr>
          <w:p w14:paraId="43CDA43D" w14:textId="77777777" w:rsidR="00A345F4" w:rsidRDefault="005E2D4E">
            <w:pPr>
              <w:pStyle w:val="P68B1DB1-Normal14"/>
              <w:spacing w:after="0" w:line="240" w:lineRule="auto"/>
              <w:jc w:val="both"/>
              <w:rPr>
                <w:noProof/>
              </w:rPr>
            </w:pPr>
            <w:r>
              <w:rPr>
                <w:noProof/>
              </w:rPr>
              <w:t>Entrée en vigueur de la décision du gouvernement allouant le financement nécessaire de 500</w:t>
            </w:r>
            <w:r>
              <w:rPr>
                <w:strike/>
                <w:noProof/>
                <w:color w:val="FF0000"/>
              </w:rPr>
              <w:t xml:space="preserve"> </w:t>
            </w:r>
            <w:r>
              <w:rPr>
                <w:noProof/>
              </w:rPr>
              <w:t>millions d'euros pour soutenir le renforcement des capacités nationales jusqu'au premier développement industriel et la participation ou l'association à un projet multinational</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43229E5D" w14:textId="77777777" w:rsidR="00A345F4" w:rsidRDefault="005E2D4E">
            <w:pPr>
              <w:pStyle w:val="P68B1DB1-Normal14"/>
              <w:spacing w:after="0" w:line="240" w:lineRule="auto"/>
              <w:jc w:val="both"/>
              <w:rPr>
                <w:noProof/>
              </w:rPr>
            </w:pPr>
            <w:r>
              <w:rPr>
                <w:noProof/>
              </w:rPr>
              <w:t>Disposition de la loi indiquant l'entrée en vigueur</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22222656" w14:textId="77777777" w:rsidR="00A345F4" w:rsidRDefault="00A345F4">
            <w:pPr>
              <w:spacing w:after="0" w:line="240" w:lineRule="auto"/>
              <w:jc w:val="both"/>
              <w:rPr>
                <w:rFonts w:ascii="Times New Roman" w:hAnsi="Times New Roman" w:cs="Times New Roman"/>
                <w:noProof/>
                <w:sz w:val="20"/>
                <w:szCs w:val="20"/>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13256ED6" w14:textId="77777777" w:rsidR="00A345F4" w:rsidRDefault="00A345F4">
            <w:pPr>
              <w:spacing w:after="0" w:line="240" w:lineRule="auto"/>
              <w:jc w:val="both"/>
              <w:rPr>
                <w:rFonts w:ascii="Times New Roman" w:hAnsi="Times New Roman" w:cs="Times New Roman"/>
                <w:noProof/>
                <w:sz w:val="20"/>
                <w:szCs w:val="20"/>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1E19C70F" w14:textId="77777777" w:rsidR="00A345F4" w:rsidRDefault="00A345F4">
            <w:pPr>
              <w:spacing w:after="0" w:line="240" w:lineRule="auto"/>
              <w:jc w:val="both"/>
              <w:rPr>
                <w:rFonts w:ascii="Times New Roman" w:hAnsi="Times New Roman" w:cs="Times New Roman"/>
                <w:noProof/>
                <w:sz w:val="20"/>
                <w:szCs w:val="20"/>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5DF65095" w14:textId="77777777" w:rsidR="00A345F4" w:rsidRDefault="005E2D4E">
            <w:pPr>
              <w:pStyle w:val="P68B1DB1-Normal14"/>
              <w:spacing w:after="0" w:line="240" w:lineRule="auto"/>
              <w:jc w:val="center"/>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D7E3E91" w14:textId="77777777" w:rsidR="00A345F4" w:rsidRDefault="005E2D4E">
            <w:pPr>
              <w:pStyle w:val="P68B1DB1-Normal14"/>
              <w:spacing w:after="0" w:line="240" w:lineRule="auto"/>
              <w:jc w:val="center"/>
              <w:rPr>
                <w:noProof/>
              </w:rPr>
            </w:pPr>
            <w:r>
              <w:rPr>
                <w:noProof/>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7F3323BA" w14:textId="77777777" w:rsidR="00A345F4" w:rsidRDefault="005E2D4E">
            <w:pPr>
              <w:pStyle w:val="P68B1DB1-Normal14"/>
              <w:spacing w:after="0" w:line="240" w:lineRule="auto"/>
              <w:jc w:val="both"/>
              <w:rPr>
                <w:noProof/>
              </w:rPr>
            </w:pPr>
            <w:r>
              <w:rPr>
                <w:noProof/>
              </w:rPr>
              <w:t>La décision du gouvernement établit le cadre réglementaire indiquant les procédures et les délais de soumission des projets, ainsi que les critères d’éligibilité et les exigences applicables aux bénéficiaires potentiels, en fixant également une dotation budgétaire de 500 millions d’EUR.</w:t>
            </w:r>
          </w:p>
          <w:p w14:paraId="67EE9BB7" w14:textId="77777777" w:rsidR="00A345F4" w:rsidRDefault="005E2D4E">
            <w:pPr>
              <w:pStyle w:val="P68B1DB1-Normal14"/>
              <w:spacing w:after="0" w:line="240" w:lineRule="auto"/>
              <w:jc w:val="both"/>
              <w:rPr>
                <w:noProof/>
              </w:rPr>
            </w:pPr>
            <w:r>
              <w:rPr>
                <w:noProof/>
              </w:rPr>
              <w:t>Des informations complémentaires sont établies en accord avec les autres États membres participants à ces projets.</w:t>
            </w:r>
          </w:p>
          <w:p w14:paraId="47D8B324" w14:textId="77777777" w:rsidR="00A345F4" w:rsidRDefault="005E2D4E">
            <w:pPr>
              <w:pStyle w:val="P68B1DB1-Normal14"/>
              <w:spacing w:after="0" w:line="240" w:lineRule="auto"/>
              <w:jc w:val="both"/>
              <w:rPr>
                <w:noProof/>
              </w:rPr>
            </w:pPr>
            <w:r>
              <w:rPr>
                <w:noProof/>
              </w:rPr>
              <w:t>Le projet multinational relatif aux processeurs de faible puissance et aux semi-conducteurs devrait être mis en œuvre principalement par la participation ou l’association à un projet important d’intérêt européen commun prévu.</w:t>
            </w:r>
          </w:p>
        </w:tc>
      </w:tr>
      <w:tr w:rsidR="00A345F4" w14:paraId="2F61EE3A" w14:textId="77777777" w:rsidTr="004A737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8C5F4BE" w14:textId="77777777" w:rsidR="00A345F4" w:rsidRDefault="005E2D4E">
            <w:pPr>
              <w:pStyle w:val="P68B1DB1-Normal14"/>
              <w:spacing w:after="0" w:line="240" w:lineRule="auto"/>
              <w:jc w:val="center"/>
              <w:rPr>
                <w:noProof/>
              </w:rPr>
            </w:pPr>
            <w:r>
              <w:rPr>
                <w:noProof/>
              </w:rPr>
              <w:t>267</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167970D0" w14:textId="4E58792A" w:rsidR="00A345F4" w:rsidRDefault="005E2D4E">
            <w:pPr>
              <w:pStyle w:val="P68B1DB1-Normal14"/>
              <w:spacing w:after="0" w:line="240" w:lineRule="auto"/>
              <w:jc w:val="both"/>
              <w:rPr>
                <w:noProof/>
              </w:rPr>
            </w:pPr>
            <w:r>
              <w:rPr>
                <w:noProof/>
              </w:rPr>
              <w:t xml:space="preserve">Investissement 4. Projets transfrontaliers et multinationaux – Processeurs de faible puissance et semi-conducteurs </w:t>
            </w:r>
          </w:p>
        </w:tc>
        <w:tc>
          <w:tcPr>
            <w:tcW w:w="1373" w:type="dxa"/>
            <w:tcBorders>
              <w:top w:val="single" w:sz="4" w:space="0" w:color="auto"/>
              <w:left w:val="single" w:sz="4" w:space="0" w:color="auto"/>
              <w:bottom w:val="single" w:sz="4" w:space="0" w:color="auto"/>
              <w:right w:val="single" w:sz="4" w:space="0" w:color="auto"/>
            </w:tcBorders>
            <w:shd w:val="clear" w:color="auto" w:fill="C6EFCE"/>
            <w:noWrap/>
          </w:tcPr>
          <w:p w14:paraId="4BE98A2B" w14:textId="77777777" w:rsidR="00A345F4" w:rsidRDefault="005E2D4E">
            <w:pPr>
              <w:pStyle w:val="P68B1DB1-Normal14"/>
              <w:spacing w:after="0" w:line="240" w:lineRule="auto"/>
              <w:jc w:val="center"/>
              <w:rPr>
                <w:noProof/>
              </w:rPr>
            </w:pPr>
            <w:r>
              <w:rPr>
                <w:noProof/>
              </w:rPr>
              <w:t>Objectif</w:t>
            </w:r>
          </w:p>
        </w:tc>
        <w:tc>
          <w:tcPr>
            <w:tcW w:w="1212" w:type="dxa"/>
            <w:tcBorders>
              <w:top w:val="single" w:sz="4" w:space="0" w:color="auto"/>
              <w:left w:val="single" w:sz="4" w:space="0" w:color="auto"/>
              <w:bottom w:val="single" w:sz="4" w:space="0" w:color="auto"/>
              <w:right w:val="single" w:sz="4" w:space="0" w:color="auto"/>
            </w:tcBorders>
            <w:shd w:val="clear" w:color="auto" w:fill="C6EFCE"/>
            <w:noWrap/>
          </w:tcPr>
          <w:p w14:paraId="59667836" w14:textId="77777777" w:rsidR="00A345F4" w:rsidRDefault="005E2D4E">
            <w:pPr>
              <w:pStyle w:val="P68B1DB1-Normal14"/>
              <w:spacing w:after="0" w:line="240" w:lineRule="auto"/>
              <w:jc w:val="both"/>
              <w:rPr>
                <w:noProof/>
              </w:rPr>
            </w:pPr>
            <w:r>
              <w:rPr>
                <w:noProof/>
              </w:rPr>
              <w:t>Entités sélectionnées pour participer ou s'associer au projet</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4B1E9705" w14:textId="77777777" w:rsidR="00A345F4" w:rsidRDefault="00A345F4">
            <w:pPr>
              <w:spacing w:after="0" w:line="240" w:lineRule="auto"/>
              <w:jc w:val="both"/>
              <w:rPr>
                <w:rFonts w:ascii="Times New Roman" w:hAnsi="Times New Roman" w:cs="Times New Roman"/>
                <w:noProof/>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F9467C4" w14:textId="77777777" w:rsidR="00A345F4" w:rsidRDefault="005E2D4E">
            <w:pPr>
              <w:pStyle w:val="P68B1DB1-Normal14"/>
              <w:spacing w:after="0" w:line="240" w:lineRule="auto"/>
              <w:jc w:val="both"/>
              <w:rPr>
                <w:noProof/>
              </w:rPr>
            </w:pPr>
            <w:r>
              <w:rPr>
                <w:noProof/>
              </w:rPr>
              <w:t>Numéro</w:t>
            </w: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2B5DB8F3" w14:textId="77777777" w:rsidR="00A345F4" w:rsidRDefault="005E2D4E">
            <w:pPr>
              <w:pStyle w:val="P68B1DB1-Normal14"/>
              <w:spacing w:after="0" w:line="240" w:lineRule="auto"/>
              <w:jc w:val="both"/>
              <w:rPr>
                <w:noProof/>
              </w:rPr>
            </w:pPr>
            <w:r>
              <w:rPr>
                <w:noProof/>
              </w:rPr>
              <w:t>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458D07BC" w14:textId="77777777" w:rsidR="00A345F4" w:rsidRDefault="005E2D4E">
            <w:pPr>
              <w:pStyle w:val="P68B1DB1-Normal14"/>
              <w:spacing w:after="0" w:line="240" w:lineRule="auto"/>
              <w:jc w:val="both"/>
              <w:rPr>
                <w:noProof/>
              </w:rPr>
            </w:pPr>
            <w:r>
              <w:rPr>
                <w:noProof/>
              </w:rPr>
              <w:t>10</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4E6E9FBF" w14:textId="77777777" w:rsidR="00A345F4" w:rsidRDefault="005E2D4E">
            <w:pPr>
              <w:pStyle w:val="P68B1DB1-Normal14"/>
              <w:spacing w:after="0" w:line="240" w:lineRule="auto"/>
              <w:jc w:val="center"/>
              <w:rPr>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4F3442C" w14:textId="77777777" w:rsidR="00A345F4" w:rsidRDefault="005E2D4E">
            <w:pPr>
              <w:pStyle w:val="P68B1DB1-Normal14"/>
              <w:spacing w:after="0" w:line="240" w:lineRule="auto"/>
              <w:jc w:val="center"/>
              <w:rPr>
                <w:noProof/>
              </w:rPr>
            </w:pPr>
            <w:r>
              <w:rPr>
                <w:noProof/>
              </w:rPr>
              <w:t>2025</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038B010A" w14:textId="77777777" w:rsidR="00A345F4" w:rsidRDefault="005E2D4E">
            <w:pPr>
              <w:pStyle w:val="P68B1DB1-Normal14"/>
              <w:spacing w:after="0" w:line="240" w:lineRule="auto"/>
              <w:jc w:val="both"/>
              <w:rPr>
                <w:noProof/>
              </w:rPr>
            </w:pPr>
            <w:r>
              <w:rPr>
                <w:noProof/>
              </w:rPr>
              <w:t>Au moins dix entités sont sélectionnées pour participer ou s’associer au projet multinational de processeurs de faible puissance et de semi-conducteurs.</w:t>
            </w:r>
          </w:p>
          <w:p w14:paraId="06B380D4" w14:textId="77777777" w:rsidR="00A345F4" w:rsidRDefault="005E2D4E">
            <w:pPr>
              <w:pStyle w:val="P68B1DB1-Normal14"/>
              <w:spacing w:after="0" w:line="240" w:lineRule="auto"/>
              <w:jc w:val="both"/>
              <w:rPr>
                <w:noProof/>
              </w:rPr>
            </w:pPr>
            <w:r>
              <w:rPr>
                <w:noProof/>
              </w:rPr>
              <w:t>Au moins 360 millions d’EUR des fonds alloués ont été engagés par la signature de contrats avec les entités sélectionnées.</w:t>
            </w:r>
          </w:p>
        </w:tc>
      </w:tr>
      <w:tr w:rsidR="00A345F4" w14:paraId="092954EA" w14:textId="77777777" w:rsidTr="004A737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5AFCFD29" w14:textId="77777777" w:rsidR="00A345F4" w:rsidRDefault="005E2D4E">
            <w:pPr>
              <w:pStyle w:val="P68B1DB1-Normal14"/>
              <w:spacing w:after="0" w:line="240" w:lineRule="auto"/>
              <w:jc w:val="center"/>
              <w:rPr>
                <w:noProof/>
              </w:rPr>
            </w:pPr>
            <w:r>
              <w:rPr>
                <w:noProof/>
              </w:rPr>
              <w:t>268</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A44E747" w14:textId="1C2B25B5" w:rsidR="00A345F4" w:rsidRDefault="005E2D4E">
            <w:pPr>
              <w:pStyle w:val="P68B1DB1-Normal14"/>
              <w:spacing w:after="0" w:line="240" w:lineRule="auto"/>
              <w:jc w:val="both"/>
              <w:rPr>
                <w:noProof/>
              </w:rPr>
            </w:pPr>
            <w:r>
              <w:rPr>
                <w:noProof/>
              </w:rPr>
              <w:t xml:space="preserve">Investissement 4. Projets transfrontaliers et multinationaux – Processeurs de faible puissance et semi-conducteurs </w:t>
            </w:r>
          </w:p>
        </w:tc>
        <w:tc>
          <w:tcPr>
            <w:tcW w:w="1373" w:type="dxa"/>
            <w:tcBorders>
              <w:top w:val="single" w:sz="4" w:space="0" w:color="auto"/>
              <w:left w:val="single" w:sz="4" w:space="0" w:color="auto"/>
              <w:bottom w:val="single" w:sz="4" w:space="0" w:color="auto"/>
              <w:right w:val="single" w:sz="4" w:space="0" w:color="auto"/>
            </w:tcBorders>
            <w:shd w:val="clear" w:color="auto" w:fill="C6EFCE"/>
            <w:noWrap/>
          </w:tcPr>
          <w:p w14:paraId="0069615E" w14:textId="77777777" w:rsidR="00A345F4" w:rsidRDefault="005E2D4E">
            <w:pPr>
              <w:pStyle w:val="P68B1DB1-Normal14"/>
              <w:spacing w:after="0" w:line="240" w:lineRule="auto"/>
              <w:jc w:val="center"/>
              <w:rPr>
                <w:noProof/>
              </w:rPr>
            </w:pPr>
            <w:r>
              <w:rPr>
                <w:noProof/>
              </w:rPr>
              <w:t>Objectif</w:t>
            </w:r>
          </w:p>
        </w:tc>
        <w:tc>
          <w:tcPr>
            <w:tcW w:w="1212" w:type="dxa"/>
            <w:tcBorders>
              <w:top w:val="single" w:sz="4" w:space="0" w:color="auto"/>
              <w:left w:val="single" w:sz="4" w:space="0" w:color="auto"/>
              <w:bottom w:val="single" w:sz="4" w:space="0" w:color="auto"/>
              <w:right w:val="single" w:sz="4" w:space="0" w:color="auto"/>
            </w:tcBorders>
            <w:shd w:val="clear" w:color="auto" w:fill="C6EFCE"/>
            <w:noWrap/>
          </w:tcPr>
          <w:p w14:paraId="65C90D11" w14:textId="77777777" w:rsidR="00A345F4" w:rsidRDefault="005E2D4E">
            <w:pPr>
              <w:pStyle w:val="P68B1DB1-Normal14"/>
              <w:spacing w:after="0" w:line="240" w:lineRule="auto"/>
              <w:jc w:val="both"/>
              <w:rPr>
                <w:noProof/>
              </w:rPr>
            </w:pPr>
            <w:r>
              <w:rPr>
                <w:noProof/>
              </w:rPr>
              <w:t>Entités faisant partie de consortiums participant à des appels à projets lancés par l’entreprise commune «Technologies numériques essentielles» (EC KDT)</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6D072EAD" w14:textId="77777777" w:rsidR="00A345F4" w:rsidRDefault="00A345F4">
            <w:pPr>
              <w:spacing w:after="0" w:line="240" w:lineRule="auto"/>
              <w:jc w:val="both"/>
              <w:rPr>
                <w:rFonts w:ascii="Times New Roman" w:hAnsi="Times New Roman" w:cs="Times New Roman"/>
                <w:noProof/>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4796817B" w14:textId="77777777" w:rsidR="00A345F4" w:rsidRDefault="005E2D4E">
            <w:pPr>
              <w:pStyle w:val="P68B1DB1-Normal14"/>
              <w:spacing w:after="0" w:line="240" w:lineRule="auto"/>
              <w:rPr>
                <w:noProof/>
              </w:rPr>
            </w:pPr>
            <w:r>
              <w:rPr>
                <w:noProof/>
              </w:rPr>
              <w:t>Numéro</w:t>
            </w: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73F23568" w14:textId="77777777" w:rsidR="00A345F4" w:rsidRDefault="005E2D4E">
            <w:pPr>
              <w:pStyle w:val="P68B1DB1-Normal14"/>
              <w:spacing w:after="0" w:line="240" w:lineRule="auto"/>
              <w:jc w:val="both"/>
              <w:rPr>
                <w:noProof/>
              </w:rPr>
            </w:pPr>
            <w:r>
              <w:rPr>
                <w:noProof/>
              </w:rPr>
              <w:t>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2DF7BBF0" w14:textId="77777777" w:rsidR="00A345F4" w:rsidRDefault="005E2D4E">
            <w:pPr>
              <w:pStyle w:val="P68B1DB1-Normal14"/>
              <w:spacing w:after="0" w:line="240" w:lineRule="auto"/>
              <w:jc w:val="both"/>
              <w:rPr>
                <w:noProof/>
              </w:rPr>
            </w:pPr>
            <w:r>
              <w:rPr>
                <w:noProof/>
              </w:rPr>
              <w:t>3</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13F1A20F" w14:textId="77777777" w:rsidR="00A345F4" w:rsidRDefault="005E2D4E">
            <w:pPr>
              <w:pStyle w:val="P68B1DB1-Normal14"/>
              <w:spacing w:after="0" w:line="240" w:lineRule="auto"/>
              <w:jc w:val="center"/>
              <w:rPr>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7E2D1F2" w14:textId="77777777" w:rsidR="00A345F4" w:rsidRDefault="005E2D4E">
            <w:pPr>
              <w:pStyle w:val="P68B1DB1-Normal14"/>
              <w:spacing w:after="0" w:line="240" w:lineRule="auto"/>
              <w:jc w:val="center"/>
              <w:rPr>
                <w:noProof/>
              </w:rPr>
            </w:pPr>
            <w:r>
              <w:rPr>
                <w:noProof/>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139D091C" w14:textId="77777777" w:rsidR="00A345F4" w:rsidRDefault="005E2D4E">
            <w:pPr>
              <w:pStyle w:val="P68B1DB1-Normal14"/>
              <w:spacing w:after="0" w:line="240" w:lineRule="auto"/>
              <w:jc w:val="both"/>
              <w:rPr>
                <w:noProof/>
              </w:rPr>
            </w:pPr>
            <w:r>
              <w:rPr>
                <w:noProof/>
              </w:rPr>
              <w:t>Au moins trois entités faisant partie de consortiums participent aux appels à projets lancés par l’entreprise commune «Technologies numériques essentielles».</w:t>
            </w:r>
          </w:p>
          <w:p w14:paraId="7E0461D0" w14:textId="7469A49A" w:rsidR="00A345F4" w:rsidRDefault="005E2D4E">
            <w:pPr>
              <w:pStyle w:val="P68B1DB1-Normal14"/>
              <w:spacing w:after="0" w:line="240" w:lineRule="auto"/>
              <w:jc w:val="both"/>
              <w:rPr>
                <w:noProof/>
              </w:rPr>
            </w:pPr>
            <w:r>
              <w:rPr>
                <w:noProof/>
              </w:rPr>
              <w:t>Les participants au projet multinational sur les processeurs de faible puissance et les semi-conducteurs contribuent, dans un contexte multinational, à la mise en place de capacités dans le domaine dans lequel l’entreprise commune KDT lance des appels à propositions de projets. Les activités des deux mécanismes sont complémentaires.</w:t>
            </w:r>
          </w:p>
        </w:tc>
      </w:tr>
      <w:tr w:rsidR="00A345F4" w14:paraId="3BE0B6C2" w14:textId="77777777" w:rsidTr="004A737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1AB3B4D" w14:textId="77777777" w:rsidR="00A345F4" w:rsidRDefault="005E2D4E">
            <w:pPr>
              <w:pStyle w:val="P68B1DB1-Normal14"/>
              <w:spacing w:after="0" w:line="240" w:lineRule="auto"/>
              <w:jc w:val="center"/>
              <w:rPr>
                <w:noProof/>
              </w:rPr>
            </w:pPr>
            <w:r>
              <w:rPr>
                <w:noProof/>
              </w:rPr>
              <w:t>270</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710EA57A" w14:textId="51C4BE28" w:rsidR="00A345F4" w:rsidRDefault="005E2D4E">
            <w:pPr>
              <w:pStyle w:val="P68B1DB1-Normal14"/>
              <w:spacing w:after="0" w:line="240" w:lineRule="auto"/>
              <w:jc w:val="both"/>
              <w:rPr>
                <w:noProof/>
              </w:rPr>
            </w:pPr>
            <w:r>
              <w:rPr>
                <w:noProof/>
              </w:rPr>
              <w:t xml:space="preserve">Réforme 2. Rationaliser la gouvernance de la recherche, du développement et de l'innovation </w:t>
            </w:r>
          </w:p>
        </w:tc>
        <w:tc>
          <w:tcPr>
            <w:tcW w:w="1373" w:type="dxa"/>
            <w:tcBorders>
              <w:top w:val="single" w:sz="4" w:space="0" w:color="auto"/>
              <w:left w:val="single" w:sz="4" w:space="0" w:color="auto"/>
              <w:bottom w:val="single" w:sz="4" w:space="0" w:color="auto"/>
              <w:right w:val="single" w:sz="4" w:space="0" w:color="auto"/>
            </w:tcBorders>
            <w:shd w:val="clear" w:color="auto" w:fill="C6EFCE"/>
            <w:noWrap/>
          </w:tcPr>
          <w:p w14:paraId="59EF357A" w14:textId="77777777" w:rsidR="00A345F4" w:rsidRDefault="005E2D4E">
            <w:pPr>
              <w:pStyle w:val="P68B1DB1-Normal14"/>
              <w:spacing w:after="0" w:line="240" w:lineRule="auto"/>
              <w:jc w:val="center"/>
              <w:rPr>
                <w:noProof/>
              </w:rPr>
            </w:pPr>
            <w:r>
              <w:rPr>
                <w:noProof/>
              </w:rPr>
              <w:t>Étape</w:t>
            </w:r>
          </w:p>
        </w:tc>
        <w:tc>
          <w:tcPr>
            <w:tcW w:w="1212" w:type="dxa"/>
            <w:tcBorders>
              <w:top w:val="single" w:sz="4" w:space="0" w:color="auto"/>
              <w:left w:val="single" w:sz="4" w:space="0" w:color="auto"/>
              <w:bottom w:val="single" w:sz="4" w:space="0" w:color="auto"/>
              <w:right w:val="single" w:sz="4" w:space="0" w:color="auto"/>
            </w:tcBorders>
            <w:shd w:val="clear" w:color="auto" w:fill="C6EFCE"/>
            <w:noWrap/>
          </w:tcPr>
          <w:p w14:paraId="48E36269" w14:textId="77777777" w:rsidR="00A345F4" w:rsidRDefault="005E2D4E">
            <w:pPr>
              <w:pStyle w:val="P68B1DB1-Normal14"/>
              <w:spacing w:after="0" w:line="240" w:lineRule="auto"/>
              <w:jc w:val="both"/>
              <w:rPr>
                <w:noProof/>
              </w:rPr>
            </w:pPr>
            <w:r>
              <w:rPr>
                <w:noProof/>
              </w:rPr>
              <w:t xml:space="preserve">Création et fonctionnement de l’unité de mise en œuvre de la réforme du mécanisme de soutien aux politiques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56432EDC" w14:textId="77777777" w:rsidR="00A345F4" w:rsidRDefault="005E2D4E">
            <w:pPr>
              <w:pStyle w:val="P68B1DB1-Normal14"/>
              <w:spacing w:after="0" w:line="240" w:lineRule="auto"/>
              <w:jc w:val="both"/>
              <w:rPr>
                <w:noProof/>
              </w:rPr>
            </w:pPr>
            <w:r>
              <w:rPr>
                <w:noProof/>
              </w:rPr>
              <w:t xml:space="preserve">Adoption d’un acte normatif pour l’unité de mise en œuvre de la réforme de la facilité de soutien à la politique opérationnelle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A698A28" w14:textId="77777777" w:rsidR="00A345F4" w:rsidRDefault="00A345F4">
            <w:pPr>
              <w:spacing w:after="0" w:line="240" w:lineRule="auto"/>
              <w:jc w:val="both"/>
              <w:rPr>
                <w:rFonts w:ascii="Times New Roman" w:hAnsi="Times New Roman" w:cs="Times New Roman"/>
                <w:noProof/>
                <w:sz w:val="20"/>
                <w:szCs w:val="20"/>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6DE6115F" w14:textId="77777777" w:rsidR="00A345F4" w:rsidRDefault="00A345F4">
            <w:pPr>
              <w:spacing w:after="0" w:line="240" w:lineRule="auto"/>
              <w:jc w:val="both"/>
              <w:rPr>
                <w:rFonts w:ascii="Times New Roman" w:hAnsi="Times New Roman" w:cs="Times New Roman"/>
                <w:noProof/>
                <w:sz w:val="20"/>
                <w:szCs w:val="20"/>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2E35587B" w14:textId="77777777" w:rsidR="00A345F4" w:rsidRDefault="00A345F4">
            <w:pPr>
              <w:spacing w:after="0" w:line="240" w:lineRule="auto"/>
              <w:jc w:val="both"/>
              <w:rPr>
                <w:rFonts w:ascii="Times New Roman" w:hAnsi="Times New Roman" w:cs="Times New Roman"/>
                <w:noProof/>
                <w:sz w:val="20"/>
                <w:szCs w:val="20"/>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4F9040F9" w14:textId="77777777" w:rsidR="00A345F4" w:rsidRDefault="005E2D4E">
            <w:pPr>
              <w:pStyle w:val="P68B1DB1-Normal14"/>
              <w:spacing w:after="0" w:line="240" w:lineRule="auto"/>
              <w:jc w:val="center"/>
              <w:rPr>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C196593" w14:textId="77777777" w:rsidR="00A345F4" w:rsidRDefault="005E2D4E">
            <w:pPr>
              <w:pStyle w:val="P68B1DB1-Normal14"/>
              <w:spacing w:after="0" w:line="240" w:lineRule="auto"/>
              <w:jc w:val="center"/>
              <w:rPr>
                <w:noProof/>
              </w:rPr>
            </w:pPr>
            <w:r>
              <w:rPr>
                <w:noProof/>
              </w:rPr>
              <w:t>2021</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255A9F6E" w14:textId="77777777" w:rsidR="00A345F4" w:rsidRDefault="005E2D4E">
            <w:pPr>
              <w:pStyle w:val="P68B1DB1-Normal14"/>
              <w:spacing w:after="0" w:line="240" w:lineRule="auto"/>
              <w:jc w:val="both"/>
              <w:rPr>
                <w:noProof/>
              </w:rPr>
            </w:pPr>
            <w:r>
              <w:rPr>
                <w:noProof/>
              </w:rPr>
              <w:t>la mise en œuvre opérationnelle d’une unité temporaire chargée de la réforme de la facilité de soutien aux politiques, dont le mandat est de mettre en œuvre et de suivre les recommandations de la facilité de soutien aux politiques qui se sont traduites par des réformes de l’écosystème national de la recherche, du développement et de l’innovation.</w:t>
            </w:r>
          </w:p>
          <w:p w14:paraId="20A30F83" w14:textId="77777777" w:rsidR="00A345F4" w:rsidRDefault="005E2D4E">
            <w:pPr>
              <w:pStyle w:val="P68B1DB1-Normal14"/>
              <w:spacing w:after="0" w:line="240" w:lineRule="auto"/>
              <w:jc w:val="both"/>
              <w:rPr>
                <w:noProof/>
              </w:rPr>
            </w:pPr>
            <w:r>
              <w:rPr>
                <w:noProof/>
              </w:rPr>
              <w:t xml:space="preserve">La nouvelle unité, avec le soutien du mécanisme de soutien aux politiques, redéfinit, de manière coordonnée avec les autorités publiques compétentes, l’architecture et les fonctions du système de recherche, de développement et d’innovation, afin d’améliorer la qualité des investissements dans la recherche et l’innovation pour un système résilient et performant. À cette fin, le mandat de l’unité se concentre, entre autres, sur cinq priorités: </w:t>
            </w:r>
          </w:p>
          <w:p w14:paraId="2A96D22F" w14:textId="77777777" w:rsidR="00A345F4" w:rsidRDefault="005E2D4E">
            <w:pPr>
              <w:pStyle w:val="P68B1DB1-Normal14"/>
              <w:numPr>
                <w:ilvl w:val="0"/>
                <w:numId w:val="103"/>
              </w:numPr>
              <w:spacing w:after="0" w:line="240" w:lineRule="auto"/>
              <w:contextualSpacing/>
              <w:jc w:val="both"/>
              <w:rPr>
                <w:noProof/>
              </w:rPr>
            </w:pPr>
            <w:r>
              <w:rPr>
                <w:noProof/>
              </w:rPr>
              <w:t xml:space="preserve">la gouvernance du système de recherche, de développement et d'innovation; </w:t>
            </w:r>
          </w:p>
          <w:p w14:paraId="770A1463" w14:textId="77777777" w:rsidR="00A345F4" w:rsidRDefault="005E2D4E">
            <w:pPr>
              <w:pStyle w:val="P68B1DB1-Normal14"/>
              <w:numPr>
                <w:ilvl w:val="0"/>
                <w:numId w:val="103"/>
              </w:numPr>
              <w:spacing w:after="0" w:line="240" w:lineRule="auto"/>
              <w:contextualSpacing/>
              <w:jc w:val="both"/>
              <w:rPr>
                <w:noProof/>
              </w:rPr>
            </w:pPr>
            <w:r>
              <w:rPr>
                <w:noProof/>
              </w:rPr>
              <w:t xml:space="preserve">les conditions-cadres de la recherche publique, les ressources humaines pour la recherche et l'innovation; </w:t>
            </w:r>
          </w:p>
          <w:p w14:paraId="58BD0676" w14:textId="77777777" w:rsidR="00A345F4" w:rsidRDefault="005E2D4E">
            <w:pPr>
              <w:pStyle w:val="P68B1DB1-Normal14"/>
              <w:numPr>
                <w:ilvl w:val="0"/>
                <w:numId w:val="103"/>
              </w:numPr>
              <w:spacing w:after="0" w:line="240" w:lineRule="auto"/>
              <w:contextualSpacing/>
              <w:jc w:val="both"/>
              <w:rPr>
                <w:noProof/>
              </w:rPr>
            </w:pPr>
            <w:r>
              <w:rPr>
                <w:noProof/>
              </w:rPr>
              <w:t xml:space="preserve">Internationalisation des organismes de recherche, de développement et d'innovation; </w:t>
            </w:r>
          </w:p>
          <w:p w14:paraId="66ADB74E" w14:textId="77777777" w:rsidR="00A345F4" w:rsidRDefault="005E2D4E">
            <w:pPr>
              <w:pStyle w:val="P68B1DB1-Normal14"/>
              <w:numPr>
                <w:ilvl w:val="0"/>
                <w:numId w:val="103"/>
              </w:numPr>
              <w:spacing w:after="0" w:line="240" w:lineRule="auto"/>
              <w:contextualSpacing/>
              <w:jc w:val="both"/>
              <w:rPr>
                <w:noProof/>
              </w:rPr>
            </w:pPr>
            <w:r>
              <w:rPr>
                <w:noProof/>
              </w:rPr>
              <w:t xml:space="preserve">partenariats public-privé dans le domaine de la recherche, du développement et de l’innovation; </w:t>
            </w:r>
          </w:p>
          <w:p w14:paraId="315E0E64" w14:textId="77777777" w:rsidR="00A345F4" w:rsidRDefault="005E2D4E">
            <w:pPr>
              <w:pStyle w:val="P68B1DB1-Normal14"/>
              <w:numPr>
                <w:ilvl w:val="0"/>
                <w:numId w:val="103"/>
              </w:numPr>
              <w:spacing w:after="0" w:line="240" w:lineRule="auto"/>
              <w:contextualSpacing/>
              <w:jc w:val="both"/>
              <w:rPr>
                <w:noProof/>
              </w:rPr>
            </w:pPr>
            <w:r>
              <w:rPr>
                <w:noProof/>
              </w:rPr>
              <w:t xml:space="preserve">l'impact des fonds structurels sur le système de recherche, de développement et d'innovation. </w:t>
            </w:r>
          </w:p>
          <w:p w14:paraId="005AF11E" w14:textId="77777777" w:rsidR="00A345F4" w:rsidRDefault="005E2D4E">
            <w:pPr>
              <w:pStyle w:val="P68B1DB1-Normal14"/>
              <w:spacing w:after="0" w:line="240" w:lineRule="auto"/>
              <w:jc w:val="both"/>
              <w:rPr>
                <w:noProof/>
              </w:rPr>
            </w:pPr>
            <w:r>
              <w:rPr>
                <w:noProof/>
              </w:rPr>
              <w:t>L’unité est opérationnelle entre 2021 et 2026 et se compose de 17 équivalents temps plein.</w:t>
            </w:r>
          </w:p>
        </w:tc>
      </w:tr>
      <w:tr w:rsidR="00A345F4" w14:paraId="5B3FABAB" w14:textId="77777777" w:rsidTr="004A737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36D0066C" w14:textId="77777777" w:rsidR="00A345F4" w:rsidRDefault="005E2D4E">
            <w:pPr>
              <w:pStyle w:val="P68B1DB1-Normal14"/>
              <w:spacing w:after="0" w:line="240" w:lineRule="auto"/>
              <w:jc w:val="center"/>
              <w:rPr>
                <w:noProof/>
              </w:rPr>
            </w:pPr>
            <w:r>
              <w:rPr>
                <w:noProof/>
              </w:rPr>
              <w:t>276</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5932C35" w14:textId="77777777" w:rsidR="00A345F4" w:rsidRDefault="005E2D4E">
            <w:pPr>
              <w:pStyle w:val="P68B1DB1-Normal14"/>
              <w:spacing w:after="0" w:line="240" w:lineRule="auto"/>
              <w:jc w:val="both"/>
              <w:rPr>
                <w:noProof/>
              </w:rPr>
            </w:pPr>
            <w:r>
              <w:rPr>
                <w:noProof/>
              </w:rPr>
              <w:t xml:space="preserve">Réforme 4. Renforcement de la coopération entre les entreprises et la recherche </w:t>
            </w:r>
          </w:p>
        </w:tc>
        <w:tc>
          <w:tcPr>
            <w:tcW w:w="1373" w:type="dxa"/>
            <w:tcBorders>
              <w:top w:val="single" w:sz="4" w:space="0" w:color="auto"/>
              <w:left w:val="single" w:sz="4" w:space="0" w:color="auto"/>
              <w:bottom w:val="single" w:sz="4" w:space="0" w:color="auto"/>
              <w:right w:val="single" w:sz="4" w:space="0" w:color="auto"/>
            </w:tcBorders>
            <w:shd w:val="clear" w:color="auto" w:fill="C6EFCE"/>
            <w:noWrap/>
          </w:tcPr>
          <w:p w14:paraId="5A13D853" w14:textId="77777777" w:rsidR="00A345F4" w:rsidRDefault="005E2D4E">
            <w:pPr>
              <w:pStyle w:val="P68B1DB1-Normal14"/>
              <w:spacing w:after="0" w:line="240" w:lineRule="auto"/>
              <w:jc w:val="center"/>
              <w:rPr>
                <w:noProof/>
              </w:rPr>
            </w:pPr>
            <w:r>
              <w:rPr>
                <w:noProof/>
              </w:rPr>
              <w:t>Étape</w:t>
            </w:r>
          </w:p>
        </w:tc>
        <w:tc>
          <w:tcPr>
            <w:tcW w:w="1212" w:type="dxa"/>
            <w:tcBorders>
              <w:top w:val="single" w:sz="4" w:space="0" w:color="auto"/>
              <w:left w:val="single" w:sz="4" w:space="0" w:color="auto"/>
              <w:bottom w:val="single" w:sz="4" w:space="0" w:color="auto"/>
              <w:right w:val="single" w:sz="4" w:space="0" w:color="auto"/>
            </w:tcBorders>
            <w:shd w:val="clear" w:color="auto" w:fill="C6EFCE"/>
            <w:noWrap/>
          </w:tcPr>
          <w:p w14:paraId="465ED7A5" w14:textId="77777777" w:rsidR="00A345F4" w:rsidRDefault="005E2D4E">
            <w:pPr>
              <w:pStyle w:val="P68B1DB1-Normal14"/>
              <w:spacing w:after="0" w:line="240" w:lineRule="auto"/>
              <w:jc w:val="both"/>
              <w:rPr>
                <w:noProof/>
              </w:rPr>
            </w:pPr>
            <w:r>
              <w:rPr>
                <w:noProof/>
              </w:rPr>
              <w:t>Entrée en vigueur d'un ou de plusieurs actes juridiques pour un environnement favorable aux investissements publics et privés dans la recherche, le développement et l'innovation</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F83B992" w14:textId="77777777" w:rsidR="00A345F4" w:rsidRDefault="005E2D4E">
            <w:pPr>
              <w:pStyle w:val="P68B1DB1-Normal14"/>
              <w:spacing w:after="0" w:line="240" w:lineRule="auto"/>
              <w:jc w:val="both"/>
              <w:rPr>
                <w:noProof/>
              </w:rPr>
            </w:pPr>
            <w:r>
              <w:rPr>
                <w:noProof/>
              </w:rPr>
              <w:t>Acte(s) juridique(s) pour la simplification des investissements dans la recherche, le développement et l’innovation</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3B72EDB5" w14:textId="77777777" w:rsidR="00A345F4" w:rsidRDefault="005E2D4E">
            <w:pPr>
              <w:pStyle w:val="P68B1DB1-Normal14"/>
              <w:spacing w:after="0" w:line="240" w:lineRule="auto"/>
              <w:jc w:val="both"/>
              <w:rPr>
                <w:rFonts w:eastAsia="Times New Roman"/>
                <w:noProof/>
              </w:rPr>
            </w:pPr>
            <w:r>
              <w:rPr>
                <w:noProof/>
              </w:rPr>
              <w:t xml:space="preserve"> </w:t>
            </w: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43160029" w14:textId="77777777" w:rsidR="00A345F4" w:rsidRDefault="005E2D4E">
            <w:pPr>
              <w:pStyle w:val="P68B1DB1-Normal14"/>
              <w:spacing w:after="0" w:line="240" w:lineRule="auto"/>
              <w:jc w:val="both"/>
              <w:rPr>
                <w:rFonts w:eastAsia="Times New Roman"/>
                <w:noProof/>
              </w:rPr>
            </w:pPr>
            <w:r>
              <w:rPr>
                <w:noProof/>
              </w:rPr>
              <w:t xml:space="preserve"> </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3E1102B5" w14:textId="77777777" w:rsidR="00A345F4" w:rsidRDefault="005E2D4E">
            <w:pPr>
              <w:pStyle w:val="P68B1DB1-Normal14"/>
              <w:spacing w:after="0" w:line="240" w:lineRule="auto"/>
              <w:jc w:val="both"/>
              <w:rPr>
                <w:rFonts w:eastAsia="Times New Roman"/>
                <w:noProof/>
              </w:rPr>
            </w:pPr>
            <w:r>
              <w:rPr>
                <w:noProof/>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2DA19D1E" w14:textId="77777777" w:rsidR="00A345F4" w:rsidRDefault="005E2D4E">
            <w:pPr>
              <w:pStyle w:val="P68B1DB1-Normal14"/>
              <w:spacing w:after="0" w:line="240" w:lineRule="auto"/>
              <w:jc w:val="center"/>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C1546B1" w14:textId="77777777" w:rsidR="00A345F4" w:rsidRDefault="005E2D4E">
            <w:pPr>
              <w:pStyle w:val="P68B1DB1-Normal14"/>
              <w:spacing w:after="0" w:line="240" w:lineRule="auto"/>
              <w:jc w:val="center"/>
              <w:rPr>
                <w:noProof/>
              </w:rPr>
            </w:pPr>
            <w:r>
              <w:rPr>
                <w:noProof/>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745B005" w14:textId="77777777" w:rsidR="00A345F4" w:rsidRDefault="005E2D4E">
            <w:pPr>
              <w:pStyle w:val="P68B1DB1-Normal14"/>
              <w:spacing w:after="0" w:line="240" w:lineRule="auto"/>
              <w:jc w:val="both"/>
              <w:rPr>
                <w:noProof/>
              </w:rPr>
            </w:pPr>
            <w:r>
              <w:rPr>
                <w:noProof/>
              </w:rPr>
              <w:t>Le ou les actes juridiques contiennent des dispositions relatives à la centralisation progressive dans un point de contact électronique unique (site web) donnant accès aux appels R &amp; D &amp; I financés par des fonds publics.</w:t>
            </w:r>
          </w:p>
          <w:p w14:paraId="577E80BD" w14:textId="77777777" w:rsidR="00A345F4" w:rsidRDefault="005E2D4E">
            <w:pPr>
              <w:pStyle w:val="P68B1DB1-Normal14"/>
              <w:spacing w:after="0" w:line="240" w:lineRule="auto"/>
              <w:jc w:val="both"/>
              <w:rPr>
                <w:noProof/>
              </w:rPr>
            </w:pPr>
            <w:r>
              <w:rPr>
                <w:noProof/>
              </w:rPr>
              <w:t xml:space="preserve">En outre, ces dispositions prévoient: </w:t>
            </w:r>
          </w:p>
          <w:p w14:paraId="2B1DB318" w14:textId="7194E1C3" w:rsidR="00A345F4" w:rsidRDefault="005E2D4E">
            <w:pPr>
              <w:pStyle w:val="P68B1DB1-Normal14"/>
              <w:numPr>
                <w:ilvl w:val="0"/>
                <w:numId w:val="99"/>
              </w:numPr>
              <w:spacing w:before="120" w:after="0" w:line="240" w:lineRule="auto"/>
              <w:ind w:left="315" w:hanging="300"/>
              <w:contextualSpacing/>
              <w:jc w:val="both"/>
              <w:rPr>
                <w:noProof/>
              </w:rPr>
            </w:pPr>
            <w:r>
              <w:rPr>
                <w:noProof/>
              </w:rPr>
              <w:t>la rationalisation de la législation nationale afin de veiller à ce que les procédures liées à la passation de marchés, au financement, au suivi et à l’évaluation soient numérisées,</w:t>
            </w:r>
          </w:p>
          <w:p w14:paraId="2D6C70CB" w14:textId="77777777" w:rsidR="00A345F4" w:rsidRDefault="005E2D4E">
            <w:pPr>
              <w:pStyle w:val="P68B1DB1-Normal14"/>
              <w:numPr>
                <w:ilvl w:val="0"/>
                <w:numId w:val="99"/>
              </w:numPr>
              <w:spacing w:before="120" w:after="0" w:line="240" w:lineRule="auto"/>
              <w:ind w:left="315" w:hanging="300"/>
              <w:contextualSpacing/>
              <w:jc w:val="both"/>
              <w:rPr>
                <w:noProof/>
              </w:rPr>
            </w:pPr>
            <w:r>
              <w:rPr>
                <w:noProof/>
              </w:rPr>
              <w:t xml:space="preserve">la publication d’éléments livrables scientifiques issus de projets financés par des fonds publics, à l’exception des projets liés à la sécurité et à la défense, </w:t>
            </w:r>
          </w:p>
          <w:p w14:paraId="342FE3C1" w14:textId="30A6E62B" w:rsidR="00A345F4" w:rsidRDefault="005E2D4E">
            <w:pPr>
              <w:pStyle w:val="P68B1DB1-Normal14"/>
              <w:numPr>
                <w:ilvl w:val="0"/>
                <w:numId w:val="99"/>
              </w:numPr>
              <w:spacing w:before="120" w:after="0" w:line="240" w:lineRule="auto"/>
              <w:ind w:left="315" w:hanging="300"/>
              <w:jc w:val="both"/>
              <w:rPr>
                <w:noProof/>
              </w:rPr>
            </w:pPr>
            <w:r>
              <w:rPr>
                <w:noProof/>
              </w:rPr>
              <w:t>Les projets de RDI financés par l'État doivent être évalués par des chercheurs reconnus à l'échelle internationale avant d'être approuvés par l'autorité contractante publique, en veillant à éviter les conflits d'intérêts.</w:t>
            </w:r>
          </w:p>
          <w:p w14:paraId="2C412BF2" w14:textId="77777777" w:rsidR="00A345F4" w:rsidRDefault="005E2D4E">
            <w:pPr>
              <w:pStyle w:val="P68B1DB1-Normal14"/>
              <w:numPr>
                <w:ilvl w:val="0"/>
                <w:numId w:val="99"/>
              </w:numPr>
              <w:spacing w:before="120" w:after="0" w:line="240" w:lineRule="auto"/>
              <w:ind w:left="315" w:hanging="300"/>
              <w:jc w:val="both"/>
              <w:rPr>
                <w:noProof/>
              </w:rPr>
            </w:pPr>
            <w:r>
              <w:rPr>
                <w:noProof/>
              </w:rPr>
              <w:t xml:space="preserve">Création de la nouvelle unité nationale d'innovation (RoInnovation) ,, subordonnée à l'autorité nationale de la recherche, chargée de promouvoir l'innovation dans le secteur privé, d'attirer des investissements privés complémentaires , et de soutenir le transfert des résultats de l'innovation vers l'économie. Les sources de financement stables et prévisibles pour RoInnovation sont allouées à partir des Fonds européens, des financements extérieurs remboursables et non remboursables, des recettes propres et des dotations provenant du budget national. </w:t>
            </w:r>
          </w:p>
        </w:tc>
      </w:tr>
      <w:tr w:rsidR="00A345F4" w14:paraId="44AAA08A" w14:textId="77777777" w:rsidTr="004A737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34A9A746" w14:textId="77777777" w:rsidR="00A345F4" w:rsidRDefault="005E2D4E">
            <w:pPr>
              <w:pStyle w:val="P68B1DB1-Normal14"/>
              <w:spacing w:after="0" w:line="240" w:lineRule="auto"/>
              <w:jc w:val="center"/>
              <w:rPr>
                <w:noProof/>
              </w:rPr>
            </w:pPr>
            <w:r>
              <w:rPr>
                <w:noProof/>
              </w:rPr>
              <w:t>277</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B82EE56" w14:textId="77777777" w:rsidR="00A345F4" w:rsidRDefault="005E2D4E">
            <w:pPr>
              <w:pStyle w:val="P68B1DB1-Normal14"/>
              <w:spacing w:after="0" w:line="240" w:lineRule="auto"/>
              <w:jc w:val="both"/>
              <w:rPr>
                <w:noProof/>
              </w:rPr>
            </w:pPr>
            <w:r>
              <w:rPr>
                <w:noProof/>
              </w:rPr>
              <w:t>Réforme 4. Renforcement de la coopération entre les entreprises et la recherche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tcPr>
          <w:p w14:paraId="18FE4524" w14:textId="77777777" w:rsidR="00A345F4" w:rsidRDefault="005E2D4E">
            <w:pPr>
              <w:pStyle w:val="P68B1DB1-Normal14"/>
              <w:spacing w:after="0" w:line="240" w:lineRule="auto"/>
              <w:jc w:val="center"/>
              <w:rPr>
                <w:noProof/>
              </w:rPr>
            </w:pPr>
            <w:r>
              <w:rPr>
                <w:noProof/>
              </w:rPr>
              <w:t>Objectif</w:t>
            </w:r>
          </w:p>
        </w:tc>
        <w:tc>
          <w:tcPr>
            <w:tcW w:w="1212" w:type="dxa"/>
            <w:tcBorders>
              <w:top w:val="single" w:sz="4" w:space="0" w:color="auto"/>
              <w:left w:val="single" w:sz="4" w:space="0" w:color="auto"/>
              <w:bottom w:val="single" w:sz="4" w:space="0" w:color="auto"/>
              <w:right w:val="single" w:sz="4" w:space="0" w:color="auto"/>
            </w:tcBorders>
            <w:shd w:val="clear" w:color="auto" w:fill="C6EFCE"/>
            <w:noWrap/>
          </w:tcPr>
          <w:p w14:paraId="6DAF3F21" w14:textId="77777777" w:rsidR="00A345F4" w:rsidRDefault="005E2D4E">
            <w:pPr>
              <w:pStyle w:val="P68B1DB1-Normal14"/>
              <w:spacing w:after="0" w:line="240" w:lineRule="auto"/>
              <w:jc w:val="both"/>
              <w:rPr>
                <w:noProof/>
              </w:rPr>
            </w:pPr>
            <w:r>
              <w:rPr>
                <w:noProof/>
              </w:rPr>
              <w:t xml:space="preserve">27% des projets publics de RDI ont au moins une entité commerciale impliquée en tant que partenaire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7715D902" w14:textId="77777777" w:rsidR="00A345F4" w:rsidRDefault="005E2D4E">
            <w:pPr>
              <w:pStyle w:val="P68B1DB1-Normal14"/>
              <w:spacing w:after="0" w:line="240" w:lineRule="auto"/>
              <w:jc w:val="both"/>
              <w:rPr>
                <w:noProof/>
              </w:rPr>
            </w:pPr>
            <w:r>
              <w:rPr>
                <w:noProof/>
              </w:rPr>
              <w:t xml:space="preserv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1C332408" w14:textId="77777777" w:rsidR="00A345F4" w:rsidRDefault="005E2D4E">
            <w:pPr>
              <w:pStyle w:val="P68B1DB1-Normal14"/>
              <w:spacing w:after="0" w:line="240" w:lineRule="auto"/>
              <w:rPr>
                <w:rFonts w:eastAsia="Times New Roman"/>
                <w:noProof/>
              </w:rPr>
            </w:pPr>
            <w:r>
              <w:rPr>
                <w:noProof/>
              </w:rPr>
              <w:t>Pourcentage (%)</w:t>
            </w:r>
          </w:p>
          <w:p w14:paraId="70F9F59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404F5B8D" w14:textId="77777777" w:rsidR="00A345F4" w:rsidRDefault="005E2D4E">
            <w:pPr>
              <w:pStyle w:val="P68B1DB1-Normal19"/>
              <w:spacing w:after="0" w:line="240" w:lineRule="auto"/>
              <w:jc w:val="both"/>
              <w:rPr>
                <w:noProof/>
              </w:rPr>
            </w:pPr>
            <w:r>
              <w:rPr>
                <w:noProof/>
              </w:rPr>
              <w:t>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3F7804F8" w14:textId="77777777" w:rsidR="00A345F4" w:rsidRDefault="005E2D4E">
            <w:pPr>
              <w:pStyle w:val="P68B1DB1-Normal19"/>
              <w:spacing w:after="0" w:line="240" w:lineRule="auto"/>
              <w:jc w:val="both"/>
              <w:rPr>
                <w:noProof/>
              </w:rPr>
            </w:pPr>
            <w:r>
              <w:rPr>
                <w:noProof/>
              </w:rPr>
              <w:t>27</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A636246" w14:textId="77777777" w:rsidR="00A345F4" w:rsidRDefault="005E2D4E">
            <w:pPr>
              <w:pStyle w:val="P68B1DB1-Normal14"/>
              <w:spacing w:after="0" w:line="240" w:lineRule="auto"/>
              <w:jc w:val="center"/>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51BE22DF" w14:textId="77777777" w:rsidR="00A345F4" w:rsidRDefault="005E2D4E">
            <w:pPr>
              <w:pStyle w:val="P68B1DB1-Normal14"/>
              <w:spacing w:after="0" w:line="240" w:lineRule="auto"/>
              <w:jc w:val="center"/>
              <w:rPr>
                <w:noProof/>
              </w:rPr>
            </w:pPr>
            <w:r>
              <w:rPr>
                <w:noProof/>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064CA034" w14:textId="0DDE1A38" w:rsidR="00A345F4" w:rsidRDefault="005E2D4E">
            <w:pPr>
              <w:pStyle w:val="P68B1DB1-Normal14"/>
              <w:spacing w:after="0" w:line="240" w:lineRule="auto"/>
              <w:jc w:val="both"/>
              <w:rPr>
                <w:noProof/>
              </w:rPr>
            </w:pPr>
            <w:r>
              <w:rPr>
                <w:noProof/>
              </w:rPr>
              <w:t xml:space="preserve">27 % des projets publics de recherche, de développement et d’innovation impliquent au moins une entité commerciale en tant que partenaire. </w:t>
            </w:r>
          </w:p>
        </w:tc>
      </w:tr>
      <w:tr w:rsidR="00A345F4" w14:paraId="65814B03" w14:textId="77777777" w:rsidTr="004A737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60DDAA11" w14:textId="77777777" w:rsidR="00A345F4" w:rsidRDefault="005E2D4E">
            <w:pPr>
              <w:pStyle w:val="P68B1DB1-Normal14"/>
              <w:spacing w:after="0" w:line="240" w:lineRule="auto"/>
              <w:jc w:val="center"/>
              <w:rPr>
                <w:noProof/>
              </w:rPr>
            </w:pPr>
            <w:r>
              <w:rPr>
                <w:noProof/>
              </w:rPr>
              <w:t>278</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2D24982" w14:textId="77777777" w:rsidR="00A345F4" w:rsidRDefault="005E2D4E">
            <w:pPr>
              <w:pStyle w:val="P68B1DB1-Normal14"/>
              <w:spacing w:after="0" w:line="240" w:lineRule="auto"/>
              <w:jc w:val="both"/>
              <w:rPr>
                <w:noProof/>
              </w:rPr>
            </w:pPr>
            <w:r>
              <w:rPr>
                <w:noProof/>
              </w:rPr>
              <w:t>Réforme 5. Soutien à l'intégration des organisations de recherche, de développement et d'innovation en Roumanie dans l'Espace européen de la recherche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tcPr>
          <w:p w14:paraId="485AD951" w14:textId="77777777" w:rsidR="00A345F4" w:rsidRDefault="005E2D4E">
            <w:pPr>
              <w:pStyle w:val="P68B1DB1-Normal14"/>
              <w:spacing w:after="0" w:line="240" w:lineRule="auto"/>
              <w:jc w:val="center"/>
              <w:rPr>
                <w:noProof/>
              </w:rPr>
            </w:pPr>
            <w:r>
              <w:rPr>
                <w:noProof/>
              </w:rPr>
              <w:t>Étape</w:t>
            </w:r>
          </w:p>
        </w:tc>
        <w:tc>
          <w:tcPr>
            <w:tcW w:w="1212" w:type="dxa"/>
            <w:tcBorders>
              <w:top w:val="single" w:sz="4" w:space="0" w:color="auto"/>
              <w:left w:val="single" w:sz="4" w:space="0" w:color="auto"/>
              <w:bottom w:val="single" w:sz="4" w:space="0" w:color="auto"/>
              <w:right w:val="single" w:sz="4" w:space="0" w:color="auto"/>
            </w:tcBorders>
            <w:shd w:val="clear" w:color="auto" w:fill="C6EFCE"/>
            <w:noWrap/>
          </w:tcPr>
          <w:p w14:paraId="604FD124" w14:textId="77777777" w:rsidR="00A345F4" w:rsidRDefault="005E2D4E">
            <w:pPr>
              <w:pStyle w:val="P68B1DB1-Normal14"/>
              <w:spacing w:after="0" w:line="240" w:lineRule="auto"/>
              <w:rPr>
                <w:noProof/>
              </w:rPr>
            </w:pPr>
            <w:r>
              <w:rPr>
                <w:noProof/>
              </w:rPr>
              <w:t>L'entrée en vigueur d'une loi encourage, facilite et réglemente l'intégration volontaire et fonctionnelle et la fusion des instituts de recherche en Roumanie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2158A3E8" w14:textId="3ADEF80F" w:rsidR="00A345F4" w:rsidRDefault="005E2D4E">
            <w:pPr>
              <w:pStyle w:val="P68B1DB1-Normal14"/>
              <w:spacing w:after="0" w:line="240" w:lineRule="auto"/>
              <w:rPr>
                <w:noProof/>
              </w:rPr>
            </w:pPr>
            <w:r>
              <w:rPr>
                <w:noProof/>
              </w:rPr>
              <w:t xml:space="preserve">Disposition de la loi indiquant l'entrée en vigueur d'une loi visant à encourager, faciliter et réglementer l'intégration volontaire et fonctionnelle et la fusion des instituts de recherche en Roumanie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094C40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4631756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72727624"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2C2B2EFA" w14:textId="77777777" w:rsidR="00A345F4" w:rsidRDefault="005E2D4E">
            <w:pPr>
              <w:pStyle w:val="P68B1DB1-Normal14"/>
              <w:spacing w:after="0" w:line="240" w:lineRule="auto"/>
              <w:jc w:val="center"/>
              <w:rPr>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FB5F5E1" w14:textId="77777777" w:rsidR="00A345F4" w:rsidRDefault="005E2D4E">
            <w:pPr>
              <w:pStyle w:val="P68B1DB1-Normal14"/>
              <w:spacing w:after="0" w:line="240" w:lineRule="auto"/>
              <w:jc w:val="center"/>
              <w:rPr>
                <w:noProof/>
              </w:rPr>
            </w:pPr>
            <w:r>
              <w:rPr>
                <w:noProof/>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52A67009" w14:textId="77777777" w:rsidR="00A345F4" w:rsidRDefault="005E2D4E">
            <w:pPr>
              <w:pStyle w:val="P68B1DB1-Normal14"/>
              <w:spacing w:after="0" w:line="240" w:lineRule="auto"/>
              <w:jc w:val="both"/>
              <w:rPr>
                <w:noProof/>
              </w:rPr>
            </w:pPr>
            <w:r>
              <w:rPr>
                <w:noProof/>
              </w:rPr>
              <w:t>La loi entrera en vigueur pour remédier à la forte fragmentation du système de recherche en Roumanie. Cela encouragera, facilitera et réglementera l'intégration des instituts de recherche. Le cadre législatif tient compte des recommandations du mécanisme de soutien aux politiques d’Horizon Europe 2021-2022 et précise au minimum:</w:t>
            </w:r>
          </w:p>
          <w:p w14:paraId="5624E50E" w14:textId="77777777" w:rsidR="00A345F4" w:rsidRDefault="005E2D4E">
            <w:pPr>
              <w:pStyle w:val="P68B1DB1-Normal14"/>
              <w:numPr>
                <w:ilvl w:val="0"/>
                <w:numId w:val="104"/>
              </w:numPr>
              <w:spacing w:after="0" w:line="240" w:lineRule="auto"/>
              <w:ind w:left="299" w:hanging="284"/>
              <w:contextualSpacing/>
              <w:jc w:val="both"/>
              <w:rPr>
                <w:noProof/>
              </w:rPr>
            </w:pPr>
            <w:r>
              <w:rPr>
                <w:noProof/>
              </w:rPr>
              <w:t>une évaluation externe périodique (c’est-à-dire tous les cinq ans) de tous les instituts de recherche et de développement en Roumanie, y compris ceux au niveau universitaire, sur la base de normes internationales propices à l’excellence scientifique et à l’impact socio-économique, en vue de remédier à la forte fragmentation du système de recherche et de développement et à leur intégration dans l’Espace européen de la recherche. L'un des critères à inclure dans l'évaluation est la mesure dans laquelle les organismes de recherche partagent des installations de recherche.</w:t>
            </w:r>
          </w:p>
          <w:p w14:paraId="6074377B" w14:textId="77777777" w:rsidR="00A345F4" w:rsidRDefault="005E2D4E">
            <w:pPr>
              <w:pStyle w:val="P68B1DB1-Normal14"/>
              <w:numPr>
                <w:ilvl w:val="0"/>
                <w:numId w:val="104"/>
              </w:numPr>
              <w:spacing w:after="0" w:line="240" w:lineRule="auto"/>
              <w:ind w:left="299" w:hanging="284"/>
              <w:contextualSpacing/>
              <w:jc w:val="both"/>
              <w:rPr>
                <w:noProof/>
              </w:rPr>
            </w:pPr>
            <w:r>
              <w:rPr>
                <w:noProof/>
              </w:rPr>
              <w:t xml:space="preserve">l'accès à un soutien financier et non financier pour les organismes de recherche, en corrélation avec les résultats de l'évaluation périodique susmentionnée. </w:t>
            </w:r>
          </w:p>
        </w:tc>
      </w:tr>
      <w:tr w:rsidR="00A345F4" w14:paraId="1D7E9095" w14:textId="77777777" w:rsidTr="004A737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2C27B06C" w14:textId="77777777" w:rsidR="00A345F4" w:rsidRDefault="005E2D4E">
            <w:pPr>
              <w:pStyle w:val="P68B1DB1-Normal14"/>
              <w:spacing w:after="0" w:line="240" w:lineRule="auto"/>
              <w:jc w:val="center"/>
              <w:rPr>
                <w:noProof/>
              </w:rPr>
            </w:pPr>
            <w:r>
              <w:rPr>
                <w:noProof/>
              </w:rPr>
              <w:t xml:space="preserve"> 279</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09A7DC28" w14:textId="77777777" w:rsidR="00A345F4" w:rsidRDefault="005E2D4E">
            <w:pPr>
              <w:pStyle w:val="P68B1DB1-Normal14"/>
              <w:spacing w:after="0" w:line="240" w:lineRule="auto"/>
              <w:jc w:val="both"/>
              <w:rPr>
                <w:noProof/>
              </w:rPr>
            </w:pPr>
            <w:r>
              <w:rPr>
                <w:noProof/>
              </w:rPr>
              <w:t>Réforme 5. Soutien à l'intégration des organisations de recherche, de développement et d'innovation en Roumanie dans l'Espace européen de la recherche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tcPr>
          <w:p w14:paraId="07B5917F" w14:textId="77777777" w:rsidR="00A345F4" w:rsidRDefault="005E2D4E">
            <w:pPr>
              <w:pStyle w:val="P68B1DB1-Normal14"/>
              <w:spacing w:after="0" w:line="240" w:lineRule="auto"/>
              <w:jc w:val="center"/>
              <w:rPr>
                <w:noProof/>
              </w:rPr>
            </w:pPr>
            <w:r>
              <w:rPr>
                <w:noProof/>
              </w:rPr>
              <w:t>Objectif</w:t>
            </w:r>
          </w:p>
        </w:tc>
        <w:tc>
          <w:tcPr>
            <w:tcW w:w="1212" w:type="dxa"/>
            <w:tcBorders>
              <w:top w:val="single" w:sz="4" w:space="0" w:color="auto"/>
              <w:left w:val="single" w:sz="4" w:space="0" w:color="auto"/>
              <w:bottom w:val="single" w:sz="4" w:space="0" w:color="auto"/>
              <w:right w:val="single" w:sz="4" w:space="0" w:color="auto"/>
            </w:tcBorders>
            <w:shd w:val="clear" w:color="auto" w:fill="C6EFCE"/>
            <w:noWrap/>
          </w:tcPr>
          <w:p w14:paraId="5B9B79FF" w14:textId="77777777" w:rsidR="00A345F4" w:rsidRDefault="005E2D4E">
            <w:pPr>
              <w:pStyle w:val="P68B1DB1-Normal14"/>
              <w:spacing w:after="0" w:line="240" w:lineRule="auto"/>
              <w:jc w:val="both"/>
              <w:rPr>
                <w:noProof/>
              </w:rPr>
            </w:pPr>
            <w:r>
              <w:rPr>
                <w:noProof/>
              </w:rPr>
              <w:t>Pourcentage d'organismes de recherche partageant des infrastructures et/ou des installations de recherche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76A402B3" w14:textId="77777777" w:rsidR="00A345F4" w:rsidRDefault="00A345F4">
            <w:pPr>
              <w:spacing w:after="0" w:line="240" w:lineRule="auto"/>
              <w:jc w:val="both"/>
              <w:rPr>
                <w:rFonts w:ascii="Times New Roman" w:hAnsi="Times New Roman" w:cs="Times New Roman"/>
                <w:noProof/>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0D088FC8" w14:textId="77777777" w:rsidR="00A345F4" w:rsidRDefault="005E2D4E">
            <w:pPr>
              <w:pStyle w:val="P68B1DB1-Normal14"/>
              <w:spacing w:after="0" w:line="240" w:lineRule="auto"/>
              <w:rPr>
                <w:rFonts w:eastAsia="Times New Roman"/>
                <w:noProof/>
              </w:rPr>
            </w:pPr>
            <w:r>
              <w:rPr>
                <w:noProof/>
              </w:rPr>
              <w:t>Pourcentage (%)</w:t>
            </w:r>
          </w:p>
          <w:p w14:paraId="1C809DC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0D31EF5B" w14:textId="77777777" w:rsidR="00A345F4" w:rsidRDefault="005E2D4E">
            <w:pPr>
              <w:pStyle w:val="P68B1DB1-Normal14"/>
              <w:spacing w:after="0" w:line="240" w:lineRule="auto"/>
              <w:jc w:val="both"/>
              <w:rPr>
                <w:rFonts w:eastAsia="Times New Roman"/>
                <w:noProof/>
              </w:rPr>
            </w:pPr>
            <w:r>
              <w:rPr>
                <w:noProof/>
              </w:rPr>
              <w:t xml:space="preserve"> 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4FB82689" w14:textId="77777777" w:rsidR="00A345F4" w:rsidRDefault="005E2D4E">
            <w:pPr>
              <w:pStyle w:val="P68B1DB1-Normal14"/>
              <w:spacing w:after="0" w:line="240" w:lineRule="auto"/>
              <w:jc w:val="both"/>
              <w:rPr>
                <w:rFonts w:eastAsia="Times New Roman"/>
                <w:noProof/>
              </w:rPr>
            </w:pPr>
            <w:r>
              <w:rPr>
                <w:noProof/>
              </w:rPr>
              <w:t>25%</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6AB439D" w14:textId="77777777" w:rsidR="00A345F4" w:rsidRDefault="005E2D4E">
            <w:pPr>
              <w:pStyle w:val="P68B1DB1-Normal14"/>
              <w:spacing w:after="0" w:line="240" w:lineRule="auto"/>
              <w:jc w:val="center"/>
              <w:rPr>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534DC2D0" w14:textId="77777777" w:rsidR="00A345F4" w:rsidRDefault="005E2D4E">
            <w:pPr>
              <w:pStyle w:val="P68B1DB1-Normal14"/>
              <w:spacing w:after="0" w:line="240" w:lineRule="auto"/>
              <w:jc w:val="center"/>
              <w:rPr>
                <w:noProof/>
              </w:rPr>
            </w:pPr>
            <w:r>
              <w:rPr>
                <w:noProof/>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69378B2A" w14:textId="77777777" w:rsidR="00A345F4" w:rsidRDefault="005E2D4E">
            <w:pPr>
              <w:pStyle w:val="P68B1DB1-Normal14"/>
              <w:spacing w:after="0" w:line="240" w:lineRule="auto"/>
              <w:jc w:val="both"/>
              <w:rPr>
                <w:noProof/>
              </w:rPr>
            </w:pPr>
            <w:r>
              <w:rPr>
                <w:noProof/>
              </w:rPr>
              <w:t>25 % des organismes de recherche partagent des infrastructures et/ou des installations de recherche.</w:t>
            </w:r>
          </w:p>
          <w:p w14:paraId="12E2AFCA" w14:textId="77777777" w:rsidR="00A345F4" w:rsidRDefault="00A345F4">
            <w:pPr>
              <w:spacing w:after="0" w:line="240" w:lineRule="auto"/>
              <w:jc w:val="both"/>
              <w:rPr>
                <w:rFonts w:ascii="Times New Roman" w:hAnsi="Times New Roman" w:cs="Times New Roman"/>
                <w:noProof/>
                <w:sz w:val="20"/>
                <w:szCs w:val="20"/>
              </w:rPr>
            </w:pPr>
          </w:p>
        </w:tc>
      </w:tr>
      <w:tr w:rsidR="00A345F4" w14:paraId="3910A479" w14:textId="77777777" w:rsidTr="004A737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B7D6073" w14:textId="77777777" w:rsidR="00A345F4" w:rsidRDefault="005E2D4E">
            <w:pPr>
              <w:pStyle w:val="P68B1DB1-Normal14"/>
              <w:spacing w:after="0" w:line="240" w:lineRule="auto"/>
              <w:jc w:val="center"/>
              <w:rPr>
                <w:noProof/>
              </w:rPr>
            </w:pPr>
            <w:r>
              <w:rPr>
                <w:noProof/>
              </w:rPr>
              <w:t>280</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3E9D7B9" w14:textId="77777777" w:rsidR="00A345F4" w:rsidRDefault="005E2D4E">
            <w:pPr>
              <w:pStyle w:val="P68B1DB1-Normal14"/>
              <w:spacing w:after="0" w:line="240" w:lineRule="auto"/>
              <w:jc w:val="both"/>
              <w:rPr>
                <w:noProof/>
              </w:rPr>
            </w:pPr>
            <w:r>
              <w:rPr>
                <w:noProof/>
              </w:rPr>
              <w:t xml:space="preserve">Investissement 5. Création et mise en service de centres de compétences </w:t>
            </w:r>
          </w:p>
        </w:tc>
        <w:tc>
          <w:tcPr>
            <w:tcW w:w="1373" w:type="dxa"/>
            <w:tcBorders>
              <w:top w:val="single" w:sz="4" w:space="0" w:color="auto"/>
              <w:left w:val="single" w:sz="4" w:space="0" w:color="auto"/>
              <w:bottom w:val="single" w:sz="4" w:space="0" w:color="auto"/>
              <w:right w:val="single" w:sz="4" w:space="0" w:color="auto"/>
            </w:tcBorders>
            <w:shd w:val="clear" w:color="auto" w:fill="C6EFCE"/>
            <w:noWrap/>
          </w:tcPr>
          <w:p w14:paraId="2D0593AC" w14:textId="77777777" w:rsidR="00A345F4" w:rsidRDefault="005E2D4E">
            <w:pPr>
              <w:pStyle w:val="P68B1DB1-Normal14"/>
              <w:spacing w:after="0" w:line="240" w:lineRule="auto"/>
              <w:jc w:val="center"/>
              <w:rPr>
                <w:noProof/>
              </w:rPr>
            </w:pPr>
            <w:r>
              <w:rPr>
                <w:noProof/>
              </w:rPr>
              <w:t>Étape</w:t>
            </w:r>
          </w:p>
        </w:tc>
        <w:tc>
          <w:tcPr>
            <w:tcW w:w="1212" w:type="dxa"/>
            <w:tcBorders>
              <w:top w:val="single" w:sz="4" w:space="0" w:color="auto"/>
              <w:left w:val="single" w:sz="4" w:space="0" w:color="auto"/>
              <w:bottom w:val="single" w:sz="4" w:space="0" w:color="auto"/>
              <w:right w:val="single" w:sz="4" w:space="0" w:color="auto"/>
            </w:tcBorders>
            <w:shd w:val="clear" w:color="auto" w:fill="C6EFCE"/>
            <w:noWrap/>
          </w:tcPr>
          <w:p w14:paraId="49FF018E" w14:textId="77777777" w:rsidR="00A345F4" w:rsidRDefault="005E2D4E">
            <w:pPr>
              <w:pStyle w:val="P68B1DB1-Normal14"/>
              <w:spacing w:after="0" w:line="240" w:lineRule="auto"/>
              <w:jc w:val="both"/>
              <w:rPr>
                <w:noProof/>
              </w:rPr>
            </w:pPr>
            <w:r>
              <w:rPr>
                <w:noProof/>
              </w:rPr>
              <w:t>Création de 5 centres de compétences</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56EB76C8" w14:textId="77777777" w:rsidR="00A345F4" w:rsidRDefault="005E2D4E">
            <w:pPr>
              <w:pStyle w:val="P68B1DB1-Normal14"/>
              <w:spacing w:after="0" w:line="240" w:lineRule="auto"/>
              <w:jc w:val="both"/>
              <w:rPr>
                <w:noProof/>
              </w:rPr>
            </w:pPr>
            <w:r>
              <w:rPr>
                <w:noProof/>
              </w:rPr>
              <w:t>Création de cinq centres de compétences</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2238BA76" w14:textId="77777777" w:rsidR="00A345F4" w:rsidRDefault="00A345F4">
            <w:pPr>
              <w:spacing w:after="0" w:line="240" w:lineRule="auto"/>
              <w:jc w:val="both"/>
              <w:rPr>
                <w:rFonts w:ascii="Times New Roman" w:hAnsi="Times New Roman" w:cs="Times New Roman"/>
                <w:noProof/>
                <w:sz w:val="20"/>
                <w:szCs w:val="20"/>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7556189B" w14:textId="77777777" w:rsidR="00A345F4" w:rsidRDefault="00A345F4">
            <w:pPr>
              <w:spacing w:after="0" w:line="240" w:lineRule="auto"/>
              <w:jc w:val="both"/>
              <w:rPr>
                <w:rFonts w:ascii="Times New Roman" w:hAnsi="Times New Roman" w:cs="Times New Roman"/>
                <w:noProof/>
                <w:sz w:val="20"/>
                <w:szCs w:val="20"/>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02FAE70D" w14:textId="77777777" w:rsidR="00A345F4" w:rsidRDefault="00A345F4">
            <w:pPr>
              <w:spacing w:after="0" w:line="240" w:lineRule="auto"/>
              <w:jc w:val="both"/>
              <w:rPr>
                <w:rFonts w:ascii="Times New Roman" w:hAnsi="Times New Roman" w:cs="Times New Roman"/>
                <w:noProof/>
                <w:sz w:val="20"/>
                <w:szCs w:val="20"/>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E7E9132" w14:textId="77777777" w:rsidR="00A345F4" w:rsidRDefault="005E2D4E">
            <w:pPr>
              <w:pStyle w:val="P68B1DB1-Normal14"/>
              <w:spacing w:after="0" w:line="240" w:lineRule="auto"/>
              <w:jc w:val="center"/>
              <w:rPr>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8952335" w14:textId="77777777" w:rsidR="00A345F4" w:rsidRDefault="005E2D4E">
            <w:pPr>
              <w:pStyle w:val="P68B1DB1-Normal14"/>
              <w:spacing w:after="0" w:line="240" w:lineRule="auto"/>
              <w:jc w:val="center"/>
              <w:rPr>
                <w:noProof/>
              </w:rPr>
            </w:pPr>
            <w:r>
              <w:rPr>
                <w:noProof/>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5C744BFE" w14:textId="77777777" w:rsidR="00A345F4" w:rsidRDefault="005E2D4E">
            <w:pPr>
              <w:pStyle w:val="P68B1DB1-Normal14"/>
              <w:spacing w:after="0" w:line="240" w:lineRule="auto"/>
              <w:jc w:val="both"/>
              <w:rPr>
                <w:noProof/>
              </w:rPr>
            </w:pPr>
            <w:r>
              <w:rPr>
                <w:noProof/>
              </w:rPr>
              <w:t xml:space="preserve">Afin de lutter contre la fragmentation thématique des organismes de recherche, de développement et d’innovation, un appel à candidatures est organisé pour la sélection de cinq projets complexes de recherche, de développement et d’innovation. Le régime de financement est appelé «Centre de compétences». </w:t>
            </w:r>
          </w:p>
          <w:p w14:paraId="749441C3" w14:textId="77777777" w:rsidR="00A345F4" w:rsidRDefault="005E2D4E">
            <w:pPr>
              <w:pStyle w:val="P68B1DB1-Normal14"/>
              <w:spacing w:after="0" w:line="240" w:lineRule="auto"/>
              <w:jc w:val="both"/>
              <w:rPr>
                <w:noProof/>
              </w:rPr>
            </w:pPr>
            <w:r>
              <w:rPr>
                <w:noProof/>
              </w:rPr>
              <w:t xml:space="preserve">Sur la base des propositions de projets soumises, à la suite de l’appel concurrentiel, ouvert et transparent organisé par le ministère de la recherche, de la numérisation et de l’innovation, cinq centres de compétence sont créés, un pour chaque mission Horizon. L’objectif est de mettre en œuvre les missions d’Horizon Europe au niveau national de manière coordonnée et de lutter contre la fragmentation thématique. </w:t>
            </w:r>
          </w:p>
          <w:p w14:paraId="76ABC4A8" w14:textId="77777777" w:rsidR="00A345F4" w:rsidRDefault="005E2D4E">
            <w:pPr>
              <w:pStyle w:val="P68B1DB1-Normal14"/>
              <w:spacing w:after="0" w:line="240" w:lineRule="auto"/>
              <w:jc w:val="both"/>
              <w:rPr>
                <w:noProof/>
              </w:rPr>
            </w:pPr>
            <w:r>
              <w:rPr>
                <w:noProof/>
              </w:rPr>
              <w:t>Les centres de compétences sont sélectionnés sur la base:</w:t>
            </w:r>
          </w:p>
          <w:p w14:paraId="36A453BF" w14:textId="77777777" w:rsidR="00A345F4" w:rsidRDefault="005E2D4E">
            <w:pPr>
              <w:pStyle w:val="P68B1DB1-Normal14"/>
              <w:numPr>
                <w:ilvl w:val="0"/>
                <w:numId w:val="104"/>
              </w:numPr>
              <w:spacing w:after="0" w:line="240" w:lineRule="auto"/>
              <w:ind w:left="299" w:hanging="284"/>
              <w:contextualSpacing/>
              <w:jc w:val="both"/>
              <w:rPr>
                <w:noProof/>
              </w:rPr>
            </w:pPr>
            <w:r>
              <w:rPr>
                <w:noProof/>
              </w:rPr>
              <w:t xml:space="preserve">des projets complexes et applicatifs de recherche, de développement et d’innovation proposés par des consortiums d’organisations publiques et privées de recherche, de développement et d’innovation, y compris de petites et moyennes entreprises, qui mettent en œuvre ensemble le programme stratégique de recherche et d’innovation de la mission correspondante d’Horizon Europe et fournissent des solutions de recherche, de développement et d’innovation aux communautés locales. </w:t>
            </w:r>
          </w:p>
          <w:p w14:paraId="592DA3D2" w14:textId="77777777" w:rsidR="00A345F4" w:rsidRDefault="005E2D4E">
            <w:pPr>
              <w:pStyle w:val="P68B1DB1-Normal14"/>
              <w:numPr>
                <w:ilvl w:val="0"/>
                <w:numId w:val="104"/>
              </w:numPr>
              <w:spacing w:after="0" w:line="240" w:lineRule="auto"/>
              <w:ind w:left="299" w:hanging="284"/>
              <w:contextualSpacing/>
              <w:jc w:val="both"/>
              <w:rPr>
                <w:noProof/>
              </w:rPr>
            </w:pPr>
            <w:r>
              <w:rPr>
                <w:noProof/>
              </w:rPr>
              <w:t xml:space="preserve">Le mérite scientifique du projet, son niveau d’excellence et la cohérence du programme de recherche proposé avec le programme de recherche stratégique des missions Horizon Europe constituent les principaux critères d’évaluation pour la sélection des propositions financées – un pour chaque mission dans le cadre d’Horizon Europe. </w:t>
            </w:r>
          </w:p>
          <w:p w14:paraId="46F29C89" w14:textId="77777777" w:rsidR="00A345F4" w:rsidRDefault="005E2D4E">
            <w:pPr>
              <w:pStyle w:val="P68B1DB1-Normal14"/>
              <w:numPr>
                <w:ilvl w:val="0"/>
                <w:numId w:val="104"/>
              </w:numPr>
              <w:spacing w:after="0" w:line="240" w:lineRule="auto"/>
              <w:ind w:left="299" w:hanging="284"/>
              <w:contextualSpacing/>
              <w:jc w:val="both"/>
              <w:rPr>
                <w:noProof/>
              </w:rPr>
            </w:pPr>
            <w:r>
              <w:rPr>
                <w:noProof/>
              </w:rPr>
              <w:t>La capacité administrative, l'expérience et la qualité du plan de gestion du projet sont également évaluées au cours du processus d'évaluation du projet mené avec des experts internationaux. La complémentarité entre les membres du consortium et l'expérience acquise dans la collaboration sont également des critères à utiliser dans le processus de sélection.</w:t>
            </w:r>
          </w:p>
          <w:p w14:paraId="646C072A" w14:textId="77777777" w:rsidR="00A345F4" w:rsidRDefault="005E2D4E">
            <w:pPr>
              <w:pStyle w:val="P68B1DB1-Normal14"/>
              <w:numPr>
                <w:ilvl w:val="0"/>
                <w:numId w:val="104"/>
              </w:numPr>
              <w:spacing w:after="0" w:line="240" w:lineRule="auto"/>
              <w:ind w:left="299" w:hanging="284"/>
              <w:contextualSpacing/>
              <w:jc w:val="both"/>
              <w:rPr>
                <w:noProof/>
              </w:rPr>
            </w:pPr>
            <w:r>
              <w:rPr>
                <w:noProof/>
              </w:rPr>
              <w:t>Les activités éligibles sont les activités de recherche et d’innovation, la modernisation du matériel de recherche, les activités de diffusion et les activités de soutien (études concernant la mise en œuvre de chaque mission en Roumanie), les coûts liés aux droits de propriété intellectuelle.</w:t>
            </w:r>
          </w:p>
          <w:p w14:paraId="1F5BB678" w14:textId="77777777" w:rsidR="00A345F4" w:rsidRDefault="005E2D4E">
            <w:pPr>
              <w:pStyle w:val="P68B1DB1-Normal14"/>
              <w:numPr>
                <w:ilvl w:val="0"/>
                <w:numId w:val="104"/>
              </w:numPr>
              <w:spacing w:after="0" w:line="240" w:lineRule="auto"/>
              <w:ind w:left="299" w:hanging="284"/>
              <w:contextualSpacing/>
              <w:jc w:val="both"/>
              <w:rPr>
                <w:noProof/>
              </w:rPr>
            </w:pPr>
            <w:r>
              <w:rPr>
                <w:noProof/>
              </w:rPr>
              <w:t xml:space="preserve">une cartographie des ressources en matière de recherche, de développement et d’innovation, y compris les équipements et les infrastructures, liées aux domaines thématiques des missions, qui doivent également être mises à niveau et utilisées de manière partagée par les candidats. </w:t>
            </w:r>
          </w:p>
          <w:p w14:paraId="1C73D5C3" w14:textId="77777777" w:rsidR="00A345F4" w:rsidRDefault="005E2D4E">
            <w:pPr>
              <w:pStyle w:val="P68B1DB1-Normal14"/>
              <w:numPr>
                <w:ilvl w:val="0"/>
                <w:numId w:val="104"/>
              </w:numPr>
              <w:spacing w:after="0" w:line="240" w:lineRule="auto"/>
              <w:ind w:left="299" w:hanging="284"/>
              <w:contextualSpacing/>
              <w:jc w:val="both"/>
              <w:rPr>
                <w:noProof/>
              </w:rPr>
            </w:pPr>
            <w:r>
              <w:rPr>
                <w:noProof/>
              </w:rPr>
              <w:t>Un budget éligible d’un montant maximal de 5 millions d’EUR/projet et avec un nombre minimal de 5 partenaires (5 organismes publics de recherche, de développement et d’innovation + 5 organismes privés de recherche, de développement et d’innovation). Un budget maximal de 200 000 EUR est prévu pour les PME et un budget maximal de 500 000 EUR est prévu pour une organisation publique de recherche, de développement et d’innovation. Les PME cofinancent les activités de recherche et d’innovation à hauteur de 25 %.</w:t>
            </w:r>
          </w:p>
          <w:p w14:paraId="22DC6E36" w14:textId="77777777" w:rsidR="00A345F4" w:rsidRDefault="005E2D4E">
            <w:pPr>
              <w:pStyle w:val="P68B1DB1-Normal14"/>
              <w:numPr>
                <w:ilvl w:val="0"/>
                <w:numId w:val="104"/>
              </w:numPr>
              <w:spacing w:after="0" w:line="240" w:lineRule="auto"/>
              <w:ind w:left="299" w:hanging="284"/>
              <w:contextualSpacing/>
              <w:jc w:val="both"/>
              <w:rPr>
                <w:noProof/>
              </w:rPr>
            </w:pPr>
            <w:r>
              <w:rPr>
                <w:noProof/>
              </w:rPr>
              <w:t>un dialogue avec les pouvoirs publics à différents niveaux de gouvernance et la société civile afin de mettre en œuvre des solutions de recherche, de développement et d’innovation liées aux missions d’Horizon Europe. À ce titre, les pouvoirs publics sont impliqués en tant que tiers sans être directement liés au consortium de recherche du centre de compétences et font partie des bénéficiaires de certains des produits/services/solutions identifiés par les chercheurs des centres de compétences.</w:t>
            </w:r>
          </w:p>
          <w:p w14:paraId="7D7CD552" w14:textId="77777777" w:rsidR="00A345F4" w:rsidRDefault="005E2D4E">
            <w:pPr>
              <w:pStyle w:val="P68B1DB1-Normal14"/>
              <w:spacing w:after="0" w:line="240" w:lineRule="auto"/>
              <w:jc w:val="both"/>
              <w:rPr>
                <w:noProof/>
              </w:rPr>
            </w:pPr>
            <w:r>
              <w:rPr>
                <w:noProof/>
              </w:rPr>
              <w:t>Chaque centre de compétences sélectionné vise à soutenir au moins trois demandes dépassant le seuil d’Horizon Europe d’ici à 2026.</w:t>
            </w:r>
          </w:p>
        </w:tc>
      </w:tr>
    </w:tbl>
    <w:p w14:paraId="4E828F32" w14:textId="77777777" w:rsidR="00A345F4" w:rsidRDefault="00A345F4">
      <w:pPr>
        <w:spacing w:before="120" w:after="120" w:line="240" w:lineRule="auto"/>
        <w:jc w:val="both"/>
        <w:rPr>
          <w:rFonts w:ascii="Times New Roman" w:hAnsi="Times New Roman" w:cs="Times New Roman"/>
          <w:noProof/>
        </w:rPr>
      </w:pPr>
    </w:p>
    <w:p w14:paraId="01BC57D2" w14:textId="77777777" w:rsidR="00A345F4" w:rsidRDefault="00A345F4">
      <w:pPr>
        <w:spacing w:before="120" w:after="120" w:line="240" w:lineRule="auto"/>
        <w:jc w:val="both"/>
        <w:rPr>
          <w:rFonts w:ascii="Times New Roman" w:hAnsi="Times New Roman" w:cs="Times New Roman"/>
          <w:noProof/>
        </w:rPr>
      </w:pPr>
    </w:p>
    <w:p w14:paraId="3181C0EC" w14:textId="77777777" w:rsidR="00A345F4" w:rsidRDefault="00A345F4">
      <w:pPr>
        <w:rPr>
          <w:rFonts w:ascii="Times New Roman" w:hAnsi="Times New Roman" w:cs="Times New Roman"/>
          <w:noProof/>
        </w:rPr>
        <w:sectPr w:rsidR="00A345F4" w:rsidSect="008D6D49">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5404E11E" w14:textId="09C0A1BA" w:rsidR="00A345F4" w:rsidRDefault="005E2D4E">
      <w:pPr>
        <w:pStyle w:val="P68B1DB1-Normal1"/>
        <w:keepNext/>
        <w:numPr>
          <w:ilvl w:val="0"/>
          <w:numId w:val="46"/>
        </w:numPr>
        <w:tabs>
          <w:tab w:val="left" w:pos="850"/>
        </w:tabs>
        <w:spacing w:before="360" w:after="120" w:line="240" w:lineRule="auto"/>
        <w:jc w:val="both"/>
        <w:outlineLvl w:val="0"/>
        <w:rPr>
          <w:bCs/>
          <w:noProof/>
        </w:rPr>
      </w:pPr>
      <w:r>
        <w:rPr>
          <w:noProof/>
        </w:rPr>
        <w:t xml:space="preserve">Élément 10: Fonds local </w:t>
      </w:r>
    </w:p>
    <w:p w14:paraId="5A3D2433" w14:textId="77777777" w:rsidR="00A345F4" w:rsidRDefault="005E2D4E">
      <w:pPr>
        <w:pStyle w:val="P68B1DB1-Normal4"/>
        <w:spacing w:before="120" w:after="120" w:line="240" w:lineRule="auto"/>
        <w:jc w:val="both"/>
        <w:rPr>
          <w:noProof/>
        </w:rPr>
      </w:pPr>
      <w:r>
        <w:rPr>
          <w:noProof/>
        </w:rPr>
        <w:t xml:space="preserve">Ce volet du plan pour la reprise et la résilience aborde les défis liés aux disparités territoriales et sociales dans les zones urbaines et rurales, ainsi qu’à la mobilité urbaine. </w:t>
      </w:r>
    </w:p>
    <w:p w14:paraId="76A28C5E" w14:textId="4EEE05A6" w:rsidR="00A345F4" w:rsidRDefault="005E2D4E">
      <w:pPr>
        <w:pStyle w:val="P68B1DB1-Normal4"/>
        <w:spacing w:before="120" w:after="120" w:line="240" w:lineRule="auto"/>
        <w:jc w:val="both"/>
        <w:rPr>
          <w:noProof/>
        </w:rPr>
      </w:pPr>
      <w:r>
        <w:rPr>
          <w:noProof/>
        </w:rPr>
        <w:t xml:space="preserve">L’objectif de ce volet est de soutenir une transformation urbaine et rurale grâce à l’utilisation de solutions vertes et numériques. Les réformes soutenant les investissements comprennent des modifications réglementaires visant à soutenir l’approche des zones urbaines et rurales fonctionnelles, par la mise en œuvre de zones métropolitaines et de consortiums administratifs afin d’améliorer l’accès aux services sociaux publics locaux, à l’éducation, aux soins de santé, au logement et à l’amélioration de l’aménagement du territoire. Le volet comprend également des réformes en faveur d’une mobilité urbaine durable et devrait être considéré en lien avec le volet «Transports durables». Les investissements soutenus par ces réformes concernent la construction d’infrastructures de logement pour les jeunes vulnérables, les professionnels de la santé et de l’éducation, le renouvellement des flottes de transport public, les infrastructures de transport vert et plus sûr, la modernisation des bâtiments publics locaux et la préparation/mise à jour de documents d’aménagement du territoire et d’urbanisme au format numérique. </w:t>
      </w:r>
    </w:p>
    <w:p w14:paraId="54EFFC2A" w14:textId="77777777" w:rsidR="00A345F4" w:rsidRDefault="005E2D4E">
      <w:pPr>
        <w:pStyle w:val="P68B1DB1-Normal4"/>
        <w:spacing w:before="120" w:after="120" w:line="240" w:lineRule="auto"/>
        <w:jc w:val="both"/>
        <w:rPr>
          <w:noProof/>
        </w:rPr>
      </w:pPr>
      <w:r>
        <w:rPr>
          <w:noProof/>
        </w:rPr>
        <w:t>Les réformes et les investissements contribuent à donner suite aux recommandations par pays (recommandations par pays) transmises à la Roumanie en 2019 et 2020 sur la nécessité: i) «axer les investissements sur la transition écologique et numérique, en particulier sur les transports durables et les infrastructures de services numériques» (recommandation par pays no 3, 2020), tout en «tenant compte des disparités régionales» (recommandation par pays no 4, 2019); ii) «fournir des solutions adéquates de substitution des revenus et étendre les mesures de protection sociale et l’accès aux services essentiels pour tous» (recommandation par pays no 2, 2020) et «accroître la couverture et la qualité des services sociaux (recommandation par pays no 3, 2019); iii) «améliorer la qualité et l’efficacité de l’administration publique ainsi que la prévisibilité de la prise de décision» (recommandation par pays 4, 2020).</w:t>
      </w:r>
    </w:p>
    <w:p w14:paraId="15A9C794" w14:textId="77777777" w:rsidR="00A345F4" w:rsidRDefault="005E2D4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2D5A36F5"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J.1. </w:t>
      </w:r>
      <w:r>
        <w:rPr>
          <w:noProof/>
        </w:rPr>
        <w:t xml:space="preserve"> </w:t>
      </w:r>
      <w:r>
        <w:rPr>
          <w:b/>
          <w:noProof/>
        </w:rPr>
        <w:t>Description des réformes et des investissements pour le soutien financier non remboursable</w:t>
      </w:r>
    </w:p>
    <w:p w14:paraId="78FB25B3"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Réforme 1. Créer le cadre d'une mobilité urbaine durable </w:t>
      </w:r>
    </w:p>
    <w:p w14:paraId="55E235EB" w14:textId="77777777" w:rsidR="00A345F4" w:rsidRDefault="005E2D4E">
      <w:pPr>
        <w:pStyle w:val="P68B1DB1-Normal4"/>
        <w:spacing w:before="120" w:after="120" w:line="240" w:lineRule="auto"/>
        <w:jc w:val="both"/>
        <w:rPr>
          <w:noProof/>
        </w:rPr>
      </w:pPr>
      <w:r>
        <w:rPr>
          <w:noProof/>
        </w:rPr>
        <w:t xml:space="preserve">L’objectif de la réforme est de soutenir la mobilité dans les zones urbaines et rurales, au moyen de solutions de transport numériques et écologiques. </w:t>
      </w:r>
    </w:p>
    <w:p w14:paraId="623B55CE" w14:textId="77777777" w:rsidR="00A345F4" w:rsidRDefault="005E2D4E">
      <w:pPr>
        <w:pStyle w:val="P68B1DB1-Normal4"/>
        <w:spacing w:before="120" w:after="120" w:line="240" w:lineRule="auto"/>
        <w:jc w:val="both"/>
        <w:rPr>
          <w:b/>
          <w:noProof/>
        </w:rPr>
      </w:pPr>
      <w:r>
        <w:rPr>
          <w:noProof/>
        </w:rPr>
        <w:t xml:space="preserve">La réforme consiste en l’entrée en vigueur d’actes juridiques en faveur d’une mobilité urbaine durable, y compris des mesures visant à stimuler le renouvellement du parc de transports publics au moyen de véhicules propres, à accroître la sécurité routière et à garantir des normes nationales minimales de qualité. </w:t>
      </w:r>
    </w:p>
    <w:p w14:paraId="1957AD16"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Investissement 1. Mobilité urbaine durable </w:t>
      </w:r>
    </w:p>
    <w:p w14:paraId="5397D206" w14:textId="77777777" w:rsidR="00A345F4" w:rsidRDefault="005E2D4E">
      <w:pPr>
        <w:pStyle w:val="P68B1DB1-Normal4"/>
        <w:spacing w:before="120" w:after="120" w:line="240" w:lineRule="auto"/>
        <w:jc w:val="both"/>
        <w:rPr>
          <w:noProof/>
        </w:rPr>
      </w:pPr>
      <w:r>
        <w:rPr>
          <w:noProof/>
        </w:rPr>
        <w:t xml:space="preserve">L’objectif de cet investissement est d’améliorer l’accès à des solutions de mobilité durables et sûres dans les zones urbaines et rurales. </w:t>
      </w:r>
    </w:p>
    <w:p w14:paraId="02611064" w14:textId="77777777" w:rsidR="00A345F4" w:rsidRDefault="005E2D4E">
      <w:pPr>
        <w:pStyle w:val="P68B1DB1-Normal4"/>
        <w:spacing w:before="120" w:after="120" w:line="240" w:lineRule="auto"/>
        <w:jc w:val="both"/>
        <w:rPr>
          <w:noProof/>
        </w:rPr>
      </w:pPr>
      <w:r>
        <w:rPr>
          <w:noProof/>
        </w:rPr>
        <w:t>L’investissement consiste à acheter des véhicules de transport public à émissions nulles, à connecter des points de recharge pour véhicules électriques au réseau électrique, à fournir des systèmes de transport intelligents et d’autres infrastructures TIC et à construire 644 km de pistes cyclables.</w:t>
      </w:r>
    </w:p>
    <w:p w14:paraId="485C0DF0"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Investissement 3a. Rénovation des bâtiments publics pour soutenir une meilleure prestation de services publics par les unités administratives territoriales </w:t>
      </w:r>
    </w:p>
    <w:p w14:paraId="0E8F7A72" w14:textId="77777777" w:rsidR="00A345F4" w:rsidRDefault="005E2D4E">
      <w:pPr>
        <w:pStyle w:val="P68B1DB1-Normal4"/>
        <w:spacing w:before="120" w:after="120" w:line="240" w:lineRule="auto"/>
        <w:jc w:val="both"/>
        <w:rPr>
          <w:noProof/>
        </w:rPr>
      </w:pPr>
      <w:r>
        <w:rPr>
          <w:noProof/>
        </w:rPr>
        <w:t xml:space="preserve">L’objectif de cet investissement est de soutenir la fourniture de services publics locaux. </w:t>
      </w:r>
    </w:p>
    <w:p w14:paraId="31591B1E" w14:textId="77777777" w:rsidR="00A345F4" w:rsidRDefault="005E2D4E">
      <w:pPr>
        <w:pStyle w:val="P68B1DB1-Normal4"/>
        <w:spacing w:before="120" w:after="120" w:line="240" w:lineRule="auto"/>
        <w:jc w:val="both"/>
        <w:rPr>
          <w:noProof/>
        </w:rPr>
      </w:pPr>
      <w:r>
        <w:rPr>
          <w:noProof/>
        </w:rPr>
        <w:t xml:space="preserve">Cette mesure finance la rénovation de bâtiments publics. </w:t>
      </w:r>
    </w:p>
    <w:p w14:paraId="42720E1D" w14:textId="77777777" w:rsidR="00A345F4" w:rsidRDefault="005E2D4E">
      <w:pPr>
        <w:pStyle w:val="P68B1DB1-Normal4"/>
        <w:spacing w:before="120" w:after="120" w:line="240" w:lineRule="auto"/>
        <w:jc w:val="both"/>
        <w:rPr>
          <w:noProof/>
        </w:rPr>
      </w:pPr>
      <w:r>
        <w:rPr>
          <w:noProof/>
        </w:rPr>
        <w:t>Cette mesure complète l’investissement no 3: Rénovation des bâtiments publics pour soutenir une meilleure prestation de services publics par les unités administratives territoriales.</w:t>
      </w:r>
    </w:p>
    <w:p w14:paraId="2C943B90" w14:textId="77777777" w:rsidR="00A345F4" w:rsidRDefault="00A345F4">
      <w:pPr>
        <w:spacing w:before="120" w:after="120" w:line="240" w:lineRule="auto"/>
        <w:jc w:val="both"/>
        <w:rPr>
          <w:rFonts w:ascii="Times New Roman" w:hAnsi="Times New Roman" w:cs="Times New Roman"/>
          <w:noProof/>
        </w:rPr>
      </w:pPr>
    </w:p>
    <w:p w14:paraId="4DBDD2A9" w14:textId="77777777" w:rsidR="00A345F4" w:rsidRDefault="00A345F4">
      <w:pPr>
        <w:rPr>
          <w:rFonts w:ascii="Times New Roman" w:hAnsi="Times New Roman" w:cs="Times New Roman"/>
          <w:noProof/>
        </w:rPr>
      </w:pPr>
    </w:p>
    <w:p w14:paraId="064784F3" w14:textId="77777777" w:rsidR="00A345F4" w:rsidRDefault="00A345F4">
      <w:pPr>
        <w:spacing w:before="120" w:after="120" w:line="240" w:lineRule="auto"/>
        <w:jc w:val="both"/>
        <w:rPr>
          <w:rFonts w:ascii="Times New Roman" w:hAnsi="Times New Roman" w:cs="Times New Roman"/>
          <w:noProof/>
        </w:rPr>
        <w:sectPr w:rsidR="00A345F4" w:rsidSect="00E51A4F">
          <w:headerReference w:type="even" r:id="rId234"/>
          <w:headerReference w:type="default" r:id="rId235"/>
          <w:footerReference w:type="even" r:id="rId236"/>
          <w:footerReference w:type="default" r:id="rId237"/>
          <w:headerReference w:type="first" r:id="rId238"/>
          <w:footerReference w:type="first" r:id="rId239"/>
          <w:pgSz w:w="11907" w:h="16839"/>
          <w:pgMar w:top="1134" w:right="1134" w:bottom="1134" w:left="1134" w:header="567" w:footer="567" w:gutter="0"/>
          <w:cols w:space="720"/>
          <w:docGrid w:linePitch="360"/>
        </w:sectPr>
      </w:pPr>
    </w:p>
    <w:p w14:paraId="00C412CE" w14:textId="77777777" w:rsidR="00A345F4" w:rsidRDefault="005E2D4E">
      <w:pPr>
        <w:pStyle w:val="P68B1DB1-Normal4"/>
        <w:keepNext/>
        <w:spacing w:before="120" w:after="120" w:line="240" w:lineRule="auto"/>
        <w:ind w:firstLine="720"/>
        <w:jc w:val="both"/>
        <w:outlineLvl w:val="1"/>
        <w:rPr>
          <w:rFonts w:eastAsiaTheme="majorEastAsia"/>
          <w:b/>
          <w:bCs/>
          <w:noProof/>
        </w:rPr>
      </w:pPr>
      <w:r>
        <w:rPr>
          <w:b/>
          <w:noProof/>
        </w:rPr>
        <w:t xml:space="preserve">J.2. </w:t>
      </w:r>
      <w:r>
        <w:rPr>
          <w:noProof/>
        </w:rPr>
        <w:t xml:space="preserve"> </w:t>
      </w:r>
      <w:r>
        <w:rPr>
          <w:b/>
          <w:noProof/>
        </w:rPr>
        <w:t>Étapes, cibles, indicateurs et calendrier pour le suivi et la mise en œuvre du soutien financier non remboursable</w:t>
      </w:r>
    </w:p>
    <w:tbl>
      <w:tblPr>
        <w:tblW w:w="15451" w:type="dxa"/>
        <w:jc w:val="center"/>
        <w:tblLayout w:type="fixed"/>
        <w:tblLook w:val="04A0" w:firstRow="1" w:lastRow="0" w:firstColumn="1" w:lastColumn="0" w:noHBand="0" w:noVBand="1"/>
      </w:tblPr>
      <w:tblGrid>
        <w:gridCol w:w="795"/>
        <w:gridCol w:w="1569"/>
        <w:gridCol w:w="1316"/>
        <w:gridCol w:w="1440"/>
        <w:gridCol w:w="1538"/>
        <w:gridCol w:w="1275"/>
        <w:gridCol w:w="1276"/>
        <w:gridCol w:w="1276"/>
        <w:gridCol w:w="1134"/>
        <w:gridCol w:w="845"/>
        <w:gridCol w:w="2987"/>
      </w:tblGrid>
      <w:tr w:rsidR="00A345F4" w14:paraId="01061E84" w14:textId="77777777">
        <w:trPr>
          <w:trHeight w:val="774"/>
          <w:tblHeader/>
          <w:jc w:val="center"/>
        </w:trPr>
        <w:tc>
          <w:tcPr>
            <w:tcW w:w="7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1228F9" w14:textId="77777777" w:rsidR="00A345F4" w:rsidRDefault="005E2D4E">
            <w:pPr>
              <w:pStyle w:val="P68B1DB1-Normal13"/>
              <w:spacing w:after="0" w:line="240" w:lineRule="auto"/>
              <w:jc w:val="center"/>
              <w:rPr>
                <w:rFonts w:eastAsia="Times New Roman"/>
                <w:noProof/>
              </w:rPr>
            </w:pPr>
            <w:r>
              <w:rPr>
                <w:noProof/>
              </w:rPr>
              <w:t>Seq. Num.</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BAC4E1"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3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1FCAD2" w14:textId="77777777" w:rsidR="00A345F4" w:rsidRDefault="005E2D4E">
            <w:pPr>
              <w:pStyle w:val="P68B1DB1-Normal13"/>
              <w:spacing w:after="0" w:line="240" w:lineRule="auto"/>
              <w:jc w:val="center"/>
              <w:rPr>
                <w:rFonts w:eastAsia="Times New Roman"/>
                <w:noProof/>
              </w:rPr>
            </w:pPr>
            <w:r>
              <w:rPr>
                <w:noProof/>
              </w:rPr>
              <w:t>Étape/cible</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B4C763" w14:textId="77777777" w:rsidR="00A345F4" w:rsidRDefault="005E2D4E">
            <w:pPr>
              <w:pStyle w:val="P68B1DB1-Normal13"/>
              <w:spacing w:after="0" w:line="240" w:lineRule="auto"/>
              <w:jc w:val="center"/>
              <w:rPr>
                <w:rFonts w:eastAsia="Times New Roman"/>
                <w:noProof/>
              </w:rPr>
            </w:pPr>
            <w:r>
              <w:rPr>
                <w:noProof/>
              </w:rPr>
              <w:t>Nom</w:t>
            </w:r>
          </w:p>
        </w:tc>
        <w:tc>
          <w:tcPr>
            <w:tcW w:w="15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1E66C"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82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01A5AF"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79" w:type="dxa"/>
            <w:gridSpan w:val="2"/>
            <w:tcBorders>
              <w:top w:val="single" w:sz="4" w:space="0" w:color="auto"/>
              <w:left w:val="nil"/>
              <w:bottom w:val="single" w:sz="4" w:space="0" w:color="auto"/>
              <w:right w:val="single" w:sz="4" w:space="0" w:color="auto"/>
            </w:tcBorders>
            <w:shd w:val="clear" w:color="auto" w:fill="BDD7EE"/>
            <w:vAlign w:val="center"/>
            <w:hideMark/>
          </w:tcPr>
          <w:p w14:paraId="533E0C5B" w14:textId="77777777" w:rsidR="00A345F4" w:rsidRDefault="005E2D4E">
            <w:pPr>
              <w:pStyle w:val="P68B1DB1-Normal13"/>
              <w:spacing w:after="0" w:line="240" w:lineRule="auto"/>
              <w:jc w:val="center"/>
              <w:rPr>
                <w:rFonts w:eastAsia="Times New Roman"/>
                <w:noProof/>
              </w:rPr>
            </w:pPr>
            <w:r>
              <w:rPr>
                <w:noProof/>
              </w:rPr>
              <w:t xml:space="preserve">Calendrier indicatif d'achèvement </w:t>
            </w:r>
          </w:p>
        </w:tc>
        <w:tc>
          <w:tcPr>
            <w:tcW w:w="29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6CDA79"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64F8A298" w14:textId="77777777">
        <w:trPr>
          <w:trHeight w:val="502"/>
          <w:tblHeader/>
          <w:jc w:val="center"/>
        </w:trPr>
        <w:tc>
          <w:tcPr>
            <w:tcW w:w="795" w:type="dxa"/>
            <w:vMerge/>
            <w:tcBorders>
              <w:top w:val="single" w:sz="4" w:space="0" w:color="auto"/>
              <w:left w:val="single" w:sz="4" w:space="0" w:color="auto"/>
              <w:bottom w:val="single" w:sz="4" w:space="0" w:color="auto"/>
              <w:right w:val="single" w:sz="4" w:space="0" w:color="auto"/>
            </w:tcBorders>
            <w:hideMark/>
          </w:tcPr>
          <w:p w14:paraId="62CD5729"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569" w:type="dxa"/>
            <w:vMerge/>
            <w:tcBorders>
              <w:top w:val="single" w:sz="4" w:space="0" w:color="auto"/>
              <w:left w:val="single" w:sz="4" w:space="0" w:color="auto"/>
              <w:bottom w:val="single" w:sz="4" w:space="0" w:color="auto"/>
              <w:right w:val="single" w:sz="4" w:space="0" w:color="auto"/>
            </w:tcBorders>
            <w:hideMark/>
          </w:tcPr>
          <w:p w14:paraId="7A95BC59" w14:textId="77777777" w:rsidR="00A345F4" w:rsidRDefault="00A345F4">
            <w:pPr>
              <w:spacing w:after="0" w:line="240" w:lineRule="auto"/>
              <w:rPr>
                <w:rFonts w:ascii="Times New Roman" w:eastAsia="Times New Roman" w:hAnsi="Times New Roman" w:cs="Times New Roman"/>
                <w:b/>
                <w:noProof/>
                <w:sz w:val="20"/>
                <w:szCs w:val="20"/>
              </w:rPr>
            </w:pPr>
          </w:p>
        </w:tc>
        <w:tc>
          <w:tcPr>
            <w:tcW w:w="1316" w:type="dxa"/>
            <w:vMerge/>
            <w:tcBorders>
              <w:top w:val="single" w:sz="4" w:space="0" w:color="auto"/>
              <w:left w:val="single" w:sz="4" w:space="0" w:color="auto"/>
              <w:bottom w:val="single" w:sz="4" w:space="0" w:color="auto"/>
              <w:right w:val="single" w:sz="4" w:space="0" w:color="auto"/>
            </w:tcBorders>
            <w:hideMark/>
          </w:tcPr>
          <w:p w14:paraId="5D67A2AF"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440" w:type="dxa"/>
            <w:vMerge/>
            <w:tcBorders>
              <w:top w:val="single" w:sz="4" w:space="0" w:color="auto"/>
              <w:left w:val="single" w:sz="4" w:space="0" w:color="auto"/>
              <w:bottom w:val="single" w:sz="4" w:space="0" w:color="auto"/>
              <w:right w:val="single" w:sz="4" w:space="0" w:color="auto"/>
            </w:tcBorders>
            <w:hideMark/>
          </w:tcPr>
          <w:p w14:paraId="6BD8F341" w14:textId="77777777" w:rsidR="00A345F4" w:rsidRDefault="00A345F4">
            <w:pPr>
              <w:spacing w:after="0" w:line="240" w:lineRule="auto"/>
              <w:rPr>
                <w:rFonts w:ascii="Times New Roman" w:eastAsia="Times New Roman" w:hAnsi="Times New Roman" w:cs="Times New Roman"/>
                <w:b/>
                <w:noProof/>
                <w:sz w:val="20"/>
                <w:szCs w:val="20"/>
              </w:rPr>
            </w:pPr>
          </w:p>
        </w:tc>
        <w:tc>
          <w:tcPr>
            <w:tcW w:w="1538" w:type="dxa"/>
            <w:vMerge/>
            <w:tcBorders>
              <w:top w:val="single" w:sz="4" w:space="0" w:color="auto"/>
              <w:left w:val="single" w:sz="4" w:space="0" w:color="auto"/>
              <w:bottom w:val="single" w:sz="4" w:space="0" w:color="auto"/>
              <w:right w:val="single" w:sz="4" w:space="0" w:color="auto"/>
            </w:tcBorders>
            <w:hideMark/>
          </w:tcPr>
          <w:p w14:paraId="7CF90317" w14:textId="77777777" w:rsidR="00A345F4" w:rsidRDefault="00A345F4">
            <w:pPr>
              <w:spacing w:after="0" w:line="240" w:lineRule="auto"/>
              <w:rPr>
                <w:rFonts w:ascii="Times New Roman" w:eastAsia="Times New Roman" w:hAnsi="Times New Roman" w:cs="Times New Roman"/>
                <w:b/>
                <w:noProof/>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F87A92" w14:textId="77777777" w:rsidR="00A345F4" w:rsidRDefault="005E2D4E">
            <w:pPr>
              <w:pStyle w:val="P68B1DB1-Normal13"/>
              <w:spacing w:after="0" w:line="240" w:lineRule="auto"/>
              <w:jc w:val="center"/>
              <w:rPr>
                <w:rFonts w:eastAsia="Times New Roman"/>
                <w:noProof/>
              </w:rPr>
            </w:pPr>
            <w:r>
              <w:rPr>
                <w:noProof/>
              </w:rPr>
              <w:t>Unité de mesure</w:t>
            </w: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831E90" w14:textId="77777777" w:rsidR="00A345F4" w:rsidRDefault="005E2D4E">
            <w:pPr>
              <w:pStyle w:val="P68B1DB1-Normal13"/>
              <w:spacing w:after="0" w:line="240" w:lineRule="auto"/>
              <w:jc w:val="center"/>
              <w:rPr>
                <w:rFonts w:eastAsia="Times New Roman"/>
                <w:noProof/>
              </w:rPr>
            </w:pPr>
            <w:r>
              <w:rPr>
                <w:noProof/>
              </w:rPr>
              <w:t xml:space="preserve">Données de référence </w:t>
            </w: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3846F7" w14:textId="77777777" w:rsidR="00A345F4" w:rsidRDefault="005E2D4E">
            <w:pPr>
              <w:pStyle w:val="P68B1DB1-Normal13"/>
              <w:spacing w:after="0" w:line="240" w:lineRule="auto"/>
              <w:jc w:val="center"/>
              <w:rPr>
                <w:rFonts w:eastAsia="Times New Roman"/>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07449A" w14:textId="77777777" w:rsidR="00A345F4" w:rsidRDefault="005E2D4E">
            <w:pPr>
              <w:pStyle w:val="P68B1DB1-Normal13"/>
              <w:spacing w:after="0" w:line="240" w:lineRule="auto"/>
              <w:jc w:val="center"/>
              <w:rPr>
                <w:rFonts w:eastAsia="Times New Roman"/>
                <w:noProof/>
              </w:rPr>
            </w:pPr>
            <w:r>
              <w:rPr>
                <w:noProof/>
              </w:rPr>
              <w:t>Trimestre</w:t>
            </w:r>
          </w:p>
        </w:tc>
        <w:tc>
          <w:tcPr>
            <w:tcW w:w="8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DF9DBD" w14:textId="77777777" w:rsidR="00A345F4" w:rsidRDefault="005E2D4E">
            <w:pPr>
              <w:pStyle w:val="P68B1DB1-Normal13"/>
              <w:spacing w:after="0" w:line="240" w:lineRule="auto"/>
              <w:jc w:val="center"/>
              <w:rPr>
                <w:rFonts w:eastAsia="Times New Roman"/>
                <w:noProof/>
              </w:rPr>
            </w:pPr>
            <w:r>
              <w:rPr>
                <w:noProof/>
              </w:rPr>
              <w:t>Année</w:t>
            </w:r>
          </w:p>
        </w:tc>
        <w:tc>
          <w:tcPr>
            <w:tcW w:w="2987" w:type="dxa"/>
            <w:vMerge/>
            <w:tcBorders>
              <w:top w:val="single" w:sz="4" w:space="0" w:color="auto"/>
              <w:bottom w:val="single" w:sz="4" w:space="0" w:color="auto"/>
              <w:right w:val="single" w:sz="4" w:space="0" w:color="auto"/>
            </w:tcBorders>
            <w:hideMark/>
          </w:tcPr>
          <w:p w14:paraId="3BB334AD" w14:textId="77777777" w:rsidR="00A345F4" w:rsidRDefault="00A345F4">
            <w:pPr>
              <w:spacing w:after="0" w:line="240" w:lineRule="auto"/>
              <w:rPr>
                <w:rFonts w:ascii="Times New Roman" w:eastAsia="Times New Roman" w:hAnsi="Times New Roman" w:cs="Times New Roman"/>
                <w:b/>
                <w:noProof/>
                <w:sz w:val="20"/>
                <w:szCs w:val="20"/>
              </w:rPr>
            </w:pPr>
          </w:p>
        </w:tc>
      </w:tr>
      <w:tr w:rsidR="00A345F4" w14:paraId="3F826511" w14:textId="77777777">
        <w:trPr>
          <w:trHeight w:val="309"/>
          <w:jc w:val="center"/>
        </w:trPr>
        <w:tc>
          <w:tcPr>
            <w:tcW w:w="795" w:type="dxa"/>
            <w:tcBorders>
              <w:top w:val="single" w:sz="4" w:space="0" w:color="auto"/>
              <w:left w:val="single" w:sz="4" w:space="0" w:color="auto"/>
              <w:bottom w:val="single" w:sz="4" w:space="0" w:color="auto"/>
              <w:right w:val="single" w:sz="4" w:space="0" w:color="auto"/>
            </w:tcBorders>
            <w:shd w:val="clear" w:color="auto" w:fill="C6EFCE"/>
            <w:noWrap/>
          </w:tcPr>
          <w:p w14:paraId="31828194" w14:textId="77777777" w:rsidR="00A345F4" w:rsidRDefault="005E2D4E">
            <w:pPr>
              <w:pStyle w:val="P68B1DB1-Normal14"/>
              <w:spacing w:after="0" w:line="240" w:lineRule="auto"/>
              <w:jc w:val="center"/>
              <w:rPr>
                <w:noProof/>
              </w:rPr>
            </w:pPr>
            <w:r>
              <w:rPr>
                <w:noProof/>
              </w:rPr>
              <w:t>288</w:t>
            </w:r>
          </w:p>
        </w:tc>
        <w:tc>
          <w:tcPr>
            <w:tcW w:w="1569" w:type="dxa"/>
            <w:tcBorders>
              <w:top w:val="single" w:sz="4" w:space="0" w:color="auto"/>
              <w:left w:val="nil"/>
              <w:bottom w:val="single" w:sz="4" w:space="0" w:color="auto"/>
              <w:right w:val="single" w:sz="4" w:space="0" w:color="auto"/>
            </w:tcBorders>
            <w:shd w:val="clear" w:color="auto" w:fill="C6EFCE"/>
            <w:noWrap/>
          </w:tcPr>
          <w:p w14:paraId="76B1D4DE" w14:textId="77777777" w:rsidR="00A345F4" w:rsidRDefault="005E2D4E">
            <w:pPr>
              <w:pStyle w:val="P68B1DB1-Normal14"/>
              <w:spacing w:after="0" w:line="240" w:lineRule="auto"/>
              <w:rPr>
                <w:noProof/>
              </w:rPr>
            </w:pPr>
            <w:r>
              <w:rPr>
                <w:noProof/>
              </w:rPr>
              <w:t xml:space="preserve">Réforme 1. Créer le cadre d'une mobilité urbaine durable </w:t>
            </w:r>
          </w:p>
        </w:tc>
        <w:tc>
          <w:tcPr>
            <w:tcW w:w="1316" w:type="dxa"/>
            <w:tcBorders>
              <w:top w:val="single" w:sz="4" w:space="0" w:color="auto"/>
              <w:left w:val="nil"/>
              <w:bottom w:val="single" w:sz="4" w:space="0" w:color="auto"/>
              <w:right w:val="single" w:sz="4" w:space="0" w:color="auto"/>
            </w:tcBorders>
            <w:shd w:val="clear" w:color="auto" w:fill="C6EFCE"/>
            <w:noWrap/>
          </w:tcPr>
          <w:p w14:paraId="1F403B24" w14:textId="77777777" w:rsidR="00A345F4" w:rsidRDefault="005E2D4E">
            <w:pPr>
              <w:pStyle w:val="P68B1DB1-Normal14"/>
              <w:spacing w:after="0" w:line="240" w:lineRule="auto"/>
              <w:jc w:val="center"/>
              <w:rPr>
                <w:noProof/>
              </w:rPr>
            </w:pPr>
            <w:r>
              <w:rPr>
                <w:noProof/>
              </w:rPr>
              <w:t>Étape</w:t>
            </w:r>
          </w:p>
        </w:tc>
        <w:tc>
          <w:tcPr>
            <w:tcW w:w="1440" w:type="dxa"/>
            <w:tcBorders>
              <w:top w:val="single" w:sz="4" w:space="0" w:color="auto"/>
              <w:left w:val="nil"/>
              <w:bottom w:val="single" w:sz="4" w:space="0" w:color="auto"/>
              <w:right w:val="single" w:sz="4" w:space="0" w:color="auto"/>
            </w:tcBorders>
            <w:shd w:val="clear" w:color="auto" w:fill="C6EFCE"/>
            <w:noWrap/>
          </w:tcPr>
          <w:p w14:paraId="7E299C88" w14:textId="77777777" w:rsidR="00A345F4" w:rsidRDefault="005E2D4E">
            <w:pPr>
              <w:pStyle w:val="P68B1DB1-Normal14"/>
              <w:spacing w:after="0" w:line="240" w:lineRule="auto"/>
              <w:rPr>
                <w:noProof/>
              </w:rPr>
            </w:pPr>
            <w:r>
              <w:rPr>
                <w:noProof/>
              </w:rPr>
              <w:t xml:space="preserve">Entrée en vigueur de la législation dans le domaine de la mobilité urbaine durable </w:t>
            </w:r>
          </w:p>
        </w:tc>
        <w:tc>
          <w:tcPr>
            <w:tcW w:w="1538" w:type="dxa"/>
            <w:tcBorders>
              <w:top w:val="single" w:sz="4" w:space="0" w:color="auto"/>
              <w:left w:val="nil"/>
              <w:bottom w:val="single" w:sz="4" w:space="0" w:color="auto"/>
              <w:right w:val="single" w:sz="4" w:space="0" w:color="auto"/>
            </w:tcBorders>
            <w:shd w:val="clear" w:color="auto" w:fill="C6EFCE"/>
            <w:noWrap/>
          </w:tcPr>
          <w:p w14:paraId="1D67000D" w14:textId="77777777" w:rsidR="00A345F4" w:rsidRDefault="005E2D4E">
            <w:pPr>
              <w:pStyle w:val="P68B1DB1-Normal14"/>
              <w:spacing w:after="0" w:line="240" w:lineRule="auto"/>
              <w:rPr>
                <w:noProof/>
              </w:rPr>
            </w:pPr>
            <w:r>
              <w:rPr>
                <w:noProof/>
              </w:rPr>
              <w:t>Disposition de la loi indiquant l’entrée en vigueur de l’acte législatif sur la mobilité urbaine durable</w:t>
            </w:r>
          </w:p>
        </w:tc>
        <w:tc>
          <w:tcPr>
            <w:tcW w:w="1275" w:type="dxa"/>
            <w:tcBorders>
              <w:top w:val="single" w:sz="4" w:space="0" w:color="auto"/>
              <w:left w:val="nil"/>
              <w:bottom w:val="single" w:sz="4" w:space="0" w:color="auto"/>
              <w:right w:val="single" w:sz="4" w:space="0" w:color="auto"/>
            </w:tcBorders>
            <w:shd w:val="clear" w:color="auto" w:fill="C6EFCE"/>
            <w:noWrap/>
          </w:tcPr>
          <w:p w14:paraId="1379A2E8" w14:textId="77777777" w:rsidR="00A345F4" w:rsidRDefault="005E2D4E">
            <w:pPr>
              <w:pStyle w:val="P68B1DB1-Normal14"/>
              <w:spacing w:after="0" w:line="240" w:lineRule="auto"/>
              <w:rPr>
                <w:noProof/>
              </w:rPr>
            </w:pPr>
            <w:r>
              <w:rPr>
                <w:noProof/>
              </w:rPr>
              <w:t xml:space="preserve"> </w:t>
            </w:r>
          </w:p>
        </w:tc>
        <w:tc>
          <w:tcPr>
            <w:tcW w:w="1276" w:type="dxa"/>
            <w:tcBorders>
              <w:top w:val="single" w:sz="4" w:space="0" w:color="auto"/>
              <w:left w:val="nil"/>
              <w:bottom w:val="single" w:sz="4" w:space="0" w:color="auto"/>
              <w:right w:val="single" w:sz="4" w:space="0" w:color="auto"/>
            </w:tcBorders>
            <w:shd w:val="clear" w:color="auto" w:fill="C6EFCE"/>
            <w:noWrap/>
          </w:tcPr>
          <w:p w14:paraId="3C6B49E4" w14:textId="77777777" w:rsidR="00A345F4" w:rsidRDefault="005E2D4E">
            <w:pPr>
              <w:pStyle w:val="P68B1DB1-Normal14"/>
              <w:spacing w:after="0" w:line="240" w:lineRule="auto"/>
              <w:rPr>
                <w:noProof/>
              </w:rPr>
            </w:pPr>
            <w:r>
              <w:rPr>
                <w:noProof/>
              </w:rPr>
              <w:t xml:space="preserve"> </w:t>
            </w:r>
          </w:p>
        </w:tc>
        <w:tc>
          <w:tcPr>
            <w:tcW w:w="1276" w:type="dxa"/>
            <w:tcBorders>
              <w:top w:val="single" w:sz="4" w:space="0" w:color="auto"/>
              <w:left w:val="nil"/>
              <w:bottom w:val="single" w:sz="4" w:space="0" w:color="auto"/>
              <w:right w:val="single" w:sz="4" w:space="0" w:color="auto"/>
            </w:tcBorders>
            <w:shd w:val="clear" w:color="auto" w:fill="C6EFCE"/>
            <w:noWrap/>
          </w:tcPr>
          <w:p w14:paraId="7AFE7EB9" w14:textId="77777777" w:rsidR="00A345F4" w:rsidRDefault="005E2D4E">
            <w:pPr>
              <w:pStyle w:val="P68B1DB1-Normal14"/>
              <w:spacing w:after="0" w:line="240"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105089AE" w14:textId="77777777" w:rsidR="00A345F4" w:rsidRDefault="005E2D4E">
            <w:pPr>
              <w:pStyle w:val="P68B1DB1-Normal14"/>
              <w:spacing w:after="0" w:line="240" w:lineRule="auto"/>
              <w:jc w:val="center"/>
              <w:rPr>
                <w:noProof/>
              </w:rPr>
            </w:pPr>
            <w:r>
              <w:rPr>
                <w:noProof/>
              </w:rPr>
              <w:t>T4</w:t>
            </w:r>
          </w:p>
        </w:tc>
        <w:tc>
          <w:tcPr>
            <w:tcW w:w="845" w:type="dxa"/>
            <w:tcBorders>
              <w:top w:val="nil"/>
              <w:left w:val="nil"/>
              <w:bottom w:val="single" w:sz="4" w:space="0" w:color="auto"/>
              <w:right w:val="single" w:sz="4" w:space="0" w:color="auto"/>
            </w:tcBorders>
            <w:shd w:val="clear" w:color="auto" w:fill="C6EFCE"/>
            <w:noWrap/>
          </w:tcPr>
          <w:p w14:paraId="7CBE7F18" w14:textId="77777777" w:rsidR="00A345F4" w:rsidRDefault="005E2D4E">
            <w:pPr>
              <w:pStyle w:val="P68B1DB1-Normal14"/>
              <w:spacing w:after="0" w:line="240" w:lineRule="auto"/>
              <w:jc w:val="center"/>
              <w:rPr>
                <w:noProof/>
              </w:rPr>
            </w:pPr>
            <w:r>
              <w:rPr>
                <w:noProof/>
              </w:rPr>
              <w:t>2022</w:t>
            </w:r>
          </w:p>
        </w:tc>
        <w:tc>
          <w:tcPr>
            <w:tcW w:w="2987" w:type="dxa"/>
            <w:tcBorders>
              <w:top w:val="single" w:sz="4" w:space="0" w:color="auto"/>
              <w:left w:val="nil"/>
              <w:bottom w:val="single" w:sz="4" w:space="0" w:color="auto"/>
              <w:right w:val="single" w:sz="4" w:space="0" w:color="auto"/>
            </w:tcBorders>
            <w:shd w:val="clear" w:color="auto" w:fill="C6EFCE"/>
            <w:noWrap/>
          </w:tcPr>
          <w:p w14:paraId="331EC656" w14:textId="77777777" w:rsidR="00A345F4" w:rsidRDefault="005E2D4E">
            <w:pPr>
              <w:pStyle w:val="P68B1DB1-Normal14"/>
              <w:spacing w:after="0" w:line="240" w:lineRule="auto"/>
              <w:jc w:val="both"/>
              <w:rPr>
                <w:noProof/>
              </w:rPr>
            </w:pPr>
            <w:r>
              <w:rPr>
                <w:noProof/>
              </w:rPr>
              <w:t>La législation relative à la mobilité urbaine durable comprend:</w:t>
            </w:r>
          </w:p>
          <w:p w14:paraId="3EABAC95"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des mesures visant à stimuler le renouvellement du parc de transports publics au moyen de véhicules propres et à garantir des normes nationales minimales de qualité et l’accès aux transports publics;</w:t>
            </w:r>
          </w:p>
          <w:p w14:paraId="5B0893B7"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l’établissement du guide pour l’élaboration de plans de mobilité urbaine durable conformément à la stratégie de mobilité durable et intelligente C(2020) 789/2020 (communication de la Commission) et l’évaluation et la vérification de la qualité des plans de mobilité urbaine durable;</w:t>
            </w:r>
          </w:p>
          <w:p w14:paraId="7317A72C"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des dispositions obligeant les municipalités urbaines à établir des zones à faibles émissions, des itinéraires préférentiels (y compris des voies de bus) pour des transports publics propres;</w:t>
            </w:r>
          </w:p>
          <w:p w14:paraId="6D753F10"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des mesures visant à réduire les risques pour la sécurité routière au niveau urbain et des mesures permettant de limiter l’espace disponible pour les voitures particulières ainsi que la mise en œuvre et le suivi des politiques de stationnement au niveau local;</w:t>
            </w:r>
          </w:p>
          <w:p w14:paraId="46014139"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des mesures permettant le développement d’infrastructures pour encourager l’utilisation sûre et sécurisée des transports publics, des vélos et de la marche;</w:t>
            </w:r>
          </w:p>
          <w:p w14:paraId="392FFDA7"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des mesures permettant la mise en place de nœuds intermodaux pour faciliter le transport dans la zone urbaine/métropolitaine fonctionnelle.</w:t>
            </w:r>
          </w:p>
          <w:p w14:paraId="0122B043" w14:textId="77777777" w:rsidR="00A345F4" w:rsidRDefault="005E2D4E">
            <w:pPr>
              <w:pStyle w:val="P68B1DB1-Normal14"/>
              <w:spacing w:after="0" w:line="240" w:lineRule="auto"/>
              <w:jc w:val="both"/>
              <w:rPr>
                <w:noProof/>
              </w:rPr>
            </w:pPr>
            <w:r>
              <w:rPr>
                <w:noProof/>
              </w:rPr>
              <w:t xml:space="preserve">La législation est élaborée conformément: </w:t>
            </w:r>
          </w:p>
          <w:p w14:paraId="2AD09D7C"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les dispositions du règlement européen no 1370/2007, le règlement européen sur la sécurité générale (RSG) (2019/2144), qui entrera en vigueur le 6 juillet 2022;</w:t>
            </w:r>
          </w:p>
          <w:p w14:paraId="203658CB"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 xml:space="preserve">la politique urbaine de la Roumanie, qui comprend des dispositions relatives à la densité de population (garantissant l’efficacité du service de transport public) et à l’accessibilité de la population aux services de transport (pourcentage de la population à moins de 0,5 km d’une ligne de transport public où la fréquence maximale est de 20 minutes); </w:t>
            </w:r>
          </w:p>
          <w:p w14:paraId="5FF9324F"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les normes minimales de service pour les transports publics collectifs doivent être atteintes par des modifications/ajouts à la loi no 92/2007 sur les services publics de transport de voyageurs dans les unités administratives et territoriales;</w:t>
            </w:r>
          </w:p>
          <w:p w14:paraId="760BD8A0"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les réformes en matière de sécurité routière et de mobilité régionale et urbaine mises en place dans le cadre du volet «transport durable» (étapes 65 à 68).</w:t>
            </w:r>
          </w:p>
        </w:tc>
      </w:tr>
      <w:tr w:rsidR="00A345F4" w14:paraId="5F502707"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086C093B" w14:textId="77777777" w:rsidR="00A345F4" w:rsidRDefault="005E2D4E">
            <w:pPr>
              <w:pStyle w:val="P68B1DB1-Normal14"/>
              <w:spacing w:after="0" w:line="240" w:lineRule="auto"/>
              <w:jc w:val="center"/>
              <w:rPr>
                <w:noProof/>
              </w:rPr>
            </w:pPr>
            <w:r>
              <w:rPr>
                <w:noProof/>
              </w:rPr>
              <w:t>289</w:t>
            </w:r>
          </w:p>
        </w:tc>
        <w:tc>
          <w:tcPr>
            <w:tcW w:w="1569" w:type="dxa"/>
            <w:tcBorders>
              <w:top w:val="nil"/>
              <w:left w:val="nil"/>
              <w:bottom w:val="single" w:sz="4" w:space="0" w:color="auto"/>
              <w:right w:val="single" w:sz="4" w:space="0" w:color="auto"/>
            </w:tcBorders>
            <w:shd w:val="clear" w:color="auto" w:fill="C6EFCE"/>
            <w:noWrap/>
          </w:tcPr>
          <w:p w14:paraId="33AADDEC" w14:textId="77777777" w:rsidR="00A345F4" w:rsidRDefault="005E2D4E">
            <w:pPr>
              <w:pStyle w:val="P68B1DB1-Normal14"/>
              <w:spacing w:after="0" w:line="240" w:lineRule="auto"/>
              <w:rPr>
                <w:noProof/>
              </w:rPr>
            </w:pPr>
            <w:r>
              <w:rPr>
                <w:noProof/>
              </w:rPr>
              <w:t>Réforme 1. Créer le cadre d'une mobilité urbaine durable</w:t>
            </w:r>
          </w:p>
        </w:tc>
        <w:tc>
          <w:tcPr>
            <w:tcW w:w="1316" w:type="dxa"/>
            <w:tcBorders>
              <w:top w:val="nil"/>
              <w:left w:val="nil"/>
              <w:bottom w:val="single" w:sz="4" w:space="0" w:color="auto"/>
              <w:right w:val="single" w:sz="4" w:space="0" w:color="auto"/>
            </w:tcBorders>
            <w:shd w:val="clear" w:color="auto" w:fill="C6EFCE"/>
            <w:noWrap/>
          </w:tcPr>
          <w:p w14:paraId="3D107722" w14:textId="77777777" w:rsidR="00A345F4" w:rsidRDefault="005E2D4E">
            <w:pPr>
              <w:pStyle w:val="P68B1DB1-Normal14"/>
              <w:spacing w:after="0" w:line="240" w:lineRule="auto"/>
              <w:jc w:val="center"/>
              <w:rPr>
                <w:noProof/>
              </w:rPr>
            </w:pPr>
            <w:r>
              <w:rPr>
                <w:noProof/>
              </w:rPr>
              <w:t>Étape</w:t>
            </w:r>
          </w:p>
        </w:tc>
        <w:tc>
          <w:tcPr>
            <w:tcW w:w="1440" w:type="dxa"/>
            <w:tcBorders>
              <w:top w:val="nil"/>
              <w:left w:val="nil"/>
              <w:bottom w:val="single" w:sz="4" w:space="0" w:color="auto"/>
              <w:right w:val="single" w:sz="4" w:space="0" w:color="auto"/>
            </w:tcBorders>
            <w:shd w:val="clear" w:color="auto" w:fill="C6EFCE"/>
            <w:noWrap/>
          </w:tcPr>
          <w:p w14:paraId="3BB7295F" w14:textId="77777777" w:rsidR="00A345F4" w:rsidRDefault="005E2D4E">
            <w:pPr>
              <w:pStyle w:val="P68B1DB1-Normal14"/>
              <w:spacing w:after="0" w:line="240" w:lineRule="auto"/>
              <w:rPr>
                <w:noProof/>
              </w:rPr>
            </w:pPr>
            <w:r>
              <w:rPr>
                <w:noProof/>
              </w:rPr>
              <w:t>Entrée en vigueur de l'arrêté ministériel établissant une structure d'assistance technique pour l'élaboration de plans de mobilité urbaine durable (PMUD) établis et opérationnels</w:t>
            </w:r>
          </w:p>
        </w:tc>
        <w:tc>
          <w:tcPr>
            <w:tcW w:w="1538" w:type="dxa"/>
            <w:tcBorders>
              <w:top w:val="single" w:sz="4" w:space="0" w:color="auto"/>
              <w:left w:val="nil"/>
              <w:bottom w:val="single" w:sz="4" w:space="0" w:color="auto"/>
              <w:right w:val="single" w:sz="4" w:space="0" w:color="auto"/>
            </w:tcBorders>
            <w:shd w:val="clear" w:color="auto" w:fill="C6EFCE"/>
            <w:noWrap/>
          </w:tcPr>
          <w:p w14:paraId="298C1CED" w14:textId="50BF54E0" w:rsidR="00A345F4" w:rsidRDefault="005E2D4E">
            <w:pPr>
              <w:pStyle w:val="P68B1DB1-Normal14"/>
              <w:spacing w:after="0" w:line="240" w:lineRule="auto"/>
              <w:jc w:val="both"/>
              <w:rPr>
                <w:noProof/>
              </w:rPr>
            </w:pPr>
            <w:r>
              <w:rPr>
                <w:noProof/>
              </w:rPr>
              <w:t xml:space="preserve">Disposition de l'arrêté ministériel indiquant l'entrée en vigueur de la structure de fourniture d'assistance technique pour le développement des PMUD </w:t>
            </w:r>
          </w:p>
          <w:p w14:paraId="7F3E6B5D" w14:textId="77777777" w:rsidR="00A345F4" w:rsidRDefault="00A345F4">
            <w:pPr>
              <w:spacing w:after="0" w:line="240" w:lineRule="auto"/>
              <w:jc w:val="both"/>
              <w:rPr>
                <w:rFonts w:ascii="Times New Roman" w:hAnsi="Times New Roman" w:cs="Times New Roman"/>
                <w:noProof/>
                <w:sz w:val="20"/>
                <w:szCs w:val="20"/>
              </w:rPr>
            </w:pPr>
          </w:p>
        </w:tc>
        <w:tc>
          <w:tcPr>
            <w:tcW w:w="1275" w:type="dxa"/>
            <w:tcBorders>
              <w:top w:val="nil"/>
              <w:left w:val="nil"/>
              <w:bottom w:val="single" w:sz="4" w:space="0" w:color="auto"/>
              <w:right w:val="single" w:sz="4" w:space="0" w:color="auto"/>
            </w:tcBorders>
            <w:shd w:val="clear" w:color="auto" w:fill="C6EFCE"/>
            <w:noWrap/>
          </w:tcPr>
          <w:p w14:paraId="18A9C2A1" w14:textId="77777777" w:rsidR="00A345F4" w:rsidRDefault="005E2D4E">
            <w:pPr>
              <w:pStyle w:val="P68B1DB1-Normal14"/>
              <w:spacing w:after="0" w:line="240" w:lineRule="auto"/>
              <w:rPr>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tcPr>
          <w:p w14:paraId="439C4712" w14:textId="77777777" w:rsidR="00A345F4" w:rsidRDefault="005E2D4E">
            <w:pPr>
              <w:pStyle w:val="P68B1DB1-Normal14"/>
              <w:spacing w:after="0" w:line="240" w:lineRule="auto"/>
              <w:rPr>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tcPr>
          <w:p w14:paraId="5D5F5A4C" w14:textId="77777777" w:rsidR="00A345F4" w:rsidRDefault="005E2D4E">
            <w:pPr>
              <w:pStyle w:val="P68B1DB1-Normal14"/>
              <w:spacing w:after="0" w:line="240" w:lineRule="auto"/>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2E1810DE" w14:textId="77777777" w:rsidR="00A345F4" w:rsidRDefault="005E2D4E">
            <w:pPr>
              <w:pStyle w:val="P68B1DB1-Normal14"/>
              <w:spacing w:after="0" w:line="240" w:lineRule="auto"/>
              <w:jc w:val="center"/>
              <w:rPr>
                <w:noProof/>
              </w:rPr>
            </w:pPr>
            <w:r>
              <w:rPr>
                <w:noProof/>
              </w:rPr>
              <w:t>T4</w:t>
            </w:r>
          </w:p>
        </w:tc>
        <w:tc>
          <w:tcPr>
            <w:tcW w:w="845" w:type="dxa"/>
            <w:tcBorders>
              <w:top w:val="nil"/>
              <w:left w:val="nil"/>
              <w:bottom w:val="single" w:sz="4" w:space="0" w:color="auto"/>
              <w:right w:val="single" w:sz="4" w:space="0" w:color="auto"/>
            </w:tcBorders>
            <w:shd w:val="clear" w:color="auto" w:fill="C6EFCE"/>
            <w:noWrap/>
          </w:tcPr>
          <w:p w14:paraId="6C4BE6C4" w14:textId="77777777" w:rsidR="00A345F4" w:rsidRDefault="005E2D4E">
            <w:pPr>
              <w:pStyle w:val="P68B1DB1-Normal14"/>
              <w:spacing w:after="0" w:line="240" w:lineRule="auto"/>
              <w:jc w:val="center"/>
              <w:rPr>
                <w:noProof/>
              </w:rPr>
            </w:pPr>
            <w:r>
              <w:rPr>
                <w:noProof/>
              </w:rPr>
              <w:t>2022</w:t>
            </w:r>
          </w:p>
        </w:tc>
        <w:tc>
          <w:tcPr>
            <w:tcW w:w="2987" w:type="dxa"/>
            <w:tcBorders>
              <w:top w:val="nil"/>
              <w:left w:val="nil"/>
              <w:bottom w:val="single" w:sz="4" w:space="0" w:color="auto"/>
              <w:right w:val="single" w:sz="4" w:space="0" w:color="auto"/>
            </w:tcBorders>
            <w:shd w:val="clear" w:color="auto" w:fill="C6EFCE"/>
            <w:noWrap/>
          </w:tcPr>
          <w:p w14:paraId="36E0F067" w14:textId="77777777" w:rsidR="00A345F4" w:rsidRDefault="005E2D4E">
            <w:pPr>
              <w:pStyle w:val="P68B1DB1-Normal14"/>
              <w:spacing w:after="0" w:line="240" w:lineRule="auto"/>
              <w:jc w:val="both"/>
              <w:rPr>
                <w:noProof/>
              </w:rPr>
            </w:pPr>
            <w:r>
              <w:rPr>
                <w:noProof/>
              </w:rPr>
              <w:t xml:space="preserve">Un organisme national est créé sous la supervision du ministère du développement, des travaux publics et de l’administration et en coordination avec les ministères compétents tels que le ministère des transports et le ministère de l’environnement, et est chargé d’aider les villes à élaborer des plans de mobilité urbaine durable et à évaluer et vérifier la qualité des PMUD. </w:t>
            </w:r>
            <w:r>
              <w:rPr>
                <w:noProof/>
              </w:rPr>
              <w:br/>
              <w:t>L’administration publique centrale aide les villes à élaborer/mettre à jour des PMUD en organisant des réunions régulières du groupe national sur l’optimisation des PMUD en Roumanie, organisées par le ministère du développement, des travaux publics et de l’administration, qui rassemble les acteurs concernés (représentants de l’administration publique centrale et locale, du monde universitaire, de l’environnement privé et des ONG).</w:t>
            </w:r>
          </w:p>
          <w:p w14:paraId="6E737B5A" w14:textId="77777777" w:rsidR="00A345F4" w:rsidRDefault="005E2D4E">
            <w:pPr>
              <w:pStyle w:val="P68B1DB1-Normal14"/>
              <w:spacing w:after="0" w:line="240" w:lineRule="auto"/>
              <w:jc w:val="both"/>
              <w:rPr>
                <w:noProof/>
              </w:rPr>
            </w:pPr>
            <w:r>
              <w:rPr>
                <w:noProof/>
              </w:rPr>
              <w:t xml:space="preserve">Le secrétariat du groupe national est assuré par le ministère du développement, des travaux publics et de l’administration. </w:t>
            </w:r>
          </w:p>
        </w:tc>
      </w:tr>
      <w:tr w:rsidR="00A345F4" w14:paraId="57418DF4"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20F610C9" w14:textId="77777777" w:rsidR="00A345F4" w:rsidRDefault="005E2D4E">
            <w:pPr>
              <w:pStyle w:val="P68B1DB1-Normal14"/>
              <w:spacing w:after="0" w:line="240" w:lineRule="auto"/>
              <w:jc w:val="center"/>
              <w:rPr>
                <w:noProof/>
              </w:rPr>
            </w:pPr>
            <w:r>
              <w:rPr>
                <w:noProof/>
              </w:rPr>
              <w:t>293</w:t>
            </w:r>
          </w:p>
        </w:tc>
        <w:tc>
          <w:tcPr>
            <w:tcW w:w="1569" w:type="dxa"/>
            <w:tcBorders>
              <w:top w:val="nil"/>
              <w:left w:val="nil"/>
              <w:bottom w:val="single" w:sz="4" w:space="0" w:color="auto"/>
              <w:right w:val="single" w:sz="4" w:space="0" w:color="auto"/>
            </w:tcBorders>
            <w:shd w:val="clear" w:color="auto" w:fill="C6EFCE"/>
            <w:noWrap/>
          </w:tcPr>
          <w:p w14:paraId="1AEEAF50" w14:textId="77777777" w:rsidR="00A345F4" w:rsidRDefault="005E2D4E">
            <w:pPr>
              <w:pStyle w:val="P68B1DB1-Normal14"/>
              <w:spacing w:after="0" w:line="240" w:lineRule="auto"/>
              <w:rPr>
                <w:noProof/>
              </w:rPr>
            </w:pPr>
            <w:r>
              <w:rPr>
                <w:noProof/>
              </w:rPr>
              <w:t>Réforme 1. Créer le cadre d'une mobilité urbaine durable</w:t>
            </w:r>
          </w:p>
        </w:tc>
        <w:tc>
          <w:tcPr>
            <w:tcW w:w="1316" w:type="dxa"/>
            <w:tcBorders>
              <w:top w:val="nil"/>
              <w:left w:val="nil"/>
              <w:bottom w:val="single" w:sz="4" w:space="0" w:color="auto"/>
              <w:right w:val="single" w:sz="4" w:space="0" w:color="auto"/>
            </w:tcBorders>
            <w:shd w:val="clear" w:color="auto" w:fill="C6EFCE"/>
            <w:noWrap/>
          </w:tcPr>
          <w:p w14:paraId="51C83DB1" w14:textId="77777777" w:rsidR="00A345F4" w:rsidRDefault="005E2D4E">
            <w:pPr>
              <w:pStyle w:val="P68B1DB1-Normal14"/>
              <w:spacing w:after="0" w:line="240" w:lineRule="auto"/>
              <w:jc w:val="center"/>
              <w:rPr>
                <w:noProof/>
              </w:rPr>
            </w:pPr>
            <w:r>
              <w:rPr>
                <w:noProof/>
              </w:rPr>
              <w:t>Objectif</w:t>
            </w:r>
          </w:p>
        </w:tc>
        <w:tc>
          <w:tcPr>
            <w:tcW w:w="1440" w:type="dxa"/>
            <w:tcBorders>
              <w:top w:val="nil"/>
              <w:left w:val="nil"/>
              <w:bottom w:val="single" w:sz="4" w:space="0" w:color="auto"/>
              <w:right w:val="single" w:sz="4" w:space="0" w:color="auto"/>
            </w:tcBorders>
            <w:shd w:val="clear" w:color="auto" w:fill="C6EFCE"/>
            <w:noWrap/>
          </w:tcPr>
          <w:p w14:paraId="09F3A0E5" w14:textId="77777777" w:rsidR="00A345F4" w:rsidRDefault="005E2D4E">
            <w:pPr>
              <w:pStyle w:val="P68B1DB1-Normal14"/>
              <w:spacing w:after="0" w:line="240" w:lineRule="auto"/>
              <w:rPr>
                <w:noProof/>
              </w:rPr>
            </w:pPr>
            <w:r>
              <w:rPr>
                <w:noProof/>
              </w:rPr>
              <w:t>Augmentation de 20 % du volume total annuel de passagers utilisant les transports publics locaux en 2025 par rapport à 2019</w:t>
            </w:r>
          </w:p>
        </w:tc>
        <w:tc>
          <w:tcPr>
            <w:tcW w:w="1538" w:type="dxa"/>
            <w:tcBorders>
              <w:top w:val="nil"/>
              <w:left w:val="nil"/>
              <w:bottom w:val="single" w:sz="4" w:space="0" w:color="auto"/>
              <w:right w:val="single" w:sz="4" w:space="0" w:color="auto"/>
            </w:tcBorders>
            <w:shd w:val="clear" w:color="auto" w:fill="C6EFCE"/>
            <w:noWrap/>
          </w:tcPr>
          <w:p w14:paraId="627032C0" w14:textId="77777777" w:rsidR="00A345F4" w:rsidRDefault="005E2D4E">
            <w:pPr>
              <w:pStyle w:val="P68B1DB1-Normal14"/>
              <w:spacing w:after="0" w:line="240" w:lineRule="auto"/>
              <w:jc w:val="both"/>
              <w:rPr>
                <w:noProof/>
              </w:rPr>
            </w:pPr>
            <w:r>
              <w:rPr>
                <w:noProof/>
              </w:rPr>
              <w:t xml:space="preserve"> </w:t>
            </w:r>
          </w:p>
        </w:tc>
        <w:tc>
          <w:tcPr>
            <w:tcW w:w="1275" w:type="dxa"/>
            <w:tcBorders>
              <w:top w:val="nil"/>
              <w:left w:val="nil"/>
              <w:bottom w:val="single" w:sz="4" w:space="0" w:color="auto"/>
              <w:right w:val="single" w:sz="4" w:space="0" w:color="auto"/>
            </w:tcBorders>
            <w:shd w:val="clear" w:color="auto" w:fill="C6EFCE"/>
            <w:noWrap/>
          </w:tcPr>
          <w:p w14:paraId="0557ED7C" w14:textId="77777777" w:rsidR="00A345F4" w:rsidRDefault="005E2D4E">
            <w:pPr>
              <w:pStyle w:val="P68B1DB1-Normal14"/>
              <w:spacing w:after="0" w:line="240" w:lineRule="auto"/>
              <w:rPr>
                <w:noProof/>
              </w:rPr>
            </w:pPr>
            <w:r>
              <w:rPr>
                <w:noProof/>
              </w:rPr>
              <w:t>Pourcentage</w:t>
            </w:r>
          </w:p>
        </w:tc>
        <w:tc>
          <w:tcPr>
            <w:tcW w:w="1276" w:type="dxa"/>
            <w:tcBorders>
              <w:top w:val="nil"/>
              <w:left w:val="nil"/>
              <w:bottom w:val="single" w:sz="4" w:space="0" w:color="auto"/>
              <w:right w:val="single" w:sz="4" w:space="0" w:color="auto"/>
            </w:tcBorders>
            <w:shd w:val="clear" w:color="auto" w:fill="C6EFCE"/>
            <w:noWrap/>
          </w:tcPr>
          <w:p w14:paraId="193E5995" w14:textId="77777777" w:rsidR="00A345F4" w:rsidRDefault="005E2D4E">
            <w:pPr>
              <w:pStyle w:val="P68B1DB1-Normal14"/>
              <w:spacing w:after="0" w:line="240" w:lineRule="auto"/>
              <w:jc w:val="both"/>
              <w:rPr>
                <w:noProof/>
              </w:rPr>
            </w:pPr>
            <w:r>
              <w:rPr>
                <w:noProof/>
              </w:rPr>
              <w:t>0</w:t>
            </w:r>
          </w:p>
          <w:p w14:paraId="07FF7110" w14:textId="77777777" w:rsidR="00A345F4" w:rsidRDefault="00A345F4">
            <w:pPr>
              <w:spacing w:after="0" w:line="240" w:lineRule="auto"/>
              <w:jc w:val="both"/>
              <w:rPr>
                <w:rFonts w:ascii="Times New Roman" w:hAnsi="Times New Roman" w:cs="Times New Roman"/>
                <w:noProof/>
                <w:sz w:val="20"/>
                <w:szCs w:val="20"/>
              </w:rPr>
            </w:pPr>
          </w:p>
          <w:p w14:paraId="6DA134AC" w14:textId="77777777" w:rsidR="00A345F4" w:rsidRDefault="00A345F4">
            <w:pPr>
              <w:spacing w:after="0" w:line="240" w:lineRule="auto"/>
              <w:rPr>
                <w:rFonts w:ascii="Times New Roman" w:hAnsi="Times New Roman" w:cs="Times New Roman"/>
                <w:noProof/>
                <w:sz w:val="20"/>
                <w:szCs w:val="20"/>
              </w:rPr>
            </w:pPr>
          </w:p>
        </w:tc>
        <w:tc>
          <w:tcPr>
            <w:tcW w:w="1276" w:type="dxa"/>
            <w:tcBorders>
              <w:top w:val="nil"/>
              <w:left w:val="nil"/>
              <w:bottom w:val="single" w:sz="4" w:space="0" w:color="auto"/>
              <w:right w:val="single" w:sz="4" w:space="0" w:color="auto"/>
            </w:tcBorders>
            <w:shd w:val="clear" w:color="auto" w:fill="C6EFCE"/>
            <w:noWrap/>
          </w:tcPr>
          <w:p w14:paraId="5C6E9DB9" w14:textId="77777777" w:rsidR="00A345F4" w:rsidRDefault="005E2D4E">
            <w:pPr>
              <w:pStyle w:val="P68B1DB1-Normal14"/>
              <w:spacing w:after="0" w:line="240" w:lineRule="auto"/>
              <w:rPr>
                <w:noProof/>
              </w:rPr>
            </w:pPr>
            <w:r>
              <w:rPr>
                <w:noProof/>
              </w:rPr>
              <w:t>20</w:t>
            </w:r>
          </w:p>
        </w:tc>
        <w:tc>
          <w:tcPr>
            <w:tcW w:w="1134" w:type="dxa"/>
            <w:tcBorders>
              <w:top w:val="nil"/>
              <w:left w:val="nil"/>
              <w:bottom w:val="single" w:sz="4" w:space="0" w:color="auto"/>
              <w:right w:val="single" w:sz="4" w:space="0" w:color="auto"/>
            </w:tcBorders>
            <w:shd w:val="clear" w:color="auto" w:fill="C6EFCE"/>
            <w:noWrap/>
          </w:tcPr>
          <w:p w14:paraId="1AA5AA23" w14:textId="77777777" w:rsidR="00A345F4" w:rsidRDefault="005E2D4E">
            <w:pPr>
              <w:pStyle w:val="P68B1DB1-Normal14"/>
              <w:spacing w:after="0" w:line="240" w:lineRule="auto"/>
              <w:jc w:val="center"/>
              <w:rPr>
                <w:noProof/>
              </w:rPr>
            </w:pPr>
            <w:r>
              <w:rPr>
                <w:noProof/>
              </w:rPr>
              <w:t>T2</w:t>
            </w:r>
          </w:p>
        </w:tc>
        <w:tc>
          <w:tcPr>
            <w:tcW w:w="845" w:type="dxa"/>
            <w:tcBorders>
              <w:top w:val="nil"/>
              <w:left w:val="nil"/>
              <w:bottom w:val="single" w:sz="4" w:space="0" w:color="auto"/>
              <w:right w:val="single" w:sz="4" w:space="0" w:color="auto"/>
            </w:tcBorders>
            <w:shd w:val="clear" w:color="auto" w:fill="C6EFCE"/>
            <w:noWrap/>
          </w:tcPr>
          <w:p w14:paraId="607CB1B7" w14:textId="77777777" w:rsidR="00A345F4" w:rsidRDefault="005E2D4E">
            <w:pPr>
              <w:pStyle w:val="P68B1DB1-Normal14"/>
              <w:spacing w:after="0" w:line="240" w:lineRule="auto"/>
              <w:jc w:val="center"/>
              <w:rPr>
                <w:noProof/>
              </w:rPr>
            </w:pPr>
            <w:r>
              <w:rPr>
                <w:noProof/>
              </w:rPr>
              <w:t>2026</w:t>
            </w:r>
          </w:p>
        </w:tc>
        <w:tc>
          <w:tcPr>
            <w:tcW w:w="2987" w:type="dxa"/>
            <w:tcBorders>
              <w:top w:val="nil"/>
              <w:left w:val="nil"/>
              <w:bottom w:val="single" w:sz="4" w:space="0" w:color="auto"/>
              <w:right w:val="single" w:sz="4" w:space="0" w:color="auto"/>
            </w:tcBorders>
            <w:shd w:val="clear" w:color="auto" w:fill="C6EFCE"/>
            <w:noWrap/>
          </w:tcPr>
          <w:p w14:paraId="2ABAB1BE" w14:textId="7EAB1F79" w:rsidR="00A345F4" w:rsidRDefault="005E2D4E">
            <w:pPr>
              <w:pStyle w:val="P68B1DB1-Normal14"/>
              <w:spacing w:after="0" w:line="240" w:lineRule="auto"/>
              <w:jc w:val="both"/>
              <w:rPr>
                <w:noProof/>
              </w:rPr>
            </w:pPr>
            <w:r>
              <w:rPr>
                <w:noProof/>
              </w:rPr>
              <w:t xml:space="preserve">L’objectif correspond à l’augmentation de 20 % du volume total annuel de passagers utilisant les transports publics locaux en 2025 par rapport à 2019, et est calculé sur la base des informations fournies par l’Institut national des statistiques. </w:t>
            </w:r>
          </w:p>
        </w:tc>
      </w:tr>
      <w:tr w:rsidR="00A345F4" w14:paraId="357AC8CD"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08EFB1DF" w14:textId="77777777" w:rsidR="00A345F4" w:rsidRDefault="005E2D4E">
            <w:pPr>
              <w:pStyle w:val="P68B1DB1-Normal14"/>
              <w:spacing w:after="0" w:line="240" w:lineRule="auto"/>
              <w:jc w:val="center"/>
              <w:rPr>
                <w:noProof/>
              </w:rPr>
            </w:pPr>
            <w:r>
              <w:rPr>
                <w:noProof/>
              </w:rPr>
              <w:t>294</w:t>
            </w:r>
          </w:p>
        </w:tc>
        <w:tc>
          <w:tcPr>
            <w:tcW w:w="1569" w:type="dxa"/>
            <w:tcBorders>
              <w:top w:val="nil"/>
              <w:left w:val="nil"/>
              <w:bottom w:val="single" w:sz="4" w:space="0" w:color="auto"/>
              <w:right w:val="single" w:sz="4" w:space="0" w:color="auto"/>
            </w:tcBorders>
            <w:shd w:val="clear" w:color="auto" w:fill="C6EFCE"/>
            <w:noWrap/>
          </w:tcPr>
          <w:p w14:paraId="6E875E86" w14:textId="77777777" w:rsidR="00A345F4" w:rsidRDefault="005E2D4E">
            <w:pPr>
              <w:pStyle w:val="P68B1DB1-Normal14"/>
              <w:spacing w:after="0" w:line="240" w:lineRule="auto"/>
              <w:rPr>
                <w:noProof/>
              </w:rPr>
            </w:pPr>
            <w:r>
              <w:rPr>
                <w:noProof/>
              </w:rPr>
              <w:t xml:space="preserve">Investissement 1. Mobilité urbaine durable </w:t>
            </w:r>
          </w:p>
        </w:tc>
        <w:tc>
          <w:tcPr>
            <w:tcW w:w="1316" w:type="dxa"/>
            <w:tcBorders>
              <w:top w:val="nil"/>
              <w:left w:val="nil"/>
              <w:bottom w:val="single" w:sz="4" w:space="0" w:color="auto"/>
              <w:right w:val="single" w:sz="4" w:space="0" w:color="auto"/>
            </w:tcBorders>
            <w:shd w:val="clear" w:color="auto" w:fill="C6EFCE"/>
            <w:noWrap/>
          </w:tcPr>
          <w:p w14:paraId="5A422274" w14:textId="77777777" w:rsidR="00A345F4" w:rsidRDefault="005E2D4E">
            <w:pPr>
              <w:pStyle w:val="P68B1DB1-Normal14"/>
              <w:spacing w:after="0" w:line="240" w:lineRule="auto"/>
              <w:jc w:val="center"/>
              <w:rPr>
                <w:noProof/>
              </w:rPr>
            </w:pPr>
            <w:r>
              <w:rPr>
                <w:noProof/>
              </w:rPr>
              <w:t>Étape</w:t>
            </w:r>
          </w:p>
        </w:tc>
        <w:tc>
          <w:tcPr>
            <w:tcW w:w="1440" w:type="dxa"/>
            <w:tcBorders>
              <w:top w:val="nil"/>
              <w:left w:val="nil"/>
              <w:bottom w:val="single" w:sz="4" w:space="0" w:color="auto"/>
              <w:right w:val="single" w:sz="4" w:space="0" w:color="auto"/>
            </w:tcBorders>
            <w:shd w:val="clear" w:color="auto" w:fill="C6EFCE"/>
            <w:noWrap/>
          </w:tcPr>
          <w:p w14:paraId="3630AC02" w14:textId="77777777" w:rsidR="00A345F4" w:rsidRDefault="005E2D4E">
            <w:pPr>
              <w:pStyle w:val="P68B1DB1-Normal14"/>
              <w:spacing w:after="0" w:line="240" w:lineRule="auto"/>
              <w:jc w:val="both"/>
              <w:rPr>
                <w:noProof/>
              </w:rPr>
            </w:pPr>
            <w:r>
              <w:rPr>
                <w:noProof/>
              </w:rPr>
              <w:t>Signature de contrats pour le renouvellement des flottes de transports publics (achat de véhicules propres)</w:t>
            </w:r>
          </w:p>
        </w:tc>
        <w:tc>
          <w:tcPr>
            <w:tcW w:w="1538" w:type="dxa"/>
            <w:tcBorders>
              <w:top w:val="nil"/>
              <w:left w:val="nil"/>
              <w:bottom w:val="single" w:sz="4" w:space="0" w:color="auto"/>
              <w:right w:val="single" w:sz="4" w:space="0" w:color="auto"/>
            </w:tcBorders>
            <w:shd w:val="clear" w:color="auto" w:fill="C6EFCE"/>
            <w:noWrap/>
          </w:tcPr>
          <w:p w14:paraId="0443A9D6" w14:textId="77777777" w:rsidR="00A345F4" w:rsidRDefault="005E2D4E">
            <w:pPr>
              <w:pStyle w:val="P68B1DB1-Normal14"/>
              <w:spacing w:after="0" w:line="240" w:lineRule="auto"/>
              <w:jc w:val="both"/>
              <w:rPr>
                <w:noProof/>
              </w:rPr>
            </w:pPr>
            <w:r>
              <w:rPr>
                <w:noProof/>
              </w:rPr>
              <w:t>Signature des contrats</w:t>
            </w:r>
          </w:p>
        </w:tc>
        <w:tc>
          <w:tcPr>
            <w:tcW w:w="1275" w:type="dxa"/>
            <w:tcBorders>
              <w:top w:val="nil"/>
              <w:left w:val="nil"/>
              <w:bottom w:val="single" w:sz="4" w:space="0" w:color="auto"/>
              <w:right w:val="single" w:sz="4" w:space="0" w:color="auto"/>
            </w:tcBorders>
            <w:shd w:val="clear" w:color="auto" w:fill="C6EFCE"/>
            <w:noWrap/>
          </w:tcPr>
          <w:p w14:paraId="32D739CE" w14:textId="77777777" w:rsidR="00A345F4" w:rsidRDefault="005E2D4E">
            <w:pPr>
              <w:pStyle w:val="P68B1DB1-Normal14"/>
              <w:spacing w:after="0" w:line="240" w:lineRule="auto"/>
              <w:rPr>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tcPr>
          <w:p w14:paraId="05D15D1F" w14:textId="77777777" w:rsidR="00A345F4" w:rsidRDefault="005E2D4E">
            <w:pPr>
              <w:pStyle w:val="P68B1DB1-Normal14"/>
              <w:spacing w:after="0" w:line="240" w:lineRule="auto"/>
              <w:jc w:val="both"/>
              <w:rPr>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tcPr>
          <w:p w14:paraId="4BEE141A" w14:textId="77777777" w:rsidR="00A345F4" w:rsidRDefault="005E2D4E">
            <w:pPr>
              <w:pStyle w:val="P68B1DB1-Normal14"/>
              <w:spacing w:after="0" w:line="240" w:lineRule="auto"/>
              <w:jc w:val="both"/>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0785F8E0" w14:textId="77777777" w:rsidR="00A345F4" w:rsidRDefault="005E2D4E">
            <w:pPr>
              <w:pStyle w:val="P68B1DB1-Normal14"/>
              <w:spacing w:after="0" w:line="240" w:lineRule="auto"/>
              <w:jc w:val="both"/>
              <w:rPr>
                <w:noProof/>
              </w:rPr>
            </w:pPr>
            <w:r>
              <w:rPr>
                <w:noProof/>
              </w:rPr>
              <w:t>T4</w:t>
            </w:r>
          </w:p>
          <w:p w14:paraId="39A94B2B" w14:textId="77777777" w:rsidR="00A345F4" w:rsidRDefault="00A345F4">
            <w:pPr>
              <w:spacing w:after="0" w:line="240" w:lineRule="auto"/>
              <w:jc w:val="both"/>
              <w:rPr>
                <w:rFonts w:ascii="Times New Roman" w:hAnsi="Times New Roman" w:cs="Times New Roman"/>
                <w:noProof/>
                <w:sz w:val="20"/>
                <w:szCs w:val="20"/>
              </w:rPr>
            </w:pPr>
          </w:p>
          <w:p w14:paraId="2EB58764" w14:textId="77777777" w:rsidR="00A345F4" w:rsidRDefault="00A345F4">
            <w:pPr>
              <w:spacing w:after="0" w:line="240" w:lineRule="auto"/>
              <w:jc w:val="both"/>
              <w:rPr>
                <w:rFonts w:ascii="Times New Roman" w:hAnsi="Times New Roman" w:cs="Times New Roman"/>
                <w:noProof/>
                <w:sz w:val="20"/>
                <w:szCs w:val="20"/>
              </w:rPr>
            </w:pPr>
          </w:p>
          <w:p w14:paraId="0517C7D8" w14:textId="77777777" w:rsidR="00A345F4" w:rsidRDefault="00A345F4">
            <w:pPr>
              <w:spacing w:after="0" w:line="240" w:lineRule="auto"/>
              <w:jc w:val="both"/>
              <w:rPr>
                <w:rFonts w:ascii="Times New Roman" w:hAnsi="Times New Roman" w:cs="Times New Roman"/>
                <w:noProof/>
                <w:sz w:val="20"/>
                <w:szCs w:val="20"/>
              </w:rPr>
            </w:pPr>
          </w:p>
          <w:p w14:paraId="7C5A6C00" w14:textId="77777777" w:rsidR="00A345F4" w:rsidRDefault="00A345F4">
            <w:pPr>
              <w:spacing w:after="0" w:line="240" w:lineRule="auto"/>
              <w:jc w:val="center"/>
              <w:rPr>
                <w:rFonts w:ascii="Times New Roman" w:hAnsi="Times New Roman" w:cs="Times New Roman"/>
                <w:noProof/>
                <w:sz w:val="20"/>
                <w:szCs w:val="20"/>
              </w:rPr>
            </w:pPr>
          </w:p>
        </w:tc>
        <w:tc>
          <w:tcPr>
            <w:tcW w:w="845" w:type="dxa"/>
            <w:tcBorders>
              <w:top w:val="nil"/>
              <w:left w:val="nil"/>
              <w:bottom w:val="single" w:sz="4" w:space="0" w:color="auto"/>
              <w:right w:val="single" w:sz="4" w:space="0" w:color="auto"/>
            </w:tcBorders>
            <w:shd w:val="clear" w:color="auto" w:fill="C6EFCE"/>
            <w:noWrap/>
          </w:tcPr>
          <w:p w14:paraId="33EE4798" w14:textId="77777777" w:rsidR="00A345F4" w:rsidRDefault="005E2D4E">
            <w:pPr>
              <w:pStyle w:val="P68B1DB1-Normal14"/>
              <w:spacing w:after="0" w:line="240" w:lineRule="auto"/>
              <w:jc w:val="both"/>
              <w:rPr>
                <w:noProof/>
              </w:rPr>
            </w:pPr>
            <w:r>
              <w:rPr>
                <w:noProof/>
              </w:rPr>
              <w:t>2022</w:t>
            </w:r>
          </w:p>
          <w:p w14:paraId="573D54FB" w14:textId="77777777" w:rsidR="00A345F4" w:rsidRDefault="00A345F4">
            <w:pPr>
              <w:spacing w:after="0" w:line="240" w:lineRule="auto"/>
              <w:jc w:val="both"/>
              <w:rPr>
                <w:rFonts w:ascii="Times New Roman" w:hAnsi="Times New Roman" w:cs="Times New Roman"/>
                <w:noProof/>
                <w:sz w:val="20"/>
                <w:szCs w:val="20"/>
              </w:rPr>
            </w:pPr>
          </w:p>
          <w:p w14:paraId="66F1F4F4" w14:textId="77777777" w:rsidR="00A345F4" w:rsidRDefault="00A345F4">
            <w:pPr>
              <w:spacing w:after="0" w:line="240" w:lineRule="auto"/>
              <w:jc w:val="both"/>
              <w:rPr>
                <w:rFonts w:ascii="Times New Roman" w:hAnsi="Times New Roman" w:cs="Times New Roman"/>
                <w:noProof/>
                <w:sz w:val="20"/>
                <w:szCs w:val="20"/>
              </w:rPr>
            </w:pPr>
          </w:p>
          <w:p w14:paraId="6B4F1153" w14:textId="77777777" w:rsidR="00A345F4" w:rsidRDefault="00A345F4">
            <w:pPr>
              <w:spacing w:after="0" w:line="240" w:lineRule="auto"/>
              <w:jc w:val="both"/>
              <w:rPr>
                <w:rFonts w:ascii="Times New Roman" w:hAnsi="Times New Roman" w:cs="Times New Roman"/>
                <w:noProof/>
                <w:sz w:val="20"/>
                <w:szCs w:val="20"/>
              </w:rPr>
            </w:pPr>
          </w:p>
          <w:p w14:paraId="53589171" w14:textId="77777777" w:rsidR="00A345F4" w:rsidRDefault="00A345F4">
            <w:pPr>
              <w:spacing w:after="0" w:line="240" w:lineRule="auto"/>
              <w:jc w:val="center"/>
              <w:rPr>
                <w:rFonts w:ascii="Times New Roman" w:hAnsi="Times New Roman" w:cs="Times New Roman"/>
                <w:noProof/>
                <w:sz w:val="20"/>
                <w:szCs w:val="20"/>
              </w:rPr>
            </w:pPr>
          </w:p>
        </w:tc>
        <w:tc>
          <w:tcPr>
            <w:tcW w:w="2987" w:type="dxa"/>
            <w:tcBorders>
              <w:top w:val="nil"/>
              <w:left w:val="nil"/>
              <w:bottom w:val="single" w:sz="4" w:space="0" w:color="auto"/>
              <w:right w:val="single" w:sz="4" w:space="0" w:color="auto"/>
            </w:tcBorders>
            <w:shd w:val="clear" w:color="auto" w:fill="C6EFCE"/>
            <w:noWrap/>
          </w:tcPr>
          <w:p w14:paraId="07D0724C" w14:textId="77777777" w:rsidR="00A345F4" w:rsidRDefault="005E2D4E">
            <w:pPr>
              <w:pStyle w:val="P68B1DB1-Normal14"/>
              <w:spacing w:after="0" w:line="240" w:lineRule="auto"/>
              <w:jc w:val="both"/>
              <w:rPr>
                <w:noProof/>
              </w:rPr>
            </w:pPr>
            <w:r>
              <w:rPr>
                <w:noProof/>
              </w:rPr>
              <w:t>Le régime de financement définit les critères et les conditions à remplir pour le financement des bénéficiaires qui sont sélectionnés au moyen d’un appel à propositions ouvert et transparent, qui comprend notamment les spécifications suivantes:</w:t>
            </w:r>
          </w:p>
          <w:p w14:paraId="62BD83B5"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 xml:space="preserve">Alignement obligatoire des investissements sur le plan de mobilité urbaine durable/développement durable intégré/plan urbain général approuvé ou en cours d’élaboration; </w:t>
            </w:r>
          </w:p>
          <w:p w14:paraId="1B729624"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Assurer une couverture avec des services de mobilité dans la zone fonctionnelle et périurbaine. Garantir la hiérarchisation et la promotion des transports publics dans le trafic local en planifiant des itinéraires préférentiels et des voies de bus sur les artères les plus fréquentées/encombrées;</w:t>
            </w:r>
          </w:p>
          <w:p w14:paraId="15F69F53"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 xml:space="preserve">avoir conclu un contrat de service public avec des opérateurs économiques conformément aux dispositions du règlement (CE) no 1370/2007; </w:t>
            </w:r>
          </w:p>
          <w:p w14:paraId="314AE821"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Classification obligatoire des véhicules achetés en vertu des dispositions du règlement européen sur la sécurité générale — RSG (2019/2144), qui entrera en vigueur le 6 juillet 2022.</w:t>
            </w:r>
          </w:p>
          <w:p w14:paraId="21B7FD93"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 xml:space="preserve">Critères de financement des véhicules exclusivement à émissions nulles: les autobus, les trolleybus utilisant un moteur ou une batterie zéro émission, les tramways et les minibus. </w:t>
            </w:r>
          </w:p>
          <w:p w14:paraId="2A87C419" w14:textId="77777777" w:rsidR="00A345F4" w:rsidRDefault="005E2D4E">
            <w:pPr>
              <w:pStyle w:val="P68B1DB1-Normal14"/>
              <w:spacing w:after="0" w:line="240" w:lineRule="auto"/>
              <w:jc w:val="both"/>
              <w:rPr>
                <w:noProof/>
              </w:rPr>
            </w:pPr>
            <w:r>
              <w:rPr>
                <w:noProof/>
              </w:rPr>
              <w:t xml:space="preserve">La priorité est accordée aux investissements réalisés dans des zones urbaines ou rurales fonctionnelles. </w:t>
            </w:r>
          </w:p>
        </w:tc>
      </w:tr>
      <w:tr w:rsidR="00A345F4" w14:paraId="4060E23D"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42763285" w14:textId="77777777" w:rsidR="00A345F4" w:rsidRDefault="005E2D4E">
            <w:pPr>
              <w:pStyle w:val="P68B1DB1-Normal14"/>
              <w:spacing w:after="0" w:line="240" w:lineRule="auto"/>
              <w:jc w:val="center"/>
              <w:rPr>
                <w:noProof/>
              </w:rPr>
            </w:pPr>
            <w:r>
              <w:rPr>
                <w:noProof/>
              </w:rPr>
              <w:t>296</w:t>
            </w:r>
          </w:p>
        </w:tc>
        <w:tc>
          <w:tcPr>
            <w:tcW w:w="1569" w:type="dxa"/>
            <w:tcBorders>
              <w:top w:val="nil"/>
              <w:left w:val="nil"/>
              <w:bottom w:val="single" w:sz="4" w:space="0" w:color="auto"/>
              <w:right w:val="single" w:sz="4" w:space="0" w:color="auto"/>
            </w:tcBorders>
            <w:shd w:val="clear" w:color="auto" w:fill="C6EFCE"/>
            <w:noWrap/>
          </w:tcPr>
          <w:p w14:paraId="4B7CEE2F" w14:textId="77777777" w:rsidR="00A345F4" w:rsidRDefault="005E2D4E">
            <w:pPr>
              <w:pStyle w:val="P68B1DB1-Normal14"/>
              <w:spacing w:after="0" w:line="240" w:lineRule="auto"/>
              <w:rPr>
                <w:noProof/>
              </w:rPr>
            </w:pPr>
            <w:r>
              <w:rPr>
                <w:noProof/>
              </w:rPr>
              <w:t>Investissement 1. Mobilité urbaine durable</w:t>
            </w:r>
          </w:p>
        </w:tc>
        <w:tc>
          <w:tcPr>
            <w:tcW w:w="1316" w:type="dxa"/>
            <w:tcBorders>
              <w:top w:val="nil"/>
              <w:left w:val="nil"/>
              <w:bottom w:val="single" w:sz="4" w:space="0" w:color="auto"/>
              <w:right w:val="single" w:sz="4" w:space="0" w:color="auto"/>
            </w:tcBorders>
            <w:shd w:val="clear" w:color="auto" w:fill="C6EFCE"/>
            <w:noWrap/>
          </w:tcPr>
          <w:p w14:paraId="12CA610F" w14:textId="77777777" w:rsidR="00A345F4" w:rsidRDefault="005E2D4E">
            <w:pPr>
              <w:pStyle w:val="P68B1DB1-Normal14"/>
              <w:spacing w:after="0" w:line="240" w:lineRule="auto"/>
              <w:jc w:val="center"/>
              <w:rPr>
                <w:noProof/>
              </w:rPr>
            </w:pPr>
            <w:r>
              <w:rPr>
                <w:noProof/>
              </w:rPr>
              <w:t>Objectif</w:t>
            </w:r>
          </w:p>
        </w:tc>
        <w:tc>
          <w:tcPr>
            <w:tcW w:w="1440" w:type="dxa"/>
            <w:tcBorders>
              <w:top w:val="nil"/>
              <w:left w:val="nil"/>
              <w:bottom w:val="single" w:sz="4" w:space="0" w:color="auto"/>
              <w:right w:val="single" w:sz="4" w:space="0" w:color="auto"/>
            </w:tcBorders>
            <w:shd w:val="clear" w:color="auto" w:fill="C6EFCE"/>
            <w:noWrap/>
          </w:tcPr>
          <w:p w14:paraId="78FA4A12" w14:textId="77777777" w:rsidR="00A345F4" w:rsidRDefault="005E2D4E">
            <w:pPr>
              <w:pStyle w:val="P68B1DB1-Normal14"/>
              <w:spacing w:after="0" w:line="240" w:lineRule="auto"/>
              <w:jc w:val="both"/>
              <w:rPr>
                <w:noProof/>
              </w:rPr>
            </w:pPr>
            <w:r>
              <w:rPr>
                <w:noProof/>
              </w:rPr>
              <w:t xml:space="preserve">Véhicules supplémentaires à émissions nulles livrés </w:t>
            </w:r>
          </w:p>
        </w:tc>
        <w:tc>
          <w:tcPr>
            <w:tcW w:w="1538" w:type="dxa"/>
            <w:tcBorders>
              <w:top w:val="single" w:sz="4" w:space="0" w:color="auto"/>
              <w:left w:val="nil"/>
              <w:bottom w:val="single" w:sz="4" w:space="0" w:color="auto"/>
              <w:right w:val="single" w:sz="4" w:space="0" w:color="auto"/>
            </w:tcBorders>
            <w:shd w:val="clear" w:color="auto" w:fill="C6EFCE"/>
            <w:noWrap/>
          </w:tcPr>
          <w:p w14:paraId="34F89BA3" w14:textId="77777777" w:rsidR="00A345F4" w:rsidRDefault="005E2D4E">
            <w:pPr>
              <w:pStyle w:val="P68B1DB1-Normal14"/>
              <w:spacing w:after="0" w:line="240" w:lineRule="auto"/>
              <w:jc w:val="both"/>
              <w:rPr>
                <w:noProof/>
              </w:rPr>
            </w:pPr>
            <w:r>
              <w:rPr>
                <w:noProof/>
              </w:rPr>
              <w:t xml:space="preserve"> </w:t>
            </w:r>
          </w:p>
        </w:tc>
        <w:tc>
          <w:tcPr>
            <w:tcW w:w="1275" w:type="dxa"/>
            <w:tcBorders>
              <w:top w:val="nil"/>
              <w:left w:val="nil"/>
              <w:bottom w:val="single" w:sz="4" w:space="0" w:color="auto"/>
              <w:right w:val="single" w:sz="4" w:space="0" w:color="auto"/>
            </w:tcBorders>
            <w:shd w:val="clear" w:color="auto" w:fill="C6EFCE"/>
            <w:noWrap/>
          </w:tcPr>
          <w:p w14:paraId="407782DF" w14:textId="77777777" w:rsidR="00A345F4" w:rsidRDefault="005E2D4E">
            <w:pPr>
              <w:pStyle w:val="P68B1DB1-Normal14"/>
              <w:spacing w:after="0" w:line="240" w:lineRule="auto"/>
              <w:rPr>
                <w:noProof/>
              </w:rPr>
            </w:pPr>
            <w:r>
              <w:rPr>
                <w:noProof/>
              </w:rPr>
              <w:t>Numéro</w:t>
            </w:r>
          </w:p>
        </w:tc>
        <w:tc>
          <w:tcPr>
            <w:tcW w:w="1276" w:type="dxa"/>
            <w:tcBorders>
              <w:top w:val="nil"/>
              <w:left w:val="nil"/>
              <w:bottom w:val="single" w:sz="4" w:space="0" w:color="auto"/>
              <w:right w:val="single" w:sz="4" w:space="0" w:color="auto"/>
            </w:tcBorders>
            <w:shd w:val="clear" w:color="auto" w:fill="C6EFCE"/>
            <w:noWrap/>
          </w:tcPr>
          <w:p w14:paraId="43E489DE" w14:textId="77777777" w:rsidR="00A345F4" w:rsidRDefault="005E2D4E">
            <w:pPr>
              <w:pStyle w:val="P68B1DB1-Normal14"/>
              <w:spacing w:after="0" w:line="240" w:lineRule="auto"/>
              <w:jc w:val="both"/>
              <w:rPr>
                <w:noProof/>
              </w:rPr>
            </w:pPr>
            <w:r>
              <w:rPr>
                <w:noProof/>
              </w:rPr>
              <w:t>1 618</w:t>
            </w:r>
          </w:p>
          <w:p w14:paraId="3189CFDC" w14:textId="77777777" w:rsidR="00A345F4" w:rsidRDefault="00A345F4">
            <w:pPr>
              <w:spacing w:after="0" w:line="240" w:lineRule="auto"/>
              <w:jc w:val="both"/>
              <w:rPr>
                <w:rFonts w:ascii="Times New Roman" w:hAnsi="Times New Roman" w:cs="Times New Roman"/>
                <w:noProof/>
                <w:sz w:val="20"/>
                <w:szCs w:val="20"/>
              </w:rPr>
            </w:pPr>
          </w:p>
        </w:tc>
        <w:tc>
          <w:tcPr>
            <w:tcW w:w="1276" w:type="dxa"/>
            <w:tcBorders>
              <w:top w:val="nil"/>
              <w:left w:val="nil"/>
              <w:bottom w:val="single" w:sz="4" w:space="0" w:color="auto"/>
              <w:right w:val="single" w:sz="4" w:space="0" w:color="auto"/>
            </w:tcBorders>
            <w:shd w:val="clear" w:color="auto" w:fill="C6EFCE"/>
            <w:noWrap/>
          </w:tcPr>
          <w:p w14:paraId="0EF7E5F8" w14:textId="77777777" w:rsidR="00A345F4" w:rsidRDefault="005E2D4E">
            <w:pPr>
              <w:pStyle w:val="P68B1DB1-Normal14"/>
              <w:spacing w:after="0" w:line="240" w:lineRule="auto"/>
              <w:jc w:val="both"/>
              <w:rPr>
                <w:noProof/>
              </w:rPr>
            </w:pPr>
            <w:r>
              <w:rPr>
                <w:noProof/>
              </w:rPr>
              <w:t>2 753</w:t>
            </w:r>
          </w:p>
        </w:tc>
        <w:tc>
          <w:tcPr>
            <w:tcW w:w="1134" w:type="dxa"/>
            <w:tcBorders>
              <w:top w:val="nil"/>
              <w:left w:val="nil"/>
              <w:bottom w:val="single" w:sz="4" w:space="0" w:color="auto"/>
              <w:right w:val="single" w:sz="4" w:space="0" w:color="auto"/>
            </w:tcBorders>
            <w:shd w:val="clear" w:color="auto" w:fill="C6EFCE"/>
            <w:noWrap/>
          </w:tcPr>
          <w:p w14:paraId="573E13AA" w14:textId="77777777" w:rsidR="00A345F4" w:rsidRDefault="005E2D4E">
            <w:pPr>
              <w:pStyle w:val="P68B1DB1-Normal14"/>
              <w:spacing w:after="0" w:line="240" w:lineRule="auto"/>
              <w:jc w:val="both"/>
              <w:rPr>
                <w:noProof/>
              </w:rPr>
            </w:pPr>
            <w:r>
              <w:rPr>
                <w:noProof/>
              </w:rPr>
              <w:t>T2</w:t>
            </w:r>
          </w:p>
        </w:tc>
        <w:tc>
          <w:tcPr>
            <w:tcW w:w="845" w:type="dxa"/>
            <w:tcBorders>
              <w:top w:val="nil"/>
              <w:left w:val="nil"/>
              <w:bottom w:val="single" w:sz="4" w:space="0" w:color="auto"/>
              <w:right w:val="single" w:sz="4" w:space="0" w:color="auto"/>
            </w:tcBorders>
            <w:shd w:val="clear" w:color="auto" w:fill="C6EFCE"/>
            <w:noWrap/>
          </w:tcPr>
          <w:p w14:paraId="03853FEC" w14:textId="77777777" w:rsidR="00A345F4" w:rsidRDefault="005E2D4E">
            <w:pPr>
              <w:pStyle w:val="P68B1DB1-Normal14"/>
              <w:spacing w:after="0" w:line="240" w:lineRule="auto"/>
              <w:jc w:val="both"/>
              <w:rPr>
                <w:noProof/>
              </w:rPr>
            </w:pPr>
            <w:r>
              <w:rPr>
                <w:noProof/>
              </w:rPr>
              <w:t>2026</w:t>
            </w:r>
          </w:p>
        </w:tc>
        <w:tc>
          <w:tcPr>
            <w:tcW w:w="2987" w:type="dxa"/>
            <w:tcBorders>
              <w:top w:val="nil"/>
              <w:left w:val="nil"/>
              <w:bottom w:val="single" w:sz="4" w:space="0" w:color="auto"/>
              <w:right w:val="single" w:sz="4" w:space="0" w:color="auto"/>
            </w:tcBorders>
            <w:shd w:val="clear" w:color="auto" w:fill="C6EFCE"/>
            <w:noWrap/>
          </w:tcPr>
          <w:p w14:paraId="29F1E813" w14:textId="6FE664D3" w:rsidR="00A345F4" w:rsidRDefault="005E2D4E">
            <w:pPr>
              <w:pStyle w:val="P68B1DB1-Normal14"/>
              <w:spacing w:after="0" w:line="240" w:lineRule="auto"/>
              <w:jc w:val="both"/>
              <w:rPr>
                <w:noProof/>
              </w:rPr>
            </w:pPr>
            <w:r>
              <w:rPr>
                <w:noProof/>
              </w:rPr>
              <w:t xml:space="preserve">Certificats d’acceptation confirmant la livraison d’un total de 1 135 véhicules à émissions nulles (autobus, tramways, trolleybus et minibus, par exemple) dans les zones urbaines et rurales. Dans les zones rurales, l'investissement est limité aux minibus. </w:t>
            </w:r>
          </w:p>
        </w:tc>
      </w:tr>
      <w:tr w:rsidR="00A345F4" w14:paraId="08422DD2"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5FD426FC" w14:textId="77777777" w:rsidR="00A345F4" w:rsidRDefault="005E2D4E">
            <w:pPr>
              <w:pStyle w:val="P68B1DB1-Normal14"/>
              <w:spacing w:after="0" w:line="240" w:lineRule="auto"/>
              <w:jc w:val="center"/>
              <w:rPr>
                <w:noProof/>
              </w:rPr>
            </w:pPr>
            <w:r>
              <w:rPr>
                <w:noProof/>
              </w:rPr>
              <w:t>298</w:t>
            </w:r>
          </w:p>
        </w:tc>
        <w:tc>
          <w:tcPr>
            <w:tcW w:w="1569" w:type="dxa"/>
            <w:tcBorders>
              <w:top w:val="nil"/>
              <w:left w:val="nil"/>
              <w:bottom w:val="single" w:sz="4" w:space="0" w:color="auto"/>
              <w:right w:val="single" w:sz="4" w:space="0" w:color="auto"/>
            </w:tcBorders>
            <w:shd w:val="clear" w:color="auto" w:fill="C6EFCE"/>
            <w:noWrap/>
          </w:tcPr>
          <w:p w14:paraId="68E86FCE" w14:textId="77777777" w:rsidR="00A345F4" w:rsidRDefault="005E2D4E">
            <w:pPr>
              <w:pStyle w:val="P68B1DB1-Normal14"/>
              <w:spacing w:after="0" w:line="240" w:lineRule="auto"/>
              <w:rPr>
                <w:noProof/>
              </w:rPr>
            </w:pPr>
            <w:r>
              <w:rPr>
                <w:noProof/>
              </w:rPr>
              <w:t>Investissement 1. Mobilité urbaine durable</w:t>
            </w:r>
          </w:p>
        </w:tc>
        <w:tc>
          <w:tcPr>
            <w:tcW w:w="1316" w:type="dxa"/>
            <w:tcBorders>
              <w:top w:val="nil"/>
              <w:left w:val="nil"/>
              <w:bottom w:val="single" w:sz="4" w:space="0" w:color="auto"/>
              <w:right w:val="single" w:sz="4" w:space="0" w:color="auto"/>
            </w:tcBorders>
            <w:shd w:val="clear" w:color="auto" w:fill="C6EFCE"/>
            <w:noWrap/>
          </w:tcPr>
          <w:p w14:paraId="38161F02" w14:textId="77777777" w:rsidR="00A345F4" w:rsidRDefault="005E2D4E">
            <w:pPr>
              <w:pStyle w:val="P68B1DB1-Normal14"/>
              <w:spacing w:after="0" w:line="240" w:lineRule="auto"/>
              <w:jc w:val="center"/>
              <w:rPr>
                <w:noProof/>
              </w:rPr>
            </w:pPr>
            <w:r>
              <w:rPr>
                <w:noProof/>
              </w:rPr>
              <w:t>Étape</w:t>
            </w:r>
          </w:p>
        </w:tc>
        <w:tc>
          <w:tcPr>
            <w:tcW w:w="1440" w:type="dxa"/>
            <w:tcBorders>
              <w:top w:val="nil"/>
              <w:left w:val="nil"/>
              <w:bottom w:val="single" w:sz="4" w:space="0" w:color="auto"/>
              <w:right w:val="single" w:sz="4" w:space="0" w:color="auto"/>
            </w:tcBorders>
            <w:shd w:val="clear" w:color="auto" w:fill="C6EFCE"/>
            <w:noWrap/>
          </w:tcPr>
          <w:p w14:paraId="43B05C27" w14:textId="77777777" w:rsidR="00A345F4" w:rsidRDefault="005E2D4E">
            <w:pPr>
              <w:pStyle w:val="P68B1DB1-Normal14"/>
              <w:spacing w:after="0" w:line="240" w:lineRule="auto"/>
              <w:jc w:val="both"/>
              <w:rPr>
                <w:noProof/>
              </w:rPr>
            </w:pPr>
            <w:r>
              <w:rPr>
                <w:noProof/>
              </w:rPr>
              <w:t>Signature de contrats pour la fourniture de STI/d’autres infrastructures TIC</w:t>
            </w:r>
          </w:p>
        </w:tc>
        <w:tc>
          <w:tcPr>
            <w:tcW w:w="1538" w:type="dxa"/>
            <w:tcBorders>
              <w:top w:val="single" w:sz="4" w:space="0" w:color="auto"/>
              <w:left w:val="nil"/>
              <w:bottom w:val="single" w:sz="4" w:space="0" w:color="auto"/>
              <w:right w:val="single" w:sz="4" w:space="0" w:color="auto"/>
            </w:tcBorders>
            <w:shd w:val="clear" w:color="auto" w:fill="C6EFCE"/>
            <w:noWrap/>
          </w:tcPr>
          <w:p w14:paraId="5FCC287F" w14:textId="77777777" w:rsidR="00A345F4" w:rsidRDefault="005E2D4E">
            <w:pPr>
              <w:pStyle w:val="P68B1DB1-Normal14"/>
              <w:spacing w:after="0" w:line="240" w:lineRule="auto"/>
              <w:jc w:val="both"/>
              <w:rPr>
                <w:noProof/>
              </w:rPr>
            </w:pPr>
            <w:r>
              <w:rPr>
                <w:noProof/>
              </w:rPr>
              <w:t>Signature des contrats</w:t>
            </w:r>
          </w:p>
        </w:tc>
        <w:tc>
          <w:tcPr>
            <w:tcW w:w="1275" w:type="dxa"/>
            <w:tcBorders>
              <w:top w:val="nil"/>
              <w:left w:val="nil"/>
              <w:bottom w:val="single" w:sz="4" w:space="0" w:color="auto"/>
              <w:right w:val="single" w:sz="4" w:space="0" w:color="auto"/>
            </w:tcBorders>
            <w:shd w:val="clear" w:color="auto" w:fill="C6EFCE"/>
            <w:noWrap/>
          </w:tcPr>
          <w:p w14:paraId="363A724B" w14:textId="77777777" w:rsidR="00A345F4" w:rsidRDefault="005E2D4E">
            <w:pPr>
              <w:pStyle w:val="P68B1DB1-Normal14"/>
              <w:spacing w:after="0" w:line="240" w:lineRule="auto"/>
              <w:rPr>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tcPr>
          <w:p w14:paraId="7B3F7F22" w14:textId="77777777" w:rsidR="00A345F4" w:rsidRDefault="005E2D4E">
            <w:pPr>
              <w:pStyle w:val="P68B1DB1-Normal14"/>
              <w:spacing w:after="0" w:line="240" w:lineRule="auto"/>
              <w:jc w:val="both"/>
              <w:rPr>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tcPr>
          <w:p w14:paraId="4DFD3E07" w14:textId="77777777" w:rsidR="00A345F4" w:rsidRDefault="005E2D4E">
            <w:pPr>
              <w:pStyle w:val="P68B1DB1-Normal14"/>
              <w:spacing w:after="0" w:line="240" w:lineRule="auto"/>
              <w:jc w:val="both"/>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074163FE" w14:textId="77777777" w:rsidR="00A345F4" w:rsidRDefault="005E2D4E">
            <w:pPr>
              <w:pStyle w:val="P68B1DB1-Normal14"/>
              <w:spacing w:after="0" w:line="240" w:lineRule="auto"/>
              <w:jc w:val="both"/>
              <w:rPr>
                <w:noProof/>
              </w:rPr>
            </w:pPr>
            <w:r>
              <w:rPr>
                <w:noProof/>
              </w:rPr>
              <w:t>T4</w:t>
            </w:r>
          </w:p>
          <w:p w14:paraId="72A5CBC1" w14:textId="77777777" w:rsidR="00A345F4" w:rsidRDefault="00A345F4">
            <w:pPr>
              <w:spacing w:after="0" w:line="240" w:lineRule="auto"/>
              <w:jc w:val="both"/>
              <w:rPr>
                <w:rFonts w:ascii="Times New Roman" w:hAnsi="Times New Roman" w:cs="Times New Roman"/>
                <w:noProof/>
                <w:sz w:val="20"/>
                <w:szCs w:val="20"/>
              </w:rPr>
            </w:pPr>
          </w:p>
        </w:tc>
        <w:tc>
          <w:tcPr>
            <w:tcW w:w="845" w:type="dxa"/>
            <w:tcBorders>
              <w:top w:val="nil"/>
              <w:left w:val="nil"/>
              <w:bottom w:val="single" w:sz="4" w:space="0" w:color="auto"/>
              <w:right w:val="single" w:sz="4" w:space="0" w:color="auto"/>
            </w:tcBorders>
            <w:shd w:val="clear" w:color="auto" w:fill="C6EFCE"/>
            <w:noWrap/>
          </w:tcPr>
          <w:p w14:paraId="5D86AC10" w14:textId="77777777" w:rsidR="00A345F4" w:rsidRDefault="005E2D4E">
            <w:pPr>
              <w:pStyle w:val="P68B1DB1-Normal14"/>
              <w:spacing w:after="0" w:line="240" w:lineRule="auto"/>
              <w:jc w:val="both"/>
              <w:rPr>
                <w:noProof/>
              </w:rPr>
            </w:pPr>
            <w:r>
              <w:rPr>
                <w:noProof/>
              </w:rPr>
              <w:t>2022</w:t>
            </w:r>
          </w:p>
        </w:tc>
        <w:tc>
          <w:tcPr>
            <w:tcW w:w="2987" w:type="dxa"/>
            <w:tcBorders>
              <w:top w:val="nil"/>
              <w:left w:val="nil"/>
              <w:bottom w:val="single" w:sz="4" w:space="0" w:color="auto"/>
              <w:right w:val="single" w:sz="4" w:space="0" w:color="auto"/>
            </w:tcBorders>
            <w:shd w:val="clear" w:color="auto" w:fill="C6EFCE"/>
            <w:noWrap/>
          </w:tcPr>
          <w:p w14:paraId="1283D2E2" w14:textId="77777777" w:rsidR="00A345F4" w:rsidRDefault="005E2D4E">
            <w:pPr>
              <w:pStyle w:val="P68B1DB1-Normal14"/>
              <w:spacing w:after="0" w:line="240" w:lineRule="auto"/>
              <w:jc w:val="both"/>
              <w:rPr>
                <w:rFonts w:eastAsia="Times New Roman"/>
                <w:noProof/>
              </w:rPr>
            </w:pPr>
            <w:r>
              <w:rPr>
                <w:noProof/>
              </w:rPr>
              <w:t>Le régime définit les critères et les conditions à remplir pour le financement des bénéficiaires qui sont sélectionnés au moyen d’un appel à propositions ouvert et transparent, qui comprend notamment les spécifications suivantes:</w:t>
            </w:r>
          </w:p>
          <w:p w14:paraId="663DDF3F"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 xml:space="preserve">Alignement obligatoire des investissements sur le plan de mobilité urbaine durable/développement durable intégré/plan urbain général approuvé; </w:t>
            </w:r>
          </w:p>
          <w:p w14:paraId="6EAA6819"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Assurer une couverture avec des services de mobilité dans la zone fonctionnelle et périurbaine. Garantir la hiérarchisation et la promotion des transports publics dans le trafic local en planifiant des itinéraires préférentiels et des voies de bus sur les artères les plus fréquentées/encombrées;</w:t>
            </w:r>
          </w:p>
          <w:p w14:paraId="1A687CB9" w14:textId="77777777" w:rsidR="00A345F4" w:rsidRDefault="005E2D4E">
            <w:pPr>
              <w:pStyle w:val="P68B1DB1-Normal14"/>
              <w:spacing w:after="0"/>
              <w:jc w:val="both"/>
              <w:rPr>
                <w:rFonts w:eastAsia="Times New Roman"/>
                <w:noProof/>
              </w:rPr>
            </w:pPr>
            <w:r>
              <w:rPr>
                <w:noProof/>
              </w:rPr>
              <w:t>Les actions suivantes sont éligibles au titre des systèmes de transport intelligents (conformément au domaine d’intervention 076 – Numérisation des transports urbains)</w:t>
            </w:r>
          </w:p>
          <w:p w14:paraId="35857F94" w14:textId="77777777" w:rsidR="00A345F4" w:rsidRDefault="005E2D4E">
            <w:pPr>
              <w:pStyle w:val="P68B1DB1-Normal14"/>
              <w:numPr>
                <w:ilvl w:val="0"/>
                <w:numId w:val="47"/>
              </w:numPr>
              <w:spacing w:after="0" w:line="240" w:lineRule="auto"/>
              <w:ind w:left="144" w:hanging="144"/>
              <w:jc w:val="both"/>
              <w:rPr>
                <w:noProof/>
              </w:rPr>
            </w:pPr>
            <w:r>
              <w:rPr>
                <w:noProof/>
              </w:rPr>
              <w:t>Gestion intelligente du trafic</w:t>
            </w:r>
          </w:p>
          <w:p w14:paraId="5D7C1759" w14:textId="77777777" w:rsidR="00A345F4" w:rsidRDefault="005E2D4E">
            <w:pPr>
              <w:pStyle w:val="P68B1DB1-Normal14"/>
              <w:numPr>
                <w:ilvl w:val="0"/>
                <w:numId w:val="47"/>
              </w:numPr>
              <w:spacing w:after="0" w:line="240" w:lineRule="auto"/>
              <w:ind w:left="144" w:hanging="144"/>
              <w:jc w:val="both"/>
              <w:rPr>
                <w:noProof/>
              </w:rPr>
            </w:pPr>
            <w:r>
              <w:rPr>
                <w:noProof/>
              </w:rPr>
              <w:t>Solutions de charge</w:t>
            </w:r>
          </w:p>
          <w:p w14:paraId="7C988F37" w14:textId="77777777" w:rsidR="00A345F4" w:rsidRDefault="005E2D4E">
            <w:pPr>
              <w:pStyle w:val="P68B1DB1-Normal14"/>
              <w:numPr>
                <w:ilvl w:val="0"/>
                <w:numId w:val="47"/>
              </w:numPr>
              <w:spacing w:after="0" w:line="240" w:lineRule="auto"/>
              <w:ind w:left="144" w:hanging="144"/>
              <w:jc w:val="both"/>
              <w:rPr>
                <w:noProof/>
              </w:rPr>
            </w:pPr>
            <w:r>
              <w:rPr>
                <w:noProof/>
              </w:rPr>
              <w:t>Solutions de stationnement intelligentes intégrées</w:t>
            </w:r>
          </w:p>
          <w:p w14:paraId="03BB21AD" w14:textId="77777777" w:rsidR="00A345F4" w:rsidRDefault="005E2D4E">
            <w:pPr>
              <w:pStyle w:val="P68B1DB1-Normal14"/>
              <w:numPr>
                <w:ilvl w:val="0"/>
                <w:numId w:val="47"/>
              </w:numPr>
              <w:spacing w:after="0" w:line="240" w:lineRule="auto"/>
              <w:ind w:left="144" w:hanging="144"/>
              <w:jc w:val="both"/>
              <w:rPr>
                <w:noProof/>
              </w:rPr>
            </w:pPr>
            <w:r>
              <w:rPr>
                <w:noProof/>
              </w:rPr>
              <w:t xml:space="preserve">Centres de contrôle de la circulation </w:t>
            </w:r>
          </w:p>
          <w:p w14:paraId="3D07A484" w14:textId="77777777" w:rsidR="00A345F4" w:rsidRDefault="005E2D4E">
            <w:pPr>
              <w:pStyle w:val="P68B1DB1-Normal14"/>
              <w:numPr>
                <w:ilvl w:val="0"/>
                <w:numId w:val="47"/>
              </w:numPr>
              <w:spacing w:after="0" w:line="240" w:lineRule="auto"/>
              <w:ind w:left="144" w:hanging="144"/>
              <w:jc w:val="both"/>
              <w:rPr>
                <w:noProof/>
              </w:rPr>
            </w:pPr>
            <w:r>
              <w:rPr>
                <w:noProof/>
              </w:rPr>
              <w:t>Systèmes d'avertissement d'adaptation de la vitesse</w:t>
            </w:r>
          </w:p>
          <w:p w14:paraId="693F3E68" w14:textId="77777777" w:rsidR="00A345F4" w:rsidRDefault="005E2D4E">
            <w:pPr>
              <w:pStyle w:val="P68B1DB1-Normal14"/>
              <w:numPr>
                <w:ilvl w:val="0"/>
                <w:numId w:val="47"/>
              </w:numPr>
              <w:spacing w:after="0" w:line="240" w:lineRule="auto"/>
              <w:ind w:left="144" w:hanging="144"/>
              <w:jc w:val="both"/>
              <w:rPr>
                <w:noProof/>
              </w:rPr>
            </w:pPr>
            <w:r>
              <w:rPr>
                <w:noProof/>
              </w:rPr>
              <w:t>Systèmes de sécurité pour la zone de travail</w:t>
            </w:r>
          </w:p>
          <w:p w14:paraId="3A4A0F8C" w14:textId="77777777" w:rsidR="00A345F4" w:rsidRDefault="005E2D4E">
            <w:pPr>
              <w:pStyle w:val="P68B1DB1-Normal14"/>
              <w:numPr>
                <w:ilvl w:val="0"/>
                <w:numId w:val="47"/>
              </w:numPr>
              <w:spacing w:after="0" w:line="240" w:lineRule="auto"/>
              <w:ind w:left="144" w:hanging="144"/>
              <w:jc w:val="both"/>
              <w:rPr>
                <w:noProof/>
              </w:rPr>
            </w:pPr>
            <w:r>
              <w:rPr>
                <w:noProof/>
              </w:rPr>
              <w:t>Système de feux de circulation interconnectés</w:t>
            </w:r>
          </w:p>
          <w:p w14:paraId="464339B0" w14:textId="77777777" w:rsidR="00A345F4" w:rsidRDefault="005E2D4E">
            <w:pPr>
              <w:pStyle w:val="P68B1DB1-Normal14"/>
              <w:numPr>
                <w:ilvl w:val="0"/>
                <w:numId w:val="47"/>
              </w:numPr>
              <w:spacing w:after="0" w:line="240" w:lineRule="auto"/>
              <w:ind w:left="144" w:hanging="144"/>
              <w:jc w:val="both"/>
              <w:rPr>
                <w:noProof/>
              </w:rPr>
            </w:pPr>
            <w:r>
              <w:rPr>
                <w:noProof/>
              </w:rPr>
              <w:t>Surveillance des temps de trajet et de la vitesse</w:t>
            </w:r>
          </w:p>
          <w:p w14:paraId="1C08E7E3" w14:textId="77777777" w:rsidR="00A345F4" w:rsidRDefault="005E2D4E">
            <w:pPr>
              <w:pStyle w:val="P68B1DB1-Normal14"/>
              <w:numPr>
                <w:ilvl w:val="0"/>
                <w:numId w:val="47"/>
              </w:numPr>
              <w:spacing w:after="0" w:line="240" w:lineRule="auto"/>
              <w:ind w:left="144" w:hanging="144"/>
              <w:jc w:val="both"/>
              <w:rPr>
                <w:noProof/>
              </w:rPr>
            </w:pPr>
            <w:r>
              <w:rPr>
                <w:noProof/>
              </w:rPr>
              <w:t>Systèmes de pesage en mouvement</w:t>
            </w:r>
          </w:p>
          <w:p w14:paraId="1CB4A5DE" w14:textId="77777777" w:rsidR="00A345F4" w:rsidRDefault="005E2D4E">
            <w:pPr>
              <w:pStyle w:val="P68B1DB1-Normal14"/>
              <w:numPr>
                <w:ilvl w:val="0"/>
                <w:numId w:val="47"/>
              </w:numPr>
              <w:spacing w:after="0" w:line="240" w:lineRule="auto"/>
              <w:ind w:left="144" w:hanging="144"/>
              <w:jc w:val="both"/>
              <w:rPr>
                <w:noProof/>
              </w:rPr>
            </w:pPr>
            <w:r>
              <w:rPr>
                <w:noProof/>
              </w:rPr>
              <w:t>Signal prioritaire pour l'utilisation des véhicules d'urgence</w:t>
            </w:r>
          </w:p>
          <w:p w14:paraId="594BE42D" w14:textId="77777777" w:rsidR="00A345F4" w:rsidRDefault="005E2D4E">
            <w:pPr>
              <w:pStyle w:val="P68B1DB1-Normal14"/>
              <w:numPr>
                <w:ilvl w:val="0"/>
                <w:numId w:val="47"/>
              </w:numPr>
              <w:spacing w:after="0" w:line="240" w:lineRule="auto"/>
              <w:ind w:left="144" w:hanging="144"/>
              <w:jc w:val="both"/>
              <w:rPr>
                <w:noProof/>
              </w:rPr>
            </w:pPr>
            <w:r>
              <w:rPr>
                <w:noProof/>
              </w:rPr>
              <w:t>Signaux de messages dynamiques</w:t>
            </w:r>
          </w:p>
          <w:p w14:paraId="4F7D8AD5" w14:textId="77777777" w:rsidR="00A345F4" w:rsidRDefault="005E2D4E">
            <w:pPr>
              <w:pStyle w:val="P68B1DB1-Normal14"/>
              <w:numPr>
                <w:ilvl w:val="0"/>
                <w:numId w:val="47"/>
              </w:numPr>
              <w:spacing w:after="0" w:line="240" w:lineRule="auto"/>
              <w:ind w:left="144" w:hanging="144"/>
              <w:jc w:val="both"/>
              <w:rPr>
                <w:noProof/>
              </w:rPr>
            </w:pPr>
            <w:r>
              <w:rPr>
                <w:noProof/>
              </w:rPr>
              <w:t>Planificateur de voyage pour les transports en commun.</w:t>
            </w:r>
          </w:p>
          <w:p w14:paraId="1E43EA38" w14:textId="77777777" w:rsidR="00A345F4" w:rsidRDefault="005E2D4E">
            <w:pPr>
              <w:pStyle w:val="P68B1DB1-Normal14"/>
              <w:numPr>
                <w:ilvl w:val="0"/>
                <w:numId w:val="47"/>
              </w:numPr>
              <w:spacing w:after="0" w:line="240" w:lineRule="auto"/>
              <w:ind w:left="144" w:hanging="144"/>
              <w:jc w:val="both"/>
              <w:rPr>
                <w:noProof/>
              </w:rPr>
            </w:pPr>
            <w:r>
              <w:rPr>
                <w:noProof/>
              </w:rPr>
              <w:t>Systèmes intégrés d'information des passagers</w:t>
            </w:r>
          </w:p>
          <w:p w14:paraId="2E7D1BD8" w14:textId="77777777" w:rsidR="00A345F4" w:rsidRDefault="005E2D4E">
            <w:pPr>
              <w:pStyle w:val="P68B1DB1-Normal14"/>
              <w:contextualSpacing/>
              <w:jc w:val="both"/>
              <w:rPr>
                <w:rFonts w:eastAsia="Times New Roman"/>
                <w:noProof/>
              </w:rPr>
            </w:pPr>
            <w:r>
              <w:rPr>
                <w:noProof/>
              </w:rPr>
              <w:t>D’autres types d’infrastructures TIC (dans les villes et les municipalités) – le concept de ville intelligente/village intelligent est également éligible en ce qui concerne les développements technologiques (conformément au domaine d’intervention 021ter Développement de services et d’installations de soutien hautement spécialisés pour les administrations publiques et les entreprises), tels que:</w:t>
            </w:r>
            <w:r>
              <w:rPr>
                <w:noProof/>
              </w:rPr>
              <w:tab/>
            </w:r>
          </w:p>
          <w:p w14:paraId="10A1FB79" w14:textId="77777777" w:rsidR="00A345F4" w:rsidRDefault="005E2D4E">
            <w:pPr>
              <w:pStyle w:val="P68B1DB1-Normal14"/>
              <w:numPr>
                <w:ilvl w:val="0"/>
                <w:numId w:val="47"/>
              </w:numPr>
              <w:spacing w:after="0" w:line="240" w:lineRule="auto"/>
              <w:ind w:left="144" w:hanging="144"/>
              <w:jc w:val="both"/>
              <w:rPr>
                <w:noProof/>
              </w:rPr>
            </w:pPr>
            <w:r>
              <w:rPr>
                <w:noProof/>
              </w:rPr>
              <w:t xml:space="preserve">Utilisation de drones pour inspecter des zones ou des situations à risque (zones de montagne). </w:t>
            </w:r>
          </w:p>
          <w:p w14:paraId="313907CE" w14:textId="77777777" w:rsidR="00A345F4" w:rsidRDefault="005E2D4E">
            <w:pPr>
              <w:pStyle w:val="P68B1DB1-Normal14"/>
              <w:numPr>
                <w:ilvl w:val="0"/>
                <w:numId w:val="47"/>
              </w:numPr>
              <w:spacing w:after="0" w:line="240" w:lineRule="auto"/>
              <w:ind w:left="144" w:hanging="144"/>
              <w:jc w:val="both"/>
              <w:rPr>
                <w:noProof/>
              </w:rPr>
            </w:pPr>
            <w:r>
              <w:rPr>
                <w:noProof/>
              </w:rPr>
              <w:t>Centre de surveillance de la situation en temps réel dans la ville</w:t>
            </w:r>
          </w:p>
          <w:p w14:paraId="73ED422C" w14:textId="77777777" w:rsidR="00A345F4" w:rsidRDefault="005E2D4E">
            <w:pPr>
              <w:pStyle w:val="P68B1DB1-Normal14"/>
              <w:numPr>
                <w:ilvl w:val="0"/>
                <w:numId w:val="47"/>
              </w:numPr>
              <w:spacing w:after="0" w:line="240" w:lineRule="auto"/>
              <w:ind w:left="144" w:hanging="144"/>
              <w:jc w:val="both"/>
              <w:rPr>
                <w:noProof/>
              </w:rPr>
            </w:pPr>
            <w:r>
              <w:rPr>
                <w:noProof/>
              </w:rPr>
              <w:t xml:space="preserve">Systèmes de gestion intelligents pour les systèmes d'espaces verts. </w:t>
            </w:r>
          </w:p>
          <w:p w14:paraId="7010981A" w14:textId="77777777" w:rsidR="00A345F4" w:rsidRDefault="005E2D4E">
            <w:pPr>
              <w:pStyle w:val="P68B1DB1-Normal14"/>
              <w:numPr>
                <w:ilvl w:val="0"/>
                <w:numId w:val="47"/>
              </w:numPr>
              <w:spacing w:after="0" w:line="240" w:lineRule="auto"/>
              <w:ind w:left="144" w:hanging="144"/>
              <w:jc w:val="both"/>
              <w:rPr>
                <w:noProof/>
              </w:rPr>
            </w:pPr>
            <w:r>
              <w:rPr>
                <w:noProof/>
              </w:rPr>
              <w:t xml:space="preserve">Extension du système WiFi dans les espaces publics. </w:t>
            </w:r>
          </w:p>
          <w:p w14:paraId="47A8230B" w14:textId="77777777" w:rsidR="00A345F4" w:rsidRDefault="005E2D4E">
            <w:pPr>
              <w:pStyle w:val="P68B1DB1-Normal14"/>
              <w:numPr>
                <w:ilvl w:val="0"/>
                <w:numId w:val="47"/>
              </w:numPr>
              <w:spacing w:after="0" w:line="240" w:lineRule="auto"/>
              <w:ind w:left="144" w:hanging="144"/>
              <w:jc w:val="both"/>
              <w:rPr>
                <w:noProof/>
              </w:rPr>
            </w:pPr>
            <w:r>
              <w:rPr>
                <w:noProof/>
              </w:rPr>
              <w:t xml:space="preserve">Mobilier urbain intelligent. </w:t>
            </w:r>
          </w:p>
          <w:p w14:paraId="185531BE" w14:textId="77777777" w:rsidR="00A345F4" w:rsidRDefault="005E2D4E">
            <w:pPr>
              <w:pStyle w:val="P68B1DB1-Normal14"/>
              <w:numPr>
                <w:ilvl w:val="0"/>
                <w:numId w:val="47"/>
              </w:numPr>
              <w:spacing w:after="0" w:line="240" w:lineRule="auto"/>
              <w:ind w:left="144" w:hanging="144"/>
              <w:jc w:val="both"/>
              <w:rPr>
                <w:noProof/>
              </w:rPr>
            </w:pPr>
            <w:r>
              <w:rPr>
                <w:noProof/>
              </w:rPr>
              <w:t xml:space="preserve">Système de surveillance et de sécurité de l'espace public. </w:t>
            </w:r>
          </w:p>
          <w:p w14:paraId="17620A36" w14:textId="77777777" w:rsidR="00A345F4" w:rsidRDefault="005E2D4E">
            <w:pPr>
              <w:pStyle w:val="P68B1DB1-Normal14"/>
              <w:numPr>
                <w:ilvl w:val="0"/>
                <w:numId w:val="47"/>
              </w:numPr>
              <w:spacing w:after="0" w:line="240" w:lineRule="auto"/>
              <w:ind w:left="144" w:hanging="144"/>
              <w:jc w:val="both"/>
              <w:rPr>
                <w:noProof/>
              </w:rPr>
            </w:pPr>
            <w:r>
              <w:rPr>
                <w:noProof/>
              </w:rPr>
              <w:t xml:space="preserve">Valorisation des objectifs patrimoniaux par la numérisation ou la reconstruction numérique </w:t>
            </w:r>
          </w:p>
          <w:p w14:paraId="272E7856" w14:textId="77777777" w:rsidR="00A345F4" w:rsidRDefault="005E2D4E">
            <w:pPr>
              <w:pStyle w:val="P68B1DB1-Normal14"/>
              <w:numPr>
                <w:ilvl w:val="0"/>
                <w:numId w:val="47"/>
              </w:numPr>
              <w:spacing w:after="0" w:line="240" w:lineRule="auto"/>
              <w:ind w:left="144" w:hanging="144"/>
              <w:jc w:val="both"/>
              <w:rPr>
                <w:noProof/>
              </w:rPr>
            </w:pPr>
            <w:r>
              <w:rPr>
                <w:noProof/>
              </w:rPr>
              <w:t xml:space="preserve">Guichet unique pour les entreprises. </w:t>
            </w:r>
          </w:p>
          <w:p w14:paraId="3CCB2FFE" w14:textId="77777777" w:rsidR="00A345F4" w:rsidRDefault="005E2D4E">
            <w:pPr>
              <w:pStyle w:val="P68B1DB1-Normal14"/>
              <w:numPr>
                <w:ilvl w:val="0"/>
                <w:numId w:val="47"/>
              </w:numPr>
              <w:spacing w:after="0" w:line="240" w:lineRule="auto"/>
              <w:ind w:left="144" w:hanging="144"/>
              <w:jc w:val="both"/>
              <w:rPr>
                <w:noProof/>
              </w:rPr>
            </w:pPr>
            <w:r>
              <w:rPr>
                <w:noProof/>
              </w:rPr>
              <w:t xml:space="preserve">Plateforme pour attirer les investissements. </w:t>
            </w:r>
          </w:p>
          <w:p w14:paraId="59FCF851" w14:textId="77777777" w:rsidR="00A345F4" w:rsidRDefault="005E2D4E">
            <w:pPr>
              <w:pStyle w:val="P68B1DB1-Normal14"/>
              <w:numPr>
                <w:ilvl w:val="0"/>
                <w:numId w:val="47"/>
              </w:numPr>
              <w:spacing w:after="0" w:line="240" w:lineRule="auto"/>
              <w:ind w:left="144" w:hanging="144"/>
              <w:jc w:val="both"/>
              <w:rPr>
                <w:noProof/>
              </w:rPr>
            </w:pPr>
            <w:r>
              <w:rPr>
                <w:noProof/>
              </w:rPr>
              <w:t>Plate-forme pour communiquer avec les citoyens et former des initiatives communautaires</w:t>
            </w:r>
          </w:p>
          <w:p w14:paraId="58CF1B7C" w14:textId="77777777" w:rsidR="00A345F4" w:rsidRDefault="005E2D4E">
            <w:pPr>
              <w:pStyle w:val="P68B1DB1-Normal14"/>
              <w:numPr>
                <w:ilvl w:val="0"/>
                <w:numId w:val="47"/>
              </w:numPr>
              <w:spacing w:after="0" w:line="240" w:lineRule="auto"/>
              <w:ind w:left="144" w:hanging="144"/>
              <w:jc w:val="both"/>
              <w:rPr>
                <w:noProof/>
              </w:rPr>
            </w:pPr>
            <w:r>
              <w:rPr>
                <w:noProof/>
              </w:rPr>
              <w:t>Pôles d'innovation communautaires locaux</w:t>
            </w:r>
          </w:p>
          <w:p w14:paraId="1C5E38A5" w14:textId="77777777" w:rsidR="00A345F4" w:rsidRDefault="005E2D4E">
            <w:pPr>
              <w:pStyle w:val="P68B1DB1-Normal14"/>
              <w:numPr>
                <w:ilvl w:val="0"/>
                <w:numId w:val="47"/>
              </w:numPr>
              <w:spacing w:after="0" w:line="240" w:lineRule="auto"/>
              <w:ind w:left="144" w:hanging="144"/>
              <w:jc w:val="both"/>
              <w:rPr>
                <w:noProof/>
              </w:rPr>
            </w:pPr>
            <w:r>
              <w:rPr>
                <w:noProof/>
              </w:rPr>
              <w:t xml:space="preserve">Développement ou modernisation des infrastructures d'enseignement et de formation professionnels. </w:t>
            </w:r>
          </w:p>
          <w:p w14:paraId="65AFC830" w14:textId="77777777" w:rsidR="00A345F4" w:rsidRDefault="005E2D4E">
            <w:pPr>
              <w:pStyle w:val="P68B1DB1-Normal14"/>
              <w:numPr>
                <w:ilvl w:val="0"/>
                <w:numId w:val="47"/>
              </w:numPr>
              <w:spacing w:after="0" w:line="240" w:lineRule="auto"/>
              <w:ind w:left="144" w:hanging="144"/>
              <w:jc w:val="both"/>
              <w:rPr>
                <w:noProof/>
              </w:rPr>
            </w:pPr>
            <w:r>
              <w:rPr>
                <w:noProof/>
              </w:rPr>
              <w:t xml:space="preserve">Numérisation du système éducatif. </w:t>
            </w:r>
          </w:p>
          <w:p w14:paraId="239FC6C3" w14:textId="77777777" w:rsidR="00A345F4" w:rsidRDefault="005E2D4E">
            <w:pPr>
              <w:pStyle w:val="P68B1DB1-Normal14"/>
              <w:numPr>
                <w:ilvl w:val="0"/>
                <w:numId w:val="47"/>
              </w:numPr>
              <w:spacing w:after="0" w:line="240" w:lineRule="auto"/>
              <w:ind w:left="144" w:hanging="144"/>
              <w:jc w:val="both"/>
              <w:rPr>
                <w:noProof/>
              </w:rPr>
            </w:pPr>
            <w:r>
              <w:rPr>
                <w:noProof/>
              </w:rPr>
              <w:t xml:space="preserve">Bases de données SIG métropolitaines. </w:t>
            </w:r>
          </w:p>
          <w:p w14:paraId="4398DAD7" w14:textId="77777777" w:rsidR="00A345F4" w:rsidRDefault="005E2D4E">
            <w:pPr>
              <w:pStyle w:val="P68B1DB1-Normal14"/>
              <w:numPr>
                <w:ilvl w:val="0"/>
                <w:numId w:val="47"/>
              </w:numPr>
              <w:spacing w:after="0" w:line="240" w:lineRule="auto"/>
              <w:ind w:left="144" w:hanging="144"/>
              <w:jc w:val="both"/>
              <w:rPr>
                <w:noProof/>
              </w:rPr>
            </w:pPr>
            <w:r>
              <w:rPr>
                <w:noProof/>
              </w:rPr>
              <w:t xml:space="preserve">Plateforme de données ouvertes </w:t>
            </w:r>
          </w:p>
          <w:p w14:paraId="5A104631" w14:textId="77777777" w:rsidR="00A345F4" w:rsidRDefault="005E2D4E">
            <w:pPr>
              <w:pStyle w:val="P68B1DB1-Normal14"/>
              <w:numPr>
                <w:ilvl w:val="0"/>
                <w:numId w:val="47"/>
              </w:numPr>
              <w:spacing w:after="0" w:line="240" w:lineRule="auto"/>
              <w:ind w:left="144" w:hanging="144"/>
              <w:jc w:val="both"/>
              <w:rPr>
                <w:noProof/>
              </w:rPr>
            </w:pPr>
            <w:r>
              <w:rPr>
                <w:noProof/>
              </w:rPr>
              <w:t xml:space="preserve">Fonctionnaire virtuel. </w:t>
            </w:r>
          </w:p>
          <w:p w14:paraId="3D61A8B5" w14:textId="77777777" w:rsidR="00A345F4" w:rsidRDefault="005E2D4E">
            <w:pPr>
              <w:pStyle w:val="P68B1DB1-Normal14"/>
              <w:numPr>
                <w:ilvl w:val="0"/>
                <w:numId w:val="47"/>
              </w:numPr>
              <w:spacing w:after="0" w:line="240" w:lineRule="auto"/>
              <w:ind w:left="144" w:hanging="144"/>
              <w:jc w:val="both"/>
              <w:rPr>
                <w:noProof/>
              </w:rPr>
            </w:pPr>
            <w:r>
              <w:rPr>
                <w:noProof/>
              </w:rPr>
              <w:t xml:space="preserve">Services «cloud» </w:t>
            </w:r>
          </w:p>
          <w:p w14:paraId="6691F899" w14:textId="77777777" w:rsidR="00A345F4" w:rsidRDefault="005E2D4E">
            <w:pPr>
              <w:pStyle w:val="P68B1DB1-Normal14"/>
              <w:numPr>
                <w:ilvl w:val="0"/>
                <w:numId w:val="47"/>
              </w:numPr>
              <w:spacing w:after="0" w:line="240" w:lineRule="auto"/>
              <w:ind w:left="144" w:hanging="144"/>
              <w:jc w:val="both"/>
              <w:rPr>
                <w:noProof/>
              </w:rPr>
            </w:pPr>
            <w:r>
              <w:rPr>
                <w:noProof/>
              </w:rPr>
              <w:t xml:space="preserve">Plateforme de service public numérique. </w:t>
            </w:r>
          </w:p>
          <w:p w14:paraId="08FB056A" w14:textId="77777777" w:rsidR="00A345F4" w:rsidRDefault="005E2D4E">
            <w:pPr>
              <w:pStyle w:val="P68B1DB1-Normal14"/>
              <w:numPr>
                <w:ilvl w:val="0"/>
                <w:numId w:val="47"/>
              </w:numPr>
              <w:spacing w:after="0" w:line="240" w:lineRule="auto"/>
              <w:ind w:left="144" w:hanging="144"/>
              <w:jc w:val="both"/>
              <w:rPr>
                <w:noProof/>
              </w:rPr>
            </w:pPr>
            <w:r>
              <w:rPr>
                <w:noProof/>
              </w:rPr>
              <w:t xml:space="preserve">Systèmes d'enregistrement et de délivrance de documents </w:t>
            </w:r>
          </w:p>
          <w:p w14:paraId="210B6257" w14:textId="77777777" w:rsidR="00A345F4" w:rsidRDefault="005E2D4E">
            <w:pPr>
              <w:pStyle w:val="P68B1DB1-Normal14"/>
              <w:numPr>
                <w:ilvl w:val="0"/>
                <w:numId w:val="47"/>
              </w:numPr>
              <w:spacing w:after="0" w:line="240" w:lineRule="auto"/>
              <w:ind w:left="144" w:hanging="144"/>
              <w:jc w:val="both"/>
              <w:rPr>
                <w:noProof/>
              </w:rPr>
            </w:pPr>
            <w:r>
              <w:rPr>
                <w:noProof/>
              </w:rPr>
              <w:t xml:space="preserve">Centre de données urbain et suivi en temps réel de l'état de la ville. </w:t>
            </w:r>
          </w:p>
          <w:p w14:paraId="4CC86B3D" w14:textId="77777777" w:rsidR="00A345F4" w:rsidRDefault="005E2D4E">
            <w:pPr>
              <w:pStyle w:val="P68B1DB1-Normal14"/>
              <w:numPr>
                <w:ilvl w:val="0"/>
                <w:numId w:val="47"/>
              </w:numPr>
              <w:spacing w:after="0" w:line="240" w:lineRule="auto"/>
              <w:ind w:left="144" w:hanging="144"/>
              <w:jc w:val="both"/>
              <w:rPr>
                <w:noProof/>
              </w:rPr>
            </w:pPr>
            <w:r>
              <w:rPr>
                <w:noProof/>
              </w:rPr>
              <w:t xml:space="preserve">Application City (application pour informer les citoyens et identifier les problèmes au niveau local). </w:t>
            </w:r>
          </w:p>
          <w:p w14:paraId="3FC6CF83" w14:textId="77777777" w:rsidR="00A345F4" w:rsidRDefault="005E2D4E">
            <w:pPr>
              <w:pStyle w:val="P68B1DB1-Normal14"/>
              <w:numPr>
                <w:ilvl w:val="0"/>
                <w:numId w:val="47"/>
              </w:numPr>
              <w:spacing w:after="0" w:line="240" w:lineRule="auto"/>
              <w:ind w:left="144" w:hanging="144"/>
              <w:jc w:val="both"/>
              <w:rPr>
                <w:noProof/>
              </w:rPr>
            </w:pPr>
            <w:r>
              <w:rPr>
                <w:noProof/>
              </w:rPr>
              <w:t xml:space="preserve">Paiement en ligne des taxes. </w:t>
            </w:r>
          </w:p>
          <w:p w14:paraId="4913B1F3" w14:textId="77777777" w:rsidR="00A345F4" w:rsidRDefault="005E2D4E">
            <w:pPr>
              <w:pStyle w:val="P68B1DB1-Normal14"/>
              <w:numPr>
                <w:ilvl w:val="0"/>
                <w:numId w:val="47"/>
              </w:numPr>
              <w:spacing w:after="0" w:line="240" w:lineRule="auto"/>
              <w:ind w:left="144" w:hanging="144"/>
              <w:jc w:val="both"/>
              <w:rPr>
                <w:noProof/>
              </w:rPr>
            </w:pPr>
            <w:r>
              <w:rPr>
                <w:noProof/>
              </w:rPr>
              <w:t xml:space="preserve">Système de planification en ligne — site web permettant aux citoyens d’être encodés en ligne dans différents bureaux de l’APL. </w:t>
            </w:r>
          </w:p>
          <w:p w14:paraId="139E9D8F" w14:textId="77777777" w:rsidR="00A345F4" w:rsidRDefault="005E2D4E">
            <w:pPr>
              <w:pStyle w:val="P68B1DB1-Normal14"/>
              <w:numPr>
                <w:ilvl w:val="0"/>
                <w:numId w:val="47"/>
              </w:numPr>
              <w:spacing w:after="0" w:line="240" w:lineRule="auto"/>
              <w:ind w:left="144" w:hanging="144"/>
              <w:jc w:val="both"/>
              <w:rPr>
                <w:noProof/>
              </w:rPr>
            </w:pPr>
            <w:r>
              <w:rPr>
                <w:noProof/>
              </w:rPr>
              <w:t xml:space="preserve">kiosques d'information du service public. </w:t>
            </w:r>
          </w:p>
          <w:p w14:paraId="470F281A" w14:textId="77777777" w:rsidR="00A345F4" w:rsidRDefault="005E2D4E">
            <w:pPr>
              <w:pStyle w:val="P68B1DB1-Normal14"/>
              <w:numPr>
                <w:ilvl w:val="0"/>
                <w:numId w:val="47"/>
              </w:numPr>
              <w:spacing w:after="0" w:line="240" w:lineRule="auto"/>
              <w:ind w:left="144" w:hanging="144"/>
              <w:jc w:val="both"/>
              <w:rPr>
                <w:noProof/>
              </w:rPr>
            </w:pPr>
            <w:r>
              <w:rPr>
                <w:noProof/>
              </w:rPr>
              <w:t xml:space="preserve">Plateforme en ligne et/ou application mobile pour cartographier la consommation d'énergie au niveau du quartier ou de la ville. </w:t>
            </w:r>
          </w:p>
          <w:p w14:paraId="2B824D48" w14:textId="77777777" w:rsidR="00A345F4" w:rsidRDefault="005E2D4E">
            <w:pPr>
              <w:pStyle w:val="P68B1DB1-Normal14"/>
              <w:numPr>
                <w:ilvl w:val="0"/>
                <w:numId w:val="47"/>
              </w:numPr>
              <w:spacing w:after="0" w:line="240" w:lineRule="auto"/>
              <w:ind w:left="144" w:hanging="144"/>
              <w:jc w:val="both"/>
              <w:rPr>
                <w:noProof/>
              </w:rPr>
            </w:pPr>
            <w:r>
              <w:rPr>
                <w:noProof/>
              </w:rPr>
              <w:t xml:space="preserve">Réseau électrique intelligent pouvant être déployé dans différents domaines du logement collectif (Smart Grid). </w:t>
            </w:r>
          </w:p>
          <w:p w14:paraId="40DB82D8" w14:textId="77777777" w:rsidR="00A345F4" w:rsidRDefault="005E2D4E">
            <w:pPr>
              <w:pStyle w:val="P68B1DB1-Normal14"/>
              <w:numPr>
                <w:ilvl w:val="0"/>
                <w:numId w:val="47"/>
              </w:numPr>
              <w:spacing w:after="0" w:line="240" w:lineRule="auto"/>
              <w:ind w:left="144" w:hanging="144"/>
              <w:jc w:val="both"/>
              <w:rPr>
                <w:noProof/>
              </w:rPr>
            </w:pPr>
            <w:r>
              <w:rPr>
                <w:noProof/>
              </w:rPr>
              <w:t>Automatisation des systèmes d'irrigation pour les espaces verts</w:t>
            </w:r>
          </w:p>
          <w:p w14:paraId="40378172" w14:textId="77777777" w:rsidR="00A345F4" w:rsidRDefault="005E2D4E">
            <w:pPr>
              <w:pStyle w:val="P68B1DB1-Normal14"/>
              <w:numPr>
                <w:ilvl w:val="0"/>
                <w:numId w:val="47"/>
              </w:numPr>
              <w:spacing w:after="0" w:line="240" w:lineRule="auto"/>
              <w:ind w:left="144" w:hanging="144"/>
              <w:jc w:val="both"/>
              <w:rPr>
                <w:noProof/>
              </w:rPr>
            </w:pPr>
            <w:r>
              <w:rPr>
                <w:noProof/>
              </w:rPr>
              <w:t>Infrastructures d’assainissement «intelligentes».</w:t>
            </w:r>
          </w:p>
          <w:p w14:paraId="2C6DB840" w14:textId="77777777" w:rsidR="00A345F4" w:rsidRDefault="005E2D4E">
            <w:pPr>
              <w:pStyle w:val="P68B1DB1-Normal14"/>
              <w:numPr>
                <w:ilvl w:val="0"/>
                <w:numId w:val="47"/>
              </w:numPr>
              <w:spacing w:after="0" w:line="240" w:lineRule="auto"/>
              <w:ind w:left="144" w:hanging="144"/>
              <w:jc w:val="both"/>
              <w:rPr>
                <w:rFonts w:eastAsia="Times New Roman"/>
                <w:noProof/>
              </w:rPr>
            </w:pPr>
            <w:r>
              <w:rPr>
                <w:noProof/>
              </w:rPr>
              <w:t>Suivi en temps réel de l'état des infrastructures techniques et municipales et de la consommation.</w:t>
            </w:r>
          </w:p>
        </w:tc>
      </w:tr>
      <w:tr w:rsidR="00A345F4" w14:paraId="654EF334"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6DE47819" w14:textId="77777777" w:rsidR="00A345F4" w:rsidRDefault="005E2D4E">
            <w:pPr>
              <w:pStyle w:val="P68B1DB1-Normal14"/>
              <w:spacing w:after="0" w:line="240" w:lineRule="auto"/>
              <w:jc w:val="center"/>
              <w:rPr>
                <w:noProof/>
              </w:rPr>
            </w:pPr>
            <w:r>
              <w:rPr>
                <w:noProof/>
              </w:rPr>
              <w:t>299</w:t>
            </w:r>
          </w:p>
        </w:tc>
        <w:tc>
          <w:tcPr>
            <w:tcW w:w="1569" w:type="dxa"/>
            <w:tcBorders>
              <w:top w:val="nil"/>
              <w:left w:val="nil"/>
              <w:bottom w:val="single" w:sz="4" w:space="0" w:color="auto"/>
              <w:right w:val="single" w:sz="4" w:space="0" w:color="auto"/>
            </w:tcBorders>
            <w:shd w:val="clear" w:color="auto" w:fill="C6EFCE"/>
            <w:noWrap/>
          </w:tcPr>
          <w:p w14:paraId="70E05ABA" w14:textId="77777777" w:rsidR="00A345F4" w:rsidRDefault="005E2D4E">
            <w:pPr>
              <w:pStyle w:val="P68B1DB1-Normal14"/>
              <w:spacing w:after="0" w:line="240" w:lineRule="auto"/>
              <w:rPr>
                <w:noProof/>
              </w:rPr>
            </w:pPr>
            <w:r>
              <w:rPr>
                <w:noProof/>
              </w:rPr>
              <w:t>Investissement 1. Mobilité urbaine durable</w:t>
            </w:r>
          </w:p>
        </w:tc>
        <w:tc>
          <w:tcPr>
            <w:tcW w:w="1316" w:type="dxa"/>
            <w:tcBorders>
              <w:top w:val="nil"/>
              <w:left w:val="nil"/>
              <w:bottom w:val="single" w:sz="4" w:space="0" w:color="auto"/>
              <w:right w:val="single" w:sz="4" w:space="0" w:color="auto"/>
            </w:tcBorders>
            <w:shd w:val="clear" w:color="auto" w:fill="C6EFCE"/>
            <w:noWrap/>
          </w:tcPr>
          <w:p w14:paraId="6A059751" w14:textId="77777777" w:rsidR="00A345F4" w:rsidRDefault="005E2D4E">
            <w:pPr>
              <w:pStyle w:val="P68B1DB1-Normal14"/>
              <w:spacing w:after="0" w:line="240" w:lineRule="auto"/>
              <w:jc w:val="center"/>
              <w:rPr>
                <w:noProof/>
              </w:rPr>
            </w:pPr>
            <w:r>
              <w:rPr>
                <w:noProof/>
              </w:rPr>
              <w:t>Objectif</w:t>
            </w:r>
          </w:p>
        </w:tc>
        <w:tc>
          <w:tcPr>
            <w:tcW w:w="1440" w:type="dxa"/>
            <w:tcBorders>
              <w:top w:val="nil"/>
              <w:left w:val="nil"/>
              <w:bottom w:val="single" w:sz="4" w:space="0" w:color="auto"/>
              <w:right w:val="single" w:sz="4" w:space="0" w:color="auto"/>
            </w:tcBorders>
            <w:shd w:val="clear" w:color="auto" w:fill="C6EFCE"/>
            <w:noWrap/>
          </w:tcPr>
          <w:p w14:paraId="738AE11B" w14:textId="77777777" w:rsidR="00A345F4" w:rsidRDefault="005E2D4E">
            <w:pPr>
              <w:pStyle w:val="P68B1DB1-Normal14"/>
              <w:spacing w:after="0" w:line="240" w:lineRule="auto"/>
              <w:jc w:val="both"/>
              <w:rPr>
                <w:noProof/>
              </w:rPr>
            </w:pPr>
            <w:r>
              <w:rPr>
                <w:noProof/>
              </w:rPr>
              <w:t>Voies cyclables construites</w:t>
            </w:r>
          </w:p>
        </w:tc>
        <w:tc>
          <w:tcPr>
            <w:tcW w:w="1538" w:type="dxa"/>
            <w:tcBorders>
              <w:top w:val="single" w:sz="4" w:space="0" w:color="auto"/>
              <w:left w:val="nil"/>
              <w:bottom w:val="single" w:sz="4" w:space="0" w:color="auto"/>
              <w:right w:val="single" w:sz="4" w:space="0" w:color="auto"/>
            </w:tcBorders>
            <w:shd w:val="clear" w:color="auto" w:fill="C6EFCE"/>
            <w:noWrap/>
          </w:tcPr>
          <w:p w14:paraId="31EAAB1E" w14:textId="77777777" w:rsidR="00A345F4" w:rsidRDefault="00A345F4">
            <w:pPr>
              <w:spacing w:after="0" w:line="240" w:lineRule="auto"/>
              <w:jc w:val="both"/>
              <w:rPr>
                <w:rFonts w:ascii="Times New Roman" w:hAnsi="Times New Roman" w:cs="Times New Roman"/>
                <w:noProof/>
                <w:sz w:val="20"/>
                <w:szCs w:val="20"/>
              </w:rPr>
            </w:pPr>
          </w:p>
        </w:tc>
        <w:tc>
          <w:tcPr>
            <w:tcW w:w="1275" w:type="dxa"/>
            <w:tcBorders>
              <w:top w:val="nil"/>
              <w:left w:val="nil"/>
              <w:bottom w:val="single" w:sz="4" w:space="0" w:color="auto"/>
              <w:right w:val="single" w:sz="4" w:space="0" w:color="auto"/>
            </w:tcBorders>
            <w:shd w:val="clear" w:color="auto" w:fill="C6EFCE"/>
            <w:noWrap/>
          </w:tcPr>
          <w:p w14:paraId="12B35D5E" w14:textId="77777777" w:rsidR="00A345F4" w:rsidRDefault="005E2D4E">
            <w:pPr>
              <w:pStyle w:val="P68B1DB1-Normal14"/>
              <w:spacing w:after="0" w:line="240" w:lineRule="auto"/>
              <w:rPr>
                <w:noProof/>
              </w:rPr>
            </w:pPr>
            <w:r>
              <w:rPr>
                <w:noProof/>
              </w:rPr>
              <w:t>Kilomètres (km)</w:t>
            </w:r>
          </w:p>
        </w:tc>
        <w:tc>
          <w:tcPr>
            <w:tcW w:w="1276" w:type="dxa"/>
            <w:tcBorders>
              <w:top w:val="nil"/>
              <w:left w:val="nil"/>
              <w:bottom w:val="single" w:sz="4" w:space="0" w:color="auto"/>
              <w:right w:val="single" w:sz="4" w:space="0" w:color="auto"/>
            </w:tcBorders>
            <w:shd w:val="clear" w:color="auto" w:fill="C6EFCE"/>
            <w:noWrap/>
          </w:tcPr>
          <w:p w14:paraId="06118CDC" w14:textId="77777777" w:rsidR="00A345F4" w:rsidRDefault="005E2D4E">
            <w:pPr>
              <w:pStyle w:val="P68B1DB1-Normal14"/>
              <w:spacing w:after="0" w:line="240" w:lineRule="auto"/>
              <w:jc w:val="both"/>
              <w:rPr>
                <w:noProof/>
              </w:rPr>
            </w:pPr>
            <w:r>
              <w:rPr>
                <w:noProof/>
              </w:rPr>
              <w:t>0</w:t>
            </w:r>
          </w:p>
        </w:tc>
        <w:tc>
          <w:tcPr>
            <w:tcW w:w="1276" w:type="dxa"/>
            <w:tcBorders>
              <w:top w:val="nil"/>
              <w:left w:val="nil"/>
              <w:bottom w:val="single" w:sz="4" w:space="0" w:color="auto"/>
              <w:right w:val="single" w:sz="4" w:space="0" w:color="auto"/>
            </w:tcBorders>
            <w:shd w:val="clear" w:color="auto" w:fill="C6EFCE"/>
            <w:noWrap/>
          </w:tcPr>
          <w:p w14:paraId="6A557FC1" w14:textId="77777777" w:rsidR="00A345F4" w:rsidRDefault="005E2D4E">
            <w:pPr>
              <w:pStyle w:val="P68B1DB1-Normal14"/>
              <w:spacing w:after="0" w:line="240" w:lineRule="auto"/>
              <w:jc w:val="both"/>
              <w:rPr>
                <w:noProof/>
              </w:rPr>
            </w:pPr>
            <w:r>
              <w:rPr>
                <w:noProof/>
              </w:rPr>
              <w:t>644</w:t>
            </w:r>
          </w:p>
        </w:tc>
        <w:tc>
          <w:tcPr>
            <w:tcW w:w="1134" w:type="dxa"/>
            <w:tcBorders>
              <w:top w:val="nil"/>
              <w:left w:val="nil"/>
              <w:bottom w:val="single" w:sz="4" w:space="0" w:color="auto"/>
              <w:right w:val="single" w:sz="4" w:space="0" w:color="auto"/>
            </w:tcBorders>
            <w:shd w:val="clear" w:color="auto" w:fill="C6EFCE"/>
            <w:noWrap/>
          </w:tcPr>
          <w:p w14:paraId="6D12F2EA" w14:textId="77777777" w:rsidR="00A345F4" w:rsidRDefault="005E2D4E">
            <w:pPr>
              <w:pStyle w:val="P68B1DB1-Normal14"/>
              <w:spacing w:after="0" w:line="240" w:lineRule="auto"/>
              <w:jc w:val="both"/>
              <w:rPr>
                <w:noProof/>
              </w:rPr>
            </w:pPr>
            <w:r>
              <w:rPr>
                <w:noProof/>
              </w:rPr>
              <w:t>T2</w:t>
            </w:r>
          </w:p>
        </w:tc>
        <w:tc>
          <w:tcPr>
            <w:tcW w:w="845" w:type="dxa"/>
            <w:tcBorders>
              <w:top w:val="nil"/>
              <w:left w:val="nil"/>
              <w:bottom w:val="single" w:sz="4" w:space="0" w:color="auto"/>
              <w:right w:val="single" w:sz="4" w:space="0" w:color="auto"/>
            </w:tcBorders>
            <w:shd w:val="clear" w:color="auto" w:fill="C6EFCE"/>
            <w:noWrap/>
          </w:tcPr>
          <w:p w14:paraId="0AFDF91E" w14:textId="77777777" w:rsidR="00A345F4" w:rsidRDefault="005E2D4E">
            <w:pPr>
              <w:pStyle w:val="P68B1DB1-Normal14"/>
              <w:spacing w:after="0" w:line="240" w:lineRule="auto"/>
              <w:jc w:val="both"/>
              <w:rPr>
                <w:noProof/>
              </w:rPr>
            </w:pPr>
            <w:r>
              <w:rPr>
                <w:noProof/>
              </w:rPr>
              <w:t>2026</w:t>
            </w:r>
          </w:p>
        </w:tc>
        <w:tc>
          <w:tcPr>
            <w:tcW w:w="2987" w:type="dxa"/>
            <w:tcBorders>
              <w:top w:val="nil"/>
              <w:left w:val="nil"/>
              <w:bottom w:val="single" w:sz="4" w:space="0" w:color="auto"/>
              <w:right w:val="single" w:sz="4" w:space="0" w:color="auto"/>
            </w:tcBorders>
            <w:shd w:val="clear" w:color="auto" w:fill="C6EFCE"/>
            <w:noWrap/>
          </w:tcPr>
          <w:p w14:paraId="4C4A9BFC" w14:textId="77777777" w:rsidR="00A345F4" w:rsidRDefault="005E2D4E">
            <w:pPr>
              <w:pStyle w:val="P68B1DB1-Normal14"/>
              <w:spacing w:after="0" w:line="240" w:lineRule="auto"/>
              <w:jc w:val="both"/>
              <w:rPr>
                <w:noProof/>
              </w:rPr>
            </w:pPr>
            <w:r>
              <w:rPr>
                <w:noProof/>
              </w:rPr>
              <w:t xml:space="preserve">Certificats de réception d'achèvement des travaux confirmant que 644 km de pistes cyclables ont été construits. </w:t>
            </w:r>
          </w:p>
        </w:tc>
      </w:tr>
      <w:tr w:rsidR="00A345F4" w14:paraId="64B8E653"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20D4F7DF" w14:textId="77777777" w:rsidR="00A345F4" w:rsidRDefault="005E2D4E">
            <w:pPr>
              <w:pStyle w:val="P68B1DB1-Normal14"/>
              <w:spacing w:after="0" w:line="240" w:lineRule="auto"/>
              <w:jc w:val="center"/>
              <w:rPr>
                <w:noProof/>
              </w:rPr>
            </w:pPr>
            <w:r>
              <w:rPr>
                <w:noProof/>
              </w:rPr>
              <w:t>300</w:t>
            </w:r>
          </w:p>
        </w:tc>
        <w:tc>
          <w:tcPr>
            <w:tcW w:w="1569" w:type="dxa"/>
            <w:tcBorders>
              <w:top w:val="nil"/>
              <w:left w:val="nil"/>
              <w:bottom w:val="single" w:sz="4" w:space="0" w:color="auto"/>
              <w:right w:val="single" w:sz="4" w:space="0" w:color="auto"/>
            </w:tcBorders>
            <w:shd w:val="clear" w:color="auto" w:fill="C6EFCE"/>
            <w:noWrap/>
          </w:tcPr>
          <w:p w14:paraId="2535E1A8" w14:textId="77777777" w:rsidR="00A345F4" w:rsidRDefault="005E2D4E">
            <w:pPr>
              <w:pStyle w:val="P68B1DB1-Normal14"/>
              <w:spacing w:after="0" w:line="240" w:lineRule="auto"/>
              <w:rPr>
                <w:noProof/>
              </w:rPr>
            </w:pPr>
            <w:r>
              <w:rPr>
                <w:noProof/>
              </w:rPr>
              <w:t>Investissement 1. Mobilité urbaine durable</w:t>
            </w:r>
          </w:p>
        </w:tc>
        <w:tc>
          <w:tcPr>
            <w:tcW w:w="1316" w:type="dxa"/>
            <w:tcBorders>
              <w:top w:val="nil"/>
              <w:left w:val="nil"/>
              <w:bottom w:val="single" w:sz="4" w:space="0" w:color="auto"/>
              <w:right w:val="single" w:sz="4" w:space="0" w:color="auto"/>
            </w:tcBorders>
            <w:shd w:val="clear" w:color="auto" w:fill="C6EFCE"/>
            <w:noWrap/>
          </w:tcPr>
          <w:p w14:paraId="1F1EB3FD" w14:textId="77777777" w:rsidR="00A345F4" w:rsidRDefault="005E2D4E">
            <w:pPr>
              <w:pStyle w:val="P68B1DB1-Normal14"/>
              <w:spacing w:after="0" w:line="240" w:lineRule="auto"/>
              <w:jc w:val="center"/>
              <w:rPr>
                <w:noProof/>
              </w:rPr>
            </w:pPr>
            <w:r>
              <w:rPr>
                <w:noProof/>
              </w:rPr>
              <w:t>Objectif</w:t>
            </w:r>
          </w:p>
        </w:tc>
        <w:tc>
          <w:tcPr>
            <w:tcW w:w="1440" w:type="dxa"/>
            <w:tcBorders>
              <w:top w:val="nil"/>
              <w:left w:val="nil"/>
              <w:bottom w:val="single" w:sz="4" w:space="0" w:color="auto"/>
              <w:right w:val="single" w:sz="4" w:space="0" w:color="auto"/>
            </w:tcBorders>
            <w:shd w:val="clear" w:color="auto" w:fill="C6EFCE"/>
            <w:noWrap/>
          </w:tcPr>
          <w:p w14:paraId="77EBAF19" w14:textId="43217738" w:rsidR="00A345F4" w:rsidRDefault="005E2D4E">
            <w:pPr>
              <w:pStyle w:val="P68B1DB1-Normal14"/>
              <w:spacing w:after="0" w:line="240" w:lineRule="auto"/>
              <w:jc w:val="both"/>
              <w:rPr>
                <w:noProof/>
              </w:rPr>
            </w:pPr>
            <w:r>
              <w:rPr>
                <w:noProof/>
              </w:rPr>
              <w:t xml:space="preserve">Unités administratives territoriales dotées de systèmes de transport intelligents et de billetterie électronique ou d’autres infrastructures TIC fournis ou étendus </w:t>
            </w:r>
          </w:p>
        </w:tc>
        <w:tc>
          <w:tcPr>
            <w:tcW w:w="1538" w:type="dxa"/>
            <w:tcBorders>
              <w:top w:val="single" w:sz="4" w:space="0" w:color="auto"/>
              <w:left w:val="nil"/>
              <w:bottom w:val="single" w:sz="4" w:space="0" w:color="auto"/>
              <w:right w:val="single" w:sz="4" w:space="0" w:color="auto"/>
            </w:tcBorders>
            <w:shd w:val="clear" w:color="auto" w:fill="C6EFCE"/>
            <w:noWrap/>
          </w:tcPr>
          <w:p w14:paraId="27A94925" w14:textId="77777777" w:rsidR="00A345F4" w:rsidRDefault="005E2D4E">
            <w:pPr>
              <w:pStyle w:val="P68B1DB1-Normal14"/>
              <w:spacing w:after="0" w:line="240" w:lineRule="auto"/>
              <w:jc w:val="both"/>
              <w:rPr>
                <w:noProof/>
              </w:rPr>
            </w:pPr>
            <w:r>
              <w:rPr>
                <w:noProof/>
              </w:rPr>
              <w:t xml:space="preserve"> </w:t>
            </w:r>
          </w:p>
        </w:tc>
        <w:tc>
          <w:tcPr>
            <w:tcW w:w="1275" w:type="dxa"/>
            <w:tcBorders>
              <w:top w:val="nil"/>
              <w:left w:val="nil"/>
              <w:bottom w:val="single" w:sz="4" w:space="0" w:color="auto"/>
              <w:right w:val="single" w:sz="4" w:space="0" w:color="auto"/>
            </w:tcBorders>
            <w:shd w:val="clear" w:color="auto" w:fill="C6EFCE"/>
            <w:noWrap/>
          </w:tcPr>
          <w:p w14:paraId="2467DC0C" w14:textId="77777777" w:rsidR="00A345F4" w:rsidRDefault="005E2D4E">
            <w:pPr>
              <w:pStyle w:val="P68B1DB1-Normal14"/>
              <w:spacing w:after="0" w:line="240" w:lineRule="auto"/>
              <w:rPr>
                <w:noProof/>
              </w:rPr>
            </w:pPr>
            <w:r>
              <w:rPr>
                <w:noProof/>
              </w:rPr>
              <w:t>Numéro</w:t>
            </w:r>
          </w:p>
        </w:tc>
        <w:tc>
          <w:tcPr>
            <w:tcW w:w="1276" w:type="dxa"/>
            <w:tcBorders>
              <w:top w:val="nil"/>
              <w:left w:val="nil"/>
              <w:bottom w:val="single" w:sz="4" w:space="0" w:color="auto"/>
              <w:right w:val="single" w:sz="4" w:space="0" w:color="auto"/>
            </w:tcBorders>
            <w:shd w:val="clear" w:color="auto" w:fill="C6EFCE"/>
            <w:noWrap/>
          </w:tcPr>
          <w:p w14:paraId="3F717666" w14:textId="77777777" w:rsidR="00A345F4" w:rsidRDefault="005E2D4E">
            <w:pPr>
              <w:pStyle w:val="P68B1DB1-Normal14"/>
              <w:spacing w:after="0" w:line="240" w:lineRule="auto"/>
              <w:jc w:val="both"/>
              <w:rPr>
                <w:noProof/>
              </w:rPr>
            </w:pPr>
            <w:r>
              <w:rPr>
                <w:noProof/>
              </w:rPr>
              <w:t> 0</w:t>
            </w:r>
          </w:p>
        </w:tc>
        <w:tc>
          <w:tcPr>
            <w:tcW w:w="1276" w:type="dxa"/>
            <w:tcBorders>
              <w:top w:val="nil"/>
              <w:left w:val="nil"/>
              <w:bottom w:val="single" w:sz="4" w:space="0" w:color="auto"/>
              <w:right w:val="single" w:sz="4" w:space="0" w:color="auto"/>
            </w:tcBorders>
            <w:shd w:val="clear" w:color="auto" w:fill="C6EFCE"/>
            <w:noWrap/>
          </w:tcPr>
          <w:p w14:paraId="7ED8102D" w14:textId="77777777" w:rsidR="00A345F4" w:rsidRDefault="005E2D4E">
            <w:pPr>
              <w:pStyle w:val="P68B1DB1-Normal14"/>
              <w:spacing w:after="0" w:line="240" w:lineRule="auto"/>
              <w:jc w:val="both"/>
              <w:rPr>
                <w:noProof/>
              </w:rPr>
            </w:pPr>
            <w:r>
              <w:rPr>
                <w:noProof/>
              </w:rPr>
              <w:t>491</w:t>
            </w:r>
          </w:p>
        </w:tc>
        <w:tc>
          <w:tcPr>
            <w:tcW w:w="1134" w:type="dxa"/>
            <w:tcBorders>
              <w:top w:val="nil"/>
              <w:left w:val="nil"/>
              <w:bottom w:val="single" w:sz="4" w:space="0" w:color="auto"/>
              <w:right w:val="single" w:sz="4" w:space="0" w:color="auto"/>
            </w:tcBorders>
            <w:shd w:val="clear" w:color="auto" w:fill="C6EFCE"/>
            <w:noWrap/>
          </w:tcPr>
          <w:p w14:paraId="41F1887B" w14:textId="77777777" w:rsidR="00A345F4" w:rsidRDefault="005E2D4E">
            <w:pPr>
              <w:pStyle w:val="P68B1DB1-Normal14"/>
              <w:spacing w:after="0" w:line="240" w:lineRule="auto"/>
              <w:jc w:val="both"/>
              <w:rPr>
                <w:noProof/>
              </w:rPr>
            </w:pPr>
            <w:r>
              <w:rPr>
                <w:noProof/>
              </w:rPr>
              <w:t>T2</w:t>
            </w:r>
          </w:p>
        </w:tc>
        <w:tc>
          <w:tcPr>
            <w:tcW w:w="845" w:type="dxa"/>
            <w:tcBorders>
              <w:top w:val="nil"/>
              <w:left w:val="nil"/>
              <w:bottom w:val="single" w:sz="4" w:space="0" w:color="auto"/>
              <w:right w:val="single" w:sz="4" w:space="0" w:color="auto"/>
            </w:tcBorders>
            <w:shd w:val="clear" w:color="auto" w:fill="C6EFCE"/>
            <w:noWrap/>
          </w:tcPr>
          <w:p w14:paraId="6A0DB384" w14:textId="77777777" w:rsidR="00A345F4" w:rsidRDefault="005E2D4E">
            <w:pPr>
              <w:pStyle w:val="P68B1DB1-Normal14"/>
              <w:spacing w:after="0" w:line="240" w:lineRule="auto"/>
              <w:jc w:val="both"/>
              <w:rPr>
                <w:noProof/>
              </w:rPr>
            </w:pPr>
            <w:r>
              <w:rPr>
                <w:noProof/>
              </w:rPr>
              <w:t>2026</w:t>
            </w:r>
          </w:p>
        </w:tc>
        <w:tc>
          <w:tcPr>
            <w:tcW w:w="2987" w:type="dxa"/>
            <w:tcBorders>
              <w:top w:val="nil"/>
              <w:left w:val="nil"/>
              <w:bottom w:val="single" w:sz="4" w:space="0" w:color="auto"/>
              <w:right w:val="single" w:sz="4" w:space="0" w:color="auto"/>
            </w:tcBorders>
            <w:shd w:val="clear" w:color="auto" w:fill="C6EFCE"/>
            <w:noWrap/>
          </w:tcPr>
          <w:p w14:paraId="2AACD12E" w14:textId="77777777" w:rsidR="00A345F4" w:rsidRDefault="005E2D4E">
            <w:pPr>
              <w:pStyle w:val="P68B1DB1-Normal14"/>
              <w:spacing w:after="0" w:line="240" w:lineRule="auto"/>
              <w:jc w:val="both"/>
              <w:rPr>
                <w:noProof/>
              </w:rPr>
            </w:pPr>
            <w:r>
              <w:rPr>
                <w:noProof/>
              </w:rPr>
              <w:t>Certificats d’acceptation confirmant que les systèmes de transport intelligents et la billetterie électronique ou d’autres infrastructures TIC ont été fournis ou étendus dans 491 unités administratives territoriales.</w:t>
            </w:r>
          </w:p>
          <w:p w14:paraId="42E19FB6" w14:textId="77777777" w:rsidR="00A345F4" w:rsidRDefault="00A345F4">
            <w:pPr>
              <w:spacing w:after="0" w:line="240" w:lineRule="auto"/>
              <w:jc w:val="both"/>
              <w:rPr>
                <w:rFonts w:ascii="Times New Roman" w:hAnsi="Times New Roman" w:cs="Times New Roman"/>
                <w:noProof/>
                <w:sz w:val="20"/>
                <w:szCs w:val="20"/>
              </w:rPr>
            </w:pPr>
          </w:p>
        </w:tc>
      </w:tr>
      <w:tr w:rsidR="00A345F4" w14:paraId="06B2A996"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2468FCDC" w14:textId="77777777" w:rsidR="00A345F4" w:rsidRDefault="005E2D4E">
            <w:pPr>
              <w:pStyle w:val="P68B1DB1-Normal14"/>
              <w:spacing w:after="0" w:line="240" w:lineRule="auto"/>
              <w:jc w:val="center"/>
              <w:rPr>
                <w:noProof/>
              </w:rPr>
            </w:pPr>
            <w:r>
              <w:rPr>
                <w:noProof/>
              </w:rPr>
              <w:t>301</w:t>
            </w:r>
          </w:p>
        </w:tc>
        <w:tc>
          <w:tcPr>
            <w:tcW w:w="1569" w:type="dxa"/>
            <w:tcBorders>
              <w:top w:val="nil"/>
              <w:left w:val="nil"/>
              <w:bottom w:val="single" w:sz="4" w:space="0" w:color="auto"/>
              <w:right w:val="single" w:sz="4" w:space="0" w:color="auto"/>
            </w:tcBorders>
            <w:shd w:val="clear" w:color="auto" w:fill="C6EFCE"/>
            <w:noWrap/>
          </w:tcPr>
          <w:p w14:paraId="6AB93D51" w14:textId="77777777" w:rsidR="00A345F4" w:rsidRDefault="005E2D4E">
            <w:pPr>
              <w:pStyle w:val="P68B1DB1-Normal14"/>
              <w:spacing w:after="0" w:line="240" w:lineRule="auto"/>
              <w:rPr>
                <w:noProof/>
              </w:rPr>
            </w:pPr>
            <w:r>
              <w:rPr>
                <w:noProof/>
              </w:rPr>
              <w:t>Investissement 1. Mobilité urbaine durable</w:t>
            </w:r>
          </w:p>
        </w:tc>
        <w:tc>
          <w:tcPr>
            <w:tcW w:w="1316" w:type="dxa"/>
            <w:tcBorders>
              <w:top w:val="nil"/>
              <w:left w:val="nil"/>
              <w:bottom w:val="single" w:sz="4" w:space="0" w:color="auto"/>
              <w:right w:val="single" w:sz="4" w:space="0" w:color="auto"/>
            </w:tcBorders>
            <w:shd w:val="clear" w:color="auto" w:fill="C6EFCE"/>
            <w:noWrap/>
          </w:tcPr>
          <w:p w14:paraId="5F722B82" w14:textId="77777777" w:rsidR="00A345F4" w:rsidRDefault="005E2D4E">
            <w:pPr>
              <w:pStyle w:val="P68B1DB1-Normal14"/>
              <w:spacing w:after="0" w:line="240" w:lineRule="auto"/>
              <w:jc w:val="center"/>
              <w:rPr>
                <w:noProof/>
              </w:rPr>
            </w:pPr>
            <w:r>
              <w:rPr>
                <w:noProof/>
              </w:rPr>
              <w:t>Étape</w:t>
            </w:r>
          </w:p>
        </w:tc>
        <w:tc>
          <w:tcPr>
            <w:tcW w:w="1440" w:type="dxa"/>
            <w:tcBorders>
              <w:top w:val="nil"/>
              <w:left w:val="nil"/>
              <w:bottom w:val="single" w:sz="4" w:space="0" w:color="auto"/>
              <w:right w:val="single" w:sz="4" w:space="0" w:color="auto"/>
            </w:tcBorders>
            <w:shd w:val="clear" w:color="auto" w:fill="C6EFCE"/>
            <w:noWrap/>
          </w:tcPr>
          <w:p w14:paraId="39FC0753" w14:textId="77777777" w:rsidR="00A345F4" w:rsidRDefault="005E2D4E">
            <w:pPr>
              <w:pStyle w:val="P68B1DB1-Normal14"/>
              <w:spacing w:after="0" w:line="240" w:lineRule="auto"/>
              <w:jc w:val="both"/>
              <w:rPr>
                <w:noProof/>
              </w:rPr>
            </w:pPr>
            <w:r>
              <w:rPr>
                <w:noProof/>
              </w:rPr>
              <w:t>Signature de contrats pour la construction de points de recharge pour véhicules électriques</w:t>
            </w:r>
          </w:p>
        </w:tc>
        <w:tc>
          <w:tcPr>
            <w:tcW w:w="1538" w:type="dxa"/>
            <w:tcBorders>
              <w:top w:val="single" w:sz="4" w:space="0" w:color="auto"/>
              <w:left w:val="nil"/>
              <w:bottom w:val="single" w:sz="4" w:space="0" w:color="auto"/>
              <w:right w:val="single" w:sz="4" w:space="0" w:color="auto"/>
            </w:tcBorders>
            <w:shd w:val="clear" w:color="auto" w:fill="C6EFCE"/>
            <w:noWrap/>
          </w:tcPr>
          <w:p w14:paraId="14B1C09D" w14:textId="77777777" w:rsidR="00A345F4" w:rsidRDefault="005E2D4E">
            <w:pPr>
              <w:pStyle w:val="P68B1DB1-Normal14"/>
              <w:spacing w:after="0" w:line="240" w:lineRule="auto"/>
              <w:jc w:val="both"/>
              <w:rPr>
                <w:noProof/>
              </w:rPr>
            </w:pPr>
            <w:r>
              <w:rPr>
                <w:noProof/>
              </w:rPr>
              <w:t>Signature des contrats</w:t>
            </w:r>
          </w:p>
        </w:tc>
        <w:tc>
          <w:tcPr>
            <w:tcW w:w="1275" w:type="dxa"/>
            <w:tcBorders>
              <w:top w:val="nil"/>
              <w:left w:val="nil"/>
              <w:bottom w:val="single" w:sz="4" w:space="0" w:color="auto"/>
              <w:right w:val="single" w:sz="4" w:space="0" w:color="auto"/>
            </w:tcBorders>
            <w:shd w:val="clear" w:color="auto" w:fill="C6EFCE"/>
            <w:noWrap/>
          </w:tcPr>
          <w:p w14:paraId="02370920" w14:textId="77777777" w:rsidR="00A345F4" w:rsidRDefault="005E2D4E">
            <w:pPr>
              <w:pStyle w:val="P68B1DB1-Normal14"/>
              <w:spacing w:after="0" w:line="240" w:lineRule="auto"/>
              <w:rPr>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tcPr>
          <w:p w14:paraId="1465CC0C" w14:textId="77777777" w:rsidR="00A345F4" w:rsidRDefault="005E2D4E">
            <w:pPr>
              <w:pStyle w:val="P68B1DB1-Normal14"/>
              <w:spacing w:after="0" w:line="240" w:lineRule="auto"/>
              <w:jc w:val="both"/>
              <w:rPr>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tcPr>
          <w:p w14:paraId="20519D6A" w14:textId="77777777" w:rsidR="00A345F4" w:rsidRDefault="005E2D4E">
            <w:pPr>
              <w:pStyle w:val="P68B1DB1-Normal14"/>
              <w:spacing w:after="0" w:line="240" w:lineRule="auto"/>
              <w:jc w:val="both"/>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7610A6B3" w14:textId="77777777" w:rsidR="00A345F4" w:rsidRDefault="005E2D4E">
            <w:pPr>
              <w:pStyle w:val="P68B1DB1-Normal14"/>
              <w:spacing w:after="0" w:line="240" w:lineRule="auto"/>
              <w:jc w:val="both"/>
              <w:rPr>
                <w:noProof/>
              </w:rPr>
            </w:pPr>
            <w:r>
              <w:rPr>
                <w:noProof/>
              </w:rPr>
              <w:t>T4</w:t>
            </w:r>
          </w:p>
        </w:tc>
        <w:tc>
          <w:tcPr>
            <w:tcW w:w="845" w:type="dxa"/>
            <w:tcBorders>
              <w:top w:val="nil"/>
              <w:left w:val="nil"/>
              <w:bottom w:val="single" w:sz="4" w:space="0" w:color="auto"/>
              <w:right w:val="single" w:sz="4" w:space="0" w:color="auto"/>
            </w:tcBorders>
            <w:shd w:val="clear" w:color="auto" w:fill="C6EFCE"/>
            <w:noWrap/>
          </w:tcPr>
          <w:p w14:paraId="77D80DE5" w14:textId="77777777" w:rsidR="00A345F4" w:rsidRDefault="005E2D4E">
            <w:pPr>
              <w:pStyle w:val="P68B1DB1-Normal14"/>
              <w:spacing w:after="0" w:line="240" w:lineRule="auto"/>
              <w:jc w:val="both"/>
              <w:rPr>
                <w:noProof/>
              </w:rPr>
            </w:pPr>
            <w:r>
              <w:rPr>
                <w:noProof/>
              </w:rPr>
              <w:t>2022</w:t>
            </w:r>
          </w:p>
        </w:tc>
        <w:tc>
          <w:tcPr>
            <w:tcW w:w="2987" w:type="dxa"/>
            <w:tcBorders>
              <w:top w:val="nil"/>
              <w:left w:val="nil"/>
              <w:bottom w:val="single" w:sz="4" w:space="0" w:color="auto"/>
              <w:right w:val="single" w:sz="4" w:space="0" w:color="auto"/>
            </w:tcBorders>
            <w:shd w:val="clear" w:color="auto" w:fill="C6EFCE"/>
            <w:noWrap/>
          </w:tcPr>
          <w:p w14:paraId="369A078C" w14:textId="77777777" w:rsidR="00A345F4" w:rsidRDefault="005E2D4E">
            <w:pPr>
              <w:pStyle w:val="P68B1DB1-Normal14"/>
              <w:spacing w:after="0" w:line="240" w:lineRule="auto"/>
              <w:jc w:val="both"/>
              <w:rPr>
                <w:noProof/>
              </w:rPr>
            </w:pPr>
            <w:r>
              <w:rPr>
                <w:noProof/>
              </w:rPr>
              <w:t>Le régime définit les critères et les conditions à respecter pour le financement des bénéficiaires qui sont sélectionnés au moyen d’un appel à propositions ouvert et transparent, qui comprend notamment les spécifications suivantes:</w:t>
            </w:r>
          </w:p>
          <w:p w14:paraId="4E205B5A"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 xml:space="preserve">Alignement obligatoire des investissements sur le plan de mobilité urbaine durable/développement durable intégré/plan urbain général approuvé ou en cours d’élaboration; </w:t>
            </w:r>
          </w:p>
          <w:p w14:paraId="4A5D6F33"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Assurer une couverture avec des services de mobilité dans la zone fonctionnelle et périurbaine. Garantir la hiérarchisation et la promotion des transports publics dans le trafic local en planifiant des itinéraires préférentiels et des voies de bus sur les artères les plus fréquentées/encombrées;</w:t>
            </w:r>
          </w:p>
          <w:p w14:paraId="7D7FD9C1" w14:textId="77777777" w:rsidR="00A345F4" w:rsidRDefault="005E2D4E">
            <w:pPr>
              <w:pStyle w:val="P68B1DB1-Normal14"/>
              <w:numPr>
                <w:ilvl w:val="0"/>
                <w:numId w:val="47"/>
              </w:numPr>
              <w:pBdr>
                <w:top w:val="nil"/>
                <w:left w:val="nil"/>
                <w:bottom w:val="nil"/>
                <w:right w:val="nil"/>
                <w:between w:val="nil"/>
              </w:pBdr>
              <w:spacing w:after="0" w:line="240" w:lineRule="auto"/>
              <w:ind w:left="144" w:hanging="144"/>
              <w:jc w:val="both"/>
              <w:rPr>
                <w:noProof/>
              </w:rPr>
            </w:pPr>
            <w:r>
              <w:rPr>
                <w:noProof/>
              </w:rPr>
              <w:t xml:space="preserve">Avoir un contrat de service public avec des opérateurs économiques conformément aux dispositions du règlement (CE) no 1370/2007. </w:t>
            </w:r>
          </w:p>
          <w:p w14:paraId="2CD1C656" w14:textId="77777777" w:rsidR="00A345F4" w:rsidRDefault="005E2D4E">
            <w:pPr>
              <w:pStyle w:val="P68B1DB1-Normal14"/>
              <w:spacing w:before="120" w:after="0" w:line="240" w:lineRule="auto"/>
              <w:jc w:val="both"/>
              <w:rPr>
                <w:noProof/>
              </w:rPr>
            </w:pPr>
            <w:r>
              <w:rPr>
                <w:noProof/>
              </w:rPr>
              <w:t>Jusqu’en 2026, les villes sièges du comté (y compris chaque secteur à Bucarest) veillent chacune au développement d’un minimum de 40 points de recharge pour véhicules électriques accessibles au public/à l’unité territoriale administrative.</w:t>
            </w:r>
          </w:p>
        </w:tc>
      </w:tr>
      <w:tr w:rsidR="00A345F4" w14:paraId="3D2B498E" w14:textId="77777777">
        <w:trPr>
          <w:trHeight w:val="309"/>
          <w:jc w:val="center"/>
        </w:trPr>
        <w:tc>
          <w:tcPr>
            <w:tcW w:w="795" w:type="dxa"/>
            <w:tcBorders>
              <w:top w:val="single" w:sz="4" w:space="0" w:color="auto"/>
              <w:left w:val="single" w:sz="4" w:space="0" w:color="auto"/>
              <w:bottom w:val="single" w:sz="4" w:space="0" w:color="auto"/>
              <w:right w:val="single" w:sz="4" w:space="0" w:color="auto"/>
            </w:tcBorders>
            <w:shd w:val="clear" w:color="auto" w:fill="C6EFCE"/>
            <w:noWrap/>
          </w:tcPr>
          <w:p w14:paraId="0F2098E4" w14:textId="77777777" w:rsidR="00A345F4" w:rsidRDefault="005E2D4E">
            <w:pPr>
              <w:pStyle w:val="P68B1DB1-Normal14"/>
              <w:spacing w:after="0" w:line="240" w:lineRule="auto"/>
              <w:jc w:val="center"/>
              <w:rPr>
                <w:noProof/>
              </w:rPr>
            </w:pPr>
            <w:r>
              <w:rPr>
                <w:noProof/>
              </w:rPr>
              <w:t>303</w:t>
            </w:r>
          </w:p>
        </w:tc>
        <w:tc>
          <w:tcPr>
            <w:tcW w:w="1569" w:type="dxa"/>
            <w:tcBorders>
              <w:top w:val="single" w:sz="4" w:space="0" w:color="auto"/>
              <w:left w:val="nil"/>
              <w:bottom w:val="single" w:sz="4" w:space="0" w:color="auto"/>
              <w:right w:val="single" w:sz="4" w:space="0" w:color="auto"/>
            </w:tcBorders>
            <w:shd w:val="clear" w:color="auto" w:fill="C6EFCE"/>
            <w:noWrap/>
          </w:tcPr>
          <w:p w14:paraId="70961B8C" w14:textId="77777777" w:rsidR="00A345F4" w:rsidRDefault="005E2D4E">
            <w:pPr>
              <w:pStyle w:val="P68B1DB1-Normal14"/>
              <w:spacing w:after="0" w:line="240" w:lineRule="auto"/>
              <w:rPr>
                <w:noProof/>
              </w:rPr>
            </w:pPr>
            <w:r>
              <w:rPr>
                <w:noProof/>
              </w:rPr>
              <w:t>Investissement 1. Mobilité urbaine durable</w:t>
            </w:r>
          </w:p>
        </w:tc>
        <w:tc>
          <w:tcPr>
            <w:tcW w:w="1316" w:type="dxa"/>
            <w:tcBorders>
              <w:top w:val="single" w:sz="4" w:space="0" w:color="auto"/>
              <w:left w:val="nil"/>
              <w:bottom w:val="single" w:sz="4" w:space="0" w:color="auto"/>
              <w:right w:val="single" w:sz="4" w:space="0" w:color="auto"/>
            </w:tcBorders>
            <w:shd w:val="clear" w:color="auto" w:fill="C6EFCE"/>
            <w:noWrap/>
          </w:tcPr>
          <w:p w14:paraId="49ABB6F4" w14:textId="77777777" w:rsidR="00A345F4" w:rsidRDefault="005E2D4E">
            <w:pPr>
              <w:pStyle w:val="P68B1DB1-Normal14"/>
              <w:spacing w:after="0" w:line="240" w:lineRule="auto"/>
              <w:jc w:val="center"/>
              <w:rPr>
                <w:noProof/>
              </w:rPr>
            </w:pPr>
            <w:r>
              <w:rPr>
                <w:noProof/>
              </w:rPr>
              <w:t>Objectif</w:t>
            </w:r>
          </w:p>
        </w:tc>
        <w:tc>
          <w:tcPr>
            <w:tcW w:w="1440" w:type="dxa"/>
            <w:tcBorders>
              <w:top w:val="single" w:sz="4" w:space="0" w:color="auto"/>
              <w:left w:val="nil"/>
              <w:bottom w:val="single" w:sz="4" w:space="0" w:color="auto"/>
              <w:right w:val="single" w:sz="4" w:space="0" w:color="auto"/>
            </w:tcBorders>
            <w:shd w:val="clear" w:color="auto" w:fill="C6EFCE"/>
            <w:noWrap/>
          </w:tcPr>
          <w:p w14:paraId="5B969A76" w14:textId="77777777" w:rsidR="00A345F4" w:rsidRDefault="005E2D4E">
            <w:pPr>
              <w:pStyle w:val="P68B1DB1-Normal14"/>
              <w:spacing w:after="0" w:line="240" w:lineRule="auto"/>
              <w:jc w:val="both"/>
              <w:rPr>
                <w:noProof/>
              </w:rPr>
            </w:pPr>
            <w:r>
              <w:rPr>
                <w:noProof/>
              </w:rPr>
              <w:t>Nombre de points de recharge pour véhicules électriques connectés au réseau électrique</w:t>
            </w:r>
          </w:p>
        </w:tc>
        <w:tc>
          <w:tcPr>
            <w:tcW w:w="1538" w:type="dxa"/>
            <w:tcBorders>
              <w:top w:val="single" w:sz="4" w:space="0" w:color="auto"/>
              <w:left w:val="nil"/>
              <w:bottom w:val="single" w:sz="4" w:space="0" w:color="auto"/>
              <w:right w:val="single" w:sz="4" w:space="0" w:color="auto"/>
            </w:tcBorders>
            <w:shd w:val="clear" w:color="auto" w:fill="C6EFCE"/>
            <w:noWrap/>
          </w:tcPr>
          <w:p w14:paraId="3BB08951" w14:textId="77777777" w:rsidR="00A345F4" w:rsidRDefault="00A345F4">
            <w:pPr>
              <w:spacing w:after="0" w:line="240" w:lineRule="auto"/>
              <w:jc w:val="both"/>
              <w:rPr>
                <w:rFonts w:ascii="Times New Roman" w:hAnsi="Times New Roman" w:cs="Times New Roman"/>
                <w:noProof/>
                <w:sz w:val="20"/>
                <w:szCs w:val="20"/>
              </w:rPr>
            </w:pPr>
          </w:p>
        </w:tc>
        <w:tc>
          <w:tcPr>
            <w:tcW w:w="1275" w:type="dxa"/>
            <w:tcBorders>
              <w:top w:val="single" w:sz="4" w:space="0" w:color="auto"/>
              <w:left w:val="nil"/>
              <w:bottom w:val="single" w:sz="4" w:space="0" w:color="auto"/>
              <w:right w:val="single" w:sz="4" w:space="0" w:color="auto"/>
            </w:tcBorders>
            <w:shd w:val="clear" w:color="auto" w:fill="C6EFCE"/>
            <w:noWrap/>
          </w:tcPr>
          <w:p w14:paraId="7E90CA34" w14:textId="77777777" w:rsidR="00A345F4" w:rsidRDefault="005E2D4E">
            <w:pPr>
              <w:pStyle w:val="P68B1DB1-Normal14"/>
              <w:spacing w:after="0" w:line="240" w:lineRule="auto"/>
              <w:rPr>
                <w:noProof/>
              </w:rPr>
            </w:pPr>
            <w:r>
              <w:rPr>
                <w:noProof/>
              </w:rPr>
              <w:t>Numéro</w:t>
            </w:r>
          </w:p>
        </w:tc>
        <w:tc>
          <w:tcPr>
            <w:tcW w:w="1276" w:type="dxa"/>
            <w:tcBorders>
              <w:top w:val="single" w:sz="4" w:space="0" w:color="auto"/>
              <w:left w:val="nil"/>
              <w:bottom w:val="single" w:sz="4" w:space="0" w:color="auto"/>
              <w:right w:val="single" w:sz="4" w:space="0" w:color="auto"/>
            </w:tcBorders>
            <w:shd w:val="clear" w:color="auto" w:fill="C6EFCE"/>
            <w:noWrap/>
          </w:tcPr>
          <w:p w14:paraId="13AA2EAB" w14:textId="77777777" w:rsidR="00A345F4" w:rsidRDefault="005E2D4E">
            <w:pPr>
              <w:pStyle w:val="P68B1DB1-Normal14"/>
              <w:spacing w:after="0" w:line="240" w:lineRule="auto"/>
              <w:jc w:val="both"/>
              <w:rPr>
                <w:noProof/>
              </w:rPr>
            </w:pPr>
            <w:r>
              <w:rPr>
                <w:noProof/>
              </w:rPr>
              <w:t>0</w:t>
            </w:r>
          </w:p>
        </w:tc>
        <w:tc>
          <w:tcPr>
            <w:tcW w:w="1276" w:type="dxa"/>
            <w:tcBorders>
              <w:top w:val="single" w:sz="4" w:space="0" w:color="auto"/>
              <w:left w:val="nil"/>
              <w:bottom w:val="single" w:sz="4" w:space="0" w:color="auto"/>
              <w:right w:val="single" w:sz="4" w:space="0" w:color="auto"/>
            </w:tcBorders>
            <w:shd w:val="clear" w:color="auto" w:fill="C6EFCE"/>
            <w:noWrap/>
          </w:tcPr>
          <w:p w14:paraId="02CD20AE" w14:textId="74B6D422" w:rsidR="00A345F4" w:rsidRDefault="005E2D4E">
            <w:pPr>
              <w:pStyle w:val="P68B1DB1-Normal14"/>
              <w:spacing w:after="0" w:line="240" w:lineRule="auto"/>
              <w:jc w:val="both"/>
              <w:rPr>
                <w:noProof/>
              </w:rPr>
            </w:pPr>
            <w:r>
              <w:rPr>
                <w:noProof/>
              </w:rPr>
              <w:t>2 000</w:t>
            </w:r>
          </w:p>
        </w:tc>
        <w:tc>
          <w:tcPr>
            <w:tcW w:w="1134" w:type="dxa"/>
            <w:tcBorders>
              <w:top w:val="single" w:sz="4" w:space="0" w:color="auto"/>
              <w:left w:val="nil"/>
              <w:bottom w:val="single" w:sz="4" w:space="0" w:color="auto"/>
              <w:right w:val="single" w:sz="4" w:space="0" w:color="auto"/>
            </w:tcBorders>
            <w:shd w:val="clear" w:color="auto" w:fill="C6EFCE"/>
            <w:noWrap/>
          </w:tcPr>
          <w:p w14:paraId="126B5C6D" w14:textId="77777777" w:rsidR="00A345F4" w:rsidRDefault="005E2D4E">
            <w:pPr>
              <w:pStyle w:val="P68B1DB1-Normal14"/>
              <w:spacing w:after="0" w:line="240" w:lineRule="auto"/>
              <w:jc w:val="both"/>
              <w:rPr>
                <w:noProof/>
              </w:rPr>
            </w:pPr>
            <w:r>
              <w:rPr>
                <w:noProof/>
              </w:rPr>
              <w:t>T2</w:t>
            </w:r>
          </w:p>
        </w:tc>
        <w:tc>
          <w:tcPr>
            <w:tcW w:w="845" w:type="dxa"/>
            <w:tcBorders>
              <w:top w:val="single" w:sz="4" w:space="0" w:color="auto"/>
              <w:left w:val="nil"/>
              <w:bottom w:val="single" w:sz="4" w:space="0" w:color="auto"/>
              <w:right w:val="single" w:sz="4" w:space="0" w:color="auto"/>
            </w:tcBorders>
            <w:shd w:val="clear" w:color="auto" w:fill="C6EFCE"/>
            <w:noWrap/>
          </w:tcPr>
          <w:p w14:paraId="3BC57154" w14:textId="77777777" w:rsidR="00A345F4" w:rsidRDefault="005E2D4E">
            <w:pPr>
              <w:pStyle w:val="P68B1DB1-Normal14"/>
              <w:spacing w:after="0" w:line="240" w:lineRule="auto"/>
              <w:jc w:val="both"/>
              <w:rPr>
                <w:noProof/>
              </w:rPr>
            </w:pPr>
            <w:r>
              <w:rPr>
                <w:noProof/>
              </w:rPr>
              <w:t>2026</w:t>
            </w:r>
          </w:p>
        </w:tc>
        <w:tc>
          <w:tcPr>
            <w:tcW w:w="2987" w:type="dxa"/>
            <w:tcBorders>
              <w:top w:val="single" w:sz="4" w:space="0" w:color="auto"/>
              <w:left w:val="nil"/>
              <w:bottom w:val="single" w:sz="4" w:space="0" w:color="auto"/>
              <w:right w:val="single" w:sz="4" w:space="0" w:color="auto"/>
            </w:tcBorders>
            <w:shd w:val="clear" w:color="auto" w:fill="C6EFCE"/>
            <w:noWrap/>
          </w:tcPr>
          <w:p w14:paraId="2099890C" w14:textId="66673298" w:rsidR="00A345F4" w:rsidRDefault="005E2D4E">
            <w:pPr>
              <w:pStyle w:val="P68B1DB1-Normal14"/>
              <w:spacing w:after="0" w:line="240" w:lineRule="auto"/>
              <w:jc w:val="both"/>
              <w:rPr>
                <w:noProof/>
              </w:rPr>
            </w:pPr>
            <w:r>
              <w:rPr>
                <w:noProof/>
              </w:rPr>
              <w:t xml:space="preserve">Mise en service des rapports et certificats de raccordement au réseau électrique pour 2 000 points de recharge pour véhicules électriques. </w:t>
            </w:r>
          </w:p>
        </w:tc>
      </w:tr>
      <w:tr w:rsidR="00A345F4" w14:paraId="7A630956" w14:textId="77777777">
        <w:trPr>
          <w:trHeight w:val="309"/>
          <w:jc w:val="center"/>
        </w:trPr>
        <w:tc>
          <w:tcPr>
            <w:tcW w:w="795" w:type="dxa"/>
            <w:tcBorders>
              <w:top w:val="single" w:sz="4" w:space="0" w:color="auto"/>
              <w:left w:val="single" w:sz="4" w:space="0" w:color="auto"/>
              <w:bottom w:val="single" w:sz="4" w:space="0" w:color="auto"/>
              <w:right w:val="single" w:sz="4" w:space="0" w:color="auto"/>
            </w:tcBorders>
            <w:shd w:val="clear" w:color="auto" w:fill="C6EFCE"/>
            <w:noWrap/>
          </w:tcPr>
          <w:p w14:paraId="40B1AF44" w14:textId="77777777" w:rsidR="00A345F4" w:rsidRDefault="005E2D4E">
            <w:pPr>
              <w:pStyle w:val="P68B1DB1-Normal14"/>
              <w:spacing w:after="0" w:line="240" w:lineRule="auto"/>
              <w:jc w:val="center"/>
              <w:rPr>
                <w:noProof/>
              </w:rPr>
            </w:pPr>
            <w:r>
              <w:rPr>
                <w:noProof/>
              </w:rPr>
              <w:t>322 bis</w:t>
            </w:r>
          </w:p>
        </w:tc>
        <w:tc>
          <w:tcPr>
            <w:tcW w:w="1569" w:type="dxa"/>
            <w:tcBorders>
              <w:top w:val="single" w:sz="4" w:space="0" w:color="auto"/>
              <w:left w:val="nil"/>
              <w:bottom w:val="single" w:sz="4" w:space="0" w:color="auto"/>
              <w:right w:val="single" w:sz="4" w:space="0" w:color="auto"/>
            </w:tcBorders>
            <w:shd w:val="clear" w:color="auto" w:fill="C6EFCE"/>
            <w:noWrap/>
          </w:tcPr>
          <w:p w14:paraId="7B9DA601" w14:textId="77777777" w:rsidR="00A345F4" w:rsidRDefault="005E2D4E">
            <w:pPr>
              <w:pStyle w:val="P68B1DB1-Normal14"/>
              <w:spacing w:after="0" w:line="240" w:lineRule="auto"/>
              <w:rPr>
                <w:noProof/>
              </w:rPr>
            </w:pPr>
            <w:r>
              <w:rPr>
                <w:noProof/>
              </w:rPr>
              <w:t xml:space="preserve">Investissement 3.a. Rénovation des bâtiments publics pour soutenir une meilleure prestation des services publics par les unités administratives territoriales </w:t>
            </w:r>
          </w:p>
        </w:tc>
        <w:tc>
          <w:tcPr>
            <w:tcW w:w="1316" w:type="dxa"/>
            <w:tcBorders>
              <w:top w:val="single" w:sz="4" w:space="0" w:color="auto"/>
              <w:left w:val="nil"/>
              <w:bottom w:val="single" w:sz="4" w:space="0" w:color="auto"/>
              <w:right w:val="single" w:sz="4" w:space="0" w:color="auto"/>
            </w:tcBorders>
            <w:shd w:val="clear" w:color="auto" w:fill="C6EFCE"/>
            <w:noWrap/>
          </w:tcPr>
          <w:p w14:paraId="69F6808D" w14:textId="77777777" w:rsidR="00A345F4" w:rsidRDefault="005E2D4E">
            <w:pPr>
              <w:pStyle w:val="P68B1DB1-Normal14"/>
              <w:spacing w:after="0" w:line="240" w:lineRule="auto"/>
              <w:jc w:val="center"/>
              <w:rPr>
                <w:noProof/>
              </w:rPr>
            </w:pPr>
            <w:r>
              <w:rPr>
                <w:noProof/>
              </w:rPr>
              <w:t xml:space="preserve">Objectif </w:t>
            </w:r>
          </w:p>
        </w:tc>
        <w:tc>
          <w:tcPr>
            <w:tcW w:w="1440" w:type="dxa"/>
            <w:tcBorders>
              <w:top w:val="single" w:sz="4" w:space="0" w:color="auto"/>
              <w:left w:val="nil"/>
              <w:bottom w:val="single" w:sz="4" w:space="0" w:color="auto"/>
              <w:right w:val="single" w:sz="4" w:space="0" w:color="auto"/>
            </w:tcBorders>
            <w:shd w:val="clear" w:color="auto" w:fill="C6EFCE"/>
            <w:noWrap/>
          </w:tcPr>
          <w:p w14:paraId="30AE9BBB" w14:textId="77777777" w:rsidR="00A345F4" w:rsidRDefault="005E2D4E">
            <w:pPr>
              <w:pStyle w:val="P68B1DB1-Normal14"/>
              <w:spacing w:after="0" w:line="240" w:lineRule="auto"/>
              <w:jc w:val="both"/>
              <w:rPr>
                <w:noProof/>
              </w:rPr>
            </w:pPr>
            <w:r>
              <w:rPr>
                <w:noProof/>
              </w:rPr>
              <w:t>Rénovation énergétique des bâtiments publics</w:t>
            </w:r>
          </w:p>
        </w:tc>
        <w:tc>
          <w:tcPr>
            <w:tcW w:w="1538" w:type="dxa"/>
            <w:tcBorders>
              <w:top w:val="single" w:sz="4" w:space="0" w:color="auto"/>
              <w:left w:val="nil"/>
              <w:bottom w:val="single" w:sz="4" w:space="0" w:color="auto"/>
              <w:right w:val="single" w:sz="4" w:space="0" w:color="auto"/>
            </w:tcBorders>
            <w:shd w:val="clear" w:color="auto" w:fill="C6EFCE"/>
            <w:noWrap/>
          </w:tcPr>
          <w:p w14:paraId="35992E19" w14:textId="77777777" w:rsidR="00A345F4" w:rsidRDefault="005E2D4E">
            <w:pPr>
              <w:pStyle w:val="P68B1DB1-Normal14"/>
              <w:spacing w:after="0" w:line="240" w:lineRule="auto"/>
              <w:jc w:val="both"/>
              <w:rPr>
                <w:noProof/>
              </w:rPr>
            </w:pPr>
            <w:r>
              <w:rPr>
                <w:noProof/>
              </w:rPr>
              <w:t xml:space="preserve"> </w:t>
            </w:r>
          </w:p>
        </w:tc>
        <w:tc>
          <w:tcPr>
            <w:tcW w:w="1275" w:type="dxa"/>
            <w:tcBorders>
              <w:top w:val="single" w:sz="4" w:space="0" w:color="auto"/>
              <w:left w:val="nil"/>
              <w:bottom w:val="single" w:sz="4" w:space="0" w:color="auto"/>
              <w:right w:val="single" w:sz="4" w:space="0" w:color="auto"/>
            </w:tcBorders>
            <w:shd w:val="clear" w:color="auto" w:fill="C6EFCE"/>
            <w:noWrap/>
          </w:tcPr>
          <w:p w14:paraId="508A54C4" w14:textId="77777777" w:rsidR="00A345F4" w:rsidRDefault="005E2D4E">
            <w:pPr>
              <w:pStyle w:val="P68B1DB1-Normal14"/>
              <w:spacing w:after="0" w:line="240" w:lineRule="auto"/>
              <w:rPr>
                <w:noProof/>
              </w:rPr>
            </w:pPr>
            <w:r>
              <w:rPr>
                <w:noProof/>
              </w:rPr>
              <w:t>Nombre de m2</w:t>
            </w:r>
          </w:p>
        </w:tc>
        <w:tc>
          <w:tcPr>
            <w:tcW w:w="1276" w:type="dxa"/>
            <w:tcBorders>
              <w:top w:val="single" w:sz="4" w:space="0" w:color="auto"/>
              <w:left w:val="nil"/>
              <w:bottom w:val="single" w:sz="4" w:space="0" w:color="auto"/>
              <w:right w:val="single" w:sz="4" w:space="0" w:color="auto"/>
            </w:tcBorders>
            <w:shd w:val="clear" w:color="auto" w:fill="C6EFCE"/>
            <w:noWrap/>
          </w:tcPr>
          <w:p w14:paraId="65E2BB51" w14:textId="77777777" w:rsidR="00A345F4" w:rsidRDefault="005E2D4E">
            <w:pPr>
              <w:pStyle w:val="P68B1DB1-Normal14"/>
              <w:spacing w:after="0" w:line="240" w:lineRule="auto"/>
              <w:jc w:val="both"/>
              <w:rPr>
                <w:noProof/>
              </w:rPr>
            </w:pPr>
            <w:r>
              <w:rPr>
                <w:noProof/>
              </w:rPr>
              <w:t>0</w:t>
            </w:r>
          </w:p>
        </w:tc>
        <w:tc>
          <w:tcPr>
            <w:tcW w:w="1276" w:type="dxa"/>
            <w:tcBorders>
              <w:top w:val="single" w:sz="4" w:space="0" w:color="auto"/>
              <w:left w:val="nil"/>
              <w:bottom w:val="single" w:sz="4" w:space="0" w:color="auto"/>
              <w:right w:val="single" w:sz="4" w:space="0" w:color="auto"/>
            </w:tcBorders>
            <w:shd w:val="clear" w:color="auto" w:fill="C6EFCE"/>
            <w:noWrap/>
          </w:tcPr>
          <w:p w14:paraId="463903A4" w14:textId="1A971CF6" w:rsidR="00A345F4" w:rsidRDefault="005E2D4E">
            <w:pPr>
              <w:pStyle w:val="P68B1DB1-Normal14"/>
              <w:spacing w:after="0" w:line="240" w:lineRule="auto"/>
              <w:jc w:val="both"/>
              <w:rPr>
                <w:noProof/>
              </w:rPr>
            </w:pPr>
            <w:r>
              <w:rPr>
                <w:noProof/>
              </w:rPr>
              <w:t>551 036.48</w:t>
            </w:r>
          </w:p>
        </w:tc>
        <w:tc>
          <w:tcPr>
            <w:tcW w:w="1134" w:type="dxa"/>
            <w:tcBorders>
              <w:top w:val="single" w:sz="4" w:space="0" w:color="auto"/>
              <w:left w:val="nil"/>
              <w:bottom w:val="single" w:sz="4" w:space="0" w:color="auto"/>
              <w:right w:val="single" w:sz="4" w:space="0" w:color="auto"/>
            </w:tcBorders>
            <w:shd w:val="clear" w:color="auto" w:fill="C6EFCE"/>
            <w:noWrap/>
          </w:tcPr>
          <w:p w14:paraId="144D9607" w14:textId="77777777" w:rsidR="00A345F4" w:rsidRDefault="005E2D4E">
            <w:pPr>
              <w:pStyle w:val="P68B1DB1-Normal14"/>
              <w:spacing w:after="0" w:line="240" w:lineRule="auto"/>
              <w:jc w:val="both"/>
              <w:rPr>
                <w:noProof/>
              </w:rPr>
            </w:pPr>
            <w:r>
              <w:rPr>
                <w:noProof/>
              </w:rPr>
              <w:t>T2</w:t>
            </w:r>
          </w:p>
        </w:tc>
        <w:tc>
          <w:tcPr>
            <w:tcW w:w="845" w:type="dxa"/>
            <w:tcBorders>
              <w:top w:val="single" w:sz="4" w:space="0" w:color="auto"/>
              <w:left w:val="nil"/>
              <w:bottom w:val="single" w:sz="4" w:space="0" w:color="auto"/>
              <w:right w:val="single" w:sz="4" w:space="0" w:color="auto"/>
            </w:tcBorders>
            <w:shd w:val="clear" w:color="auto" w:fill="C6EFCE"/>
            <w:noWrap/>
          </w:tcPr>
          <w:p w14:paraId="7F815026" w14:textId="77777777" w:rsidR="00A345F4" w:rsidRDefault="005E2D4E">
            <w:pPr>
              <w:pStyle w:val="P68B1DB1-Normal14"/>
              <w:spacing w:after="0" w:line="240" w:lineRule="auto"/>
              <w:jc w:val="both"/>
              <w:rPr>
                <w:noProof/>
              </w:rPr>
            </w:pPr>
            <w:r>
              <w:rPr>
                <w:noProof/>
              </w:rPr>
              <w:t>2026</w:t>
            </w:r>
          </w:p>
        </w:tc>
        <w:tc>
          <w:tcPr>
            <w:tcW w:w="2987" w:type="dxa"/>
            <w:tcBorders>
              <w:top w:val="single" w:sz="4" w:space="0" w:color="auto"/>
              <w:left w:val="nil"/>
              <w:bottom w:val="single" w:sz="4" w:space="0" w:color="auto"/>
              <w:right w:val="single" w:sz="4" w:space="0" w:color="auto"/>
            </w:tcBorders>
            <w:shd w:val="clear" w:color="auto" w:fill="C6EFCE"/>
            <w:noWrap/>
          </w:tcPr>
          <w:p w14:paraId="1EECB832" w14:textId="77777777" w:rsidR="00A345F4" w:rsidRDefault="005E2D4E">
            <w:pPr>
              <w:pStyle w:val="P68B1DB1-Normal14"/>
              <w:spacing w:after="0" w:line="240" w:lineRule="auto"/>
              <w:jc w:val="both"/>
              <w:rPr>
                <w:noProof/>
              </w:rPr>
            </w:pPr>
            <w:r>
              <w:rPr>
                <w:noProof/>
              </w:rPr>
              <w:t>Certificats de réception d’achèvement des travaux couvrant l’ensemble de la surface rénovée et certificats de performance énergétique confirmant une réduction de 30 % de la demande d’énergie primaire au niveau du bâtiment.</w:t>
            </w:r>
          </w:p>
        </w:tc>
      </w:tr>
    </w:tbl>
    <w:p w14:paraId="446A2AC4" w14:textId="77777777" w:rsidR="00A345F4" w:rsidRDefault="00A345F4">
      <w:pPr>
        <w:spacing w:before="120" w:after="120" w:line="240" w:lineRule="auto"/>
        <w:ind w:left="709"/>
        <w:jc w:val="both"/>
        <w:rPr>
          <w:rFonts w:ascii="Times New Roman" w:hAnsi="Times New Roman" w:cs="Times New Roman"/>
          <w:noProof/>
        </w:rPr>
        <w:sectPr w:rsidR="00A345F4" w:rsidSect="00E51A4F">
          <w:headerReference w:type="even" r:id="rId240"/>
          <w:headerReference w:type="default" r:id="rId241"/>
          <w:footerReference w:type="even" r:id="rId242"/>
          <w:footerReference w:type="default" r:id="rId243"/>
          <w:headerReference w:type="first" r:id="rId244"/>
          <w:footerReference w:type="first" r:id="rId245"/>
          <w:pgSz w:w="16839" w:h="11907" w:orient="landscape"/>
          <w:pgMar w:top="1134" w:right="1134" w:bottom="1134" w:left="1134" w:header="567" w:footer="567" w:gutter="0"/>
          <w:cols w:space="720"/>
          <w:docGrid w:linePitch="360"/>
        </w:sectPr>
      </w:pPr>
    </w:p>
    <w:p w14:paraId="37F78B3A"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J.3. </w:t>
      </w:r>
      <w:r>
        <w:rPr>
          <w:noProof/>
        </w:rPr>
        <w:t xml:space="preserve"> </w:t>
      </w:r>
      <w:r>
        <w:rPr>
          <w:b/>
          <w:noProof/>
        </w:rPr>
        <w:t xml:space="preserve">Description des réformes et des investissements pour le prêt </w:t>
      </w:r>
    </w:p>
    <w:p w14:paraId="2EA50ABC"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Réforme 2. Créer le cadre politique pour une transformation urbaine durable </w:t>
      </w:r>
    </w:p>
    <w:p w14:paraId="0C999FE6" w14:textId="77777777" w:rsidR="00A345F4" w:rsidRDefault="005E2D4E">
      <w:pPr>
        <w:pStyle w:val="P68B1DB1-Normal4"/>
        <w:spacing w:before="120" w:after="120" w:line="240" w:lineRule="auto"/>
        <w:jc w:val="both"/>
        <w:rPr>
          <w:noProof/>
        </w:rPr>
      </w:pPr>
      <w:r>
        <w:rPr>
          <w:noProof/>
        </w:rPr>
        <w:t>L’objectif de la réforme est de permettre aux personnes vivant dans les zones urbaines, y compris celles des communautés marginales/périphériques, un accès accru à des services de qualité (par exemple, la mobilité, le logement ou d’autres services publics fournis au niveau local).</w:t>
      </w:r>
    </w:p>
    <w:p w14:paraId="7C97E69C" w14:textId="77777777" w:rsidR="00A345F4" w:rsidRDefault="005E2D4E">
      <w:pPr>
        <w:pStyle w:val="P68B1DB1-Normal4"/>
        <w:spacing w:before="120" w:after="120" w:line="240" w:lineRule="auto"/>
        <w:jc w:val="both"/>
        <w:rPr>
          <w:noProof/>
        </w:rPr>
      </w:pPr>
      <w:r>
        <w:rPr>
          <w:noProof/>
        </w:rPr>
        <w:t xml:space="preserve">La réforme consiste en l'entrée en vigueur de la loi sur les zones métropolitaines et du cadre de la politique urbaine roumaine. </w:t>
      </w:r>
    </w:p>
    <w:p w14:paraId="6A76E761"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Réforme 3. Créer le cadre politique pour une transformation rurale durable: la création de consortiums administratifs dans les zones rurales fonctionnelles; </w:t>
      </w:r>
    </w:p>
    <w:p w14:paraId="6E97660D" w14:textId="30791D98" w:rsidR="00A345F4" w:rsidRDefault="005E2D4E">
      <w:pPr>
        <w:pStyle w:val="P68B1DB1-Normal4"/>
        <w:spacing w:before="120" w:after="120" w:line="240" w:lineRule="auto"/>
        <w:jc w:val="both"/>
        <w:rPr>
          <w:noProof/>
        </w:rPr>
      </w:pPr>
      <w:r>
        <w:rPr>
          <w:noProof/>
        </w:rPr>
        <w:t>L’objectif de la réforme est de permettre aux personnes vivant dans les zones rurales, y compris celles des communautés marginales/périphériques, un accès accru aux services (par exemple, la mobilité, le logement ou d’autres services publics fournis au niveau local).</w:t>
      </w:r>
    </w:p>
    <w:p w14:paraId="4132FD8E" w14:textId="58C9E846" w:rsidR="00A345F4" w:rsidRDefault="005E2D4E">
      <w:pPr>
        <w:pStyle w:val="P68B1DB1-Normal4"/>
        <w:spacing w:before="120" w:after="120" w:line="240" w:lineRule="auto"/>
        <w:jc w:val="both"/>
        <w:rPr>
          <w:noProof/>
        </w:rPr>
      </w:pPr>
      <w:r>
        <w:rPr>
          <w:noProof/>
        </w:rPr>
        <w:t xml:space="preserve">La réforme consiste à créer des consortiums administratifs dans des zones rurales fonctionnelles qui sont des unités administratives rurales voisines économiquement et socialement intégrées et confrontées à des défis et des possibilités similaires pour leur développement. </w:t>
      </w:r>
    </w:p>
    <w:p w14:paraId="5C35FBBD"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Réforme 4. Améliorer la qualité des logements</w:t>
      </w:r>
    </w:p>
    <w:p w14:paraId="1E07629F" w14:textId="77777777" w:rsidR="00A345F4" w:rsidRDefault="005E2D4E">
      <w:pPr>
        <w:pStyle w:val="P68B1DB1-Normal4"/>
        <w:spacing w:before="120" w:after="120" w:line="240" w:lineRule="auto"/>
        <w:jc w:val="both"/>
        <w:rPr>
          <w:noProof/>
        </w:rPr>
      </w:pPr>
      <w:r>
        <w:rPr>
          <w:noProof/>
        </w:rPr>
        <w:t xml:space="preserve">L’objectif de cette réforme est de réduire la privation grave de logement pour les catégories et les groupes vulnérables, en particulier pour les personnes vivant dans des communautés marginalisées dans les zones urbaines et rurales. </w:t>
      </w:r>
    </w:p>
    <w:p w14:paraId="1C5F22E3" w14:textId="4917028E" w:rsidR="00A345F4" w:rsidRDefault="005E2D4E">
      <w:pPr>
        <w:pStyle w:val="P68B1DB1-Normal4"/>
        <w:spacing w:before="120" w:after="120" w:line="240" w:lineRule="auto"/>
        <w:jc w:val="both"/>
        <w:rPr>
          <w:noProof/>
        </w:rPr>
      </w:pPr>
      <w:r>
        <w:rPr>
          <w:noProof/>
        </w:rPr>
        <w:t>La réforme consiste en l’entrée en vigueur d’un acte juridique visant à garantir la mise en œuvre de la stratégie nationale en matière de logement et de son plan d’action.</w:t>
      </w:r>
    </w:p>
    <w:p w14:paraId="08CA2FFE" w14:textId="75E78000"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Réforme 5. Développement du système d'aménagement du territoire - Code de l'aménagement du territoire, de l'urbanisme et de la construction </w:t>
      </w:r>
    </w:p>
    <w:p w14:paraId="4F9FC85D" w14:textId="77777777" w:rsidR="00A345F4" w:rsidRDefault="005E2D4E">
      <w:pPr>
        <w:pStyle w:val="P68B1DB1-Normal4"/>
        <w:spacing w:before="120" w:after="120" w:line="240" w:lineRule="auto"/>
        <w:jc w:val="both"/>
        <w:rPr>
          <w:noProof/>
        </w:rPr>
      </w:pPr>
      <w:r>
        <w:rPr>
          <w:noProof/>
        </w:rPr>
        <w:t>L’objectif de la réforme est de soutenir l’aménagement du territoire dans son ensemble en simplifiant et en numérisant les documents et procédures d’aménagement du territoire, ainsi qu’en améliorant l’accès aux documents d’aménagement du territoire et leur transparence.</w:t>
      </w:r>
    </w:p>
    <w:p w14:paraId="3FD66E41" w14:textId="77777777" w:rsidR="00A345F4" w:rsidRDefault="005E2D4E">
      <w:pPr>
        <w:pStyle w:val="P68B1DB1-Normal4"/>
        <w:spacing w:before="120" w:after="120" w:line="240" w:lineRule="auto"/>
        <w:jc w:val="both"/>
        <w:rPr>
          <w:noProof/>
        </w:rPr>
      </w:pPr>
      <w:r>
        <w:rPr>
          <w:noProof/>
        </w:rPr>
        <w:t>La réforme consiste en l’entrée en vigueur du code de l’urbanisme et de la construction en matière d’aménagement du territoire et en la mise à disposition d’une nouvelle plateforme de données numériques, dans le cadre de l’Observatoire territorial.</w:t>
      </w:r>
    </w:p>
    <w:p w14:paraId="20507E9E"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Investissement 2. Construction de logements pour les jeunes et pour les professionnels de la santé et de l'éducation </w:t>
      </w:r>
    </w:p>
    <w:p w14:paraId="4B16466B" w14:textId="77777777" w:rsidR="00A345F4" w:rsidRDefault="005E2D4E">
      <w:pPr>
        <w:pStyle w:val="P68B1DB1-Normal4"/>
        <w:spacing w:before="120" w:after="120" w:line="240" w:lineRule="auto"/>
        <w:jc w:val="both"/>
        <w:rPr>
          <w:noProof/>
        </w:rPr>
      </w:pPr>
      <w:r>
        <w:rPr>
          <w:noProof/>
        </w:rPr>
        <w:t xml:space="preserve">L’objectif de cet investissement est d’améliorer l’accès à un logement de qualité pour les jeunes dans le besoin et les professionnels des soins de santé et de l’éducation, en fournissant de tels services dans les communautés marginalisées ou aux groupes marginalisés. </w:t>
      </w:r>
    </w:p>
    <w:p w14:paraId="30985A9A" w14:textId="67077E58" w:rsidR="00A345F4" w:rsidRDefault="005E2D4E">
      <w:pPr>
        <w:pStyle w:val="P68B1DB1-Normal4"/>
        <w:spacing w:before="120" w:after="120" w:line="240" w:lineRule="auto"/>
        <w:jc w:val="both"/>
        <w:rPr>
          <w:noProof/>
        </w:rPr>
      </w:pPr>
      <w:r>
        <w:rPr>
          <w:noProof/>
        </w:rPr>
        <w:t xml:space="preserve">L’investissement consiste à construire de nouvelles unités de logement pour les jeunes issus de communautés marginalisées ou de groupes vulnérables. Il consiste également à construire des maisons pour les professionnels de la santé et de l'éducation. </w:t>
      </w:r>
    </w:p>
    <w:p w14:paraId="5FD896B7"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Investissement 3. Rénovation des bâtiments publics pour soutenir une meilleure prestation de services publics par les unités administratives territoriales </w:t>
      </w:r>
    </w:p>
    <w:p w14:paraId="131AE358" w14:textId="77777777" w:rsidR="00A345F4" w:rsidRDefault="005E2D4E">
      <w:pPr>
        <w:pStyle w:val="P68B1DB1-Normal4"/>
        <w:spacing w:before="120" w:after="120" w:line="240" w:lineRule="auto"/>
        <w:jc w:val="both"/>
        <w:rPr>
          <w:noProof/>
        </w:rPr>
      </w:pPr>
      <w:r>
        <w:rPr>
          <w:noProof/>
        </w:rPr>
        <w:t xml:space="preserve">L’objectif de cet investissement est de soutenir la fourniture de services publics locaux. </w:t>
      </w:r>
    </w:p>
    <w:p w14:paraId="099059EC" w14:textId="77777777" w:rsidR="00A345F4" w:rsidRDefault="005E2D4E">
      <w:pPr>
        <w:pStyle w:val="P68B1DB1-Normal4"/>
        <w:spacing w:before="120" w:after="120" w:line="240" w:lineRule="auto"/>
        <w:jc w:val="both"/>
        <w:rPr>
          <w:noProof/>
        </w:rPr>
      </w:pPr>
      <w:r>
        <w:rPr>
          <w:noProof/>
        </w:rPr>
        <w:t xml:space="preserve">L'investissement finance la rénovation de bâtiments publics. </w:t>
      </w:r>
    </w:p>
    <w:p w14:paraId="01D679FF" w14:textId="77777777" w:rsidR="00A345F4" w:rsidRDefault="005E2D4E">
      <w:pPr>
        <w:pStyle w:val="P68B1DB1-Normal4"/>
        <w:spacing w:before="120" w:after="120" w:line="240" w:lineRule="auto"/>
        <w:jc w:val="both"/>
        <w:rPr>
          <w:noProof/>
        </w:rPr>
      </w:pPr>
      <w:r>
        <w:rPr>
          <w:noProof/>
        </w:rPr>
        <w:t>Cette mesure complète l’investissement 3a. Rénovation des bâtiments publics pour soutenir une meilleure prestation de services publics par les unités administratives territoriales.</w:t>
      </w:r>
    </w:p>
    <w:p w14:paraId="5DD8B360" w14:textId="77777777" w:rsidR="00A345F4" w:rsidRDefault="00A345F4">
      <w:pPr>
        <w:spacing w:before="120" w:after="120" w:line="240" w:lineRule="auto"/>
        <w:jc w:val="both"/>
        <w:rPr>
          <w:rFonts w:ascii="Times New Roman" w:eastAsia="Times New Roman" w:hAnsi="Times New Roman" w:cs="Times New Roman"/>
          <w:noProof/>
        </w:rPr>
      </w:pPr>
    </w:p>
    <w:p w14:paraId="1C12D526" w14:textId="2D89B219"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 xml:space="preserve">Investissement 4. Production/mise à jour de documents d'aménagement du territoire et d'urbanisme au format SIG </w:t>
      </w:r>
    </w:p>
    <w:p w14:paraId="1987DE6A" w14:textId="77777777" w:rsidR="00A345F4" w:rsidRDefault="005E2D4E">
      <w:pPr>
        <w:pStyle w:val="P68B1DB1-Normal4"/>
        <w:spacing w:before="120" w:after="120" w:line="240" w:lineRule="auto"/>
        <w:jc w:val="both"/>
        <w:rPr>
          <w:noProof/>
        </w:rPr>
      </w:pPr>
      <w:r>
        <w:rPr>
          <w:noProof/>
        </w:rPr>
        <w:t>L'objectif de cet investissement est d'accroître l'accès numérique aux documents d'aménagement du territoire et d'urbanisme.</w:t>
      </w:r>
    </w:p>
    <w:p w14:paraId="0C6C3731" w14:textId="77777777" w:rsidR="00A345F4" w:rsidRDefault="005E2D4E">
      <w:pPr>
        <w:pStyle w:val="P68B1DB1-Normal4"/>
        <w:spacing w:before="120" w:after="120" w:line="240" w:lineRule="auto"/>
        <w:jc w:val="both"/>
        <w:rPr>
          <w:noProof/>
        </w:rPr>
      </w:pPr>
      <w:r>
        <w:rPr>
          <w:noProof/>
        </w:rPr>
        <w:t>L’investissement finance la publication de documents d’aménagement du territoire, de documents d’urbanisme et de plans de mobilité urbaine durable au format SIG sur la plateforme de l’Observatoire territorial.</w:t>
      </w:r>
      <w:r>
        <w:rPr>
          <w:b/>
          <w:noProof/>
        </w:rPr>
        <w:t xml:space="preserve"> </w:t>
      </w:r>
    </w:p>
    <w:p w14:paraId="2E8E0C7F" w14:textId="77777777" w:rsidR="00A345F4" w:rsidRDefault="00A345F4">
      <w:pPr>
        <w:spacing w:before="120" w:after="120" w:line="240" w:lineRule="auto"/>
        <w:jc w:val="both"/>
        <w:rPr>
          <w:rFonts w:ascii="Times New Roman" w:hAnsi="Times New Roman" w:cs="Times New Roman"/>
          <w:noProof/>
        </w:rPr>
        <w:sectPr w:rsidR="00A345F4" w:rsidSect="00E51A4F">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60"/>
        </w:sectPr>
      </w:pPr>
    </w:p>
    <w:p w14:paraId="1A8238BC" w14:textId="77777777" w:rsidR="00A345F4" w:rsidRDefault="005E2D4E">
      <w:pPr>
        <w:pStyle w:val="P68B1DB1-Normal4"/>
        <w:keepNext/>
        <w:spacing w:before="120" w:after="120" w:line="240" w:lineRule="auto"/>
        <w:ind w:firstLine="720"/>
        <w:jc w:val="both"/>
        <w:outlineLvl w:val="1"/>
        <w:rPr>
          <w:rFonts w:eastAsiaTheme="majorEastAsia"/>
          <w:b/>
          <w:bCs/>
          <w:noProof/>
        </w:rPr>
      </w:pPr>
      <w:r>
        <w:rPr>
          <w:b/>
          <w:noProof/>
        </w:rPr>
        <w:t xml:space="preserve">J.4. </w:t>
      </w:r>
      <w:r>
        <w:rPr>
          <w:noProof/>
        </w:rPr>
        <w:t xml:space="preserve"> </w:t>
      </w:r>
      <w:r>
        <w:rPr>
          <w:b/>
          <w:noProof/>
        </w:rPr>
        <w:t xml:space="preserve">Étapes, objectifs, indicateurs et calendrier du suivi et de la mise en œuvre du prêt </w:t>
      </w:r>
    </w:p>
    <w:tbl>
      <w:tblPr>
        <w:tblW w:w="15708" w:type="dxa"/>
        <w:jc w:val="center"/>
        <w:tblLayout w:type="fixed"/>
        <w:tblLook w:val="04A0" w:firstRow="1" w:lastRow="0" w:firstColumn="1" w:lastColumn="0" w:noHBand="0" w:noVBand="1"/>
      </w:tblPr>
      <w:tblGrid>
        <w:gridCol w:w="851"/>
        <w:gridCol w:w="1985"/>
        <w:gridCol w:w="1276"/>
        <w:gridCol w:w="1417"/>
        <w:gridCol w:w="1498"/>
        <w:gridCol w:w="1332"/>
        <w:gridCol w:w="1134"/>
        <w:gridCol w:w="1535"/>
        <w:gridCol w:w="1080"/>
        <w:gridCol w:w="840"/>
        <w:gridCol w:w="2760"/>
      </w:tblGrid>
      <w:tr w:rsidR="00A345F4" w14:paraId="670C6A89" w14:textId="77777777">
        <w:trPr>
          <w:trHeight w:val="939"/>
          <w:tblHeader/>
          <w:jc w:val="center"/>
        </w:trPr>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C73A8C" w14:textId="77777777" w:rsidR="00A345F4" w:rsidRDefault="005E2D4E">
            <w:pPr>
              <w:pStyle w:val="P68B1DB1-Normal13"/>
              <w:spacing w:after="0" w:line="240" w:lineRule="auto"/>
              <w:jc w:val="center"/>
              <w:rPr>
                <w:rFonts w:eastAsia="Times New Roman"/>
                <w:noProof/>
              </w:rPr>
            </w:pPr>
            <w:r>
              <w:rPr>
                <w:noProof/>
              </w:rPr>
              <w:t>Seq. Num.</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1DD3D1"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53D34B" w14:textId="77777777" w:rsidR="00A345F4" w:rsidRDefault="005E2D4E">
            <w:pPr>
              <w:pStyle w:val="P68B1DB1-Normal13"/>
              <w:spacing w:after="0" w:line="240" w:lineRule="auto"/>
              <w:jc w:val="center"/>
              <w:rPr>
                <w:rFonts w:eastAsia="Times New Roman"/>
                <w:noProof/>
              </w:rPr>
            </w:pPr>
            <w:r>
              <w:rPr>
                <w:noProof/>
              </w:rPr>
              <w:t>Étape/cible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7DD99F9" w14:textId="77777777" w:rsidR="00A345F4" w:rsidRDefault="005E2D4E">
            <w:pPr>
              <w:pStyle w:val="P68B1DB1-Normal13"/>
              <w:spacing w:after="0" w:line="240" w:lineRule="auto"/>
              <w:jc w:val="center"/>
              <w:rPr>
                <w:rFonts w:eastAsia="Times New Roman"/>
                <w:noProof/>
              </w:rPr>
            </w:pPr>
            <w:r>
              <w:rPr>
                <w:noProof/>
              </w:rPr>
              <w:t>Nom</w:t>
            </w:r>
          </w:p>
        </w:tc>
        <w:tc>
          <w:tcPr>
            <w:tcW w:w="14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68A200"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400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81BB659"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20" w:type="dxa"/>
            <w:gridSpan w:val="2"/>
            <w:tcBorders>
              <w:top w:val="single" w:sz="4" w:space="0" w:color="auto"/>
              <w:left w:val="nil"/>
              <w:bottom w:val="single" w:sz="4" w:space="0" w:color="auto"/>
              <w:right w:val="single" w:sz="4" w:space="0" w:color="auto"/>
            </w:tcBorders>
            <w:shd w:val="clear" w:color="auto" w:fill="BDD7EE"/>
            <w:vAlign w:val="center"/>
            <w:hideMark/>
          </w:tcPr>
          <w:p w14:paraId="3A2F5C7C" w14:textId="77777777" w:rsidR="00A345F4" w:rsidRDefault="005E2D4E">
            <w:pPr>
              <w:pStyle w:val="P68B1DB1-Normal13"/>
              <w:spacing w:after="0" w:line="240" w:lineRule="auto"/>
              <w:jc w:val="center"/>
              <w:rPr>
                <w:rFonts w:eastAsia="Times New Roman"/>
                <w:noProof/>
              </w:rPr>
            </w:pPr>
            <w:r>
              <w:rPr>
                <w:noProof/>
              </w:rPr>
              <w:t xml:space="preserve">Calendrier indicatif d'achèvement </w:t>
            </w:r>
          </w:p>
        </w:tc>
        <w:tc>
          <w:tcPr>
            <w:tcW w:w="27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FBC6F4"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3ABD0846" w14:textId="77777777" w:rsidTr="00177F29">
        <w:trPr>
          <w:trHeight w:val="359"/>
          <w:tblHeader/>
          <w:jc w:val="center"/>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25FF930" w14:textId="77777777" w:rsidR="00A345F4" w:rsidRDefault="00A345F4">
            <w:pPr>
              <w:spacing w:after="0" w:line="240" w:lineRule="auto"/>
              <w:rPr>
                <w:rFonts w:ascii="Times New Roman" w:eastAsia="Times New Roman" w:hAnsi="Times New Roman" w:cs="Times New Roman"/>
                <w:b/>
                <w:bCs/>
                <w:noProof/>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6E7841A" w14:textId="77777777" w:rsidR="00A345F4" w:rsidRDefault="00A345F4">
            <w:pPr>
              <w:spacing w:after="0" w:line="240" w:lineRule="auto"/>
              <w:rPr>
                <w:rFonts w:ascii="Times New Roman" w:eastAsia="Times New Roman" w:hAnsi="Times New Roman" w:cs="Times New Roman"/>
                <w:b/>
                <w:bCs/>
                <w:noProof/>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AC38EDE" w14:textId="77777777" w:rsidR="00A345F4" w:rsidRDefault="00A345F4">
            <w:pPr>
              <w:spacing w:after="0" w:line="240" w:lineRule="auto"/>
              <w:rPr>
                <w:rFonts w:ascii="Times New Roman" w:eastAsia="Times New Roman" w:hAnsi="Times New Roman" w:cs="Times New Roman"/>
                <w:b/>
                <w:bCs/>
                <w:noProof/>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B4CC80B" w14:textId="77777777" w:rsidR="00A345F4" w:rsidRDefault="00A345F4">
            <w:pPr>
              <w:spacing w:after="0" w:line="240" w:lineRule="auto"/>
              <w:rPr>
                <w:rFonts w:ascii="Times New Roman" w:eastAsia="Times New Roman" w:hAnsi="Times New Roman" w:cs="Times New Roman"/>
                <w:b/>
                <w:bCs/>
                <w:noProof/>
                <w:sz w:val="20"/>
                <w:szCs w:val="20"/>
              </w:rPr>
            </w:pPr>
          </w:p>
        </w:tc>
        <w:tc>
          <w:tcPr>
            <w:tcW w:w="1498" w:type="dxa"/>
            <w:vMerge/>
            <w:tcBorders>
              <w:top w:val="single" w:sz="4" w:space="0" w:color="auto"/>
              <w:left w:val="single" w:sz="4" w:space="0" w:color="auto"/>
              <w:bottom w:val="single" w:sz="4" w:space="0" w:color="auto"/>
              <w:right w:val="single" w:sz="4" w:space="0" w:color="auto"/>
            </w:tcBorders>
            <w:vAlign w:val="center"/>
            <w:hideMark/>
          </w:tcPr>
          <w:p w14:paraId="5BA32F54" w14:textId="77777777" w:rsidR="00A345F4" w:rsidRDefault="00A345F4">
            <w:pPr>
              <w:spacing w:after="0" w:line="240" w:lineRule="auto"/>
              <w:rPr>
                <w:rFonts w:ascii="Times New Roman" w:eastAsia="Times New Roman" w:hAnsi="Times New Roman" w:cs="Times New Roman"/>
                <w:b/>
                <w:bCs/>
                <w:noProof/>
                <w:sz w:val="20"/>
                <w:szCs w:val="20"/>
              </w:rPr>
            </w:pPr>
          </w:p>
        </w:tc>
        <w:tc>
          <w:tcPr>
            <w:tcW w:w="1332" w:type="dxa"/>
            <w:tcBorders>
              <w:top w:val="nil"/>
              <w:left w:val="single" w:sz="4" w:space="0" w:color="auto"/>
              <w:bottom w:val="single" w:sz="4" w:space="0" w:color="auto"/>
              <w:right w:val="single" w:sz="4" w:space="0" w:color="auto"/>
            </w:tcBorders>
            <w:shd w:val="clear" w:color="auto" w:fill="BDD7EE"/>
            <w:vAlign w:val="center"/>
            <w:hideMark/>
          </w:tcPr>
          <w:p w14:paraId="1E5B817C" w14:textId="77777777" w:rsidR="00A345F4" w:rsidRDefault="005E2D4E">
            <w:pPr>
              <w:pStyle w:val="P68B1DB1-Normal13"/>
              <w:spacing w:after="0" w:line="240" w:lineRule="auto"/>
              <w:jc w:val="center"/>
              <w:rPr>
                <w:rFonts w:eastAsia="Times New Roman"/>
                <w:noProof/>
              </w:rPr>
            </w:pPr>
            <w:r>
              <w:rPr>
                <w:noProof/>
              </w:rPr>
              <w:t>Unité de mesure</w:t>
            </w:r>
          </w:p>
        </w:tc>
        <w:tc>
          <w:tcPr>
            <w:tcW w:w="1134" w:type="dxa"/>
            <w:tcBorders>
              <w:top w:val="nil"/>
              <w:left w:val="nil"/>
              <w:bottom w:val="single" w:sz="4" w:space="0" w:color="auto"/>
              <w:right w:val="single" w:sz="4" w:space="0" w:color="auto"/>
            </w:tcBorders>
            <w:shd w:val="clear" w:color="auto" w:fill="BDD7EE"/>
            <w:vAlign w:val="center"/>
            <w:hideMark/>
          </w:tcPr>
          <w:p w14:paraId="37832EF7" w14:textId="77777777" w:rsidR="00A345F4" w:rsidRDefault="005E2D4E">
            <w:pPr>
              <w:pStyle w:val="P68B1DB1-Normal13"/>
              <w:spacing w:after="0" w:line="240" w:lineRule="auto"/>
              <w:jc w:val="center"/>
              <w:rPr>
                <w:rFonts w:eastAsia="Times New Roman"/>
                <w:noProof/>
              </w:rPr>
            </w:pPr>
            <w:r>
              <w:rPr>
                <w:noProof/>
              </w:rPr>
              <w:t xml:space="preserve">Données de référence </w:t>
            </w:r>
          </w:p>
        </w:tc>
        <w:tc>
          <w:tcPr>
            <w:tcW w:w="1535" w:type="dxa"/>
            <w:tcBorders>
              <w:top w:val="nil"/>
              <w:left w:val="nil"/>
              <w:bottom w:val="single" w:sz="4" w:space="0" w:color="auto"/>
              <w:right w:val="single" w:sz="4" w:space="0" w:color="auto"/>
            </w:tcBorders>
            <w:shd w:val="clear" w:color="auto" w:fill="BDD7EE"/>
            <w:vAlign w:val="center"/>
            <w:hideMark/>
          </w:tcPr>
          <w:p w14:paraId="3EAD870F" w14:textId="77777777" w:rsidR="00A345F4" w:rsidRDefault="005E2D4E">
            <w:pPr>
              <w:pStyle w:val="P68B1DB1-Normal13"/>
              <w:spacing w:after="0" w:line="240" w:lineRule="auto"/>
              <w:jc w:val="center"/>
              <w:rPr>
                <w:rFonts w:eastAsia="Times New Roman"/>
                <w:noProof/>
              </w:rPr>
            </w:pPr>
            <w:r>
              <w:rPr>
                <w:noProof/>
              </w:rPr>
              <w:t xml:space="preserve">Objectif </w:t>
            </w:r>
          </w:p>
        </w:tc>
        <w:tc>
          <w:tcPr>
            <w:tcW w:w="1080" w:type="dxa"/>
            <w:tcBorders>
              <w:top w:val="nil"/>
              <w:left w:val="nil"/>
              <w:bottom w:val="single" w:sz="4" w:space="0" w:color="auto"/>
              <w:right w:val="single" w:sz="4" w:space="0" w:color="auto"/>
            </w:tcBorders>
            <w:shd w:val="clear" w:color="auto" w:fill="BDD7EE"/>
            <w:vAlign w:val="center"/>
            <w:hideMark/>
          </w:tcPr>
          <w:p w14:paraId="22230F4F" w14:textId="77777777" w:rsidR="00A345F4" w:rsidRDefault="005E2D4E">
            <w:pPr>
              <w:pStyle w:val="P68B1DB1-Normal13"/>
              <w:spacing w:after="0" w:line="240" w:lineRule="auto"/>
              <w:jc w:val="center"/>
              <w:rPr>
                <w:rFonts w:eastAsia="Times New Roman"/>
                <w:noProof/>
              </w:rPr>
            </w:pPr>
            <w:r>
              <w:rPr>
                <w:noProof/>
              </w:rPr>
              <w:t>Trimestre</w:t>
            </w:r>
          </w:p>
        </w:tc>
        <w:tc>
          <w:tcPr>
            <w:tcW w:w="840" w:type="dxa"/>
            <w:tcBorders>
              <w:top w:val="nil"/>
              <w:left w:val="nil"/>
              <w:bottom w:val="single" w:sz="4" w:space="0" w:color="auto"/>
              <w:right w:val="single" w:sz="4" w:space="0" w:color="auto"/>
            </w:tcBorders>
            <w:shd w:val="clear" w:color="auto" w:fill="BDD7EE"/>
            <w:vAlign w:val="center"/>
            <w:hideMark/>
          </w:tcPr>
          <w:p w14:paraId="360F20C4" w14:textId="77777777" w:rsidR="00A345F4" w:rsidRDefault="005E2D4E">
            <w:pPr>
              <w:pStyle w:val="P68B1DB1-Normal13"/>
              <w:spacing w:after="0" w:line="240" w:lineRule="auto"/>
              <w:jc w:val="center"/>
              <w:rPr>
                <w:rFonts w:eastAsia="Times New Roman"/>
                <w:noProof/>
              </w:rPr>
            </w:pPr>
            <w:r>
              <w:rPr>
                <w:noProof/>
              </w:rPr>
              <w:t>Année</w:t>
            </w:r>
          </w:p>
        </w:tc>
        <w:tc>
          <w:tcPr>
            <w:tcW w:w="2760" w:type="dxa"/>
            <w:vMerge/>
            <w:tcBorders>
              <w:top w:val="single" w:sz="4" w:space="0" w:color="auto"/>
              <w:bottom w:val="single" w:sz="4" w:space="0" w:color="auto"/>
              <w:right w:val="single" w:sz="4" w:space="0" w:color="auto"/>
            </w:tcBorders>
            <w:vAlign w:val="center"/>
            <w:hideMark/>
          </w:tcPr>
          <w:p w14:paraId="7D68DB96" w14:textId="77777777" w:rsidR="00A345F4" w:rsidRDefault="00A345F4">
            <w:pPr>
              <w:spacing w:after="0" w:line="240" w:lineRule="auto"/>
              <w:rPr>
                <w:rFonts w:ascii="Times New Roman" w:eastAsia="Times New Roman" w:hAnsi="Times New Roman" w:cs="Times New Roman"/>
                <w:b/>
                <w:bCs/>
                <w:noProof/>
                <w:sz w:val="20"/>
                <w:szCs w:val="20"/>
              </w:rPr>
            </w:pPr>
          </w:p>
        </w:tc>
      </w:tr>
      <w:tr w:rsidR="00A345F4" w14:paraId="2B397151" w14:textId="77777777" w:rsidTr="00177F29">
        <w:trPr>
          <w:trHeight w:val="1718"/>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00F325CC" w14:textId="77777777" w:rsidR="00A345F4" w:rsidRDefault="005E2D4E">
            <w:pPr>
              <w:pStyle w:val="P68B1DB1-Normal14"/>
              <w:spacing w:after="0" w:line="240" w:lineRule="auto"/>
              <w:jc w:val="center"/>
              <w:rPr>
                <w:rFonts w:eastAsia="Times New Roman"/>
                <w:noProof/>
              </w:rPr>
            </w:pPr>
            <w:r>
              <w:rPr>
                <w:noProof/>
              </w:rPr>
              <w:t>307</w:t>
            </w:r>
          </w:p>
        </w:tc>
        <w:tc>
          <w:tcPr>
            <w:tcW w:w="1985" w:type="dxa"/>
            <w:tcBorders>
              <w:top w:val="single" w:sz="4" w:space="0" w:color="auto"/>
              <w:left w:val="nil"/>
              <w:bottom w:val="single" w:sz="4" w:space="0" w:color="auto"/>
              <w:right w:val="single" w:sz="4" w:space="0" w:color="auto"/>
            </w:tcBorders>
            <w:shd w:val="clear" w:color="auto" w:fill="C6EFCE"/>
            <w:noWrap/>
          </w:tcPr>
          <w:p w14:paraId="0AFDB7B6" w14:textId="77777777" w:rsidR="00A345F4" w:rsidRDefault="005E2D4E">
            <w:pPr>
              <w:pStyle w:val="P68B1DB1-Normal14"/>
              <w:spacing w:after="0" w:line="240" w:lineRule="auto"/>
              <w:jc w:val="both"/>
              <w:rPr>
                <w:rFonts w:eastAsia="Times New Roman"/>
                <w:noProof/>
              </w:rPr>
            </w:pPr>
            <w:r>
              <w:rPr>
                <w:noProof/>
              </w:rPr>
              <w:t xml:space="preserve">Réforme 2. Créer le cadre politique pour une transformation urbaine durable — La politique urbaine de la Roumanie </w:t>
            </w:r>
          </w:p>
        </w:tc>
        <w:tc>
          <w:tcPr>
            <w:tcW w:w="1276" w:type="dxa"/>
            <w:tcBorders>
              <w:top w:val="single" w:sz="4" w:space="0" w:color="auto"/>
              <w:left w:val="nil"/>
              <w:bottom w:val="single" w:sz="4" w:space="0" w:color="auto"/>
              <w:right w:val="single" w:sz="4" w:space="0" w:color="auto"/>
            </w:tcBorders>
            <w:shd w:val="clear" w:color="auto" w:fill="C6EFCE"/>
            <w:noWrap/>
            <w:hideMark/>
          </w:tcPr>
          <w:p w14:paraId="427D883A" w14:textId="77777777" w:rsidR="00A345F4" w:rsidRDefault="005E2D4E">
            <w:pPr>
              <w:pStyle w:val="P68B1DB1-Normal14"/>
              <w:spacing w:after="0" w:line="240" w:lineRule="auto"/>
              <w:jc w:val="both"/>
              <w:rPr>
                <w:rFonts w:eastAsia="Times New Roman"/>
                <w:noProof/>
              </w:rPr>
            </w:pPr>
            <w:r>
              <w:rPr>
                <w:noProof/>
              </w:rPr>
              <w:t>Étape</w:t>
            </w:r>
          </w:p>
        </w:tc>
        <w:tc>
          <w:tcPr>
            <w:tcW w:w="1417" w:type="dxa"/>
            <w:tcBorders>
              <w:top w:val="single" w:sz="4" w:space="0" w:color="auto"/>
              <w:left w:val="nil"/>
              <w:bottom w:val="single" w:sz="4" w:space="0" w:color="auto"/>
              <w:right w:val="single" w:sz="4" w:space="0" w:color="auto"/>
            </w:tcBorders>
            <w:shd w:val="clear" w:color="auto" w:fill="C6EFCE"/>
            <w:noWrap/>
          </w:tcPr>
          <w:p w14:paraId="64DFE682" w14:textId="77777777" w:rsidR="00A345F4" w:rsidRDefault="005E2D4E">
            <w:pPr>
              <w:pStyle w:val="P68B1DB1-Normal14"/>
              <w:spacing w:after="0" w:line="240" w:lineRule="auto"/>
              <w:jc w:val="both"/>
              <w:rPr>
                <w:rFonts w:eastAsia="Times New Roman"/>
                <w:noProof/>
              </w:rPr>
            </w:pPr>
            <w:r>
              <w:rPr>
                <w:noProof/>
              </w:rPr>
              <w:t>Entrée en vigueur de la loi sur les zones métropolitaines</w:t>
            </w:r>
          </w:p>
        </w:tc>
        <w:tc>
          <w:tcPr>
            <w:tcW w:w="1498" w:type="dxa"/>
            <w:tcBorders>
              <w:top w:val="single" w:sz="4" w:space="0" w:color="auto"/>
              <w:left w:val="nil"/>
              <w:bottom w:val="single" w:sz="4" w:space="0" w:color="auto"/>
              <w:right w:val="single" w:sz="4" w:space="0" w:color="auto"/>
            </w:tcBorders>
            <w:shd w:val="clear" w:color="auto" w:fill="C6EFCE"/>
            <w:noWrap/>
            <w:hideMark/>
          </w:tcPr>
          <w:p w14:paraId="7C9AEBAE"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 loi sur les zones métropolitaines</w:t>
            </w:r>
          </w:p>
        </w:tc>
        <w:tc>
          <w:tcPr>
            <w:tcW w:w="1332" w:type="dxa"/>
            <w:tcBorders>
              <w:top w:val="nil"/>
              <w:left w:val="nil"/>
              <w:bottom w:val="single" w:sz="4" w:space="0" w:color="auto"/>
              <w:right w:val="single" w:sz="4" w:space="0" w:color="auto"/>
            </w:tcBorders>
            <w:shd w:val="clear" w:color="auto" w:fill="C6EFCE"/>
            <w:noWrap/>
            <w:hideMark/>
          </w:tcPr>
          <w:p w14:paraId="5E5065F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4D64F3B9"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35" w:type="dxa"/>
            <w:tcBorders>
              <w:top w:val="nil"/>
              <w:left w:val="nil"/>
              <w:bottom w:val="single" w:sz="4" w:space="0" w:color="auto"/>
              <w:right w:val="single" w:sz="4" w:space="0" w:color="auto"/>
            </w:tcBorders>
            <w:shd w:val="clear" w:color="auto" w:fill="C6EFCE"/>
            <w:noWrap/>
          </w:tcPr>
          <w:p w14:paraId="34E6DA1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0" w:type="dxa"/>
            <w:tcBorders>
              <w:top w:val="nil"/>
              <w:left w:val="nil"/>
              <w:bottom w:val="single" w:sz="4" w:space="0" w:color="auto"/>
              <w:right w:val="single" w:sz="4" w:space="0" w:color="auto"/>
            </w:tcBorders>
            <w:shd w:val="clear" w:color="auto" w:fill="C6EFCE"/>
            <w:noWrap/>
            <w:hideMark/>
          </w:tcPr>
          <w:p w14:paraId="174AAFE8" w14:textId="77777777" w:rsidR="00A345F4" w:rsidRDefault="005E2D4E">
            <w:pPr>
              <w:pStyle w:val="P68B1DB1-Normal14"/>
              <w:spacing w:after="0" w:line="240" w:lineRule="auto"/>
              <w:jc w:val="both"/>
              <w:rPr>
                <w:rFonts w:eastAsia="Times New Roman"/>
                <w:noProof/>
              </w:rPr>
            </w:pPr>
            <w:r>
              <w:rPr>
                <w:noProof/>
              </w:rPr>
              <w:t>T2</w:t>
            </w:r>
          </w:p>
        </w:tc>
        <w:tc>
          <w:tcPr>
            <w:tcW w:w="840" w:type="dxa"/>
            <w:tcBorders>
              <w:top w:val="nil"/>
              <w:left w:val="nil"/>
              <w:bottom w:val="single" w:sz="4" w:space="0" w:color="auto"/>
              <w:right w:val="single" w:sz="4" w:space="0" w:color="auto"/>
            </w:tcBorders>
            <w:shd w:val="clear" w:color="auto" w:fill="C6EFCE"/>
            <w:noWrap/>
            <w:hideMark/>
          </w:tcPr>
          <w:p w14:paraId="274B0630" w14:textId="77777777" w:rsidR="00A345F4" w:rsidRDefault="005E2D4E">
            <w:pPr>
              <w:pStyle w:val="P68B1DB1-Normal14"/>
              <w:spacing w:after="0" w:line="240" w:lineRule="auto"/>
              <w:jc w:val="both"/>
              <w:rPr>
                <w:rFonts w:eastAsia="Times New Roman"/>
                <w:noProof/>
              </w:rPr>
            </w:pPr>
            <w:r>
              <w:rPr>
                <w:noProof/>
              </w:rPr>
              <w:t>2022</w:t>
            </w:r>
          </w:p>
        </w:tc>
        <w:tc>
          <w:tcPr>
            <w:tcW w:w="2760" w:type="dxa"/>
            <w:tcBorders>
              <w:top w:val="single" w:sz="4" w:space="0" w:color="auto"/>
              <w:left w:val="nil"/>
              <w:bottom w:val="single" w:sz="4" w:space="0" w:color="auto"/>
              <w:right w:val="single" w:sz="4" w:space="0" w:color="auto"/>
            </w:tcBorders>
            <w:shd w:val="clear" w:color="auto" w:fill="C6EFCE"/>
            <w:noWrap/>
            <w:hideMark/>
          </w:tcPr>
          <w:p w14:paraId="04392E0B" w14:textId="77777777" w:rsidR="00A345F4" w:rsidRDefault="005E2D4E">
            <w:pPr>
              <w:pStyle w:val="P68B1DB1-Normal14"/>
              <w:spacing w:after="0" w:line="240" w:lineRule="auto"/>
              <w:jc w:val="both"/>
              <w:rPr>
                <w:noProof/>
              </w:rPr>
            </w:pPr>
            <w:r>
              <w:rPr>
                <w:noProof/>
              </w:rPr>
              <w:t>La loi sur les aires métropolitaines:</w:t>
            </w:r>
          </w:p>
          <w:p w14:paraId="20A7FDDE"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 xml:space="preserve">définir des critères pour délimiter les zones métropolitaines et ses compétences politiques, à savoir: la mobilité, l’aménagement du territoire, le développement urbain, le logement et d’autres services publics fournis au niveau local qui s’attaquent, entre autres, aux problèmes des communautés marginales/périphériques, y compris les établissements informels; </w:t>
            </w:r>
          </w:p>
          <w:p w14:paraId="67C2E505"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 xml:space="preserve">mettre en place, au niveau de la zone métropolitaine, un organe de coordination chargé d’orienter et de superviser la mise en œuvre des politiques et des investissements dans les unités administratives territoriales appartenant à la zone métropolitaine, en vue d’améliorer la connectivité, l’aménagement du territoire, le développement des infrastructures vertes et l’accès à l’emploi, aux services de santé et à l’éducation, y compris pour les personnes vivant dans des zones/périphéries défavorisées, et également de garantir des possibilités économiques accrues pour les établissements situés dans les zones périurbaines autour du noyau urbain; </w:t>
            </w:r>
          </w:p>
          <w:p w14:paraId="3AD8D393" w14:textId="77777777" w:rsidR="00A345F4" w:rsidRDefault="005E2D4E">
            <w:pPr>
              <w:pStyle w:val="P68B1DB1-Normal14"/>
              <w:numPr>
                <w:ilvl w:val="0"/>
                <w:numId w:val="48"/>
              </w:numPr>
              <w:spacing w:before="120" w:line="259" w:lineRule="auto"/>
              <w:ind w:left="175" w:hanging="217"/>
              <w:contextualSpacing/>
              <w:jc w:val="both"/>
              <w:rPr>
                <w:rFonts w:eastAsia="Times New Roman"/>
                <w:noProof/>
              </w:rPr>
            </w:pPr>
            <w:r>
              <w:rPr>
                <w:noProof/>
              </w:rPr>
              <w:t>garantir un cadre transparent et prévisible (y compris des critères, une méthodologie) pour constituer le budget de chaque zone métropolitaine, sur la base des contributions des unités administratives composant la zone urbaine fonctionnelle et, le cas échéant, des transferts de l’administration centrale par des programmes nationaux de développement, financés chaque année par le budget de l’État, sur la base de critères de performance liés aux objectifs politiques poursuivis au niveau de chaque zone métropolitaine, permettre la passation conjointe de marchés pour la fourniture de biens et de services au niveau de la zone fonctionnelle;</w:t>
            </w:r>
          </w:p>
        </w:tc>
      </w:tr>
      <w:tr w:rsidR="00A345F4" w14:paraId="7FD28E2B" w14:textId="77777777" w:rsidTr="00177F29">
        <w:trPr>
          <w:trHeight w:val="3878"/>
          <w:jc w:val="center"/>
        </w:trPr>
        <w:tc>
          <w:tcPr>
            <w:tcW w:w="851" w:type="dxa"/>
            <w:tcBorders>
              <w:top w:val="nil"/>
              <w:left w:val="single" w:sz="4" w:space="0" w:color="auto"/>
              <w:bottom w:val="single" w:sz="4" w:space="0" w:color="auto"/>
              <w:right w:val="single" w:sz="4" w:space="0" w:color="auto"/>
            </w:tcBorders>
            <w:shd w:val="clear" w:color="auto" w:fill="C6EFCE"/>
            <w:noWrap/>
            <w:hideMark/>
          </w:tcPr>
          <w:p w14:paraId="55BCEBC5" w14:textId="77777777" w:rsidR="00A345F4" w:rsidRDefault="005E2D4E">
            <w:pPr>
              <w:pStyle w:val="P68B1DB1-Normal14"/>
              <w:spacing w:after="0" w:line="240" w:lineRule="auto"/>
              <w:jc w:val="center"/>
              <w:rPr>
                <w:rFonts w:eastAsia="Times New Roman"/>
                <w:noProof/>
              </w:rPr>
            </w:pPr>
            <w:r>
              <w:rPr>
                <w:noProof/>
              </w:rPr>
              <w:t>308</w:t>
            </w:r>
          </w:p>
        </w:tc>
        <w:tc>
          <w:tcPr>
            <w:tcW w:w="1985" w:type="dxa"/>
            <w:tcBorders>
              <w:top w:val="nil"/>
              <w:left w:val="nil"/>
              <w:bottom w:val="single" w:sz="4" w:space="0" w:color="auto"/>
              <w:right w:val="single" w:sz="4" w:space="0" w:color="auto"/>
            </w:tcBorders>
            <w:shd w:val="clear" w:color="auto" w:fill="C6EFCE"/>
            <w:noWrap/>
          </w:tcPr>
          <w:p w14:paraId="4BADB903" w14:textId="77777777" w:rsidR="00A345F4" w:rsidRDefault="005E2D4E">
            <w:pPr>
              <w:pStyle w:val="P68B1DB1-Normal14"/>
              <w:spacing w:after="0" w:line="240" w:lineRule="auto"/>
              <w:jc w:val="both"/>
              <w:rPr>
                <w:rFonts w:eastAsia="Times New Roman"/>
                <w:noProof/>
              </w:rPr>
            </w:pPr>
            <w:r>
              <w:rPr>
                <w:noProof/>
              </w:rPr>
              <w:t xml:space="preserve">Réforme 2. Créer le cadre politique pour une transformation urbaine durable </w:t>
            </w:r>
          </w:p>
        </w:tc>
        <w:tc>
          <w:tcPr>
            <w:tcW w:w="1276" w:type="dxa"/>
            <w:tcBorders>
              <w:top w:val="nil"/>
              <w:left w:val="nil"/>
              <w:bottom w:val="single" w:sz="4" w:space="0" w:color="auto"/>
              <w:right w:val="single" w:sz="4" w:space="0" w:color="auto"/>
            </w:tcBorders>
            <w:shd w:val="clear" w:color="auto" w:fill="C6EFCE"/>
            <w:noWrap/>
            <w:hideMark/>
          </w:tcPr>
          <w:p w14:paraId="629F76C3" w14:textId="77777777" w:rsidR="00A345F4" w:rsidRDefault="005E2D4E">
            <w:pPr>
              <w:pStyle w:val="P68B1DB1-Normal14"/>
              <w:spacing w:after="0" w:line="240" w:lineRule="auto"/>
              <w:jc w:val="both"/>
              <w:rPr>
                <w:rFonts w:eastAsia="Times New Roman"/>
                <w:noProof/>
              </w:rPr>
            </w:pPr>
            <w:r>
              <w:rPr>
                <w:noProof/>
              </w:rPr>
              <w:t>Étape</w:t>
            </w:r>
          </w:p>
        </w:tc>
        <w:tc>
          <w:tcPr>
            <w:tcW w:w="1417" w:type="dxa"/>
            <w:tcBorders>
              <w:top w:val="nil"/>
              <w:left w:val="nil"/>
              <w:bottom w:val="single" w:sz="4" w:space="0" w:color="auto"/>
              <w:right w:val="single" w:sz="4" w:space="0" w:color="auto"/>
            </w:tcBorders>
            <w:shd w:val="clear" w:color="auto" w:fill="C6EFCE"/>
            <w:noWrap/>
          </w:tcPr>
          <w:p w14:paraId="1A9C0C68" w14:textId="77777777" w:rsidR="00A345F4" w:rsidRDefault="005E2D4E">
            <w:pPr>
              <w:pStyle w:val="P68B1DB1-Normal14"/>
              <w:spacing w:after="0" w:line="240" w:lineRule="auto"/>
              <w:jc w:val="both"/>
              <w:rPr>
                <w:rFonts w:eastAsia="Times New Roman"/>
                <w:noProof/>
              </w:rPr>
            </w:pPr>
            <w:r>
              <w:rPr>
                <w:noProof/>
              </w:rPr>
              <w:t>Entrée en vigueur de la décision du gouvernement établissant le cadre de la politique urbaine roumaine</w:t>
            </w:r>
          </w:p>
        </w:tc>
        <w:tc>
          <w:tcPr>
            <w:tcW w:w="1498" w:type="dxa"/>
            <w:tcBorders>
              <w:top w:val="nil"/>
              <w:left w:val="nil"/>
              <w:bottom w:val="single" w:sz="4" w:space="0" w:color="auto"/>
              <w:right w:val="single" w:sz="4" w:space="0" w:color="auto"/>
            </w:tcBorders>
            <w:shd w:val="clear" w:color="auto" w:fill="C6EFCE"/>
            <w:noWrap/>
            <w:hideMark/>
          </w:tcPr>
          <w:p w14:paraId="6F94A508" w14:textId="77777777" w:rsidR="00A345F4" w:rsidRDefault="005E2D4E">
            <w:pPr>
              <w:pStyle w:val="P68B1DB1-Normal14"/>
              <w:spacing w:after="0" w:line="240" w:lineRule="auto"/>
              <w:jc w:val="both"/>
              <w:rPr>
                <w:rFonts w:eastAsia="Times New Roman"/>
                <w:noProof/>
              </w:rPr>
            </w:pPr>
            <w:r>
              <w:rPr>
                <w:noProof/>
              </w:rPr>
              <w:t xml:space="preserve">Disposition de la décision du gouvernement indiquant l’entrée en vigueur du cadre de politique urbaine roumain </w:t>
            </w:r>
          </w:p>
        </w:tc>
        <w:tc>
          <w:tcPr>
            <w:tcW w:w="1332" w:type="dxa"/>
            <w:tcBorders>
              <w:top w:val="nil"/>
              <w:left w:val="nil"/>
              <w:bottom w:val="single" w:sz="4" w:space="0" w:color="auto"/>
              <w:right w:val="single" w:sz="4" w:space="0" w:color="auto"/>
            </w:tcBorders>
            <w:shd w:val="clear" w:color="auto" w:fill="C6EFCE"/>
            <w:noWrap/>
            <w:hideMark/>
          </w:tcPr>
          <w:p w14:paraId="348C070A" w14:textId="77777777" w:rsidR="00A345F4" w:rsidRDefault="005E2D4E">
            <w:pPr>
              <w:pStyle w:val="P68B1DB1-Normal14"/>
              <w:spacing w:after="0" w:line="240" w:lineRule="auto"/>
              <w:jc w:val="both"/>
              <w:rPr>
                <w:rFonts w:eastAsia="Times New Roman"/>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7AF6CA18" w14:textId="77777777" w:rsidR="00A345F4" w:rsidRDefault="005E2D4E">
            <w:pPr>
              <w:pStyle w:val="P68B1DB1-Normal14"/>
              <w:spacing w:after="0" w:line="240" w:lineRule="auto"/>
              <w:jc w:val="both"/>
              <w:rPr>
                <w:rFonts w:eastAsia="Times New Roman"/>
                <w:noProof/>
              </w:rPr>
            </w:pPr>
            <w:r>
              <w:rPr>
                <w:noProof/>
              </w:rPr>
              <w:t xml:space="preserve"> </w:t>
            </w:r>
          </w:p>
        </w:tc>
        <w:tc>
          <w:tcPr>
            <w:tcW w:w="1535" w:type="dxa"/>
            <w:tcBorders>
              <w:top w:val="nil"/>
              <w:left w:val="nil"/>
              <w:bottom w:val="single" w:sz="4" w:space="0" w:color="auto"/>
              <w:right w:val="single" w:sz="4" w:space="0" w:color="auto"/>
            </w:tcBorders>
            <w:shd w:val="clear" w:color="auto" w:fill="C6EFCE"/>
            <w:noWrap/>
          </w:tcPr>
          <w:p w14:paraId="68B3F526" w14:textId="77777777" w:rsidR="00A345F4" w:rsidRDefault="005E2D4E">
            <w:pPr>
              <w:pStyle w:val="P68B1DB1-Normal14"/>
              <w:spacing w:after="0" w:line="240" w:lineRule="auto"/>
              <w:jc w:val="both"/>
              <w:rPr>
                <w:rFonts w:eastAsia="Times New Roman"/>
                <w:noProof/>
              </w:rPr>
            </w:pPr>
            <w:r>
              <w:rPr>
                <w:noProof/>
              </w:rPr>
              <w:t xml:space="preserve"> </w:t>
            </w:r>
          </w:p>
        </w:tc>
        <w:tc>
          <w:tcPr>
            <w:tcW w:w="1080" w:type="dxa"/>
            <w:tcBorders>
              <w:top w:val="nil"/>
              <w:left w:val="nil"/>
              <w:bottom w:val="single" w:sz="4" w:space="0" w:color="auto"/>
              <w:right w:val="single" w:sz="4" w:space="0" w:color="auto"/>
            </w:tcBorders>
            <w:shd w:val="clear" w:color="auto" w:fill="C6EFCE"/>
            <w:noWrap/>
            <w:hideMark/>
          </w:tcPr>
          <w:p w14:paraId="5AD0AB83" w14:textId="77777777" w:rsidR="00A345F4" w:rsidRDefault="005E2D4E">
            <w:pPr>
              <w:pStyle w:val="P68B1DB1-Normal14"/>
              <w:spacing w:after="0" w:line="240" w:lineRule="auto"/>
              <w:jc w:val="both"/>
              <w:rPr>
                <w:rFonts w:eastAsia="Times New Roman"/>
                <w:noProof/>
              </w:rPr>
            </w:pPr>
            <w:r>
              <w:rPr>
                <w:noProof/>
              </w:rPr>
              <w:t>T4</w:t>
            </w:r>
          </w:p>
        </w:tc>
        <w:tc>
          <w:tcPr>
            <w:tcW w:w="840" w:type="dxa"/>
            <w:tcBorders>
              <w:top w:val="nil"/>
              <w:left w:val="nil"/>
              <w:bottom w:val="single" w:sz="4" w:space="0" w:color="auto"/>
              <w:right w:val="single" w:sz="4" w:space="0" w:color="auto"/>
            </w:tcBorders>
            <w:shd w:val="clear" w:color="auto" w:fill="C6EFCE"/>
            <w:noWrap/>
            <w:hideMark/>
          </w:tcPr>
          <w:p w14:paraId="1250B256" w14:textId="77777777" w:rsidR="00A345F4" w:rsidRDefault="005E2D4E">
            <w:pPr>
              <w:pStyle w:val="P68B1DB1-Normal14"/>
              <w:spacing w:after="0" w:line="240" w:lineRule="auto"/>
              <w:jc w:val="both"/>
              <w:rPr>
                <w:rFonts w:eastAsia="Times New Roman"/>
                <w:noProof/>
              </w:rPr>
            </w:pPr>
            <w:r>
              <w:rPr>
                <w:noProof/>
              </w:rPr>
              <w:t>2022</w:t>
            </w:r>
          </w:p>
        </w:tc>
        <w:tc>
          <w:tcPr>
            <w:tcW w:w="2760" w:type="dxa"/>
            <w:tcBorders>
              <w:top w:val="nil"/>
              <w:left w:val="nil"/>
              <w:bottom w:val="single" w:sz="4" w:space="0" w:color="auto"/>
              <w:right w:val="single" w:sz="4" w:space="0" w:color="auto"/>
            </w:tcBorders>
            <w:shd w:val="clear" w:color="auto" w:fill="C6EFCE"/>
            <w:noWrap/>
            <w:hideMark/>
          </w:tcPr>
          <w:p w14:paraId="3CD63661" w14:textId="77777777" w:rsidR="00A345F4" w:rsidRDefault="005E2D4E">
            <w:pPr>
              <w:pStyle w:val="P68B1DB1-Normal14"/>
              <w:spacing w:after="0" w:line="240" w:lineRule="auto"/>
              <w:jc w:val="both"/>
              <w:rPr>
                <w:noProof/>
              </w:rPr>
            </w:pPr>
            <w:r>
              <w:rPr>
                <w:noProof/>
              </w:rPr>
              <w:t xml:space="preserve">La décision du gouvernement: </w:t>
            </w:r>
          </w:p>
          <w:p w14:paraId="00F0F65E"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définir les rôles et les responsabilités des autorités publiques aux niveaux national et local pour mettre en œuvre la politique urbaine roumaine;</w:t>
            </w:r>
          </w:p>
          <w:p w14:paraId="3728206F"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 xml:space="preserve">intégrer les principes du développement durable, y compris en appliquant des solutions fondées sur la nature, dans les documents d’urbanisme; </w:t>
            </w:r>
          </w:p>
          <w:p w14:paraId="19710337"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opérationnaliser les indicateurs de performance clés découlant des objectifs prioritaires de la politique urbaine roumaine (à savoir l'amélioration de la mobilité, l'amélioration de l'aménagement du territoire, l'amélioration des conditions de logement, les services publics locaux pour les communautés marginalisées/périphériques et l'accès aux transports publics) )</w:t>
            </w:r>
          </w:p>
          <w:p w14:paraId="1F951F76"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établir un mécanisme de financement stable et prévisible pour la mise en œuvre de la politique urbaine;</w:t>
            </w:r>
          </w:p>
          <w:p w14:paraId="36E4BA79"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encourager la coopération locale en stimulant les projets de développement urbain durable proposés au niveau des zones urbaines fonctionnelles et alignés sur les plans de développement urbain intégré durable.</w:t>
            </w:r>
          </w:p>
        </w:tc>
      </w:tr>
      <w:tr w:rsidR="00A345F4" w14:paraId="021A204D" w14:textId="77777777" w:rsidTr="00177F29">
        <w:trPr>
          <w:trHeight w:val="2678"/>
          <w:jc w:val="center"/>
        </w:trPr>
        <w:tc>
          <w:tcPr>
            <w:tcW w:w="851" w:type="dxa"/>
            <w:tcBorders>
              <w:top w:val="nil"/>
              <w:left w:val="single" w:sz="4" w:space="0" w:color="auto"/>
              <w:bottom w:val="single" w:sz="4" w:space="0" w:color="auto"/>
              <w:right w:val="single" w:sz="4" w:space="0" w:color="auto"/>
            </w:tcBorders>
            <w:shd w:val="clear" w:color="auto" w:fill="C6EFCE"/>
            <w:noWrap/>
            <w:hideMark/>
          </w:tcPr>
          <w:p w14:paraId="4BA4FC22" w14:textId="77777777" w:rsidR="00A345F4" w:rsidRDefault="005E2D4E">
            <w:pPr>
              <w:pStyle w:val="P68B1DB1-Normal14"/>
              <w:spacing w:after="0" w:line="240" w:lineRule="auto"/>
              <w:jc w:val="center"/>
              <w:rPr>
                <w:rFonts w:eastAsia="Times New Roman"/>
                <w:noProof/>
              </w:rPr>
            </w:pPr>
            <w:r>
              <w:rPr>
                <w:noProof/>
              </w:rPr>
              <w:t>310</w:t>
            </w:r>
          </w:p>
        </w:tc>
        <w:tc>
          <w:tcPr>
            <w:tcW w:w="1985" w:type="dxa"/>
            <w:tcBorders>
              <w:top w:val="nil"/>
              <w:left w:val="nil"/>
              <w:bottom w:val="single" w:sz="4" w:space="0" w:color="auto"/>
              <w:right w:val="single" w:sz="4" w:space="0" w:color="auto"/>
            </w:tcBorders>
            <w:shd w:val="clear" w:color="auto" w:fill="C6EFCE"/>
            <w:noWrap/>
            <w:hideMark/>
          </w:tcPr>
          <w:p w14:paraId="13698F94" w14:textId="77777777" w:rsidR="00A345F4" w:rsidRDefault="005E2D4E">
            <w:pPr>
              <w:pStyle w:val="P68B1DB1-Normal14"/>
              <w:spacing w:after="0" w:line="240" w:lineRule="auto"/>
              <w:jc w:val="both"/>
              <w:rPr>
                <w:rFonts w:eastAsia="Times New Roman"/>
                <w:noProof/>
              </w:rPr>
            </w:pPr>
            <w:r>
              <w:rPr>
                <w:noProof/>
              </w:rPr>
              <w:t xml:space="preserve">Réforme 3. Créer le cadre politique pour une transformation rurale durable: la création de consortiums administratifs dans les zones rurales fonctionnelles; </w:t>
            </w:r>
          </w:p>
        </w:tc>
        <w:tc>
          <w:tcPr>
            <w:tcW w:w="1276" w:type="dxa"/>
            <w:tcBorders>
              <w:top w:val="nil"/>
              <w:left w:val="nil"/>
              <w:bottom w:val="single" w:sz="4" w:space="0" w:color="auto"/>
              <w:right w:val="single" w:sz="4" w:space="0" w:color="auto"/>
            </w:tcBorders>
            <w:shd w:val="clear" w:color="auto" w:fill="C6EFCE"/>
            <w:noWrap/>
            <w:hideMark/>
          </w:tcPr>
          <w:p w14:paraId="53B5D17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417" w:type="dxa"/>
            <w:tcBorders>
              <w:top w:val="nil"/>
              <w:left w:val="nil"/>
              <w:bottom w:val="single" w:sz="4" w:space="0" w:color="auto"/>
              <w:right w:val="single" w:sz="4" w:space="0" w:color="auto"/>
            </w:tcBorders>
            <w:shd w:val="clear" w:color="auto" w:fill="C6EFCE"/>
            <w:noWrap/>
            <w:hideMark/>
          </w:tcPr>
          <w:p w14:paraId="0131C4FC" w14:textId="4653E27D" w:rsidR="00A345F4" w:rsidRDefault="005E2D4E">
            <w:pPr>
              <w:pStyle w:val="P68B1DB1-Normal14"/>
              <w:spacing w:after="0" w:line="240" w:lineRule="auto"/>
              <w:jc w:val="both"/>
              <w:rPr>
                <w:rFonts w:eastAsia="Times New Roman"/>
                <w:noProof/>
              </w:rPr>
            </w:pPr>
            <w:r>
              <w:rPr>
                <w:noProof/>
              </w:rPr>
              <w:t>Entrée en vigueur de l’acte législatif modifiant le code administratif et établissant des consortiums administratifs dans les unités territoriales administratives rurales voisines ou à prédominance rurale, existantes en tant que zones rurales fonctionnelles.</w:t>
            </w:r>
          </w:p>
        </w:tc>
        <w:tc>
          <w:tcPr>
            <w:tcW w:w="1498" w:type="dxa"/>
            <w:tcBorders>
              <w:top w:val="nil"/>
              <w:left w:val="nil"/>
              <w:bottom w:val="single" w:sz="4" w:space="0" w:color="auto"/>
              <w:right w:val="single" w:sz="4" w:space="0" w:color="auto"/>
            </w:tcBorders>
            <w:shd w:val="clear" w:color="auto" w:fill="C6EFCE"/>
            <w:noWrap/>
            <w:hideMark/>
          </w:tcPr>
          <w:p w14:paraId="6D5EA999"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l’acte législatif</w:t>
            </w:r>
          </w:p>
        </w:tc>
        <w:tc>
          <w:tcPr>
            <w:tcW w:w="1332" w:type="dxa"/>
            <w:tcBorders>
              <w:top w:val="nil"/>
              <w:left w:val="nil"/>
              <w:bottom w:val="single" w:sz="4" w:space="0" w:color="auto"/>
              <w:right w:val="single" w:sz="4" w:space="0" w:color="auto"/>
            </w:tcBorders>
            <w:shd w:val="clear" w:color="auto" w:fill="C6EFCE"/>
            <w:noWrap/>
            <w:hideMark/>
          </w:tcPr>
          <w:p w14:paraId="639D394F"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21AC7247"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35" w:type="dxa"/>
            <w:tcBorders>
              <w:top w:val="nil"/>
              <w:left w:val="nil"/>
              <w:bottom w:val="single" w:sz="4" w:space="0" w:color="auto"/>
              <w:right w:val="single" w:sz="4" w:space="0" w:color="auto"/>
            </w:tcBorders>
            <w:shd w:val="clear" w:color="auto" w:fill="C6EFCE"/>
            <w:noWrap/>
            <w:hideMark/>
          </w:tcPr>
          <w:p w14:paraId="6FA8DAD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080" w:type="dxa"/>
            <w:tcBorders>
              <w:top w:val="nil"/>
              <w:left w:val="nil"/>
              <w:bottom w:val="single" w:sz="4" w:space="0" w:color="auto"/>
              <w:right w:val="single" w:sz="4" w:space="0" w:color="auto"/>
            </w:tcBorders>
            <w:shd w:val="clear" w:color="auto" w:fill="C6EFCE"/>
            <w:noWrap/>
            <w:hideMark/>
          </w:tcPr>
          <w:p w14:paraId="3BDF79A4" w14:textId="77777777" w:rsidR="00A345F4" w:rsidRDefault="005E2D4E">
            <w:pPr>
              <w:pStyle w:val="P68B1DB1-Normal14"/>
              <w:spacing w:after="0" w:line="240" w:lineRule="auto"/>
              <w:jc w:val="both"/>
              <w:rPr>
                <w:rFonts w:eastAsia="Times New Roman"/>
                <w:noProof/>
              </w:rPr>
            </w:pPr>
            <w:r>
              <w:rPr>
                <w:noProof/>
              </w:rPr>
              <w:t>T4</w:t>
            </w:r>
          </w:p>
        </w:tc>
        <w:tc>
          <w:tcPr>
            <w:tcW w:w="840" w:type="dxa"/>
            <w:tcBorders>
              <w:top w:val="nil"/>
              <w:left w:val="nil"/>
              <w:bottom w:val="single" w:sz="4" w:space="0" w:color="auto"/>
              <w:right w:val="single" w:sz="4" w:space="0" w:color="auto"/>
            </w:tcBorders>
            <w:shd w:val="clear" w:color="auto" w:fill="C6EFCE"/>
            <w:noWrap/>
            <w:hideMark/>
          </w:tcPr>
          <w:p w14:paraId="074A49D8" w14:textId="77777777" w:rsidR="00A345F4" w:rsidRDefault="005E2D4E">
            <w:pPr>
              <w:pStyle w:val="P68B1DB1-Normal14"/>
              <w:spacing w:after="0" w:line="240" w:lineRule="auto"/>
              <w:jc w:val="both"/>
              <w:rPr>
                <w:rFonts w:eastAsia="Times New Roman"/>
                <w:noProof/>
              </w:rPr>
            </w:pPr>
            <w:r>
              <w:rPr>
                <w:noProof/>
              </w:rPr>
              <w:t>2022</w:t>
            </w:r>
          </w:p>
        </w:tc>
        <w:tc>
          <w:tcPr>
            <w:tcW w:w="2760" w:type="dxa"/>
            <w:tcBorders>
              <w:top w:val="nil"/>
              <w:left w:val="nil"/>
              <w:bottom w:val="single" w:sz="4" w:space="0" w:color="auto"/>
              <w:right w:val="single" w:sz="4" w:space="0" w:color="auto"/>
            </w:tcBorders>
            <w:shd w:val="clear" w:color="auto" w:fill="C6EFCE"/>
            <w:noWrap/>
            <w:hideMark/>
          </w:tcPr>
          <w:p w14:paraId="47FF9EF6" w14:textId="77777777" w:rsidR="00A345F4" w:rsidRDefault="005E2D4E">
            <w:pPr>
              <w:pStyle w:val="P68B1DB1-Normal14"/>
              <w:spacing w:after="0" w:line="240" w:lineRule="auto"/>
              <w:jc w:val="both"/>
              <w:rPr>
                <w:noProof/>
              </w:rPr>
            </w:pPr>
            <w:r>
              <w:rPr>
                <w:noProof/>
              </w:rPr>
              <w:t>Les modifications apportées au code administratif doivent établir des consortiums administratifs dans les zones rurales fonctionnelles [telles que définies selon la méthodologie du degré d’urbanisation (DEGURBA)] qui présentent un certain degré d’intégration économique et sociale et/ou sont confrontés à des défis et des possibilités similaires pour leur développement (par exemple, proximité de ressources naturelles communes, exposition aux mêmes chocs structurels).</w:t>
            </w:r>
          </w:p>
          <w:p w14:paraId="348225C0" w14:textId="77777777" w:rsidR="00A345F4" w:rsidRDefault="005E2D4E">
            <w:pPr>
              <w:pStyle w:val="P68B1DB1-Normal14"/>
              <w:pBdr>
                <w:top w:val="nil"/>
                <w:left w:val="nil"/>
                <w:bottom w:val="nil"/>
                <w:right w:val="nil"/>
                <w:between w:val="nil"/>
              </w:pBdr>
              <w:spacing w:after="0" w:line="240" w:lineRule="auto"/>
              <w:jc w:val="both"/>
              <w:rPr>
                <w:noProof/>
              </w:rPr>
            </w:pPr>
            <w:r>
              <w:rPr>
                <w:noProof/>
              </w:rPr>
              <w:t>Les modifications législatives:</w:t>
            </w:r>
          </w:p>
          <w:p w14:paraId="7FEEFD2E"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Définir le régime juridique et les responsabilités des consortiums administratifs établis sur la base d’une approche fonctionnelle de la zone rurale, en vue d’améliorer l’efficacité des services publics sociaux, éducatifs et de santé, ainsi que le soutien aux travailleurs indépendants dans l’agriculture (tels que l’accès aux marchés et une coopération accrue), et l’efficacité de la mise en œuvre des investissements, ce qui permettra d’améliorer la cohésion territoriale, l’intégration des zones rurales et la capitalisation durable du patrimoine naturel et culturel.</w:t>
            </w:r>
          </w:p>
          <w:p w14:paraId="0E73C407"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Mettre en place un organisme correspondant à chaque consortium administratif qui mènera des activités spécifiques pour un plus grand nombre d'autorités publiques locales et contribuera à la mise en œuvre des objectifs stratégiques des autorités publiques concernées. L'organisme gère les types de services publics suivants: l'aménagement du territoire et l'urbanisme; marchés publics; les investissements; la gestion du domaine public et privé; financière et comptable; juridique; l'assistance sociale; registre agricole; registre d'état civil; cadastre.</w:t>
            </w:r>
          </w:p>
          <w:p w14:paraId="0A33ECD4"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 xml:space="preserve">Garantir un budget transparent et prévisible, composé de contributions des unités administratives composant les consortiums administratifs et de transferts de l’administration centrale sur la base de critères de performance transparents liés aux objectifs stratégiques au niveau de la zone rurale fonctionnelle </w:t>
            </w:r>
          </w:p>
          <w:p w14:paraId="051141E8"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rendre possible l’intégration numérique complète des services publics fournis par les unités administratives, des consortiums en vue de fournir des services publics à temps réduit aux citoyens et aux entrepreneurs, y compris par la passation conjointe de marchés pour la fourniture de biens et de services, au niveau des zones rurales fonctionnelles.</w:t>
            </w:r>
          </w:p>
        </w:tc>
      </w:tr>
      <w:tr w:rsidR="00A345F4" w14:paraId="4EDC8F2B" w14:textId="77777777" w:rsidTr="00177F29">
        <w:trPr>
          <w:trHeight w:val="878"/>
          <w:jc w:val="center"/>
        </w:trPr>
        <w:tc>
          <w:tcPr>
            <w:tcW w:w="851" w:type="dxa"/>
            <w:tcBorders>
              <w:top w:val="nil"/>
              <w:left w:val="single" w:sz="4" w:space="0" w:color="auto"/>
              <w:bottom w:val="single" w:sz="4" w:space="0" w:color="auto"/>
              <w:right w:val="single" w:sz="4" w:space="0" w:color="auto"/>
            </w:tcBorders>
            <w:shd w:val="clear" w:color="auto" w:fill="C6EFCE"/>
            <w:noWrap/>
          </w:tcPr>
          <w:p w14:paraId="3F55D43C" w14:textId="77777777" w:rsidR="00A345F4" w:rsidRDefault="005E2D4E">
            <w:pPr>
              <w:pStyle w:val="P68B1DB1-Normal14"/>
              <w:spacing w:after="0" w:line="240" w:lineRule="auto"/>
              <w:jc w:val="center"/>
              <w:rPr>
                <w:noProof/>
              </w:rPr>
            </w:pPr>
            <w:r>
              <w:rPr>
                <w:noProof/>
              </w:rPr>
              <w:t>312</w:t>
            </w:r>
          </w:p>
        </w:tc>
        <w:tc>
          <w:tcPr>
            <w:tcW w:w="1985" w:type="dxa"/>
            <w:tcBorders>
              <w:top w:val="nil"/>
              <w:left w:val="nil"/>
              <w:bottom w:val="single" w:sz="4" w:space="0" w:color="auto"/>
              <w:right w:val="single" w:sz="4" w:space="0" w:color="auto"/>
            </w:tcBorders>
            <w:shd w:val="clear" w:color="auto" w:fill="C6EFCE"/>
            <w:noWrap/>
          </w:tcPr>
          <w:p w14:paraId="5ABBC65B" w14:textId="77777777" w:rsidR="00A345F4" w:rsidRDefault="005E2D4E">
            <w:pPr>
              <w:pStyle w:val="P68B1DB1-Normal14"/>
              <w:spacing w:after="0" w:line="240" w:lineRule="auto"/>
              <w:jc w:val="both"/>
              <w:rPr>
                <w:noProof/>
              </w:rPr>
            </w:pPr>
            <w:r>
              <w:rPr>
                <w:noProof/>
              </w:rPr>
              <w:t xml:space="preserve">Réforme 4. Améliorer la qualité des logements </w:t>
            </w:r>
          </w:p>
        </w:tc>
        <w:tc>
          <w:tcPr>
            <w:tcW w:w="1276" w:type="dxa"/>
            <w:tcBorders>
              <w:top w:val="nil"/>
              <w:left w:val="nil"/>
              <w:bottom w:val="single" w:sz="4" w:space="0" w:color="auto"/>
              <w:right w:val="single" w:sz="4" w:space="0" w:color="auto"/>
            </w:tcBorders>
            <w:shd w:val="clear" w:color="auto" w:fill="C6EFCE"/>
            <w:noWrap/>
          </w:tcPr>
          <w:p w14:paraId="70B5899E" w14:textId="77777777" w:rsidR="00A345F4" w:rsidRDefault="005E2D4E">
            <w:pPr>
              <w:pStyle w:val="P68B1DB1-Normal14"/>
              <w:spacing w:after="0" w:line="240" w:lineRule="auto"/>
              <w:jc w:val="both"/>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tcPr>
          <w:p w14:paraId="7F6D5633" w14:textId="77777777" w:rsidR="00A345F4" w:rsidRDefault="005E2D4E">
            <w:pPr>
              <w:pStyle w:val="P68B1DB1-Normal14"/>
              <w:spacing w:after="0" w:line="240" w:lineRule="auto"/>
              <w:jc w:val="both"/>
              <w:rPr>
                <w:noProof/>
              </w:rPr>
            </w:pPr>
            <w:r>
              <w:rPr>
                <w:noProof/>
              </w:rPr>
              <w:t>Entrée en vigueur de l'acte législatif pour la mise en œuvre de la Stratégie nationale du logement et du Plan d'action pour réduire la privation grave de logement</w:t>
            </w:r>
          </w:p>
        </w:tc>
        <w:tc>
          <w:tcPr>
            <w:tcW w:w="1498" w:type="dxa"/>
            <w:tcBorders>
              <w:top w:val="nil"/>
              <w:left w:val="nil"/>
              <w:bottom w:val="single" w:sz="4" w:space="0" w:color="auto"/>
              <w:right w:val="single" w:sz="4" w:space="0" w:color="auto"/>
            </w:tcBorders>
            <w:shd w:val="clear" w:color="auto" w:fill="C6EFCE"/>
            <w:noWrap/>
          </w:tcPr>
          <w:p w14:paraId="2090E0A2"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l’acte législatif pour la mise en œuvre de la stratégie et du plan d’action nationaux en matière de logement visant à réduire la privation grave de logement</w:t>
            </w:r>
          </w:p>
        </w:tc>
        <w:tc>
          <w:tcPr>
            <w:tcW w:w="1332" w:type="dxa"/>
            <w:tcBorders>
              <w:top w:val="nil"/>
              <w:left w:val="nil"/>
              <w:bottom w:val="single" w:sz="4" w:space="0" w:color="auto"/>
              <w:right w:val="single" w:sz="4" w:space="0" w:color="auto"/>
            </w:tcBorders>
            <w:shd w:val="clear" w:color="auto" w:fill="C6EFCE"/>
            <w:noWrap/>
          </w:tcPr>
          <w:p w14:paraId="7106754C" w14:textId="77777777" w:rsidR="00A345F4" w:rsidRDefault="005E2D4E">
            <w:pPr>
              <w:pStyle w:val="P68B1DB1-Normal14"/>
              <w:spacing w:after="0" w:line="240" w:lineRule="auto"/>
              <w:jc w:val="both"/>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1FCEEBA2" w14:textId="77777777" w:rsidR="00A345F4" w:rsidRDefault="005E2D4E">
            <w:pPr>
              <w:pStyle w:val="P68B1DB1-Normal14"/>
              <w:spacing w:after="0" w:line="240" w:lineRule="auto"/>
              <w:jc w:val="both"/>
              <w:rPr>
                <w:noProof/>
              </w:rPr>
            </w:pPr>
            <w:r>
              <w:rPr>
                <w:noProof/>
              </w:rPr>
              <w:t xml:space="preserve"> </w:t>
            </w:r>
          </w:p>
        </w:tc>
        <w:tc>
          <w:tcPr>
            <w:tcW w:w="1535" w:type="dxa"/>
            <w:tcBorders>
              <w:top w:val="nil"/>
              <w:left w:val="nil"/>
              <w:bottom w:val="single" w:sz="4" w:space="0" w:color="auto"/>
              <w:right w:val="single" w:sz="4" w:space="0" w:color="auto"/>
            </w:tcBorders>
            <w:shd w:val="clear" w:color="auto" w:fill="C6EFCE"/>
            <w:noWrap/>
          </w:tcPr>
          <w:p w14:paraId="6032659D" w14:textId="77777777" w:rsidR="00A345F4" w:rsidRDefault="005E2D4E">
            <w:pPr>
              <w:pStyle w:val="P68B1DB1-Normal14"/>
              <w:spacing w:after="0" w:line="240" w:lineRule="auto"/>
              <w:jc w:val="both"/>
              <w:rPr>
                <w:noProof/>
              </w:rPr>
            </w:pPr>
            <w:r>
              <w:rPr>
                <w:noProof/>
              </w:rPr>
              <w:t xml:space="preserve"> </w:t>
            </w:r>
          </w:p>
        </w:tc>
        <w:tc>
          <w:tcPr>
            <w:tcW w:w="1080" w:type="dxa"/>
            <w:tcBorders>
              <w:top w:val="nil"/>
              <w:left w:val="nil"/>
              <w:bottom w:val="single" w:sz="4" w:space="0" w:color="auto"/>
              <w:right w:val="single" w:sz="4" w:space="0" w:color="auto"/>
            </w:tcBorders>
            <w:shd w:val="clear" w:color="auto" w:fill="C6EFCE"/>
            <w:noWrap/>
          </w:tcPr>
          <w:p w14:paraId="087127FB" w14:textId="77777777" w:rsidR="00A345F4" w:rsidRDefault="005E2D4E">
            <w:pPr>
              <w:pStyle w:val="P68B1DB1-Normal14"/>
              <w:spacing w:after="0" w:line="240" w:lineRule="auto"/>
              <w:jc w:val="both"/>
              <w:rPr>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781789E5" w14:textId="77777777" w:rsidR="00A345F4" w:rsidRDefault="005E2D4E">
            <w:pPr>
              <w:pStyle w:val="P68B1DB1-Normal14"/>
              <w:spacing w:after="0" w:line="240" w:lineRule="auto"/>
              <w:jc w:val="both"/>
              <w:rPr>
                <w:noProof/>
              </w:rPr>
            </w:pPr>
            <w:r>
              <w:rPr>
                <w:noProof/>
              </w:rPr>
              <w:t>2022</w:t>
            </w:r>
          </w:p>
        </w:tc>
        <w:tc>
          <w:tcPr>
            <w:tcW w:w="2760" w:type="dxa"/>
            <w:tcBorders>
              <w:top w:val="nil"/>
              <w:left w:val="nil"/>
              <w:bottom w:val="single" w:sz="4" w:space="0" w:color="auto"/>
              <w:right w:val="single" w:sz="4" w:space="0" w:color="auto"/>
            </w:tcBorders>
            <w:shd w:val="clear" w:color="auto" w:fill="C6EFCE"/>
            <w:noWrap/>
          </w:tcPr>
          <w:p w14:paraId="3A11FB7F" w14:textId="77777777" w:rsidR="00A345F4" w:rsidRDefault="005E2D4E">
            <w:pPr>
              <w:pStyle w:val="P68B1DB1-Normal14"/>
              <w:spacing w:after="0" w:line="240" w:lineRule="auto"/>
              <w:jc w:val="both"/>
              <w:rPr>
                <w:noProof/>
              </w:rPr>
            </w:pPr>
            <w:r>
              <w:rPr>
                <w:noProof/>
              </w:rPr>
              <w:t>L’acte législatif garantit la mise en œuvre de la stratégie et du plan d’action nationaux en matière de logement en vue d’améliorer la qualité du logement pour les catégories et les groupes vulnérables et de réduire la privation grave de logement, en particulier pour les personnes vivant dans des communautés marginalisées dans les zones urbaines et rurales.</w:t>
            </w:r>
          </w:p>
          <w:p w14:paraId="5EEA00CA" w14:textId="77777777" w:rsidR="00A345F4" w:rsidRDefault="005E2D4E">
            <w:pPr>
              <w:pStyle w:val="P68B1DB1-Normal14"/>
              <w:spacing w:after="0" w:line="240" w:lineRule="auto"/>
              <w:jc w:val="both"/>
              <w:rPr>
                <w:noProof/>
              </w:rPr>
            </w:pPr>
            <w:r>
              <w:rPr>
                <w:noProof/>
              </w:rPr>
              <w:t xml:space="preserve">La stratégie et le plan d'action: </w:t>
            </w:r>
          </w:p>
          <w:p w14:paraId="522D346D"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 xml:space="preserve">s'accompagner d'une cartographie des besoins en matière de logement, en particulier dans les communautés et groupes marginalisés, y compris les établissements informels, dans les zones urbaines et rurales (conformément à la version mise à jour de l'Atlas des communautés marginalisées); </w:t>
            </w:r>
          </w:p>
          <w:p w14:paraId="2B411AC8"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garantir une approche qui garantisse la complémentarité/l’adéquation des investissements existants ou futurs dans les centres communautaires intégrés (c’est-à-dire la fourniture de services éducatifs, sociaux et de soins de santé de base) financés au titre du FSE+ et des futurs fonds de la politique de cohésion.</w:t>
            </w:r>
          </w:p>
          <w:p w14:paraId="7BAD34AF"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assurer un accès complémentaire aux services d'éducation et de santé dans les communautés marginalisées (tel qu'identifié dans la version mise à jour de l'Atlas des communautés marginalisées);</w:t>
            </w:r>
          </w:p>
          <w:p w14:paraId="3ECB0919"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ne pas conduire à la ségrégation sociale</w:t>
            </w:r>
          </w:p>
          <w:p w14:paraId="0E28D0BD"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garantir la possibilité d’utiliser les zones métropolitaines, les consortiums administratifs et les associations de développement intercommunautaire pour la mise en œuvre des investissements.</w:t>
            </w:r>
          </w:p>
        </w:tc>
      </w:tr>
      <w:tr w:rsidR="00A345F4" w14:paraId="7966F93C" w14:textId="77777777" w:rsidTr="00177F29">
        <w:trPr>
          <w:trHeight w:val="313"/>
          <w:jc w:val="center"/>
        </w:trPr>
        <w:tc>
          <w:tcPr>
            <w:tcW w:w="851" w:type="dxa"/>
            <w:tcBorders>
              <w:top w:val="nil"/>
              <w:left w:val="single" w:sz="4" w:space="0" w:color="auto"/>
              <w:bottom w:val="single" w:sz="4" w:space="0" w:color="auto"/>
              <w:right w:val="single" w:sz="4" w:space="0" w:color="auto"/>
            </w:tcBorders>
            <w:shd w:val="clear" w:color="auto" w:fill="C6EFCE"/>
            <w:noWrap/>
          </w:tcPr>
          <w:p w14:paraId="7E6D3A69" w14:textId="77777777" w:rsidR="00A345F4" w:rsidRDefault="005E2D4E">
            <w:pPr>
              <w:pStyle w:val="P68B1DB1-Normal14"/>
              <w:spacing w:after="0" w:line="240" w:lineRule="auto"/>
              <w:jc w:val="center"/>
              <w:rPr>
                <w:noProof/>
              </w:rPr>
            </w:pPr>
            <w:r>
              <w:rPr>
                <w:noProof/>
              </w:rPr>
              <w:t>315</w:t>
            </w:r>
          </w:p>
        </w:tc>
        <w:tc>
          <w:tcPr>
            <w:tcW w:w="1985" w:type="dxa"/>
            <w:tcBorders>
              <w:top w:val="nil"/>
              <w:left w:val="nil"/>
              <w:bottom w:val="single" w:sz="4" w:space="0" w:color="auto"/>
              <w:right w:val="single" w:sz="4" w:space="0" w:color="auto"/>
            </w:tcBorders>
            <w:shd w:val="clear" w:color="auto" w:fill="C6EFCE"/>
            <w:noWrap/>
          </w:tcPr>
          <w:p w14:paraId="3F66CD86" w14:textId="4D2665FA" w:rsidR="00A345F4" w:rsidRDefault="005E2D4E">
            <w:pPr>
              <w:pStyle w:val="P68B1DB1-Normal14"/>
              <w:spacing w:after="0" w:line="240" w:lineRule="auto"/>
              <w:jc w:val="both"/>
              <w:rPr>
                <w:noProof/>
              </w:rPr>
            </w:pPr>
            <w:r>
              <w:rPr>
                <w:noProof/>
              </w:rPr>
              <w:t>Réforme 5. Développement du système d'aménagement du territoire - Code de l'aménagement du territoire, de l'urbanisme et de la construction</w:t>
            </w:r>
          </w:p>
        </w:tc>
        <w:tc>
          <w:tcPr>
            <w:tcW w:w="1276" w:type="dxa"/>
            <w:tcBorders>
              <w:top w:val="nil"/>
              <w:left w:val="nil"/>
              <w:bottom w:val="single" w:sz="4" w:space="0" w:color="auto"/>
              <w:right w:val="single" w:sz="4" w:space="0" w:color="auto"/>
            </w:tcBorders>
            <w:shd w:val="clear" w:color="auto" w:fill="C6EFCE"/>
            <w:noWrap/>
          </w:tcPr>
          <w:p w14:paraId="65E75F6D" w14:textId="77777777" w:rsidR="00A345F4" w:rsidRDefault="005E2D4E">
            <w:pPr>
              <w:pStyle w:val="P68B1DB1-Normal14"/>
              <w:spacing w:after="0" w:line="240" w:lineRule="auto"/>
              <w:jc w:val="both"/>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tcPr>
          <w:p w14:paraId="7844B8F4" w14:textId="77777777" w:rsidR="00A345F4" w:rsidRDefault="005E2D4E">
            <w:pPr>
              <w:pStyle w:val="P68B1DB1-Normal14"/>
              <w:spacing w:after="0" w:line="240" w:lineRule="auto"/>
              <w:jc w:val="both"/>
              <w:rPr>
                <w:noProof/>
              </w:rPr>
            </w:pPr>
            <w:r>
              <w:rPr>
                <w:noProof/>
              </w:rPr>
              <w:t xml:space="preserve">Publication au Journal officiel du code de l'aménagement du territoire, de l'urbanisme et de la construction </w:t>
            </w:r>
          </w:p>
        </w:tc>
        <w:tc>
          <w:tcPr>
            <w:tcW w:w="1498" w:type="dxa"/>
            <w:tcBorders>
              <w:top w:val="nil"/>
              <w:left w:val="nil"/>
              <w:bottom w:val="single" w:sz="4" w:space="0" w:color="auto"/>
              <w:right w:val="single" w:sz="4" w:space="0" w:color="auto"/>
            </w:tcBorders>
            <w:shd w:val="clear" w:color="auto" w:fill="C6EFCE"/>
            <w:noWrap/>
          </w:tcPr>
          <w:p w14:paraId="7F78591B" w14:textId="4088A23E" w:rsidR="00A345F4" w:rsidRDefault="005E2D4E">
            <w:pPr>
              <w:pStyle w:val="P68B1DB1-Normal14"/>
              <w:spacing w:after="0" w:line="240" w:lineRule="auto"/>
              <w:jc w:val="both"/>
              <w:rPr>
                <w:noProof/>
              </w:rPr>
            </w:pPr>
            <w:r>
              <w:rPr>
                <w:noProof/>
              </w:rPr>
              <w:t xml:space="preserve">Publication au Journal officiel du code de l'aménagement du territoire, de l'urbanisme et de la construction </w:t>
            </w:r>
          </w:p>
        </w:tc>
        <w:tc>
          <w:tcPr>
            <w:tcW w:w="1332" w:type="dxa"/>
            <w:tcBorders>
              <w:top w:val="nil"/>
              <w:left w:val="nil"/>
              <w:bottom w:val="single" w:sz="4" w:space="0" w:color="auto"/>
              <w:right w:val="single" w:sz="4" w:space="0" w:color="auto"/>
            </w:tcBorders>
            <w:shd w:val="clear" w:color="auto" w:fill="C6EFCE"/>
            <w:noWrap/>
          </w:tcPr>
          <w:p w14:paraId="46FF5360" w14:textId="77777777" w:rsidR="00A345F4" w:rsidRDefault="005E2D4E">
            <w:pPr>
              <w:pStyle w:val="P68B1DB1-Normal14"/>
              <w:spacing w:after="0" w:line="240" w:lineRule="auto"/>
              <w:jc w:val="both"/>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4C2E5960" w14:textId="77777777" w:rsidR="00A345F4" w:rsidRDefault="005E2D4E">
            <w:pPr>
              <w:pStyle w:val="P68B1DB1-Normal14"/>
              <w:spacing w:after="0" w:line="240" w:lineRule="auto"/>
              <w:jc w:val="both"/>
              <w:rPr>
                <w:noProof/>
              </w:rPr>
            </w:pPr>
            <w:r>
              <w:rPr>
                <w:noProof/>
              </w:rPr>
              <w:t xml:space="preserve"> </w:t>
            </w:r>
          </w:p>
        </w:tc>
        <w:tc>
          <w:tcPr>
            <w:tcW w:w="1535" w:type="dxa"/>
            <w:tcBorders>
              <w:top w:val="nil"/>
              <w:left w:val="nil"/>
              <w:bottom w:val="single" w:sz="4" w:space="0" w:color="auto"/>
              <w:right w:val="single" w:sz="4" w:space="0" w:color="auto"/>
            </w:tcBorders>
            <w:shd w:val="clear" w:color="auto" w:fill="C6EFCE"/>
            <w:noWrap/>
          </w:tcPr>
          <w:p w14:paraId="29278700" w14:textId="77777777" w:rsidR="00A345F4" w:rsidRDefault="005E2D4E">
            <w:pPr>
              <w:pStyle w:val="P68B1DB1-Normal14"/>
              <w:spacing w:after="0" w:line="240" w:lineRule="auto"/>
              <w:jc w:val="both"/>
              <w:rPr>
                <w:noProof/>
              </w:rPr>
            </w:pPr>
            <w:r>
              <w:rPr>
                <w:noProof/>
              </w:rPr>
              <w:t xml:space="preserve"> </w:t>
            </w:r>
          </w:p>
        </w:tc>
        <w:tc>
          <w:tcPr>
            <w:tcW w:w="1080" w:type="dxa"/>
            <w:tcBorders>
              <w:top w:val="nil"/>
              <w:left w:val="nil"/>
              <w:bottom w:val="single" w:sz="4" w:space="0" w:color="auto"/>
              <w:right w:val="single" w:sz="4" w:space="0" w:color="auto"/>
            </w:tcBorders>
            <w:shd w:val="clear" w:color="auto" w:fill="C6EFCE"/>
            <w:noWrap/>
          </w:tcPr>
          <w:p w14:paraId="6C72DDA5" w14:textId="77777777" w:rsidR="00A345F4" w:rsidRDefault="005E2D4E">
            <w:pPr>
              <w:pStyle w:val="P68B1DB1-Normal14"/>
              <w:spacing w:after="0" w:line="240" w:lineRule="auto"/>
              <w:jc w:val="both"/>
              <w:rPr>
                <w:noProof/>
              </w:rPr>
            </w:pPr>
            <w:r>
              <w:rPr>
                <w:noProof/>
              </w:rPr>
              <w:t>T2</w:t>
            </w:r>
          </w:p>
        </w:tc>
        <w:tc>
          <w:tcPr>
            <w:tcW w:w="840" w:type="dxa"/>
            <w:tcBorders>
              <w:top w:val="nil"/>
              <w:left w:val="nil"/>
              <w:bottom w:val="single" w:sz="4" w:space="0" w:color="auto"/>
              <w:right w:val="single" w:sz="4" w:space="0" w:color="auto"/>
            </w:tcBorders>
            <w:shd w:val="clear" w:color="auto" w:fill="C6EFCE"/>
            <w:noWrap/>
          </w:tcPr>
          <w:p w14:paraId="0DADEA32" w14:textId="77777777" w:rsidR="00A345F4" w:rsidRDefault="005E2D4E">
            <w:pPr>
              <w:pStyle w:val="P68B1DB1-Normal14"/>
              <w:spacing w:after="0" w:line="240" w:lineRule="auto"/>
              <w:jc w:val="both"/>
              <w:rPr>
                <w:noProof/>
              </w:rPr>
            </w:pPr>
            <w:r>
              <w:rPr>
                <w:noProof/>
              </w:rPr>
              <w:t>2026</w:t>
            </w:r>
          </w:p>
        </w:tc>
        <w:tc>
          <w:tcPr>
            <w:tcW w:w="2760" w:type="dxa"/>
            <w:tcBorders>
              <w:top w:val="nil"/>
              <w:left w:val="nil"/>
              <w:bottom w:val="single" w:sz="4" w:space="0" w:color="auto"/>
              <w:right w:val="single" w:sz="4" w:space="0" w:color="auto"/>
            </w:tcBorders>
            <w:shd w:val="clear" w:color="auto" w:fill="C6EFCE"/>
            <w:noWrap/>
          </w:tcPr>
          <w:p w14:paraId="63FE3F54" w14:textId="7BA743D0" w:rsidR="00A345F4" w:rsidRDefault="005E2D4E">
            <w:pPr>
              <w:pStyle w:val="P68B1DB1-Normal14"/>
              <w:spacing w:after="0" w:line="240" w:lineRule="auto"/>
              <w:jc w:val="both"/>
              <w:rPr>
                <w:noProof/>
              </w:rPr>
            </w:pPr>
            <w:r>
              <w:rPr>
                <w:noProof/>
              </w:rPr>
              <w:t>Publication au Journal Officiel du Code de l'Aménagement du Territoire, de l'Urbanisme et de la Construction. Le code entre en vigueur après une période raisonnable et au plus tard le 31 décembre 2026. Cette entrée en vigueur est automatique et n'entraîne pas d'autres mesures juridiques d'exécution. Il contient des dispositions concernant:</w:t>
            </w:r>
          </w:p>
          <w:p w14:paraId="2BD05814"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la réduction des délais d’adoption des actes administratifs, ainsi que l’introduction de mécanismes visant à garantir la numérisation des processus administratifs dans la construction;</w:t>
            </w:r>
          </w:p>
          <w:p w14:paraId="72CFB395"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 xml:space="preserve"> la possibilité de créer des centres d'expertise au niveau des zones urbaines fonctionnelles;</w:t>
            </w:r>
          </w:p>
          <w:p w14:paraId="25293D70" w14:textId="3021D4CD"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 xml:space="preserve">les exigences relatives à la mise à jour et à la transposition des plans d’aménagement du territoire et des plans urbains dans les systèmes d’information géographique (SIG), ainsi que les exigences relatives à leur alignement sur les principes suivants de la politique urbaine roumaine: promouvoir les transports et la mobilité durables, l’utilisation de solutions fondées sur la nature ou d’infrastructures vertes et bleues, y compris au niveau des zones urbaines et rurales fonctionnelles; </w:t>
            </w:r>
          </w:p>
          <w:p w14:paraId="3A26B127"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 xml:space="preserve"> l’obligation pour les documents d’urbanisme mis à jour d’inclure des dispositions relatives à la mobilité et à l’accessibilité dans les zones urbaines et rurales fonctionnelles. </w:t>
            </w:r>
          </w:p>
        </w:tc>
      </w:tr>
      <w:tr w:rsidR="00A345F4" w14:paraId="30B017CF" w14:textId="77777777" w:rsidTr="00177F29">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E746B5A" w14:textId="77777777" w:rsidR="00A345F4" w:rsidRDefault="005E2D4E">
            <w:pPr>
              <w:pStyle w:val="P68B1DB1-Normal14"/>
              <w:spacing w:after="0" w:line="240" w:lineRule="auto"/>
              <w:jc w:val="center"/>
              <w:rPr>
                <w:noProof/>
              </w:rPr>
            </w:pPr>
            <w:r>
              <w:rPr>
                <w:noProof/>
              </w:rPr>
              <w:t>316</w:t>
            </w:r>
          </w:p>
        </w:tc>
        <w:tc>
          <w:tcPr>
            <w:tcW w:w="1985" w:type="dxa"/>
            <w:tcBorders>
              <w:top w:val="single" w:sz="4" w:space="0" w:color="auto"/>
              <w:left w:val="nil"/>
              <w:bottom w:val="single" w:sz="4" w:space="0" w:color="auto"/>
              <w:right w:val="single" w:sz="4" w:space="0" w:color="auto"/>
            </w:tcBorders>
            <w:shd w:val="clear" w:color="auto" w:fill="C6EFCE"/>
            <w:noWrap/>
          </w:tcPr>
          <w:p w14:paraId="534765F0" w14:textId="552309E7" w:rsidR="00A345F4" w:rsidRDefault="005E2D4E">
            <w:pPr>
              <w:pStyle w:val="P68B1DB1-Normal14"/>
              <w:spacing w:after="0" w:line="240" w:lineRule="auto"/>
              <w:jc w:val="both"/>
              <w:rPr>
                <w:noProof/>
              </w:rPr>
            </w:pPr>
            <w:r>
              <w:rPr>
                <w:noProof/>
              </w:rPr>
              <w:t>Réforme 5. Développement du système d'aménagement du territoire - Code de l'aménagement du territoire, de l'urbanisme et de la construction</w:t>
            </w:r>
          </w:p>
        </w:tc>
        <w:tc>
          <w:tcPr>
            <w:tcW w:w="1276" w:type="dxa"/>
            <w:tcBorders>
              <w:top w:val="single" w:sz="4" w:space="0" w:color="auto"/>
              <w:left w:val="nil"/>
              <w:bottom w:val="single" w:sz="4" w:space="0" w:color="auto"/>
              <w:right w:val="single" w:sz="4" w:space="0" w:color="auto"/>
            </w:tcBorders>
            <w:shd w:val="clear" w:color="auto" w:fill="C6EFCE"/>
            <w:noWrap/>
          </w:tcPr>
          <w:p w14:paraId="751E86F8" w14:textId="77777777" w:rsidR="00A345F4" w:rsidRDefault="005E2D4E">
            <w:pPr>
              <w:pStyle w:val="P68B1DB1-Normal14"/>
              <w:spacing w:after="0" w:line="240" w:lineRule="auto"/>
              <w:jc w:val="both"/>
              <w:rPr>
                <w:noProof/>
              </w:rPr>
            </w:pPr>
            <w:r>
              <w:rPr>
                <w:noProof/>
              </w:rPr>
              <w:t>Étape</w:t>
            </w:r>
          </w:p>
        </w:tc>
        <w:tc>
          <w:tcPr>
            <w:tcW w:w="1417" w:type="dxa"/>
            <w:tcBorders>
              <w:top w:val="single" w:sz="4" w:space="0" w:color="auto"/>
              <w:left w:val="nil"/>
              <w:bottom w:val="single" w:sz="4" w:space="0" w:color="auto"/>
              <w:right w:val="single" w:sz="4" w:space="0" w:color="auto"/>
            </w:tcBorders>
            <w:shd w:val="clear" w:color="auto" w:fill="C6EFCE"/>
            <w:noWrap/>
          </w:tcPr>
          <w:p w14:paraId="2F2CCFAE" w14:textId="77777777" w:rsidR="00A345F4" w:rsidRDefault="005E2D4E">
            <w:pPr>
              <w:pStyle w:val="P68B1DB1-Normal14"/>
              <w:spacing w:after="0" w:line="240" w:lineRule="auto"/>
              <w:jc w:val="both"/>
              <w:rPr>
                <w:noProof/>
              </w:rPr>
            </w:pPr>
            <w:r>
              <w:rPr>
                <w:noProof/>
              </w:rPr>
              <w:t xml:space="preserve">Plateforme de données numériques (dans le cadre de l'Observa-tory territorial) </w:t>
            </w:r>
          </w:p>
        </w:tc>
        <w:tc>
          <w:tcPr>
            <w:tcW w:w="1498" w:type="dxa"/>
            <w:tcBorders>
              <w:top w:val="single" w:sz="4" w:space="0" w:color="auto"/>
              <w:left w:val="nil"/>
              <w:bottom w:val="single" w:sz="4" w:space="0" w:color="auto"/>
              <w:right w:val="single" w:sz="4" w:space="0" w:color="auto"/>
            </w:tcBorders>
            <w:shd w:val="clear" w:color="auto" w:fill="C6EFCE"/>
            <w:noWrap/>
          </w:tcPr>
          <w:p w14:paraId="65281C27" w14:textId="77777777" w:rsidR="00A345F4" w:rsidRDefault="005E2D4E">
            <w:pPr>
              <w:pStyle w:val="P68B1DB1-Normal14"/>
              <w:spacing w:after="0" w:line="240" w:lineRule="auto"/>
              <w:jc w:val="both"/>
              <w:rPr>
                <w:noProof/>
              </w:rPr>
            </w:pPr>
            <w:r>
              <w:rPr>
                <w:noProof/>
              </w:rPr>
              <w:t>La plateforme de données numériques (dans le cadre de l'Observatoire territorial) est disponible pour une utilisation</w:t>
            </w:r>
          </w:p>
        </w:tc>
        <w:tc>
          <w:tcPr>
            <w:tcW w:w="1332" w:type="dxa"/>
            <w:tcBorders>
              <w:top w:val="single" w:sz="4" w:space="0" w:color="auto"/>
              <w:left w:val="nil"/>
              <w:bottom w:val="single" w:sz="4" w:space="0" w:color="auto"/>
              <w:right w:val="single" w:sz="4" w:space="0" w:color="auto"/>
            </w:tcBorders>
            <w:shd w:val="clear" w:color="auto" w:fill="C6EFCE"/>
            <w:noWrap/>
          </w:tcPr>
          <w:p w14:paraId="4ECCEB1E" w14:textId="77777777" w:rsidR="00A345F4" w:rsidRDefault="005E2D4E">
            <w:pPr>
              <w:pStyle w:val="P68B1DB1-Normal14"/>
              <w:spacing w:after="0" w:line="240" w:lineRule="auto"/>
              <w:jc w:val="both"/>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2664CDC5" w14:textId="77777777" w:rsidR="00A345F4" w:rsidRDefault="005E2D4E">
            <w:pPr>
              <w:pStyle w:val="P68B1DB1-Normal14"/>
              <w:spacing w:after="0" w:line="240" w:lineRule="auto"/>
              <w:jc w:val="both"/>
              <w:rPr>
                <w:noProof/>
              </w:rPr>
            </w:pPr>
            <w:r>
              <w:rPr>
                <w:noProof/>
              </w:rPr>
              <w:t xml:space="preserve"> </w:t>
            </w:r>
          </w:p>
        </w:tc>
        <w:tc>
          <w:tcPr>
            <w:tcW w:w="1535" w:type="dxa"/>
            <w:tcBorders>
              <w:top w:val="single" w:sz="4" w:space="0" w:color="auto"/>
              <w:left w:val="nil"/>
              <w:bottom w:val="single" w:sz="4" w:space="0" w:color="auto"/>
              <w:right w:val="single" w:sz="4" w:space="0" w:color="auto"/>
            </w:tcBorders>
            <w:shd w:val="clear" w:color="auto" w:fill="C6EFCE"/>
            <w:noWrap/>
          </w:tcPr>
          <w:p w14:paraId="0436B950" w14:textId="77777777" w:rsidR="00A345F4" w:rsidRDefault="005E2D4E">
            <w:pPr>
              <w:pStyle w:val="P68B1DB1-Normal14"/>
              <w:spacing w:after="0" w:line="240" w:lineRule="auto"/>
              <w:jc w:val="both"/>
              <w:rPr>
                <w:noProof/>
              </w:rPr>
            </w:pPr>
            <w:r>
              <w:rPr>
                <w:noProof/>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426FF520" w14:textId="77777777" w:rsidR="00A345F4" w:rsidRDefault="005E2D4E">
            <w:pPr>
              <w:pStyle w:val="P68B1DB1-Normal14"/>
              <w:spacing w:after="0" w:line="240" w:lineRule="auto"/>
              <w:jc w:val="both"/>
              <w:rPr>
                <w:noProof/>
              </w:rPr>
            </w:pPr>
            <w:r>
              <w:rPr>
                <w:noProof/>
              </w:rPr>
              <w:t>T2</w:t>
            </w:r>
          </w:p>
        </w:tc>
        <w:tc>
          <w:tcPr>
            <w:tcW w:w="840" w:type="dxa"/>
            <w:tcBorders>
              <w:top w:val="single" w:sz="4" w:space="0" w:color="auto"/>
              <w:left w:val="nil"/>
              <w:bottom w:val="single" w:sz="4" w:space="0" w:color="auto"/>
              <w:right w:val="single" w:sz="4" w:space="0" w:color="auto"/>
            </w:tcBorders>
            <w:shd w:val="clear" w:color="auto" w:fill="C6EFCE"/>
            <w:noWrap/>
          </w:tcPr>
          <w:p w14:paraId="5C1B95E7" w14:textId="77777777" w:rsidR="00A345F4" w:rsidRDefault="005E2D4E">
            <w:pPr>
              <w:pStyle w:val="P68B1DB1-Normal14"/>
              <w:spacing w:after="0" w:line="240" w:lineRule="auto"/>
              <w:jc w:val="both"/>
              <w:rPr>
                <w:noProof/>
              </w:rPr>
            </w:pPr>
            <w:r>
              <w:rPr>
                <w:noProof/>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2952B17C" w14:textId="77777777" w:rsidR="00A345F4" w:rsidRDefault="005E2D4E">
            <w:pPr>
              <w:pStyle w:val="P68B1DB1-Normal14"/>
              <w:spacing w:after="0" w:line="240" w:lineRule="auto"/>
              <w:jc w:val="both"/>
              <w:rPr>
                <w:noProof/>
              </w:rPr>
            </w:pPr>
            <w:r>
              <w:rPr>
                <w:noProof/>
              </w:rPr>
              <w:t>Un socle de données numériques est disponible pour utilisation, dans le cadre de l’Observatoire territorial, et permet:</w:t>
            </w:r>
          </w:p>
          <w:p w14:paraId="646FB178"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l’accès du public aux documents d’aménagement du territoire et d’aménagement du territoire délivrés par les unités administratives territoriales;</w:t>
            </w:r>
          </w:p>
          <w:p w14:paraId="2BF8371D"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la possibilité pour les autorités publiques locales de délivrer des certificats d'urbanisme;</w:t>
            </w:r>
          </w:p>
          <w:p w14:paraId="6C672A4D"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 xml:space="preserve">la disponibilité des données dans un format interopérable avec les bases de données d’autres autorités publiques; </w:t>
            </w:r>
          </w:p>
          <w:p w14:paraId="4CCEB2D9" w14:textId="77777777" w:rsidR="00A345F4" w:rsidRDefault="005E2D4E">
            <w:pPr>
              <w:pStyle w:val="P68B1DB1-Normal14"/>
              <w:spacing w:after="0" w:line="240" w:lineRule="auto"/>
              <w:ind w:left="175"/>
              <w:jc w:val="both"/>
              <w:rPr>
                <w:noProof/>
              </w:rPr>
            </w:pPr>
            <w:r>
              <w:rPr>
                <w:noProof/>
              </w:rPr>
              <w:t>La plateforme est conçue pour être prête pour l’informatique en nuage, y compris la capacité technique à soutenir l’utilisation de l’informatique en nuage du gouvernement.</w:t>
            </w:r>
          </w:p>
        </w:tc>
      </w:tr>
      <w:tr w:rsidR="00A345F4" w14:paraId="1A44FD25" w14:textId="77777777" w:rsidTr="00177F29">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E8E2608" w14:textId="77777777" w:rsidR="00A345F4" w:rsidRDefault="005E2D4E">
            <w:pPr>
              <w:pStyle w:val="P68B1DB1-Normal14"/>
              <w:spacing w:after="0" w:line="240" w:lineRule="auto"/>
              <w:jc w:val="center"/>
              <w:rPr>
                <w:noProof/>
              </w:rPr>
            </w:pPr>
            <w:r>
              <w:rPr>
                <w:noProof/>
              </w:rPr>
              <w:t>317</w:t>
            </w:r>
          </w:p>
        </w:tc>
        <w:tc>
          <w:tcPr>
            <w:tcW w:w="1985" w:type="dxa"/>
            <w:tcBorders>
              <w:top w:val="single" w:sz="4" w:space="0" w:color="auto"/>
              <w:left w:val="nil"/>
              <w:bottom w:val="single" w:sz="4" w:space="0" w:color="auto"/>
              <w:right w:val="single" w:sz="4" w:space="0" w:color="auto"/>
            </w:tcBorders>
            <w:shd w:val="clear" w:color="auto" w:fill="C6EFCE"/>
            <w:noWrap/>
          </w:tcPr>
          <w:p w14:paraId="5E55E5D5" w14:textId="77777777" w:rsidR="00A345F4" w:rsidRDefault="005E2D4E">
            <w:pPr>
              <w:pStyle w:val="P68B1DB1-Normal14"/>
              <w:spacing w:after="0" w:line="240" w:lineRule="auto"/>
              <w:rPr>
                <w:noProof/>
              </w:rPr>
            </w:pPr>
            <w:r>
              <w:rPr>
                <w:noProof/>
              </w:rPr>
              <w:t>Investissement 2. Construction de logements pour les jeunes et pour les professionnels de la santé et de l'éducation</w:t>
            </w:r>
          </w:p>
        </w:tc>
        <w:tc>
          <w:tcPr>
            <w:tcW w:w="1276" w:type="dxa"/>
            <w:tcBorders>
              <w:top w:val="single" w:sz="4" w:space="0" w:color="auto"/>
              <w:left w:val="nil"/>
              <w:bottom w:val="single" w:sz="4" w:space="0" w:color="auto"/>
              <w:right w:val="single" w:sz="4" w:space="0" w:color="auto"/>
            </w:tcBorders>
            <w:shd w:val="clear" w:color="auto" w:fill="C6EFCE"/>
            <w:noWrap/>
          </w:tcPr>
          <w:p w14:paraId="205F0FFF" w14:textId="77777777" w:rsidR="00A345F4" w:rsidRDefault="005E2D4E">
            <w:pPr>
              <w:pStyle w:val="P68B1DB1-Normal14"/>
              <w:spacing w:after="0" w:line="240" w:lineRule="auto"/>
              <w:jc w:val="both"/>
              <w:rPr>
                <w:noProof/>
              </w:rPr>
            </w:pPr>
            <w:r>
              <w:rPr>
                <w:noProof/>
              </w:rPr>
              <w:t>Étape</w:t>
            </w:r>
          </w:p>
        </w:tc>
        <w:tc>
          <w:tcPr>
            <w:tcW w:w="1417" w:type="dxa"/>
            <w:tcBorders>
              <w:top w:val="single" w:sz="4" w:space="0" w:color="auto"/>
              <w:left w:val="nil"/>
              <w:bottom w:val="single" w:sz="4" w:space="0" w:color="auto"/>
              <w:right w:val="single" w:sz="4" w:space="0" w:color="auto"/>
            </w:tcBorders>
            <w:shd w:val="clear" w:color="auto" w:fill="C6EFCE"/>
            <w:noWrap/>
          </w:tcPr>
          <w:p w14:paraId="79F56786" w14:textId="77777777" w:rsidR="00A345F4" w:rsidRDefault="005E2D4E">
            <w:pPr>
              <w:pStyle w:val="P68B1DB1-Normal14"/>
              <w:spacing w:after="0" w:line="240" w:lineRule="auto"/>
              <w:jc w:val="both"/>
              <w:rPr>
                <w:noProof/>
              </w:rPr>
            </w:pPr>
            <w:r>
              <w:rPr>
                <w:noProof/>
              </w:rPr>
              <w:t xml:space="preserve">Signature de tous les contrats de financement pour la construction de logements pour les jeunes issus de communautés et de groupes vulnérables, ainsi que pour les professionnels de la santé et de l'éducation dans les zones urbaines ou rurales </w:t>
            </w:r>
          </w:p>
          <w:p w14:paraId="5691813B" w14:textId="77777777" w:rsidR="00A345F4" w:rsidRDefault="00A345F4">
            <w:pPr>
              <w:spacing w:after="0" w:line="240" w:lineRule="auto"/>
              <w:jc w:val="both"/>
              <w:rPr>
                <w:rFonts w:ascii="Times New Roman" w:hAnsi="Times New Roman" w:cs="Times New Roman"/>
                <w:noProof/>
                <w:sz w:val="20"/>
                <w:szCs w:val="20"/>
              </w:rPr>
            </w:pPr>
          </w:p>
          <w:p w14:paraId="27179086" w14:textId="77777777" w:rsidR="00A345F4" w:rsidRDefault="00A345F4">
            <w:pPr>
              <w:spacing w:after="0" w:line="240" w:lineRule="auto"/>
              <w:jc w:val="both"/>
              <w:rPr>
                <w:rFonts w:ascii="Times New Roman" w:hAnsi="Times New Roman" w:cs="Times New Roman"/>
                <w:noProof/>
                <w:sz w:val="20"/>
                <w:szCs w:val="20"/>
              </w:rPr>
            </w:pPr>
          </w:p>
        </w:tc>
        <w:tc>
          <w:tcPr>
            <w:tcW w:w="1498" w:type="dxa"/>
            <w:tcBorders>
              <w:top w:val="single" w:sz="4" w:space="0" w:color="auto"/>
              <w:left w:val="nil"/>
              <w:bottom w:val="single" w:sz="4" w:space="0" w:color="auto"/>
              <w:right w:val="single" w:sz="4" w:space="0" w:color="auto"/>
            </w:tcBorders>
            <w:shd w:val="clear" w:color="auto" w:fill="C6EFCE"/>
            <w:noWrap/>
          </w:tcPr>
          <w:p w14:paraId="4E102139" w14:textId="77777777" w:rsidR="00A345F4" w:rsidRDefault="005E2D4E">
            <w:pPr>
              <w:pStyle w:val="P68B1DB1-Normal14"/>
              <w:spacing w:after="0" w:line="240" w:lineRule="auto"/>
              <w:jc w:val="both"/>
              <w:rPr>
                <w:noProof/>
              </w:rPr>
            </w:pPr>
            <w:r>
              <w:rPr>
                <w:noProof/>
              </w:rPr>
              <w:t xml:space="preserve">Signature des contrats </w:t>
            </w:r>
          </w:p>
        </w:tc>
        <w:tc>
          <w:tcPr>
            <w:tcW w:w="1332" w:type="dxa"/>
            <w:tcBorders>
              <w:top w:val="single" w:sz="4" w:space="0" w:color="auto"/>
              <w:left w:val="nil"/>
              <w:bottom w:val="single" w:sz="4" w:space="0" w:color="auto"/>
              <w:right w:val="single" w:sz="4" w:space="0" w:color="auto"/>
            </w:tcBorders>
            <w:shd w:val="clear" w:color="auto" w:fill="C6EFCE"/>
            <w:noWrap/>
          </w:tcPr>
          <w:p w14:paraId="5BD7588E" w14:textId="77777777" w:rsidR="00A345F4" w:rsidRDefault="005E2D4E">
            <w:pPr>
              <w:pStyle w:val="P68B1DB1-Normal14"/>
              <w:spacing w:after="0" w:line="240" w:lineRule="auto"/>
              <w:jc w:val="both"/>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6F6D190C" w14:textId="77777777" w:rsidR="00A345F4" w:rsidRDefault="005E2D4E">
            <w:pPr>
              <w:pStyle w:val="P68B1DB1-Normal14"/>
              <w:spacing w:after="0" w:line="240" w:lineRule="auto"/>
              <w:jc w:val="both"/>
              <w:rPr>
                <w:noProof/>
              </w:rPr>
            </w:pPr>
            <w:r>
              <w:rPr>
                <w:noProof/>
              </w:rPr>
              <w:t xml:space="preserve"> </w:t>
            </w:r>
          </w:p>
        </w:tc>
        <w:tc>
          <w:tcPr>
            <w:tcW w:w="1535" w:type="dxa"/>
            <w:tcBorders>
              <w:top w:val="single" w:sz="4" w:space="0" w:color="auto"/>
              <w:left w:val="nil"/>
              <w:bottom w:val="single" w:sz="4" w:space="0" w:color="auto"/>
              <w:right w:val="single" w:sz="4" w:space="0" w:color="auto"/>
            </w:tcBorders>
            <w:shd w:val="clear" w:color="auto" w:fill="C6EFCE"/>
            <w:noWrap/>
          </w:tcPr>
          <w:p w14:paraId="4766DCEA" w14:textId="77777777" w:rsidR="00A345F4" w:rsidRDefault="005E2D4E">
            <w:pPr>
              <w:pStyle w:val="P68B1DB1-Normal14"/>
              <w:spacing w:after="0" w:line="240" w:lineRule="auto"/>
              <w:jc w:val="both"/>
              <w:rPr>
                <w:noProof/>
              </w:rPr>
            </w:pPr>
            <w:r>
              <w:rPr>
                <w:noProof/>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5035EB14" w14:textId="77777777" w:rsidR="00A345F4" w:rsidRDefault="005E2D4E">
            <w:pPr>
              <w:pStyle w:val="P68B1DB1-Normal14"/>
              <w:spacing w:after="0" w:line="240" w:lineRule="auto"/>
              <w:jc w:val="both"/>
              <w:rPr>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3F883196" w14:textId="77777777" w:rsidR="00A345F4" w:rsidRDefault="005E2D4E">
            <w:pPr>
              <w:pStyle w:val="P68B1DB1-Normal14"/>
              <w:spacing w:after="0" w:line="240" w:lineRule="auto"/>
              <w:jc w:val="both"/>
              <w:rPr>
                <w:noProof/>
              </w:rPr>
            </w:pPr>
            <w:r>
              <w:rPr>
                <w:noProof/>
              </w:rPr>
              <w:t>2022</w:t>
            </w:r>
          </w:p>
        </w:tc>
        <w:tc>
          <w:tcPr>
            <w:tcW w:w="2760" w:type="dxa"/>
            <w:tcBorders>
              <w:top w:val="single" w:sz="4" w:space="0" w:color="auto"/>
              <w:left w:val="nil"/>
              <w:bottom w:val="single" w:sz="4" w:space="0" w:color="auto"/>
              <w:right w:val="single" w:sz="4" w:space="0" w:color="auto"/>
            </w:tcBorders>
            <w:shd w:val="clear" w:color="auto" w:fill="C6EFCE"/>
            <w:noWrap/>
          </w:tcPr>
          <w:p w14:paraId="66E320BB" w14:textId="77777777" w:rsidR="00A345F4" w:rsidRDefault="005E2D4E">
            <w:pPr>
              <w:pStyle w:val="P68B1DB1-Normal14"/>
              <w:spacing w:after="0" w:line="240" w:lineRule="auto"/>
              <w:jc w:val="both"/>
              <w:rPr>
                <w:noProof/>
              </w:rPr>
            </w:pPr>
            <w:r>
              <w:rPr>
                <w:noProof/>
              </w:rPr>
              <w:t>Le système de financement par subventions est élaboré sur la base des dispositions de la stratégie nationale en matière de logement et du plan d’action, alignées sur les spécifications du jalon 312.</w:t>
            </w:r>
          </w:p>
          <w:p w14:paraId="326B8C96" w14:textId="77777777" w:rsidR="00A345F4" w:rsidRDefault="005E2D4E">
            <w:pPr>
              <w:pStyle w:val="P68B1DB1-Normal14"/>
              <w:spacing w:after="0" w:line="240" w:lineRule="auto"/>
              <w:jc w:val="both"/>
              <w:rPr>
                <w:noProof/>
              </w:rPr>
            </w:pPr>
            <w:r>
              <w:rPr>
                <w:noProof/>
              </w:rPr>
              <w:t>Le régime de financement est ouvert à toutes les unités administratives territoriales/régions métropolitaines/consortiums administratifs et est conforme aux spécifications obligatoires suivantes:</w:t>
            </w:r>
          </w:p>
          <w:p w14:paraId="62FD2A7C" w14:textId="77777777" w:rsidR="00A345F4" w:rsidRDefault="005E2D4E">
            <w:pPr>
              <w:pStyle w:val="P68B1DB1-Normal14"/>
              <w:numPr>
                <w:ilvl w:val="0"/>
                <w:numId w:val="49"/>
              </w:numPr>
              <w:spacing w:before="120" w:line="259" w:lineRule="auto"/>
              <w:ind w:left="318"/>
              <w:contextualSpacing/>
              <w:jc w:val="both"/>
              <w:rPr>
                <w:noProof/>
              </w:rPr>
            </w:pPr>
            <w:r>
              <w:rPr>
                <w:noProof/>
              </w:rPr>
              <w:t xml:space="preserve">Le logement des jeunes est accordé aux unités administratives territoriales/consortiums administratifs/zones métropolitaines sur la base d’un plan d’action intégré visant à améliorer les conditions de vie des jeunes des communautés et groupes vulnérables et de leur ménage, y compris des mesures visant à favoriser l’intégration sociale et économique des groupes ciblés. Les jeunes bénéficiaires doivent satisfaire cumulativement à la condition de provenir d’une communauté/d’un groupe vulnérable, âgé(e) de 18 à 35 ans, dont le revenu par membre de la famille est inférieur au salaire mensuel moyen par économie, qui n’est pas propriétaire d’une maison ou qui n’en est pas propriétaire et qui vit actuellement dans des conditions de logement surpeuplées/pauvres. Les critères tiendraient également compte du fait que les jeunes ont un ou plusieurs enfants à charge ou vivant dans leur ménage. </w:t>
            </w:r>
          </w:p>
          <w:p w14:paraId="2553C8A4" w14:textId="77777777" w:rsidR="00A345F4" w:rsidRDefault="005E2D4E">
            <w:pPr>
              <w:pStyle w:val="P68B1DB1-Normal14"/>
              <w:numPr>
                <w:ilvl w:val="0"/>
                <w:numId w:val="49"/>
              </w:numPr>
              <w:spacing w:before="120" w:line="259" w:lineRule="auto"/>
              <w:ind w:left="318"/>
              <w:contextualSpacing/>
              <w:jc w:val="both"/>
              <w:rPr>
                <w:noProof/>
              </w:rPr>
            </w:pPr>
            <w:r>
              <w:rPr>
                <w:noProof/>
              </w:rPr>
              <w:t>Les unités de logement pour les professionnels de la santé et de l'éducation sont attribuées aux unités administratives territoriales/consortiums administratifs/zones métropolitaines sur la base d'un plan d'action intégré visant à améliorer les services médicaux ou éducatifs destinés aux communautés et groupes vulnérables, tels qu'identifiés par la cartographie des besoins, en particulier dans les communautés et groupes marginalisés. De même, l’investissement est effectué en corrélation avec les investissements dans l’éducation, la santé (par exemple, le développement d’infrastructures médicales préhospitalières visant à améliorer l’accès aux services médicaux de base) et les volets «vague de rénovation» du plan national pour la reprise et la résilience, ainsi qu’avec l’investissement 3 du volet actuel (rénovation modérée des bâtiments publics), avec les programmes opérationnels (2014-2020 et 2021-2027) ou d’autres programmes.</w:t>
            </w:r>
          </w:p>
        </w:tc>
      </w:tr>
      <w:tr w:rsidR="00A345F4" w14:paraId="0006151E" w14:textId="77777777" w:rsidTr="00177F29">
        <w:trPr>
          <w:trHeight w:val="4478"/>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3B02571" w14:textId="77777777" w:rsidR="00A345F4" w:rsidRDefault="005E2D4E">
            <w:pPr>
              <w:pStyle w:val="P68B1DB1-Normal14"/>
              <w:spacing w:after="0" w:line="240" w:lineRule="auto"/>
              <w:jc w:val="center"/>
              <w:rPr>
                <w:noProof/>
              </w:rPr>
            </w:pPr>
            <w:r>
              <w:rPr>
                <w:noProof/>
              </w:rPr>
              <w:t>318</w:t>
            </w:r>
          </w:p>
        </w:tc>
        <w:tc>
          <w:tcPr>
            <w:tcW w:w="1985" w:type="dxa"/>
            <w:tcBorders>
              <w:top w:val="single" w:sz="4" w:space="0" w:color="auto"/>
              <w:left w:val="nil"/>
              <w:bottom w:val="single" w:sz="4" w:space="0" w:color="auto"/>
              <w:right w:val="single" w:sz="4" w:space="0" w:color="auto"/>
            </w:tcBorders>
            <w:shd w:val="clear" w:color="auto" w:fill="C6EFCE"/>
            <w:noWrap/>
          </w:tcPr>
          <w:p w14:paraId="7799584F" w14:textId="77777777" w:rsidR="00A345F4" w:rsidRDefault="005E2D4E">
            <w:pPr>
              <w:pStyle w:val="P68B1DB1-Normal14"/>
              <w:spacing w:after="0" w:line="240" w:lineRule="auto"/>
              <w:jc w:val="both"/>
              <w:rPr>
                <w:noProof/>
              </w:rPr>
            </w:pPr>
            <w:r>
              <w:rPr>
                <w:noProof/>
              </w:rPr>
              <w:t>Investissement 2. Construction de logements pour les jeunes et pour les professionnels de la santé et de l'éducation</w:t>
            </w:r>
          </w:p>
        </w:tc>
        <w:tc>
          <w:tcPr>
            <w:tcW w:w="1276" w:type="dxa"/>
            <w:tcBorders>
              <w:top w:val="single" w:sz="4" w:space="0" w:color="auto"/>
              <w:left w:val="nil"/>
              <w:bottom w:val="single" w:sz="4" w:space="0" w:color="auto"/>
              <w:right w:val="single" w:sz="4" w:space="0" w:color="auto"/>
            </w:tcBorders>
            <w:shd w:val="clear" w:color="auto" w:fill="C6EFCE"/>
            <w:noWrap/>
          </w:tcPr>
          <w:p w14:paraId="50DDBCFE" w14:textId="77777777" w:rsidR="00A345F4" w:rsidRDefault="005E2D4E">
            <w:pPr>
              <w:pStyle w:val="P68B1DB1-Normal14"/>
              <w:spacing w:after="0" w:line="240" w:lineRule="auto"/>
              <w:jc w:val="both"/>
              <w:rPr>
                <w:noProof/>
              </w:rPr>
            </w:pPr>
            <w:r>
              <w:rPr>
                <w:noProof/>
              </w:rPr>
              <w:t>Objectif</w:t>
            </w:r>
          </w:p>
        </w:tc>
        <w:tc>
          <w:tcPr>
            <w:tcW w:w="1417" w:type="dxa"/>
            <w:tcBorders>
              <w:top w:val="single" w:sz="4" w:space="0" w:color="auto"/>
              <w:left w:val="nil"/>
              <w:bottom w:val="single" w:sz="4" w:space="0" w:color="auto"/>
              <w:right w:val="single" w:sz="4" w:space="0" w:color="auto"/>
            </w:tcBorders>
            <w:shd w:val="clear" w:color="auto" w:fill="C6EFCE"/>
            <w:noWrap/>
          </w:tcPr>
          <w:p w14:paraId="65A8447F" w14:textId="72E31F89" w:rsidR="00A345F4" w:rsidRDefault="005E2D4E">
            <w:pPr>
              <w:pStyle w:val="P68B1DB1-Normal14"/>
              <w:spacing w:after="0" w:line="240" w:lineRule="auto"/>
              <w:jc w:val="both"/>
              <w:rPr>
                <w:noProof/>
              </w:rPr>
            </w:pPr>
            <w:r>
              <w:rPr>
                <w:noProof/>
              </w:rPr>
              <w:t>Unités de logement construites pour les jeunes issus de communautés marginalisées ou de groupes vulnérables et pour les professionnels de la santé et de l'éducation</w:t>
            </w:r>
          </w:p>
        </w:tc>
        <w:tc>
          <w:tcPr>
            <w:tcW w:w="1498" w:type="dxa"/>
            <w:tcBorders>
              <w:top w:val="single" w:sz="4" w:space="0" w:color="auto"/>
              <w:left w:val="nil"/>
              <w:bottom w:val="single" w:sz="4" w:space="0" w:color="auto"/>
              <w:right w:val="single" w:sz="4" w:space="0" w:color="auto"/>
            </w:tcBorders>
            <w:shd w:val="clear" w:color="auto" w:fill="C6EFCE"/>
            <w:noWrap/>
          </w:tcPr>
          <w:p w14:paraId="0358AF61" w14:textId="77777777" w:rsidR="00A345F4" w:rsidRDefault="005E2D4E">
            <w:pPr>
              <w:pStyle w:val="P68B1DB1-Normal14"/>
              <w:spacing w:after="0" w:line="240" w:lineRule="auto"/>
              <w:jc w:val="both"/>
              <w:rPr>
                <w:noProof/>
              </w:rPr>
            </w:pPr>
            <w:r>
              <w:rPr>
                <w:noProof/>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7C4CDDA6" w14:textId="77777777" w:rsidR="00A345F4" w:rsidRDefault="005E2D4E">
            <w:pPr>
              <w:pStyle w:val="P68B1DB1-Normal14"/>
              <w:spacing w:after="0" w:line="240" w:lineRule="auto"/>
              <w:jc w:val="both"/>
              <w:rPr>
                <w:noProof/>
              </w:rPr>
            </w:pPr>
            <w:r>
              <w:rPr>
                <w:noProof/>
              </w:rPr>
              <w:t>Numéro</w:t>
            </w:r>
          </w:p>
        </w:tc>
        <w:tc>
          <w:tcPr>
            <w:tcW w:w="1134" w:type="dxa"/>
            <w:tcBorders>
              <w:top w:val="single" w:sz="4" w:space="0" w:color="auto"/>
              <w:left w:val="nil"/>
              <w:bottom w:val="single" w:sz="4" w:space="0" w:color="auto"/>
              <w:right w:val="single" w:sz="4" w:space="0" w:color="auto"/>
            </w:tcBorders>
            <w:shd w:val="clear" w:color="auto" w:fill="C6EFCE"/>
            <w:noWrap/>
          </w:tcPr>
          <w:p w14:paraId="2BE01919" w14:textId="77777777" w:rsidR="00A345F4" w:rsidRDefault="005E2D4E">
            <w:pPr>
              <w:pStyle w:val="P68B1DB1-Normal14"/>
              <w:spacing w:after="0" w:line="240" w:lineRule="auto"/>
              <w:jc w:val="both"/>
              <w:rPr>
                <w:noProof/>
              </w:rPr>
            </w:pPr>
            <w:r>
              <w:rPr>
                <w:noProof/>
              </w:rPr>
              <w:t>0</w:t>
            </w:r>
          </w:p>
        </w:tc>
        <w:tc>
          <w:tcPr>
            <w:tcW w:w="1535" w:type="dxa"/>
            <w:tcBorders>
              <w:top w:val="single" w:sz="4" w:space="0" w:color="auto"/>
              <w:left w:val="nil"/>
              <w:bottom w:val="single" w:sz="4" w:space="0" w:color="auto"/>
              <w:right w:val="single" w:sz="4" w:space="0" w:color="auto"/>
            </w:tcBorders>
            <w:shd w:val="clear" w:color="auto" w:fill="C6EFCE"/>
            <w:noWrap/>
          </w:tcPr>
          <w:p w14:paraId="4F2FAE38" w14:textId="77777777" w:rsidR="00A345F4" w:rsidRDefault="005E2D4E">
            <w:pPr>
              <w:pStyle w:val="P68B1DB1-Normal14"/>
              <w:spacing w:after="0" w:line="240" w:lineRule="auto"/>
              <w:jc w:val="both"/>
              <w:rPr>
                <w:noProof/>
              </w:rPr>
            </w:pPr>
            <w:r>
              <w:rPr>
                <w:noProof/>
              </w:rPr>
              <w:t>885</w:t>
            </w:r>
          </w:p>
          <w:p w14:paraId="733B87E3" w14:textId="77777777" w:rsidR="00A345F4" w:rsidRDefault="00A345F4">
            <w:pPr>
              <w:spacing w:after="0" w:line="240" w:lineRule="auto"/>
              <w:jc w:val="both"/>
              <w:rPr>
                <w:rFonts w:ascii="Times New Roman" w:hAnsi="Times New Roman" w:cs="Times New Roman"/>
                <w:noProof/>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tcPr>
          <w:p w14:paraId="4DD8FEBC" w14:textId="77777777" w:rsidR="00A345F4" w:rsidRDefault="005E2D4E">
            <w:pPr>
              <w:pStyle w:val="P68B1DB1-Normal14"/>
              <w:spacing w:after="0" w:line="240" w:lineRule="auto"/>
              <w:jc w:val="both"/>
              <w:rPr>
                <w:noProof/>
              </w:rPr>
            </w:pPr>
            <w:r>
              <w:rPr>
                <w:noProof/>
              </w:rPr>
              <w:t>T2</w:t>
            </w:r>
          </w:p>
        </w:tc>
        <w:tc>
          <w:tcPr>
            <w:tcW w:w="840" w:type="dxa"/>
            <w:tcBorders>
              <w:top w:val="single" w:sz="4" w:space="0" w:color="auto"/>
              <w:left w:val="nil"/>
              <w:bottom w:val="single" w:sz="4" w:space="0" w:color="auto"/>
              <w:right w:val="single" w:sz="4" w:space="0" w:color="auto"/>
            </w:tcBorders>
            <w:shd w:val="clear" w:color="auto" w:fill="C6EFCE"/>
            <w:noWrap/>
          </w:tcPr>
          <w:p w14:paraId="18B14219" w14:textId="77777777" w:rsidR="00A345F4" w:rsidRDefault="005E2D4E">
            <w:pPr>
              <w:pStyle w:val="P68B1DB1-Normal14"/>
              <w:spacing w:after="0" w:line="240" w:lineRule="auto"/>
              <w:jc w:val="both"/>
              <w:rPr>
                <w:noProof/>
              </w:rPr>
            </w:pPr>
            <w:r>
              <w:rPr>
                <w:noProof/>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63417DB7" w14:textId="5D4FB3C4" w:rsidR="00A345F4" w:rsidRDefault="005E2D4E">
            <w:pPr>
              <w:pStyle w:val="P68B1DB1-Normal14"/>
              <w:spacing w:after="0" w:line="240" w:lineRule="auto"/>
              <w:jc w:val="both"/>
              <w:rPr>
                <w:noProof/>
              </w:rPr>
            </w:pPr>
            <w:r>
              <w:rPr>
                <w:noProof/>
              </w:rPr>
              <w:t>Nombre d’unités de logement construites pour les jeunes issus de communautés marginalisées ou de groupes vulnérables et pour les professionnels de la santé et de l’éducation. Aux fins de la réalisation de cet objectif, un jeune doit être âgé de 18 à 35 ans.</w:t>
            </w:r>
          </w:p>
          <w:p w14:paraId="6280BE01" w14:textId="77777777" w:rsidR="00A345F4" w:rsidRDefault="005E2D4E">
            <w:pPr>
              <w:pStyle w:val="P68B1DB1-Normal14"/>
              <w:spacing w:after="0" w:line="240" w:lineRule="auto"/>
              <w:jc w:val="both"/>
              <w:rPr>
                <w:noProof/>
              </w:rPr>
            </w:pPr>
            <w:r>
              <w:rPr>
                <w:noProof/>
              </w:rPr>
              <w:t>Les unités de logement respectent l’objectif consistant à atteindre une demande d’énergie primaire (DEP) inférieure d’au moins 20 % à l’exigence d’un bâtiment dont la consommation d’énergie est quasi nulle conformément aux lignes directrices nationales, ce qui est confirmé au moyen de certificats de performance énergétique.</w:t>
            </w:r>
          </w:p>
        </w:tc>
      </w:tr>
      <w:tr w:rsidR="00A345F4" w14:paraId="6C92D4BD" w14:textId="77777777" w:rsidTr="00177F29">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464D0D5" w14:textId="77777777" w:rsidR="00A345F4" w:rsidRDefault="005E2D4E">
            <w:pPr>
              <w:pStyle w:val="P68B1DB1-Normal14"/>
              <w:spacing w:after="0" w:line="240" w:lineRule="auto"/>
              <w:jc w:val="center"/>
              <w:rPr>
                <w:noProof/>
              </w:rPr>
            </w:pPr>
            <w:r>
              <w:rPr>
                <w:noProof/>
              </w:rPr>
              <w:t>320</w:t>
            </w:r>
          </w:p>
        </w:tc>
        <w:tc>
          <w:tcPr>
            <w:tcW w:w="1985" w:type="dxa"/>
            <w:tcBorders>
              <w:top w:val="single" w:sz="4" w:space="0" w:color="auto"/>
              <w:left w:val="nil"/>
              <w:bottom w:val="single" w:sz="4" w:space="0" w:color="auto"/>
              <w:right w:val="single" w:sz="4" w:space="0" w:color="auto"/>
            </w:tcBorders>
            <w:shd w:val="clear" w:color="auto" w:fill="C6EFCE"/>
            <w:noWrap/>
          </w:tcPr>
          <w:p w14:paraId="2AAC1FF2" w14:textId="77777777" w:rsidR="00A345F4" w:rsidRDefault="005E2D4E">
            <w:pPr>
              <w:pStyle w:val="P68B1DB1-Normal14"/>
              <w:spacing w:after="0" w:line="240" w:lineRule="auto"/>
              <w:jc w:val="both"/>
              <w:rPr>
                <w:noProof/>
              </w:rPr>
            </w:pPr>
            <w:r>
              <w:rPr>
                <w:noProof/>
              </w:rPr>
              <w:t xml:space="preserve">Investissement 3. Rénovation des bâtiments publics pour soutenir une meilleure prestation de services publics par les unités administratives territoriales </w:t>
            </w:r>
          </w:p>
        </w:tc>
        <w:tc>
          <w:tcPr>
            <w:tcW w:w="1276" w:type="dxa"/>
            <w:tcBorders>
              <w:top w:val="single" w:sz="4" w:space="0" w:color="auto"/>
              <w:left w:val="nil"/>
              <w:bottom w:val="single" w:sz="4" w:space="0" w:color="auto"/>
              <w:right w:val="single" w:sz="4" w:space="0" w:color="auto"/>
            </w:tcBorders>
            <w:shd w:val="clear" w:color="auto" w:fill="C6EFCE"/>
            <w:noWrap/>
          </w:tcPr>
          <w:p w14:paraId="285260A0" w14:textId="77777777" w:rsidR="00A345F4" w:rsidRDefault="005E2D4E">
            <w:pPr>
              <w:pStyle w:val="P68B1DB1-Normal14"/>
              <w:spacing w:after="0" w:line="240" w:lineRule="auto"/>
              <w:jc w:val="both"/>
              <w:rPr>
                <w:noProof/>
              </w:rPr>
            </w:pPr>
            <w:r>
              <w:rPr>
                <w:noProof/>
              </w:rPr>
              <w:t>Étape</w:t>
            </w:r>
          </w:p>
        </w:tc>
        <w:tc>
          <w:tcPr>
            <w:tcW w:w="1417" w:type="dxa"/>
            <w:tcBorders>
              <w:top w:val="single" w:sz="4" w:space="0" w:color="auto"/>
              <w:left w:val="nil"/>
              <w:bottom w:val="single" w:sz="4" w:space="0" w:color="auto"/>
              <w:right w:val="single" w:sz="4" w:space="0" w:color="auto"/>
            </w:tcBorders>
            <w:shd w:val="clear" w:color="auto" w:fill="C6EFCE"/>
            <w:noWrap/>
          </w:tcPr>
          <w:p w14:paraId="03F41023" w14:textId="7A134EFF" w:rsidR="00A345F4" w:rsidRDefault="005E2D4E">
            <w:pPr>
              <w:pStyle w:val="P68B1DB1-Normal14"/>
              <w:spacing w:after="0" w:line="240" w:lineRule="auto"/>
              <w:jc w:val="both"/>
              <w:rPr>
                <w:noProof/>
              </w:rPr>
            </w:pPr>
            <w:r>
              <w:rPr>
                <w:noProof/>
              </w:rPr>
              <w:t>Signature de contrats pour la rénovation modérée de bâtiments publics</w:t>
            </w:r>
          </w:p>
        </w:tc>
        <w:tc>
          <w:tcPr>
            <w:tcW w:w="1498" w:type="dxa"/>
            <w:tcBorders>
              <w:top w:val="single" w:sz="4" w:space="0" w:color="auto"/>
              <w:left w:val="nil"/>
              <w:bottom w:val="single" w:sz="4" w:space="0" w:color="auto"/>
              <w:right w:val="single" w:sz="4" w:space="0" w:color="auto"/>
            </w:tcBorders>
            <w:shd w:val="clear" w:color="auto" w:fill="C6EFCE"/>
            <w:noWrap/>
          </w:tcPr>
          <w:p w14:paraId="451BC0B1" w14:textId="77777777" w:rsidR="00A345F4" w:rsidRDefault="005E2D4E">
            <w:pPr>
              <w:pStyle w:val="P68B1DB1-Normal14"/>
              <w:spacing w:after="0" w:line="240" w:lineRule="auto"/>
              <w:jc w:val="both"/>
              <w:rPr>
                <w:noProof/>
              </w:rPr>
            </w:pPr>
            <w:r>
              <w:rPr>
                <w:noProof/>
              </w:rPr>
              <w:t>Signature des contrats</w:t>
            </w:r>
          </w:p>
        </w:tc>
        <w:tc>
          <w:tcPr>
            <w:tcW w:w="1332" w:type="dxa"/>
            <w:tcBorders>
              <w:top w:val="single" w:sz="4" w:space="0" w:color="auto"/>
              <w:left w:val="nil"/>
              <w:bottom w:val="single" w:sz="4" w:space="0" w:color="auto"/>
              <w:right w:val="single" w:sz="4" w:space="0" w:color="auto"/>
            </w:tcBorders>
            <w:shd w:val="clear" w:color="auto" w:fill="C6EFCE"/>
            <w:noWrap/>
          </w:tcPr>
          <w:p w14:paraId="54BC260F" w14:textId="77777777" w:rsidR="00A345F4" w:rsidRDefault="005E2D4E">
            <w:pPr>
              <w:pStyle w:val="P68B1DB1-Normal14"/>
              <w:spacing w:after="0" w:line="240" w:lineRule="auto"/>
              <w:jc w:val="both"/>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510CEC88" w14:textId="77777777" w:rsidR="00A345F4" w:rsidRDefault="005E2D4E">
            <w:pPr>
              <w:pStyle w:val="P68B1DB1-Normal14"/>
              <w:spacing w:after="0" w:line="240" w:lineRule="auto"/>
              <w:jc w:val="both"/>
              <w:rPr>
                <w:noProof/>
              </w:rPr>
            </w:pPr>
            <w:r>
              <w:rPr>
                <w:noProof/>
              </w:rPr>
              <w:t xml:space="preserve"> </w:t>
            </w:r>
          </w:p>
        </w:tc>
        <w:tc>
          <w:tcPr>
            <w:tcW w:w="1535" w:type="dxa"/>
            <w:tcBorders>
              <w:top w:val="single" w:sz="4" w:space="0" w:color="auto"/>
              <w:left w:val="nil"/>
              <w:bottom w:val="single" w:sz="4" w:space="0" w:color="auto"/>
              <w:right w:val="single" w:sz="4" w:space="0" w:color="auto"/>
            </w:tcBorders>
            <w:shd w:val="clear" w:color="auto" w:fill="C6EFCE"/>
            <w:noWrap/>
          </w:tcPr>
          <w:p w14:paraId="77DB0A80" w14:textId="77777777" w:rsidR="00A345F4" w:rsidRDefault="005E2D4E">
            <w:pPr>
              <w:pStyle w:val="P68B1DB1-Normal14"/>
              <w:spacing w:after="0" w:line="240" w:lineRule="auto"/>
              <w:jc w:val="both"/>
              <w:rPr>
                <w:noProof/>
              </w:rPr>
            </w:pPr>
            <w:r>
              <w:rPr>
                <w:noProof/>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292EBC53" w14:textId="77777777" w:rsidR="00A345F4" w:rsidRDefault="005E2D4E">
            <w:pPr>
              <w:pStyle w:val="P68B1DB1-Normal14"/>
              <w:spacing w:after="0" w:line="240" w:lineRule="auto"/>
              <w:jc w:val="both"/>
              <w:rPr>
                <w:noProof/>
              </w:rPr>
            </w:pPr>
            <w:r>
              <w:rPr>
                <w:noProof/>
              </w:rPr>
              <w:t>T4</w:t>
            </w:r>
          </w:p>
          <w:p w14:paraId="00FB7E51" w14:textId="77777777" w:rsidR="00A345F4" w:rsidRDefault="00A345F4">
            <w:pPr>
              <w:spacing w:after="0" w:line="240" w:lineRule="auto"/>
              <w:jc w:val="both"/>
              <w:rPr>
                <w:rFonts w:ascii="Times New Roman" w:hAnsi="Times New Roman" w:cs="Times New Roman"/>
                <w:noProof/>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tcPr>
          <w:p w14:paraId="4B29ABD0" w14:textId="77777777" w:rsidR="00A345F4" w:rsidRDefault="005E2D4E">
            <w:pPr>
              <w:pStyle w:val="P68B1DB1-Normal14"/>
              <w:spacing w:after="0" w:line="240" w:lineRule="auto"/>
              <w:jc w:val="both"/>
              <w:rPr>
                <w:noProof/>
              </w:rPr>
            </w:pPr>
            <w:r>
              <w:rPr>
                <w:noProof/>
              </w:rPr>
              <w:t>2022</w:t>
            </w:r>
          </w:p>
          <w:p w14:paraId="18B121DC" w14:textId="77777777" w:rsidR="00A345F4" w:rsidRDefault="00A345F4">
            <w:pPr>
              <w:spacing w:after="0" w:line="240" w:lineRule="auto"/>
              <w:jc w:val="both"/>
              <w:rPr>
                <w:rFonts w:ascii="Times New Roman" w:hAnsi="Times New Roman" w:cs="Times New Roman"/>
                <w:noProof/>
                <w:sz w:val="20"/>
                <w:szCs w:val="20"/>
              </w:rPr>
            </w:pPr>
          </w:p>
        </w:tc>
        <w:tc>
          <w:tcPr>
            <w:tcW w:w="2760" w:type="dxa"/>
            <w:tcBorders>
              <w:top w:val="single" w:sz="4" w:space="0" w:color="auto"/>
              <w:left w:val="nil"/>
              <w:bottom w:val="single" w:sz="4" w:space="0" w:color="auto"/>
              <w:right w:val="single" w:sz="4" w:space="0" w:color="auto"/>
            </w:tcBorders>
            <w:shd w:val="clear" w:color="auto" w:fill="C6EFCE"/>
            <w:noWrap/>
          </w:tcPr>
          <w:p w14:paraId="5E6CA4F3" w14:textId="77777777" w:rsidR="00A345F4" w:rsidRDefault="005E2D4E">
            <w:pPr>
              <w:pStyle w:val="P68B1DB1-Normal14"/>
              <w:spacing w:after="0" w:line="240" w:lineRule="auto"/>
              <w:jc w:val="both"/>
              <w:rPr>
                <w:noProof/>
              </w:rPr>
            </w:pPr>
            <w:r>
              <w:rPr>
                <w:noProof/>
              </w:rPr>
              <w:t xml:space="preserve">Le système définit les critères et les conditions à remplir pour la rénovation modérée des bâtiments publics, qui comprennent notamment les conditions suivantes: </w:t>
            </w:r>
          </w:p>
          <w:p w14:paraId="0900E8AE"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Seules les villes et communes sont éligibles</w:t>
            </w:r>
          </w:p>
          <w:p w14:paraId="02EB0BFE"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Seuls les bâtiments publics dont l’objectif est de fournir des services publics locaux (par exemple, les bâtiments de l’hôtel de ville, les bâtiments de services sociaux) sont éligibles.</w:t>
            </w:r>
          </w:p>
          <w:p w14:paraId="0E37CC45" w14:textId="77777777" w:rsidR="00A345F4" w:rsidRDefault="005E2D4E">
            <w:pPr>
              <w:pStyle w:val="P68B1DB1-Normal14"/>
              <w:numPr>
                <w:ilvl w:val="0"/>
                <w:numId w:val="48"/>
              </w:numPr>
              <w:pBdr>
                <w:top w:val="nil"/>
                <w:left w:val="nil"/>
                <w:bottom w:val="nil"/>
                <w:right w:val="nil"/>
                <w:between w:val="nil"/>
              </w:pBdr>
              <w:spacing w:after="0" w:line="240" w:lineRule="auto"/>
              <w:ind w:left="175" w:hanging="217"/>
              <w:jc w:val="both"/>
              <w:rPr>
                <w:noProof/>
              </w:rPr>
            </w:pPr>
            <w:r>
              <w:rPr>
                <w:noProof/>
              </w:rPr>
              <w:t>Les projets de modernisation modérés entraînent une réduction de 30 % de la demande d’énergie primaire, qui doit être démontrée par des certificats de performance énergétique.</w:t>
            </w:r>
          </w:p>
          <w:p w14:paraId="0DA42101" w14:textId="77777777" w:rsidR="00A345F4" w:rsidRDefault="005E2D4E">
            <w:pPr>
              <w:pStyle w:val="P68B1DB1-Normal14"/>
              <w:spacing w:after="0" w:line="240" w:lineRule="auto"/>
              <w:jc w:val="both"/>
              <w:rPr>
                <w:noProof/>
              </w:rPr>
            </w:pPr>
            <w:r>
              <w:rPr>
                <w:noProof/>
              </w:rPr>
              <w:t>Dans le cas d’investissements destinés à la rénovation modérée de bâtiments publics, les coûts du système d’efficacité non énergétique ne dépassent pas 10 % du coût total.</w:t>
            </w:r>
          </w:p>
        </w:tc>
      </w:tr>
      <w:tr w:rsidR="00A345F4" w14:paraId="48E1EA6A" w14:textId="77777777" w:rsidTr="00177F29">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7F84B66" w14:textId="77777777" w:rsidR="00A345F4" w:rsidRDefault="005E2D4E">
            <w:pPr>
              <w:pStyle w:val="P68B1DB1-Normal14"/>
              <w:spacing w:after="0" w:line="240" w:lineRule="auto"/>
              <w:jc w:val="center"/>
              <w:rPr>
                <w:noProof/>
              </w:rPr>
            </w:pPr>
            <w:r>
              <w:rPr>
                <w:noProof/>
              </w:rPr>
              <w:t>322</w:t>
            </w:r>
          </w:p>
        </w:tc>
        <w:tc>
          <w:tcPr>
            <w:tcW w:w="1985" w:type="dxa"/>
            <w:tcBorders>
              <w:top w:val="single" w:sz="4" w:space="0" w:color="auto"/>
              <w:left w:val="nil"/>
              <w:bottom w:val="single" w:sz="4" w:space="0" w:color="auto"/>
              <w:right w:val="single" w:sz="4" w:space="0" w:color="auto"/>
            </w:tcBorders>
            <w:shd w:val="clear" w:color="auto" w:fill="C6EFCE"/>
            <w:noWrap/>
          </w:tcPr>
          <w:p w14:paraId="6B7161E4" w14:textId="77777777" w:rsidR="00A345F4" w:rsidRDefault="005E2D4E">
            <w:pPr>
              <w:pStyle w:val="P68B1DB1-Normal14"/>
              <w:spacing w:after="0" w:line="240" w:lineRule="auto"/>
              <w:jc w:val="both"/>
              <w:rPr>
                <w:noProof/>
              </w:rPr>
            </w:pPr>
            <w:r>
              <w:rPr>
                <w:noProof/>
              </w:rPr>
              <w:t xml:space="preserve">Investissement 3. Rénovation des bâtiments publics pour soutenir une meilleure prestation de services publics par les unités administratives territoriales </w:t>
            </w:r>
          </w:p>
        </w:tc>
        <w:tc>
          <w:tcPr>
            <w:tcW w:w="1276" w:type="dxa"/>
            <w:tcBorders>
              <w:top w:val="single" w:sz="4" w:space="0" w:color="auto"/>
              <w:left w:val="nil"/>
              <w:bottom w:val="single" w:sz="4" w:space="0" w:color="auto"/>
              <w:right w:val="single" w:sz="4" w:space="0" w:color="auto"/>
            </w:tcBorders>
            <w:shd w:val="clear" w:color="auto" w:fill="C6EFCE"/>
            <w:noWrap/>
          </w:tcPr>
          <w:p w14:paraId="77C55FDC" w14:textId="77777777" w:rsidR="00A345F4" w:rsidRDefault="005E2D4E">
            <w:pPr>
              <w:pStyle w:val="P68B1DB1-Normal14"/>
              <w:spacing w:after="0" w:line="240" w:lineRule="auto"/>
              <w:jc w:val="both"/>
              <w:rPr>
                <w:noProof/>
              </w:rPr>
            </w:pPr>
            <w:r>
              <w:rPr>
                <w:noProof/>
              </w:rPr>
              <w:t xml:space="preserve">Objectif </w:t>
            </w:r>
          </w:p>
        </w:tc>
        <w:tc>
          <w:tcPr>
            <w:tcW w:w="1417" w:type="dxa"/>
            <w:tcBorders>
              <w:top w:val="single" w:sz="4" w:space="0" w:color="auto"/>
              <w:left w:val="nil"/>
              <w:bottom w:val="single" w:sz="4" w:space="0" w:color="auto"/>
              <w:right w:val="single" w:sz="4" w:space="0" w:color="auto"/>
            </w:tcBorders>
            <w:shd w:val="clear" w:color="auto" w:fill="C6EFCE"/>
            <w:noWrap/>
          </w:tcPr>
          <w:p w14:paraId="69FB7AD2" w14:textId="77777777" w:rsidR="00A345F4" w:rsidRDefault="005E2D4E">
            <w:pPr>
              <w:pStyle w:val="P68B1DB1-Normal14"/>
              <w:spacing w:after="0" w:line="240" w:lineRule="auto"/>
              <w:jc w:val="both"/>
              <w:rPr>
                <w:noProof/>
              </w:rPr>
            </w:pPr>
            <w:r>
              <w:rPr>
                <w:noProof/>
              </w:rPr>
              <w:t xml:space="preserve">Rénovation énergétique des bâtiments publics </w:t>
            </w:r>
          </w:p>
        </w:tc>
        <w:tc>
          <w:tcPr>
            <w:tcW w:w="1498" w:type="dxa"/>
            <w:tcBorders>
              <w:top w:val="single" w:sz="4" w:space="0" w:color="auto"/>
              <w:left w:val="nil"/>
              <w:bottom w:val="single" w:sz="4" w:space="0" w:color="auto"/>
              <w:right w:val="single" w:sz="4" w:space="0" w:color="auto"/>
            </w:tcBorders>
            <w:shd w:val="clear" w:color="auto" w:fill="C6EFCE"/>
            <w:noWrap/>
          </w:tcPr>
          <w:p w14:paraId="6FA3CCE3" w14:textId="77777777" w:rsidR="00A345F4" w:rsidRDefault="005E2D4E">
            <w:pPr>
              <w:pStyle w:val="P68B1DB1-Normal14"/>
              <w:spacing w:after="0" w:line="240" w:lineRule="auto"/>
              <w:jc w:val="both"/>
              <w:rPr>
                <w:noProof/>
              </w:rPr>
            </w:pPr>
            <w:r>
              <w:rPr>
                <w:noProof/>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79F8114E" w14:textId="77777777" w:rsidR="00A345F4" w:rsidRDefault="005E2D4E">
            <w:pPr>
              <w:pStyle w:val="P68B1DB1-Normal14"/>
              <w:spacing w:after="0" w:line="240" w:lineRule="auto"/>
              <w:jc w:val="both"/>
              <w:rPr>
                <w:noProof/>
              </w:rPr>
            </w:pPr>
            <w:r>
              <w:rPr>
                <w:noProof/>
              </w:rPr>
              <w:t>Nombre de m2</w:t>
            </w:r>
          </w:p>
        </w:tc>
        <w:tc>
          <w:tcPr>
            <w:tcW w:w="1134" w:type="dxa"/>
            <w:tcBorders>
              <w:top w:val="single" w:sz="4" w:space="0" w:color="auto"/>
              <w:left w:val="nil"/>
              <w:bottom w:val="single" w:sz="4" w:space="0" w:color="auto"/>
              <w:right w:val="single" w:sz="4" w:space="0" w:color="auto"/>
            </w:tcBorders>
            <w:shd w:val="clear" w:color="auto" w:fill="C6EFCE"/>
            <w:noWrap/>
          </w:tcPr>
          <w:p w14:paraId="3CBCCC75" w14:textId="77777777" w:rsidR="00A345F4" w:rsidRDefault="005E2D4E">
            <w:pPr>
              <w:pStyle w:val="P68B1DB1-Normal14"/>
              <w:spacing w:after="0" w:line="240" w:lineRule="auto"/>
              <w:jc w:val="both"/>
              <w:rPr>
                <w:noProof/>
              </w:rPr>
            </w:pPr>
            <w:r>
              <w:rPr>
                <w:noProof/>
              </w:rPr>
              <w:t>0</w:t>
            </w:r>
          </w:p>
        </w:tc>
        <w:tc>
          <w:tcPr>
            <w:tcW w:w="1535" w:type="dxa"/>
            <w:tcBorders>
              <w:top w:val="single" w:sz="4" w:space="0" w:color="auto"/>
              <w:left w:val="nil"/>
              <w:bottom w:val="single" w:sz="4" w:space="0" w:color="auto"/>
              <w:right w:val="single" w:sz="4" w:space="0" w:color="auto"/>
            </w:tcBorders>
            <w:shd w:val="clear" w:color="auto" w:fill="C6EFCE"/>
            <w:noWrap/>
          </w:tcPr>
          <w:p w14:paraId="31FC665E" w14:textId="2FB390D4" w:rsidR="00A345F4" w:rsidRDefault="005E2D4E">
            <w:pPr>
              <w:pStyle w:val="P68B1DB1-Normal14"/>
              <w:spacing w:after="0" w:line="240" w:lineRule="auto"/>
              <w:jc w:val="both"/>
              <w:rPr>
                <w:noProof/>
              </w:rPr>
            </w:pPr>
            <w:r>
              <w:rPr>
                <w:noProof/>
              </w:rPr>
              <w:t>516 072.18</w:t>
            </w:r>
          </w:p>
          <w:p w14:paraId="3AEFF107" w14:textId="77777777" w:rsidR="00A345F4" w:rsidRDefault="00A345F4">
            <w:pPr>
              <w:spacing w:after="0" w:line="240" w:lineRule="auto"/>
              <w:jc w:val="both"/>
              <w:rPr>
                <w:rFonts w:ascii="Times New Roman" w:hAnsi="Times New Roman" w:cs="Times New Roman"/>
                <w:noProof/>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tcPr>
          <w:p w14:paraId="21FE5AF5" w14:textId="77777777" w:rsidR="00A345F4" w:rsidRDefault="005E2D4E">
            <w:pPr>
              <w:pStyle w:val="P68B1DB1-Normal14"/>
              <w:spacing w:after="0" w:line="240" w:lineRule="auto"/>
              <w:jc w:val="both"/>
              <w:rPr>
                <w:noProof/>
              </w:rPr>
            </w:pPr>
            <w:r>
              <w:rPr>
                <w:noProof/>
              </w:rPr>
              <w:t>T2</w:t>
            </w:r>
          </w:p>
        </w:tc>
        <w:tc>
          <w:tcPr>
            <w:tcW w:w="840" w:type="dxa"/>
            <w:tcBorders>
              <w:top w:val="single" w:sz="4" w:space="0" w:color="auto"/>
              <w:left w:val="nil"/>
              <w:bottom w:val="single" w:sz="4" w:space="0" w:color="auto"/>
              <w:right w:val="single" w:sz="4" w:space="0" w:color="auto"/>
            </w:tcBorders>
            <w:shd w:val="clear" w:color="auto" w:fill="C6EFCE"/>
            <w:noWrap/>
          </w:tcPr>
          <w:p w14:paraId="35F4326F" w14:textId="77777777" w:rsidR="00A345F4" w:rsidRDefault="005E2D4E">
            <w:pPr>
              <w:pStyle w:val="P68B1DB1-Normal14"/>
              <w:spacing w:after="0" w:line="240" w:lineRule="auto"/>
              <w:jc w:val="both"/>
              <w:rPr>
                <w:noProof/>
              </w:rPr>
            </w:pPr>
            <w:r>
              <w:rPr>
                <w:noProof/>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743FA676" w14:textId="0B8B429E" w:rsidR="00A345F4" w:rsidRDefault="005E2D4E">
            <w:pPr>
              <w:pStyle w:val="P68B1DB1-Normal14"/>
              <w:spacing w:after="0" w:line="240" w:lineRule="auto"/>
              <w:jc w:val="both"/>
              <w:rPr>
                <w:noProof/>
              </w:rPr>
            </w:pPr>
            <w:r>
              <w:rPr>
                <w:noProof/>
              </w:rPr>
              <w:t>Certificats de performance énergétique confirmant une réduction de 30 % de la demande d’énergie primaire au niveau du bâtiment pour une superficie totale rénovée de 516 072,18 m2.</w:t>
            </w:r>
          </w:p>
        </w:tc>
      </w:tr>
      <w:tr w:rsidR="00A345F4" w14:paraId="27AF0CC6" w14:textId="77777777" w:rsidTr="00177F29">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DEAAD91" w14:textId="77777777" w:rsidR="00A345F4" w:rsidRDefault="005E2D4E">
            <w:pPr>
              <w:pStyle w:val="P68B1DB1-Normal14"/>
              <w:spacing w:after="0" w:line="240" w:lineRule="auto"/>
              <w:jc w:val="center"/>
              <w:rPr>
                <w:noProof/>
              </w:rPr>
            </w:pPr>
            <w:r>
              <w:rPr>
                <w:noProof/>
              </w:rPr>
              <w:t>323</w:t>
            </w:r>
          </w:p>
        </w:tc>
        <w:tc>
          <w:tcPr>
            <w:tcW w:w="1985" w:type="dxa"/>
            <w:tcBorders>
              <w:top w:val="single" w:sz="4" w:space="0" w:color="auto"/>
              <w:left w:val="nil"/>
              <w:bottom w:val="single" w:sz="4" w:space="0" w:color="auto"/>
              <w:right w:val="single" w:sz="4" w:space="0" w:color="auto"/>
            </w:tcBorders>
            <w:shd w:val="clear" w:color="auto" w:fill="C6EFCE"/>
            <w:noWrap/>
          </w:tcPr>
          <w:p w14:paraId="4F114AF9" w14:textId="77777777" w:rsidR="00A345F4" w:rsidRDefault="005E2D4E">
            <w:pPr>
              <w:pStyle w:val="P68B1DB1-Normal14"/>
              <w:spacing w:after="0" w:line="240" w:lineRule="auto"/>
              <w:jc w:val="both"/>
              <w:rPr>
                <w:noProof/>
              </w:rPr>
            </w:pPr>
            <w:r>
              <w:rPr>
                <w:noProof/>
              </w:rPr>
              <w:t xml:space="preserve">Investissement 4. Développement/mise à jour en format SIG des documents d'aménagement du territoire et d'urbanisme </w:t>
            </w:r>
          </w:p>
        </w:tc>
        <w:tc>
          <w:tcPr>
            <w:tcW w:w="1276" w:type="dxa"/>
            <w:tcBorders>
              <w:top w:val="single" w:sz="4" w:space="0" w:color="auto"/>
              <w:left w:val="nil"/>
              <w:bottom w:val="single" w:sz="4" w:space="0" w:color="auto"/>
              <w:right w:val="single" w:sz="4" w:space="0" w:color="auto"/>
            </w:tcBorders>
            <w:shd w:val="clear" w:color="auto" w:fill="C6EFCE"/>
            <w:noWrap/>
          </w:tcPr>
          <w:p w14:paraId="65760E3E" w14:textId="77777777" w:rsidR="00A345F4" w:rsidRDefault="005E2D4E">
            <w:pPr>
              <w:pStyle w:val="P68B1DB1-Normal14"/>
              <w:spacing w:after="0" w:line="240" w:lineRule="auto"/>
              <w:jc w:val="both"/>
              <w:rPr>
                <w:noProof/>
              </w:rPr>
            </w:pPr>
            <w:r>
              <w:rPr>
                <w:noProof/>
              </w:rPr>
              <w:t>Étape</w:t>
            </w:r>
          </w:p>
        </w:tc>
        <w:tc>
          <w:tcPr>
            <w:tcW w:w="1417" w:type="dxa"/>
            <w:tcBorders>
              <w:top w:val="single" w:sz="4" w:space="0" w:color="auto"/>
              <w:left w:val="nil"/>
              <w:bottom w:val="single" w:sz="4" w:space="0" w:color="auto"/>
              <w:right w:val="single" w:sz="4" w:space="0" w:color="auto"/>
            </w:tcBorders>
            <w:shd w:val="clear" w:color="auto" w:fill="C6EFCE"/>
            <w:noWrap/>
          </w:tcPr>
          <w:p w14:paraId="7D0D4DEA" w14:textId="77777777" w:rsidR="00A345F4" w:rsidRDefault="005E2D4E">
            <w:pPr>
              <w:pStyle w:val="P68B1DB1-Normal14"/>
              <w:spacing w:after="0" w:line="240" w:lineRule="auto"/>
              <w:jc w:val="both"/>
              <w:rPr>
                <w:noProof/>
              </w:rPr>
            </w:pPr>
            <w:r>
              <w:rPr>
                <w:noProof/>
              </w:rPr>
              <w:t>Signature de contrats pour l'élaboration/mise à jour de plans d'aménagement du territoire, d'urbanisme et de mobilité urbaine durable.</w:t>
            </w:r>
          </w:p>
        </w:tc>
        <w:tc>
          <w:tcPr>
            <w:tcW w:w="1498" w:type="dxa"/>
            <w:tcBorders>
              <w:top w:val="single" w:sz="4" w:space="0" w:color="auto"/>
              <w:left w:val="nil"/>
              <w:bottom w:val="single" w:sz="4" w:space="0" w:color="auto"/>
              <w:right w:val="single" w:sz="4" w:space="0" w:color="auto"/>
            </w:tcBorders>
            <w:shd w:val="clear" w:color="auto" w:fill="C6EFCE"/>
            <w:noWrap/>
          </w:tcPr>
          <w:p w14:paraId="027311B5" w14:textId="77777777" w:rsidR="00A345F4" w:rsidRDefault="005E2D4E">
            <w:pPr>
              <w:pStyle w:val="P68B1DB1-Normal14"/>
              <w:spacing w:after="0" w:line="240" w:lineRule="auto"/>
              <w:jc w:val="both"/>
              <w:rPr>
                <w:noProof/>
              </w:rPr>
            </w:pPr>
            <w:r>
              <w:rPr>
                <w:noProof/>
              </w:rPr>
              <w:t>Signature des contrats</w:t>
            </w:r>
          </w:p>
        </w:tc>
        <w:tc>
          <w:tcPr>
            <w:tcW w:w="1332" w:type="dxa"/>
            <w:tcBorders>
              <w:top w:val="single" w:sz="4" w:space="0" w:color="auto"/>
              <w:left w:val="nil"/>
              <w:bottom w:val="single" w:sz="4" w:space="0" w:color="auto"/>
              <w:right w:val="single" w:sz="4" w:space="0" w:color="auto"/>
            </w:tcBorders>
            <w:shd w:val="clear" w:color="auto" w:fill="C6EFCE"/>
            <w:noWrap/>
          </w:tcPr>
          <w:p w14:paraId="137AFE6F" w14:textId="77777777" w:rsidR="00A345F4" w:rsidRDefault="005E2D4E">
            <w:pPr>
              <w:pStyle w:val="P68B1DB1-Normal14"/>
              <w:spacing w:after="0" w:line="240" w:lineRule="auto"/>
              <w:jc w:val="both"/>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07FAC35" w14:textId="77777777" w:rsidR="00A345F4" w:rsidRDefault="005E2D4E">
            <w:pPr>
              <w:pStyle w:val="P68B1DB1-Normal14"/>
              <w:spacing w:after="0" w:line="240" w:lineRule="auto"/>
              <w:jc w:val="both"/>
              <w:rPr>
                <w:noProof/>
              </w:rPr>
            </w:pPr>
            <w:r>
              <w:rPr>
                <w:noProof/>
              </w:rPr>
              <w:t xml:space="preserve"> </w:t>
            </w:r>
          </w:p>
        </w:tc>
        <w:tc>
          <w:tcPr>
            <w:tcW w:w="1535" w:type="dxa"/>
            <w:tcBorders>
              <w:top w:val="single" w:sz="4" w:space="0" w:color="auto"/>
              <w:left w:val="nil"/>
              <w:bottom w:val="single" w:sz="4" w:space="0" w:color="auto"/>
              <w:right w:val="single" w:sz="4" w:space="0" w:color="auto"/>
            </w:tcBorders>
            <w:shd w:val="clear" w:color="auto" w:fill="C6EFCE"/>
            <w:noWrap/>
          </w:tcPr>
          <w:p w14:paraId="6CFE73D3" w14:textId="77777777" w:rsidR="00A345F4" w:rsidRDefault="005E2D4E">
            <w:pPr>
              <w:pStyle w:val="P68B1DB1-Normal14"/>
              <w:spacing w:after="0" w:line="240" w:lineRule="auto"/>
              <w:jc w:val="both"/>
              <w:rPr>
                <w:noProof/>
              </w:rPr>
            </w:pPr>
            <w:r>
              <w:rPr>
                <w:noProof/>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78AE482E" w14:textId="77777777" w:rsidR="00A345F4" w:rsidRDefault="005E2D4E">
            <w:pPr>
              <w:pStyle w:val="P68B1DB1-Normal14"/>
              <w:spacing w:after="0" w:line="240" w:lineRule="auto"/>
              <w:jc w:val="both"/>
              <w:rPr>
                <w:noProof/>
              </w:rPr>
            </w:pPr>
            <w:r>
              <w:rPr>
                <w:noProof/>
              </w:rPr>
              <w:t>T4</w:t>
            </w:r>
          </w:p>
          <w:p w14:paraId="51140785" w14:textId="77777777" w:rsidR="00A345F4" w:rsidRDefault="00A345F4">
            <w:pPr>
              <w:spacing w:after="0" w:line="240" w:lineRule="auto"/>
              <w:jc w:val="both"/>
              <w:rPr>
                <w:rFonts w:ascii="Times New Roman" w:hAnsi="Times New Roman" w:cs="Times New Roman"/>
                <w:noProof/>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tcPr>
          <w:p w14:paraId="08714812" w14:textId="77777777" w:rsidR="00A345F4" w:rsidRDefault="005E2D4E">
            <w:pPr>
              <w:pStyle w:val="P68B1DB1-Normal14"/>
              <w:spacing w:after="0" w:line="240" w:lineRule="auto"/>
              <w:jc w:val="both"/>
              <w:rPr>
                <w:noProof/>
              </w:rPr>
            </w:pPr>
            <w:r>
              <w:rPr>
                <w:noProof/>
              </w:rPr>
              <w:t>2022</w:t>
            </w:r>
          </w:p>
          <w:p w14:paraId="7CE68A57" w14:textId="77777777" w:rsidR="00A345F4" w:rsidRDefault="00A345F4">
            <w:pPr>
              <w:spacing w:after="0" w:line="240" w:lineRule="auto"/>
              <w:jc w:val="both"/>
              <w:rPr>
                <w:rFonts w:ascii="Times New Roman" w:hAnsi="Times New Roman" w:cs="Times New Roman"/>
                <w:noProof/>
                <w:sz w:val="20"/>
                <w:szCs w:val="20"/>
              </w:rPr>
            </w:pPr>
          </w:p>
        </w:tc>
        <w:tc>
          <w:tcPr>
            <w:tcW w:w="2760" w:type="dxa"/>
            <w:tcBorders>
              <w:top w:val="single" w:sz="4" w:space="0" w:color="auto"/>
              <w:left w:val="nil"/>
              <w:bottom w:val="single" w:sz="4" w:space="0" w:color="auto"/>
              <w:right w:val="single" w:sz="4" w:space="0" w:color="auto"/>
            </w:tcBorders>
            <w:shd w:val="clear" w:color="auto" w:fill="C6EFCE"/>
            <w:noWrap/>
          </w:tcPr>
          <w:p w14:paraId="33562777" w14:textId="77777777" w:rsidR="00A345F4" w:rsidRDefault="005E2D4E">
            <w:pPr>
              <w:pStyle w:val="P68B1DB1-Normal14"/>
              <w:spacing w:after="0" w:line="240" w:lineRule="auto"/>
              <w:jc w:val="both"/>
              <w:rPr>
                <w:noProof/>
              </w:rPr>
            </w:pPr>
            <w:r>
              <w:rPr>
                <w:noProof/>
              </w:rPr>
              <w:t>Le programme définit les critères et les conditions à remplir pour le financement de l’élaboration/la mise à jour de plans d’aménagement du territoire, d’urbanisme et de mobilité urbaine durable.</w:t>
            </w:r>
          </w:p>
          <w:p w14:paraId="0B34BD73" w14:textId="77777777" w:rsidR="00A345F4" w:rsidRDefault="00A345F4">
            <w:pPr>
              <w:spacing w:after="0" w:line="240" w:lineRule="auto"/>
              <w:jc w:val="both"/>
              <w:rPr>
                <w:rFonts w:ascii="Times New Roman" w:hAnsi="Times New Roman" w:cs="Times New Roman"/>
                <w:noProof/>
                <w:sz w:val="20"/>
                <w:szCs w:val="20"/>
              </w:rPr>
            </w:pPr>
          </w:p>
          <w:p w14:paraId="0154A79E" w14:textId="77777777" w:rsidR="00A345F4" w:rsidRDefault="005E2D4E">
            <w:pPr>
              <w:pStyle w:val="P68B1DB1-Normal14"/>
              <w:spacing w:after="0" w:line="240" w:lineRule="auto"/>
              <w:jc w:val="both"/>
              <w:rPr>
                <w:noProof/>
              </w:rPr>
            </w:pPr>
            <w:r>
              <w:rPr>
                <w:noProof/>
              </w:rPr>
              <w:t>La rédaction/mise à jour de la documentation est élaborée au format numérique conformément aux dispositions des jalons 288 et 315. Le PMUD est approuvé par le groupe national sur l’optimisation du PMUD établi conformément aux dispositions du jalon 289 et la documentation relative à l’aménagement du territoire et à l’urbanisme est téléchargée sur l’Observatoire territorial. L’intégration avec la plateforme numérique décrite dans l’étape 316 est assurée.</w:t>
            </w:r>
          </w:p>
        </w:tc>
      </w:tr>
      <w:tr w:rsidR="00A345F4" w14:paraId="414EC5D7" w14:textId="77777777" w:rsidTr="00177F29">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189E080" w14:textId="77777777" w:rsidR="00A345F4" w:rsidRDefault="005E2D4E">
            <w:pPr>
              <w:pStyle w:val="P68B1DB1-Normal14"/>
              <w:spacing w:after="0" w:line="240" w:lineRule="auto"/>
              <w:jc w:val="center"/>
              <w:rPr>
                <w:noProof/>
              </w:rPr>
            </w:pPr>
            <w:r>
              <w:rPr>
                <w:noProof/>
              </w:rPr>
              <w:t>325</w:t>
            </w:r>
          </w:p>
        </w:tc>
        <w:tc>
          <w:tcPr>
            <w:tcW w:w="1985" w:type="dxa"/>
            <w:tcBorders>
              <w:top w:val="single" w:sz="4" w:space="0" w:color="auto"/>
              <w:left w:val="nil"/>
              <w:bottom w:val="single" w:sz="4" w:space="0" w:color="auto"/>
              <w:right w:val="single" w:sz="4" w:space="0" w:color="auto"/>
            </w:tcBorders>
            <w:shd w:val="clear" w:color="auto" w:fill="C6EFCE"/>
            <w:noWrap/>
          </w:tcPr>
          <w:p w14:paraId="217641F1" w14:textId="77777777" w:rsidR="00A345F4" w:rsidRDefault="005E2D4E">
            <w:pPr>
              <w:pStyle w:val="P68B1DB1-Normal14"/>
              <w:spacing w:after="0" w:line="240" w:lineRule="auto"/>
              <w:jc w:val="both"/>
              <w:rPr>
                <w:noProof/>
              </w:rPr>
            </w:pPr>
            <w:r>
              <w:rPr>
                <w:noProof/>
              </w:rPr>
              <w:t xml:space="preserve">Investissement 4. Production/mise à jour de documents d'aménagement du territoire et d'urbanisme au format SIG </w:t>
            </w:r>
          </w:p>
        </w:tc>
        <w:tc>
          <w:tcPr>
            <w:tcW w:w="1276" w:type="dxa"/>
            <w:tcBorders>
              <w:top w:val="single" w:sz="4" w:space="0" w:color="auto"/>
              <w:left w:val="nil"/>
              <w:bottom w:val="single" w:sz="4" w:space="0" w:color="auto"/>
              <w:right w:val="single" w:sz="4" w:space="0" w:color="auto"/>
            </w:tcBorders>
            <w:shd w:val="clear" w:color="auto" w:fill="C6EFCE"/>
            <w:noWrap/>
          </w:tcPr>
          <w:p w14:paraId="50CC758F" w14:textId="77777777" w:rsidR="00A345F4" w:rsidRDefault="005E2D4E">
            <w:pPr>
              <w:pStyle w:val="P68B1DB1-Normal14"/>
              <w:spacing w:after="0" w:line="240" w:lineRule="auto"/>
              <w:jc w:val="both"/>
              <w:rPr>
                <w:noProof/>
              </w:rPr>
            </w:pPr>
            <w:r>
              <w:rPr>
                <w:noProof/>
              </w:rPr>
              <w:t>Objectif</w:t>
            </w:r>
          </w:p>
        </w:tc>
        <w:tc>
          <w:tcPr>
            <w:tcW w:w="1417" w:type="dxa"/>
            <w:tcBorders>
              <w:top w:val="single" w:sz="4" w:space="0" w:color="auto"/>
              <w:left w:val="nil"/>
              <w:bottom w:val="single" w:sz="4" w:space="0" w:color="auto"/>
              <w:right w:val="single" w:sz="4" w:space="0" w:color="auto"/>
            </w:tcBorders>
            <w:shd w:val="clear" w:color="auto" w:fill="C6EFCE"/>
            <w:noWrap/>
          </w:tcPr>
          <w:p w14:paraId="4EC6C2B8" w14:textId="7D621293" w:rsidR="00A345F4" w:rsidRDefault="005E2D4E">
            <w:pPr>
              <w:pStyle w:val="P68B1DB1-Normal14"/>
              <w:spacing w:after="0" w:line="240" w:lineRule="auto"/>
              <w:jc w:val="both"/>
              <w:rPr>
                <w:noProof/>
              </w:rPr>
            </w:pPr>
            <w:r>
              <w:rPr>
                <w:noProof/>
              </w:rPr>
              <w:t>Documents d’aménagement du territoire, documents d’urbanisme et plans de mobilité urbaine durable publiés sur la plateforme de l’Observatoire territorial</w:t>
            </w:r>
          </w:p>
        </w:tc>
        <w:tc>
          <w:tcPr>
            <w:tcW w:w="1498" w:type="dxa"/>
            <w:tcBorders>
              <w:top w:val="single" w:sz="4" w:space="0" w:color="auto"/>
              <w:left w:val="nil"/>
              <w:bottom w:val="single" w:sz="4" w:space="0" w:color="auto"/>
              <w:right w:val="single" w:sz="4" w:space="0" w:color="auto"/>
            </w:tcBorders>
            <w:shd w:val="clear" w:color="auto" w:fill="C6EFCE"/>
            <w:noWrap/>
          </w:tcPr>
          <w:p w14:paraId="3A28E988" w14:textId="77777777" w:rsidR="00A345F4" w:rsidRDefault="005E2D4E">
            <w:pPr>
              <w:pStyle w:val="P68B1DB1-Normal14"/>
              <w:spacing w:after="0" w:line="240" w:lineRule="auto"/>
              <w:jc w:val="both"/>
              <w:rPr>
                <w:noProof/>
              </w:rPr>
            </w:pPr>
            <w:r>
              <w:rPr>
                <w:noProof/>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4E93D455" w14:textId="77777777" w:rsidR="00A345F4" w:rsidRDefault="005E2D4E">
            <w:pPr>
              <w:pStyle w:val="P68B1DB1-Normal14"/>
              <w:spacing w:after="0" w:line="240" w:lineRule="auto"/>
              <w:jc w:val="both"/>
              <w:rPr>
                <w:noProof/>
              </w:rPr>
            </w:pPr>
            <w:r>
              <w:rPr>
                <w:noProof/>
              </w:rPr>
              <w:t>Numéro</w:t>
            </w:r>
          </w:p>
        </w:tc>
        <w:tc>
          <w:tcPr>
            <w:tcW w:w="1134" w:type="dxa"/>
            <w:tcBorders>
              <w:top w:val="single" w:sz="4" w:space="0" w:color="auto"/>
              <w:left w:val="nil"/>
              <w:bottom w:val="single" w:sz="4" w:space="0" w:color="auto"/>
              <w:right w:val="single" w:sz="4" w:space="0" w:color="auto"/>
            </w:tcBorders>
            <w:shd w:val="clear" w:color="auto" w:fill="C6EFCE"/>
            <w:noWrap/>
          </w:tcPr>
          <w:p w14:paraId="18459720" w14:textId="77777777" w:rsidR="00A345F4" w:rsidRDefault="005E2D4E">
            <w:pPr>
              <w:pStyle w:val="P68B1DB1-Normal14"/>
              <w:spacing w:after="0" w:line="240" w:lineRule="auto"/>
              <w:jc w:val="both"/>
              <w:rPr>
                <w:noProof/>
              </w:rPr>
            </w:pPr>
            <w:r>
              <w:rPr>
                <w:noProof/>
              </w:rPr>
              <w:t>0</w:t>
            </w:r>
          </w:p>
        </w:tc>
        <w:tc>
          <w:tcPr>
            <w:tcW w:w="1535" w:type="dxa"/>
            <w:tcBorders>
              <w:top w:val="single" w:sz="4" w:space="0" w:color="auto"/>
              <w:left w:val="nil"/>
              <w:bottom w:val="single" w:sz="4" w:space="0" w:color="auto"/>
              <w:right w:val="single" w:sz="4" w:space="0" w:color="auto"/>
            </w:tcBorders>
            <w:shd w:val="clear" w:color="auto" w:fill="C6EFCE"/>
            <w:noWrap/>
          </w:tcPr>
          <w:p w14:paraId="40C35CB9" w14:textId="77777777" w:rsidR="00A345F4" w:rsidRDefault="005E2D4E">
            <w:pPr>
              <w:pStyle w:val="P68B1DB1-Normal14"/>
              <w:spacing w:after="0" w:line="240" w:lineRule="auto"/>
              <w:jc w:val="both"/>
              <w:rPr>
                <w:noProof/>
              </w:rPr>
            </w:pPr>
            <w:r>
              <w:rPr>
                <w:noProof/>
              </w:rPr>
              <w:t>100</w:t>
            </w:r>
          </w:p>
        </w:tc>
        <w:tc>
          <w:tcPr>
            <w:tcW w:w="1080" w:type="dxa"/>
            <w:tcBorders>
              <w:top w:val="single" w:sz="4" w:space="0" w:color="auto"/>
              <w:left w:val="nil"/>
              <w:bottom w:val="single" w:sz="4" w:space="0" w:color="auto"/>
              <w:right w:val="single" w:sz="4" w:space="0" w:color="auto"/>
            </w:tcBorders>
            <w:shd w:val="clear" w:color="auto" w:fill="C6EFCE"/>
            <w:noWrap/>
          </w:tcPr>
          <w:p w14:paraId="21C90498" w14:textId="77777777" w:rsidR="00A345F4" w:rsidRDefault="005E2D4E">
            <w:pPr>
              <w:pStyle w:val="P68B1DB1-Normal14"/>
              <w:spacing w:after="0" w:line="240" w:lineRule="auto"/>
              <w:jc w:val="both"/>
              <w:rPr>
                <w:noProof/>
              </w:rPr>
            </w:pPr>
            <w:r>
              <w:rPr>
                <w:noProof/>
              </w:rPr>
              <w:t>T2</w:t>
            </w:r>
          </w:p>
        </w:tc>
        <w:tc>
          <w:tcPr>
            <w:tcW w:w="840" w:type="dxa"/>
            <w:tcBorders>
              <w:top w:val="single" w:sz="4" w:space="0" w:color="auto"/>
              <w:left w:val="nil"/>
              <w:bottom w:val="single" w:sz="4" w:space="0" w:color="auto"/>
              <w:right w:val="single" w:sz="4" w:space="0" w:color="auto"/>
            </w:tcBorders>
            <w:shd w:val="clear" w:color="auto" w:fill="C6EFCE"/>
            <w:noWrap/>
          </w:tcPr>
          <w:p w14:paraId="37C1F776" w14:textId="77777777" w:rsidR="00A345F4" w:rsidRDefault="005E2D4E">
            <w:pPr>
              <w:pStyle w:val="P68B1DB1-Normal14"/>
              <w:spacing w:after="0" w:line="240" w:lineRule="auto"/>
              <w:jc w:val="both"/>
              <w:rPr>
                <w:noProof/>
              </w:rPr>
            </w:pPr>
            <w:r>
              <w:rPr>
                <w:noProof/>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273F4535" w14:textId="77777777" w:rsidR="00A345F4" w:rsidRDefault="005E2D4E">
            <w:pPr>
              <w:pStyle w:val="P68B1DB1-Normal14"/>
              <w:spacing w:after="0" w:line="240" w:lineRule="auto"/>
              <w:jc w:val="both"/>
              <w:rPr>
                <w:noProof/>
              </w:rPr>
            </w:pPr>
            <w:r>
              <w:rPr>
                <w:noProof/>
              </w:rPr>
              <w:t xml:space="preserve">Au moins 100 documents d’aménagement du territoire, documents d’urbanisme et plans de mobilité urbaine sont publiés sur la plateforme de l’Observatoire territorial. </w:t>
            </w:r>
          </w:p>
        </w:tc>
      </w:tr>
    </w:tbl>
    <w:p w14:paraId="06089CCE" w14:textId="77777777" w:rsidR="00A345F4" w:rsidRDefault="00A345F4">
      <w:pPr>
        <w:spacing w:before="120" w:after="120" w:line="240" w:lineRule="auto"/>
        <w:jc w:val="both"/>
        <w:rPr>
          <w:rFonts w:ascii="Times New Roman" w:hAnsi="Times New Roman" w:cs="Times New Roman"/>
          <w:noProof/>
        </w:rPr>
        <w:sectPr w:rsidR="00A345F4" w:rsidSect="00E51A4F">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60"/>
        </w:sectPr>
      </w:pPr>
    </w:p>
    <w:p w14:paraId="3F4545A6" w14:textId="77777777" w:rsidR="00A345F4" w:rsidRDefault="005E2D4E">
      <w:pPr>
        <w:pStyle w:val="P68B1DB1-Normal52"/>
        <w:keepNext/>
        <w:numPr>
          <w:ilvl w:val="0"/>
          <w:numId w:val="50"/>
        </w:numPr>
        <w:tabs>
          <w:tab w:val="left" w:pos="850"/>
        </w:tabs>
        <w:spacing w:before="360" w:after="120" w:line="240" w:lineRule="auto"/>
        <w:jc w:val="both"/>
        <w:outlineLvl w:val="0"/>
        <w:rPr>
          <w:bCs/>
          <w:noProof/>
        </w:rPr>
      </w:pPr>
      <w:r>
        <w:rPr>
          <w:noProof/>
        </w:rPr>
        <w:t>Élément 11: Tourisme et Culture</w:t>
      </w:r>
    </w:p>
    <w:p w14:paraId="5F8DC992" w14:textId="77777777" w:rsidR="00A345F4" w:rsidRDefault="005E2D4E">
      <w:pPr>
        <w:pStyle w:val="P68B1DB1-Normal41"/>
        <w:spacing w:before="120" w:after="120"/>
        <w:jc w:val="both"/>
        <w:rPr>
          <w:noProof/>
        </w:rPr>
      </w:pPr>
      <w:r>
        <w:rPr>
          <w:noProof/>
        </w:rPr>
        <w:t>L’objectif du volet «Tourisme et culture» est d’accroître la cohésion sociale, économique et territoriale et de créer de nouveaux emplois, en particulier dans les zones rurales, à savoir:</w:t>
      </w:r>
    </w:p>
    <w:p w14:paraId="5D7ABED4" w14:textId="77777777" w:rsidR="00A345F4" w:rsidRDefault="005E2D4E">
      <w:pPr>
        <w:pStyle w:val="P68B1DB1-Normal41"/>
        <w:numPr>
          <w:ilvl w:val="0"/>
          <w:numId w:val="51"/>
        </w:numPr>
        <w:spacing w:before="120" w:after="120" w:line="240" w:lineRule="auto"/>
        <w:ind w:left="360"/>
        <w:jc w:val="both"/>
        <w:rPr>
          <w:noProof/>
        </w:rPr>
      </w:pPr>
      <w:r>
        <w:rPr>
          <w:noProof/>
        </w:rPr>
        <w:t>promouvoir une transformation socio-économique durable dans les zones rurales et défavorisées en développant un réseau d’organisations régionales de gestion des destinations et en soutenant les investissements touristiques locaux;</w:t>
      </w:r>
    </w:p>
    <w:p w14:paraId="48F7AE38" w14:textId="77777777" w:rsidR="00A345F4" w:rsidRDefault="005E2D4E">
      <w:pPr>
        <w:pStyle w:val="P68B1DB1-Normal41"/>
        <w:numPr>
          <w:ilvl w:val="0"/>
          <w:numId w:val="51"/>
        </w:numPr>
        <w:spacing w:before="120" w:after="120" w:line="240" w:lineRule="auto"/>
        <w:ind w:left="360"/>
        <w:jc w:val="both"/>
        <w:rPr>
          <w:noProof/>
        </w:rPr>
      </w:pPr>
      <w:bookmarkStart w:id="22" w:name="_Hlk210228390"/>
      <w:r>
        <w:rPr>
          <w:noProof/>
        </w:rPr>
        <w:t xml:space="preserve">soutenir la mobilité durable en créant un réseau national Velo comprenant des itinéraires Eurovelocycling; et </w:t>
      </w:r>
    </w:p>
    <w:bookmarkEnd w:id="22"/>
    <w:p w14:paraId="60E38710" w14:textId="77777777" w:rsidR="00A345F4" w:rsidRDefault="005E2D4E">
      <w:pPr>
        <w:pStyle w:val="P68B1DB1-Normal41"/>
        <w:numPr>
          <w:ilvl w:val="0"/>
          <w:numId w:val="51"/>
        </w:numPr>
        <w:spacing w:before="120" w:after="120" w:line="240" w:lineRule="auto"/>
        <w:ind w:left="360"/>
        <w:jc w:val="both"/>
        <w:rPr>
          <w:noProof/>
        </w:rPr>
      </w:pPr>
      <w:r>
        <w:rPr>
          <w:noProof/>
        </w:rPr>
        <w:t>réduire l'écart d'accès à la culture entre les zones rurales et les grandes zones urbaines.</w:t>
      </w:r>
    </w:p>
    <w:p w14:paraId="13C16029" w14:textId="77777777" w:rsidR="00A345F4" w:rsidRDefault="005E2D4E">
      <w:pPr>
        <w:pStyle w:val="P68B1DB1-Normal41"/>
        <w:spacing w:before="120" w:after="120"/>
        <w:jc w:val="both"/>
        <w:rPr>
          <w:noProof/>
        </w:rPr>
      </w:pPr>
      <w:r>
        <w:rPr>
          <w:noProof/>
        </w:rPr>
        <w:t>Les réformes et les investissements contribuent à donner suite aux recommandations par pays transmises à la Roumanie en 2019 et 2020, sur la nécessité de «concentrer les investissements sur la transition écologique et numérique, en particulier sur les transports durables et les infrastructures de services numériques» (recommandation par pays no 3, 2020), tout en «tenant compte des disparités régionales» (recommandation par pays no 4, 2019).</w:t>
      </w:r>
    </w:p>
    <w:p w14:paraId="7C92B538" w14:textId="77777777" w:rsidR="00A345F4" w:rsidRDefault="005E2D4E">
      <w:pPr>
        <w:pStyle w:val="P68B1DB1-Normal41"/>
        <w:spacing w:before="120" w:after="120"/>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233F2B9E" w14:textId="77777777" w:rsidR="00A345F4" w:rsidRDefault="00A345F4">
      <w:pPr>
        <w:spacing w:before="120" w:after="120"/>
        <w:jc w:val="both"/>
        <w:rPr>
          <w:rFonts w:ascii="Times New Roman" w:eastAsia="Times New Roman" w:hAnsi="Times New Roman" w:cs="Times New Roman"/>
          <w:noProof/>
        </w:rPr>
      </w:pPr>
    </w:p>
    <w:p w14:paraId="4979130E" w14:textId="77777777" w:rsidR="00A345F4" w:rsidRDefault="005E2D4E">
      <w:pPr>
        <w:keepNext/>
        <w:spacing w:before="120" w:after="120" w:line="240" w:lineRule="auto"/>
        <w:jc w:val="both"/>
        <w:outlineLvl w:val="1"/>
        <w:rPr>
          <w:rFonts w:ascii="Times New Roman" w:eastAsia="Times New Roman" w:hAnsi="Times New Roman" w:cs="Times New Roman"/>
          <w:b/>
          <w:bCs/>
          <w:noProof/>
        </w:rPr>
      </w:pPr>
      <w:r>
        <w:rPr>
          <w:rFonts w:ascii="Times New Roman" w:eastAsia="Times New Roman" w:hAnsi="Times New Roman" w:cs="Times New Roman"/>
          <w:b/>
          <w:noProof/>
        </w:rPr>
        <w:t xml:space="preserve">K.1. </w:t>
      </w:r>
      <w:r>
        <w:rPr>
          <w:rFonts w:ascii="Times New Roman" w:hAnsi="Times New Roman" w:cs="Times New Roman"/>
          <w:noProof/>
        </w:rPr>
        <w:t xml:space="preserve"> </w:t>
      </w:r>
      <w:r>
        <w:rPr>
          <w:rFonts w:ascii="Times New Roman" w:eastAsia="Times New Roman" w:hAnsi="Times New Roman" w:cs="Times New Roman"/>
          <w:b/>
          <w:noProof/>
        </w:rPr>
        <w:t>Description des réformes et des investissements pour le soutien financier non remboursable</w:t>
      </w:r>
    </w:p>
    <w:p w14:paraId="44DCE4F0" w14:textId="77777777" w:rsidR="00A345F4" w:rsidRDefault="005E2D4E">
      <w:pPr>
        <w:pStyle w:val="P68B1DB1-Normal53"/>
        <w:suppressAutoHyphens/>
        <w:autoSpaceDN w:val="0"/>
        <w:spacing w:before="240" w:after="0" w:line="240" w:lineRule="auto"/>
        <w:jc w:val="both"/>
        <w:textAlignment w:val="baseline"/>
        <w:rPr>
          <w:noProof/>
        </w:rPr>
      </w:pPr>
      <w:r>
        <w:rPr>
          <w:noProof/>
        </w:rPr>
        <w:t>Réforme 3.a. Réforme du système de financement du secteur culturel</w:t>
      </w:r>
    </w:p>
    <w:p w14:paraId="6947B7C2" w14:textId="7185153A" w:rsidR="00A345F4" w:rsidRDefault="005E2D4E">
      <w:pPr>
        <w:pStyle w:val="P68B1DB1-Normal41"/>
        <w:spacing w:before="120" w:after="120" w:line="240" w:lineRule="auto"/>
        <w:jc w:val="both"/>
        <w:rPr>
          <w:noProof/>
        </w:rPr>
      </w:pPr>
      <w:r>
        <w:rPr>
          <w:noProof/>
        </w:rPr>
        <w:t>L'objectif de cette réforme est d'établir le cadre juridique et administratif pour les travailleurs culturels.</w:t>
      </w:r>
    </w:p>
    <w:p w14:paraId="7F616EE1" w14:textId="77777777" w:rsidR="00A345F4" w:rsidRDefault="005E2D4E">
      <w:pPr>
        <w:pStyle w:val="P68B1DB1-Normal41"/>
        <w:spacing w:before="120" w:after="120" w:line="240" w:lineRule="auto"/>
        <w:jc w:val="both"/>
        <w:rPr>
          <w:noProof/>
        </w:rPr>
      </w:pPr>
      <w:r>
        <w:rPr>
          <w:noProof/>
        </w:rPr>
        <w:t>Ces mesures consistent en l'adoption d'actes juridiques sur le système de financement des projets culturels et le soutien aux travailleurs des secteurs culturels.</w:t>
      </w:r>
    </w:p>
    <w:p w14:paraId="57E7B309" w14:textId="77777777" w:rsidR="00A345F4" w:rsidRDefault="005E2D4E">
      <w:pPr>
        <w:pStyle w:val="P68B1DB1-Normal41"/>
        <w:spacing w:before="120" w:after="120" w:line="240" w:lineRule="auto"/>
        <w:jc w:val="both"/>
        <w:rPr>
          <w:noProof/>
        </w:rPr>
      </w:pPr>
      <w:r>
        <w:rPr>
          <w:noProof/>
        </w:rPr>
        <w:t>Cette mesure complète la sous-réforme Réforme 3.: Réformer le système de financement du secteur culturel.</w:t>
      </w:r>
    </w:p>
    <w:p w14:paraId="6ECC3F80" w14:textId="77777777" w:rsidR="00A345F4" w:rsidRDefault="005E2D4E">
      <w:pPr>
        <w:pStyle w:val="P68B1DB1-Normal53"/>
        <w:suppressAutoHyphens/>
        <w:autoSpaceDN w:val="0"/>
        <w:spacing w:before="240" w:after="0" w:line="240" w:lineRule="auto"/>
        <w:jc w:val="both"/>
        <w:textAlignment w:val="baseline"/>
        <w:rPr>
          <w:noProof/>
        </w:rPr>
      </w:pPr>
      <w:r>
        <w:rPr>
          <w:noProof/>
        </w:rPr>
        <w:t>Investissement 5. Accroître l'accès à la culture dans les zones culturellement défavorisées</w:t>
      </w:r>
    </w:p>
    <w:p w14:paraId="2CAD0C89" w14:textId="368241A9" w:rsidR="00A345F4" w:rsidRDefault="005E2D4E">
      <w:pPr>
        <w:pStyle w:val="P68B1DB1-Normal41"/>
        <w:spacing w:before="120" w:after="120" w:line="240" w:lineRule="auto"/>
        <w:jc w:val="both"/>
        <w:rPr>
          <w:noProof/>
        </w:rPr>
      </w:pPr>
      <w:r>
        <w:rPr>
          <w:noProof/>
        </w:rPr>
        <w:t>L'objectif de cet investissement est d'améliorer l'accès à la culture dans les localités défavorisées sur le plan culturel.</w:t>
      </w:r>
    </w:p>
    <w:p w14:paraId="05C6A124" w14:textId="77777777" w:rsidR="00A345F4" w:rsidRDefault="005E2D4E">
      <w:pPr>
        <w:pStyle w:val="P68B1DB1-Normal41"/>
        <w:spacing w:before="120" w:after="120" w:line="240" w:lineRule="auto"/>
        <w:jc w:val="both"/>
        <w:rPr>
          <w:noProof/>
        </w:rPr>
      </w:pPr>
      <w:r>
        <w:rPr>
          <w:noProof/>
        </w:rPr>
        <w:t>Cette mesure consiste en un programme pilote de financement avec les autorités locales pour soutenir les programmes culturels et un programme pilote de financement de projets d'éducation culturelle pour les établissements d'enseignement public dans les zones rurales et les petites villes.</w:t>
      </w:r>
    </w:p>
    <w:p w14:paraId="30208C7D" w14:textId="77777777" w:rsidR="00A345F4" w:rsidRDefault="005E2D4E">
      <w:pPr>
        <w:pStyle w:val="P68B1DB1-Normal53"/>
        <w:suppressAutoHyphens/>
        <w:autoSpaceDN w:val="0"/>
        <w:spacing w:before="240" w:after="0" w:line="240" w:lineRule="auto"/>
        <w:jc w:val="both"/>
        <w:textAlignment w:val="baseline"/>
        <w:rPr>
          <w:noProof/>
        </w:rPr>
      </w:pPr>
      <w:r>
        <w:rPr>
          <w:noProof/>
        </w:rPr>
        <w:t>Investissement 6. Mise en place d'un système numérique pour les processus de financement de la culture</w:t>
      </w:r>
    </w:p>
    <w:p w14:paraId="6BBA69E7" w14:textId="77777777" w:rsidR="00A345F4" w:rsidRDefault="005E2D4E">
      <w:pPr>
        <w:pStyle w:val="P68B1DB1-Normal41"/>
        <w:spacing w:before="120" w:after="120" w:line="240" w:lineRule="auto"/>
        <w:jc w:val="both"/>
        <w:rPr>
          <w:noProof/>
        </w:rPr>
      </w:pPr>
      <w:r>
        <w:rPr>
          <w:noProof/>
        </w:rPr>
        <w:t>L'objectif de cet investissement est de développer un système numérique pour l'octroi de financements publics dans les secteurs culturels.</w:t>
      </w:r>
    </w:p>
    <w:p w14:paraId="697DC298" w14:textId="14729E3F" w:rsidR="00A345F4" w:rsidRDefault="005E2D4E">
      <w:pPr>
        <w:pStyle w:val="P68B1DB1-Normal41"/>
        <w:spacing w:before="120" w:after="120" w:line="240" w:lineRule="auto"/>
        <w:jc w:val="both"/>
        <w:rPr>
          <w:noProof/>
        </w:rPr>
      </w:pPr>
      <w:r>
        <w:rPr>
          <w:noProof/>
        </w:rPr>
        <w:t xml:space="preserve">Cette mesure consiste à déployer un système numérique pour faciliter l’accès au financement des opérateurs culturels nationaux. </w:t>
      </w:r>
    </w:p>
    <w:p w14:paraId="5A991192" w14:textId="77777777" w:rsidR="00A345F4" w:rsidRDefault="00A345F4">
      <w:pPr>
        <w:spacing w:before="120" w:after="120" w:line="240" w:lineRule="auto"/>
        <w:jc w:val="both"/>
        <w:rPr>
          <w:rFonts w:ascii="Times New Roman" w:eastAsia="Times New Roman" w:hAnsi="Times New Roman" w:cs="Times New Roman"/>
          <w:noProof/>
        </w:rPr>
      </w:pPr>
    </w:p>
    <w:p w14:paraId="758481F8" w14:textId="77777777" w:rsidR="00A345F4" w:rsidRDefault="00A345F4">
      <w:pPr>
        <w:spacing w:before="120" w:after="120" w:line="240" w:lineRule="auto"/>
        <w:jc w:val="both"/>
        <w:rPr>
          <w:rFonts w:ascii="Times New Roman" w:eastAsia="Times New Roman" w:hAnsi="Times New Roman" w:cs="Times New Roman"/>
          <w:noProof/>
        </w:rPr>
      </w:pPr>
    </w:p>
    <w:p w14:paraId="465DBA26" w14:textId="77777777" w:rsidR="00A345F4" w:rsidRDefault="00A345F4">
      <w:pPr>
        <w:spacing w:before="120" w:after="120" w:line="240" w:lineRule="auto"/>
        <w:jc w:val="both"/>
        <w:rPr>
          <w:rFonts w:ascii="Times New Roman" w:eastAsia="Times New Roman" w:hAnsi="Times New Roman" w:cs="Times New Roman"/>
          <w:noProof/>
        </w:rPr>
      </w:pPr>
    </w:p>
    <w:p w14:paraId="189F2ED7" w14:textId="77777777" w:rsidR="00A345F4" w:rsidRDefault="005E2D4E">
      <w:pPr>
        <w:pStyle w:val="P68B1DB1-Normal53"/>
        <w:suppressAutoHyphens/>
        <w:autoSpaceDN w:val="0"/>
        <w:spacing w:before="240" w:after="0" w:line="240" w:lineRule="auto"/>
        <w:jc w:val="both"/>
        <w:textAlignment w:val="baseline"/>
        <w:rPr>
          <w:noProof/>
        </w:rPr>
      </w:pPr>
      <w:r>
        <w:rPr>
          <w:noProof/>
        </w:rPr>
        <w:t xml:space="preserve">Investissement 7. Accélérer la numérisation de la production et de la distribution de films </w:t>
      </w:r>
    </w:p>
    <w:p w14:paraId="2DD4BDFB" w14:textId="77777777" w:rsidR="00A345F4" w:rsidRDefault="005E2D4E">
      <w:pPr>
        <w:pStyle w:val="P68B1DB1-Normal41"/>
        <w:spacing w:before="120" w:after="120" w:line="240" w:lineRule="auto"/>
        <w:jc w:val="both"/>
        <w:rPr>
          <w:noProof/>
        </w:rPr>
      </w:pPr>
      <w:r>
        <w:rPr>
          <w:noProof/>
        </w:rPr>
        <w:t xml:space="preserve">L’objectif de cet investissement est d’accroître la capacité des micro, petites et moyennes entreprises dans la production cinématographique et d’accélérer la transition numérique des producteurs et distributeurs de films en Roumanie. </w:t>
      </w:r>
    </w:p>
    <w:p w14:paraId="558911C9" w14:textId="77777777" w:rsidR="00A345F4" w:rsidRDefault="005E2D4E">
      <w:pPr>
        <w:pStyle w:val="P68B1DB1-Normal41"/>
        <w:spacing w:before="120" w:after="120" w:line="240" w:lineRule="auto"/>
        <w:jc w:val="both"/>
        <w:rPr>
          <w:noProof/>
        </w:rPr>
      </w:pPr>
      <w:r>
        <w:rPr>
          <w:noProof/>
        </w:rPr>
        <w:t>Cette mesure consiste à financer des producteurs de films et de médias afin qu’ils acquièrent des compétences numériques en matière de production et de distribution.</w:t>
      </w:r>
    </w:p>
    <w:p w14:paraId="067C306D" w14:textId="77777777" w:rsidR="00A345F4" w:rsidRDefault="00A345F4">
      <w:pPr>
        <w:rPr>
          <w:rFonts w:ascii="Times New Roman" w:hAnsi="Times New Roman" w:cs="Times New Roman"/>
          <w:noProof/>
        </w:rPr>
      </w:pPr>
    </w:p>
    <w:p w14:paraId="655A885B" w14:textId="77777777" w:rsidR="00A345F4" w:rsidRDefault="00A345F4">
      <w:pPr>
        <w:rPr>
          <w:rFonts w:ascii="Times New Roman" w:hAnsi="Times New Roman" w:cs="Times New Roman"/>
          <w:noProof/>
        </w:rPr>
        <w:sectPr w:rsidR="00A345F4" w:rsidSect="001460A9">
          <w:headerReference w:type="even" r:id="rId258"/>
          <w:headerReference w:type="default" r:id="rId259"/>
          <w:footerReference w:type="even" r:id="rId260"/>
          <w:footerReference w:type="default" r:id="rId261"/>
          <w:headerReference w:type="first" r:id="rId262"/>
          <w:footerReference w:type="first" r:id="rId263"/>
          <w:pgSz w:w="11907" w:h="16839"/>
          <w:pgMar w:top="1134" w:right="1134" w:bottom="1134" w:left="1134" w:header="567" w:footer="567" w:gutter="0"/>
          <w:cols w:space="720"/>
          <w:docGrid w:linePitch="360"/>
        </w:sectPr>
      </w:pPr>
    </w:p>
    <w:p w14:paraId="5D2E0531" w14:textId="77777777" w:rsidR="00A345F4" w:rsidRDefault="005E2D4E">
      <w:pPr>
        <w:pStyle w:val="P68B1DB1-Normal4"/>
        <w:keepNext/>
        <w:spacing w:before="120" w:after="120" w:line="240" w:lineRule="auto"/>
        <w:ind w:firstLine="720"/>
        <w:jc w:val="both"/>
        <w:outlineLvl w:val="1"/>
        <w:rPr>
          <w:rFonts w:eastAsiaTheme="majorEastAsia"/>
          <w:b/>
          <w:bCs/>
          <w:noProof/>
        </w:rPr>
      </w:pPr>
      <w:r>
        <w:rPr>
          <w:b/>
          <w:noProof/>
        </w:rPr>
        <w:t xml:space="preserve">K.2. </w:t>
      </w:r>
      <w:r>
        <w:rPr>
          <w:noProof/>
        </w:rPr>
        <w:t xml:space="preserve"> </w:t>
      </w:r>
      <w:r>
        <w:rPr>
          <w:b/>
          <w:noProof/>
        </w:rPr>
        <w:t>Étapes, cibles, indicateurs et calendrier pour le suivi et la mise en œuvre du soutien financier non remboursable</w:t>
      </w:r>
    </w:p>
    <w:tbl>
      <w:tblPr>
        <w:tblW w:w="15881" w:type="dxa"/>
        <w:jc w:val="center"/>
        <w:tblLayout w:type="fixed"/>
        <w:tblLook w:val="04A0" w:firstRow="1" w:lastRow="0" w:firstColumn="1" w:lastColumn="0" w:noHBand="0" w:noVBand="1"/>
      </w:tblPr>
      <w:tblGrid>
        <w:gridCol w:w="865"/>
        <w:gridCol w:w="1586"/>
        <w:gridCol w:w="1302"/>
        <w:gridCol w:w="1518"/>
        <w:gridCol w:w="1658"/>
        <w:gridCol w:w="1298"/>
        <w:gridCol w:w="1157"/>
        <w:gridCol w:w="959"/>
        <w:gridCol w:w="1134"/>
        <w:gridCol w:w="770"/>
        <w:gridCol w:w="3634"/>
      </w:tblGrid>
      <w:tr w:rsidR="00A345F4" w14:paraId="7968D7DF" w14:textId="77777777" w:rsidTr="00177F29">
        <w:trPr>
          <w:trHeight w:val="632"/>
          <w:tblHeader/>
          <w:jc w:val="center"/>
        </w:trPr>
        <w:tc>
          <w:tcPr>
            <w:tcW w:w="8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8A057D" w14:textId="77777777" w:rsidR="00A345F4" w:rsidRDefault="005E2D4E">
            <w:pPr>
              <w:pStyle w:val="P68B1DB1-Normal13"/>
              <w:spacing w:after="0" w:line="240" w:lineRule="auto"/>
              <w:jc w:val="center"/>
              <w:rPr>
                <w:rFonts w:eastAsia="Times New Roman"/>
                <w:noProof/>
              </w:rPr>
            </w:pPr>
            <w:r>
              <w:rPr>
                <w:noProof/>
              </w:rPr>
              <w:t>Seq. Num.</w:t>
            </w:r>
          </w:p>
        </w:tc>
        <w:tc>
          <w:tcPr>
            <w:tcW w:w="15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015A56"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F36B7D" w14:textId="77777777" w:rsidR="00A345F4" w:rsidRDefault="005E2D4E">
            <w:pPr>
              <w:pStyle w:val="P68B1DB1-Normal13"/>
              <w:spacing w:after="0" w:line="240" w:lineRule="auto"/>
              <w:jc w:val="center"/>
              <w:rPr>
                <w:rFonts w:eastAsia="Times New Roman"/>
                <w:noProof/>
              </w:rPr>
            </w:pPr>
            <w:r>
              <w:rPr>
                <w:noProof/>
              </w:rPr>
              <w:t>Étape/cible</w:t>
            </w:r>
          </w:p>
        </w:tc>
        <w:tc>
          <w:tcPr>
            <w:tcW w:w="15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6F5081" w14:textId="77777777" w:rsidR="00A345F4" w:rsidRDefault="005E2D4E">
            <w:pPr>
              <w:pStyle w:val="P68B1DB1-Normal13"/>
              <w:spacing w:after="0" w:line="240" w:lineRule="auto"/>
              <w:jc w:val="center"/>
              <w:rPr>
                <w:rFonts w:eastAsia="Times New Roman"/>
                <w:noProof/>
              </w:rPr>
            </w:pPr>
            <w:r>
              <w:rPr>
                <w:noProof/>
              </w:rPr>
              <w:t>Nom</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706A9D"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41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AB6DC47"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04" w:type="dxa"/>
            <w:gridSpan w:val="2"/>
            <w:tcBorders>
              <w:top w:val="single" w:sz="4" w:space="0" w:color="auto"/>
              <w:left w:val="nil"/>
              <w:bottom w:val="single" w:sz="4" w:space="0" w:color="auto"/>
              <w:right w:val="single" w:sz="4" w:space="0" w:color="auto"/>
            </w:tcBorders>
            <w:shd w:val="clear" w:color="auto" w:fill="BDD7EE"/>
            <w:vAlign w:val="center"/>
            <w:hideMark/>
          </w:tcPr>
          <w:p w14:paraId="542D886D" w14:textId="77777777" w:rsidR="00A345F4" w:rsidRDefault="005E2D4E">
            <w:pPr>
              <w:pStyle w:val="P68B1DB1-Normal13"/>
              <w:spacing w:after="0" w:line="240" w:lineRule="auto"/>
              <w:jc w:val="center"/>
              <w:rPr>
                <w:rFonts w:eastAsia="Times New Roman"/>
                <w:noProof/>
              </w:rPr>
            </w:pPr>
            <w:r>
              <w:rPr>
                <w:noProof/>
              </w:rPr>
              <w:t xml:space="preserve">Calendrier indicatif d'achèvement </w:t>
            </w:r>
          </w:p>
        </w:tc>
        <w:tc>
          <w:tcPr>
            <w:tcW w:w="36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D7A885"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6660B1AE" w14:textId="77777777" w:rsidTr="00177F29">
        <w:trPr>
          <w:trHeight w:val="56"/>
          <w:tblHeader/>
          <w:jc w:val="center"/>
        </w:trPr>
        <w:tc>
          <w:tcPr>
            <w:tcW w:w="865" w:type="dxa"/>
            <w:vMerge/>
            <w:tcBorders>
              <w:top w:val="single" w:sz="4" w:space="0" w:color="auto"/>
              <w:left w:val="single" w:sz="4" w:space="0" w:color="auto"/>
              <w:bottom w:val="single" w:sz="4" w:space="0" w:color="auto"/>
              <w:right w:val="single" w:sz="4" w:space="0" w:color="auto"/>
            </w:tcBorders>
            <w:hideMark/>
          </w:tcPr>
          <w:p w14:paraId="462E7308"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586" w:type="dxa"/>
            <w:vMerge/>
            <w:tcBorders>
              <w:top w:val="single" w:sz="4" w:space="0" w:color="auto"/>
              <w:left w:val="single" w:sz="4" w:space="0" w:color="auto"/>
              <w:bottom w:val="single" w:sz="4" w:space="0" w:color="auto"/>
              <w:right w:val="single" w:sz="4" w:space="0" w:color="auto"/>
            </w:tcBorders>
            <w:hideMark/>
          </w:tcPr>
          <w:p w14:paraId="7EFFDED5"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302" w:type="dxa"/>
            <w:vMerge/>
            <w:tcBorders>
              <w:top w:val="single" w:sz="4" w:space="0" w:color="auto"/>
              <w:left w:val="single" w:sz="4" w:space="0" w:color="auto"/>
              <w:bottom w:val="single" w:sz="4" w:space="0" w:color="auto"/>
              <w:right w:val="single" w:sz="4" w:space="0" w:color="auto"/>
            </w:tcBorders>
            <w:hideMark/>
          </w:tcPr>
          <w:p w14:paraId="391484EB"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518" w:type="dxa"/>
            <w:vMerge/>
            <w:tcBorders>
              <w:top w:val="single" w:sz="4" w:space="0" w:color="auto"/>
              <w:left w:val="single" w:sz="4" w:space="0" w:color="auto"/>
              <w:bottom w:val="single" w:sz="4" w:space="0" w:color="auto"/>
              <w:right w:val="single" w:sz="4" w:space="0" w:color="auto"/>
            </w:tcBorders>
            <w:hideMark/>
          </w:tcPr>
          <w:p w14:paraId="633C08CE"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658" w:type="dxa"/>
            <w:vMerge/>
            <w:tcBorders>
              <w:top w:val="single" w:sz="4" w:space="0" w:color="auto"/>
              <w:left w:val="single" w:sz="4" w:space="0" w:color="auto"/>
              <w:bottom w:val="single" w:sz="4" w:space="0" w:color="auto"/>
              <w:right w:val="single" w:sz="4" w:space="0" w:color="auto"/>
            </w:tcBorders>
            <w:hideMark/>
          </w:tcPr>
          <w:p w14:paraId="112AB416"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98" w:type="dxa"/>
            <w:tcBorders>
              <w:top w:val="nil"/>
              <w:left w:val="single" w:sz="4" w:space="0" w:color="auto"/>
              <w:bottom w:val="single" w:sz="4" w:space="0" w:color="auto"/>
              <w:right w:val="single" w:sz="4" w:space="0" w:color="auto"/>
            </w:tcBorders>
            <w:shd w:val="clear" w:color="auto" w:fill="BDD7EE"/>
            <w:vAlign w:val="center"/>
            <w:hideMark/>
          </w:tcPr>
          <w:p w14:paraId="2E4B5D07" w14:textId="77777777" w:rsidR="00A345F4" w:rsidRDefault="005E2D4E">
            <w:pPr>
              <w:pStyle w:val="P68B1DB1-Normal13"/>
              <w:spacing w:after="0" w:line="240" w:lineRule="auto"/>
              <w:jc w:val="center"/>
              <w:rPr>
                <w:rFonts w:eastAsia="Times New Roman"/>
                <w:noProof/>
              </w:rPr>
            </w:pPr>
            <w:r>
              <w:rPr>
                <w:noProof/>
              </w:rPr>
              <w:t>Unité de mesure</w:t>
            </w:r>
          </w:p>
        </w:tc>
        <w:tc>
          <w:tcPr>
            <w:tcW w:w="1157" w:type="dxa"/>
            <w:tcBorders>
              <w:top w:val="nil"/>
              <w:left w:val="nil"/>
              <w:bottom w:val="single" w:sz="4" w:space="0" w:color="auto"/>
              <w:right w:val="single" w:sz="4" w:space="0" w:color="auto"/>
            </w:tcBorders>
            <w:shd w:val="clear" w:color="auto" w:fill="BDD7EE"/>
            <w:vAlign w:val="center"/>
            <w:hideMark/>
          </w:tcPr>
          <w:p w14:paraId="1C3C8F64" w14:textId="77777777" w:rsidR="00A345F4" w:rsidRDefault="005E2D4E">
            <w:pPr>
              <w:pStyle w:val="P68B1DB1-Normal13"/>
              <w:spacing w:after="0" w:line="240" w:lineRule="auto"/>
              <w:jc w:val="center"/>
              <w:rPr>
                <w:rFonts w:eastAsia="Times New Roman"/>
                <w:noProof/>
              </w:rPr>
            </w:pPr>
            <w:r>
              <w:rPr>
                <w:noProof/>
              </w:rPr>
              <w:t xml:space="preserve">Données de référence </w:t>
            </w:r>
          </w:p>
        </w:tc>
        <w:tc>
          <w:tcPr>
            <w:tcW w:w="959" w:type="dxa"/>
            <w:tcBorders>
              <w:top w:val="nil"/>
              <w:left w:val="nil"/>
              <w:bottom w:val="single" w:sz="4" w:space="0" w:color="auto"/>
              <w:right w:val="single" w:sz="4" w:space="0" w:color="auto"/>
            </w:tcBorders>
            <w:shd w:val="clear" w:color="auto" w:fill="BDD7EE"/>
            <w:vAlign w:val="center"/>
            <w:hideMark/>
          </w:tcPr>
          <w:p w14:paraId="5A55AB7F" w14:textId="77777777" w:rsidR="00A345F4" w:rsidRDefault="005E2D4E">
            <w:pPr>
              <w:pStyle w:val="P68B1DB1-Normal13"/>
              <w:spacing w:after="0" w:line="240" w:lineRule="auto"/>
              <w:jc w:val="center"/>
              <w:rPr>
                <w:rFonts w:eastAsia="Times New Roman"/>
                <w:noProof/>
              </w:rPr>
            </w:pPr>
            <w:r>
              <w:rPr>
                <w:noProof/>
              </w:rPr>
              <w:t xml:space="preserve">Objectif </w:t>
            </w:r>
          </w:p>
        </w:tc>
        <w:tc>
          <w:tcPr>
            <w:tcW w:w="1134" w:type="dxa"/>
            <w:tcBorders>
              <w:top w:val="nil"/>
              <w:left w:val="nil"/>
              <w:bottom w:val="single" w:sz="4" w:space="0" w:color="auto"/>
              <w:right w:val="single" w:sz="4" w:space="0" w:color="auto"/>
            </w:tcBorders>
            <w:shd w:val="clear" w:color="auto" w:fill="BDD7EE"/>
            <w:vAlign w:val="center"/>
            <w:hideMark/>
          </w:tcPr>
          <w:p w14:paraId="23A0FB82" w14:textId="77777777" w:rsidR="00A345F4" w:rsidRDefault="005E2D4E">
            <w:pPr>
              <w:pStyle w:val="P68B1DB1-Normal13"/>
              <w:spacing w:after="0" w:line="240" w:lineRule="auto"/>
              <w:jc w:val="center"/>
              <w:rPr>
                <w:rFonts w:eastAsia="Times New Roman"/>
                <w:noProof/>
              </w:rPr>
            </w:pPr>
            <w:r>
              <w:rPr>
                <w:noProof/>
              </w:rPr>
              <w:t>Trimestre</w:t>
            </w:r>
          </w:p>
        </w:tc>
        <w:tc>
          <w:tcPr>
            <w:tcW w:w="770" w:type="dxa"/>
            <w:tcBorders>
              <w:top w:val="nil"/>
              <w:left w:val="nil"/>
              <w:bottom w:val="single" w:sz="4" w:space="0" w:color="auto"/>
              <w:right w:val="single" w:sz="4" w:space="0" w:color="auto"/>
            </w:tcBorders>
            <w:shd w:val="clear" w:color="auto" w:fill="BDD7EE"/>
            <w:vAlign w:val="center"/>
            <w:hideMark/>
          </w:tcPr>
          <w:p w14:paraId="71DD71EE" w14:textId="77777777" w:rsidR="00A345F4" w:rsidRDefault="005E2D4E">
            <w:pPr>
              <w:pStyle w:val="P68B1DB1-Normal13"/>
              <w:spacing w:after="0" w:line="240" w:lineRule="auto"/>
              <w:jc w:val="center"/>
              <w:rPr>
                <w:rFonts w:eastAsia="Times New Roman"/>
                <w:noProof/>
              </w:rPr>
            </w:pPr>
            <w:r>
              <w:rPr>
                <w:noProof/>
              </w:rPr>
              <w:t>Année</w:t>
            </w:r>
          </w:p>
        </w:tc>
        <w:tc>
          <w:tcPr>
            <w:tcW w:w="3634" w:type="dxa"/>
            <w:vMerge/>
            <w:tcBorders>
              <w:top w:val="single" w:sz="4" w:space="0" w:color="auto"/>
              <w:left w:val="single" w:sz="4" w:space="0" w:color="auto"/>
              <w:bottom w:val="single" w:sz="4" w:space="0" w:color="auto"/>
              <w:right w:val="single" w:sz="4" w:space="0" w:color="auto"/>
            </w:tcBorders>
            <w:hideMark/>
          </w:tcPr>
          <w:p w14:paraId="5768B125"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1CAA5A8C" w14:textId="77777777" w:rsidTr="00177F29">
        <w:trPr>
          <w:trHeight w:val="300"/>
          <w:jc w:val="center"/>
        </w:trPr>
        <w:tc>
          <w:tcPr>
            <w:tcW w:w="865" w:type="dxa"/>
            <w:tcBorders>
              <w:top w:val="single" w:sz="4" w:space="0" w:color="auto"/>
              <w:left w:val="single" w:sz="4" w:space="0" w:color="auto"/>
              <w:bottom w:val="single" w:sz="4" w:space="0" w:color="auto"/>
              <w:right w:val="single" w:sz="4" w:space="0" w:color="auto"/>
            </w:tcBorders>
            <w:shd w:val="clear" w:color="auto" w:fill="C6EFCE"/>
            <w:noWrap/>
          </w:tcPr>
          <w:p w14:paraId="268D46DD" w14:textId="77777777" w:rsidR="00A345F4" w:rsidRDefault="005E2D4E">
            <w:pPr>
              <w:pStyle w:val="P68B1DB1-Normal14"/>
              <w:spacing w:after="0" w:line="240" w:lineRule="auto"/>
              <w:jc w:val="center"/>
              <w:rPr>
                <w:rFonts w:eastAsia="Times New Roman"/>
                <w:noProof/>
              </w:rPr>
            </w:pPr>
            <w:r>
              <w:rPr>
                <w:noProof/>
              </w:rPr>
              <w:t>345</w:t>
            </w:r>
          </w:p>
        </w:tc>
        <w:tc>
          <w:tcPr>
            <w:tcW w:w="1586" w:type="dxa"/>
            <w:tcBorders>
              <w:top w:val="single" w:sz="4" w:space="0" w:color="auto"/>
              <w:left w:val="nil"/>
              <w:bottom w:val="single" w:sz="4" w:space="0" w:color="auto"/>
              <w:right w:val="single" w:sz="4" w:space="0" w:color="auto"/>
            </w:tcBorders>
            <w:shd w:val="clear" w:color="auto" w:fill="C6EFCE"/>
            <w:noWrap/>
          </w:tcPr>
          <w:p w14:paraId="14E46048" w14:textId="77777777" w:rsidR="00A345F4" w:rsidRDefault="005E2D4E">
            <w:pPr>
              <w:pStyle w:val="P68B1DB1-Normal14"/>
              <w:spacing w:after="0" w:line="240" w:lineRule="auto"/>
              <w:jc w:val="both"/>
              <w:rPr>
                <w:noProof/>
              </w:rPr>
            </w:pPr>
            <w:r>
              <w:rPr>
                <w:noProof/>
              </w:rPr>
              <w:t>Réforme 3.a. Réforme du système de financement du secteur culturel</w:t>
            </w:r>
          </w:p>
          <w:p w14:paraId="184E756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02" w:type="dxa"/>
            <w:tcBorders>
              <w:top w:val="single" w:sz="4" w:space="0" w:color="auto"/>
              <w:left w:val="nil"/>
              <w:bottom w:val="single" w:sz="4" w:space="0" w:color="auto"/>
              <w:right w:val="single" w:sz="4" w:space="0" w:color="auto"/>
            </w:tcBorders>
            <w:shd w:val="clear" w:color="auto" w:fill="C6EFCE"/>
            <w:noWrap/>
          </w:tcPr>
          <w:p w14:paraId="14FA1888"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single" w:sz="4" w:space="0" w:color="auto"/>
              <w:left w:val="nil"/>
              <w:bottom w:val="single" w:sz="4" w:space="0" w:color="auto"/>
              <w:right w:val="single" w:sz="4" w:space="0" w:color="auto"/>
            </w:tcBorders>
            <w:shd w:val="clear" w:color="auto" w:fill="C6EFCE"/>
            <w:noWrap/>
          </w:tcPr>
          <w:p w14:paraId="598BCA68" w14:textId="6D8E39A0" w:rsidR="00A345F4" w:rsidRDefault="005E2D4E">
            <w:pPr>
              <w:pStyle w:val="P68B1DB1-Normal14"/>
              <w:spacing w:after="0" w:line="240" w:lineRule="auto"/>
              <w:jc w:val="both"/>
              <w:rPr>
                <w:rFonts w:eastAsia="Times New Roman"/>
                <w:noProof/>
              </w:rPr>
            </w:pPr>
            <w:r>
              <w:rPr>
                <w:noProof/>
              </w:rPr>
              <w:t>Entrée en vigueur des actes juridiques relatifs au cadre juridique applicable aux travailleurs culturels</w:t>
            </w:r>
          </w:p>
        </w:tc>
        <w:tc>
          <w:tcPr>
            <w:tcW w:w="1658" w:type="dxa"/>
            <w:tcBorders>
              <w:top w:val="single" w:sz="4" w:space="0" w:color="auto"/>
              <w:left w:val="nil"/>
              <w:bottom w:val="single" w:sz="4" w:space="0" w:color="auto"/>
              <w:right w:val="single" w:sz="4" w:space="0" w:color="auto"/>
            </w:tcBorders>
            <w:shd w:val="clear" w:color="auto" w:fill="C6EFCE"/>
            <w:noWrap/>
          </w:tcPr>
          <w:p w14:paraId="62E0F00A" w14:textId="77777777" w:rsidR="00A345F4" w:rsidRDefault="005E2D4E">
            <w:pPr>
              <w:pStyle w:val="P68B1DB1-Normal14"/>
              <w:spacing w:after="0" w:line="240" w:lineRule="auto"/>
              <w:jc w:val="both"/>
              <w:rPr>
                <w:rFonts w:eastAsia="Times New Roman"/>
                <w:noProof/>
              </w:rPr>
            </w:pPr>
            <w:r>
              <w:rPr>
                <w:noProof/>
              </w:rPr>
              <w:t>Disposition des actes juridiques indiquant l'entrée en vigueur du cadre juridique du statut des travailleurs culturels</w:t>
            </w:r>
          </w:p>
        </w:tc>
        <w:tc>
          <w:tcPr>
            <w:tcW w:w="1298" w:type="dxa"/>
            <w:tcBorders>
              <w:top w:val="nil"/>
              <w:left w:val="nil"/>
              <w:bottom w:val="single" w:sz="4" w:space="0" w:color="auto"/>
              <w:right w:val="single" w:sz="4" w:space="0" w:color="auto"/>
            </w:tcBorders>
            <w:shd w:val="clear" w:color="auto" w:fill="C6EFCE"/>
            <w:noWrap/>
          </w:tcPr>
          <w:p w14:paraId="6A659DED"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tcPr>
          <w:p w14:paraId="57687552" w14:textId="77777777" w:rsidR="00A345F4" w:rsidRDefault="00A345F4">
            <w:pPr>
              <w:spacing w:after="0" w:line="240" w:lineRule="auto"/>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tcPr>
          <w:p w14:paraId="5D69BE07"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3CABFA52" w14:textId="77777777" w:rsidR="00A345F4" w:rsidRDefault="005E2D4E">
            <w:pPr>
              <w:pStyle w:val="P68B1DB1-Normal14"/>
              <w:spacing w:after="0" w:line="240" w:lineRule="auto"/>
              <w:jc w:val="center"/>
              <w:rPr>
                <w:rFonts w:eastAsia="Times New Roman"/>
                <w:noProof/>
              </w:rPr>
            </w:pPr>
            <w:r>
              <w:rPr>
                <w:noProof/>
              </w:rPr>
              <w:t>T1</w:t>
            </w:r>
          </w:p>
        </w:tc>
        <w:tc>
          <w:tcPr>
            <w:tcW w:w="770" w:type="dxa"/>
            <w:tcBorders>
              <w:top w:val="nil"/>
              <w:left w:val="nil"/>
              <w:bottom w:val="single" w:sz="4" w:space="0" w:color="auto"/>
              <w:right w:val="single" w:sz="4" w:space="0" w:color="auto"/>
            </w:tcBorders>
            <w:shd w:val="clear" w:color="auto" w:fill="C6EFCE"/>
            <w:noWrap/>
          </w:tcPr>
          <w:p w14:paraId="2CAEE538" w14:textId="77777777" w:rsidR="00A345F4" w:rsidRDefault="005E2D4E">
            <w:pPr>
              <w:pStyle w:val="P68B1DB1-Normal14"/>
              <w:spacing w:after="0" w:line="240" w:lineRule="auto"/>
              <w:jc w:val="center"/>
              <w:rPr>
                <w:noProof/>
              </w:rPr>
            </w:pPr>
            <w:r>
              <w:rPr>
                <w:noProof/>
              </w:rPr>
              <w:t>2025</w:t>
            </w:r>
          </w:p>
        </w:tc>
        <w:tc>
          <w:tcPr>
            <w:tcW w:w="3634" w:type="dxa"/>
            <w:tcBorders>
              <w:top w:val="single" w:sz="4" w:space="0" w:color="auto"/>
              <w:left w:val="nil"/>
              <w:bottom w:val="single" w:sz="4" w:space="0" w:color="auto"/>
              <w:right w:val="single" w:sz="4" w:space="0" w:color="auto"/>
            </w:tcBorders>
            <w:shd w:val="clear" w:color="auto" w:fill="C6EFCE"/>
            <w:noWrap/>
          </w:tcPr>
          <w:p w14:paraId="4C9C6F7B" w14:textId="3E75C555" w:rsidR="00A345F4" w:rsidRDefault="005E2D4E">
            <w:pPr>
              <w:pStyle w:val="P68B1DB1-Normal14"/>
              <w:spacing w:after="0" w:line="240" w:lineRule="auto"/>
              <w:jc w:val="both"/>
              <w:rPr>
                <w:noProof/>
              </w:rPr>
            </w:pPr>
            <w:r>
              <w:rPr>
                <w:noProof/>
              </w:rPr>
              <w:t>Les actes juridiques entrent en vigueur en ce qui concerne le cadre juridique applicable aux travailleurs culturels, qui:</w:t>
            </w:r>
          </w:p>
          <w:p w14:paraId="286DAF3B" w14:textId="37DFCCAC" w:rsidR="00A345F4" w:rsidRDefault="005E2D4E">
            <w:pPr>
              <w:pStyle w:val="P68B1DB1-Normal19"/>
              <w:numPr>
                <w:ilvl w:val="0"/>
                <w:numId w:val="52"/>
              </w:numPr>
              <w:spacing w:before="120" w:after="0" w:line="240" w:lineRule="auto"/>
              <w:ind w:left="202" w:hanging="219"/>
              <w:contextualSpacing/>
              <w:jc w:val="both"/>
              <w:rPr>
                <w:noProof/>
              </w:rPr>
            </w:pPr>
            <w:r>
              <w:rPr>
                <w:noProof/>
              </w:rPr>
              <w:t>définir l'emploi dans le «travail artistique» et le «travail culturel»;</w:t>
            </w:r>
          </w:p>
          <w:p w14:paraId="12E83358" w14:textId="7E0CA6A7" w:rsidR="00A345F4" w:rsidRDefault="005E2D4E">
            <w:pPr>
              <w:pStyle w:val="P68B1DB1-Normal19"/>
              <w:numPr>
                <w:ilvl w:val="0"/>
                <w:numId w:val="52"/>
              </w:numPr>
              <w:spacing w:before="120" w:after="0" w:line="240" w:lineRule="auto"/>
              <w:ind w:left="202" w:hanging="219"/>
              <w:contextualSpacing/>
              <w:jc w:val="both"/>
              <w:rPr>
                <w:noProof/>
              </w:rPr>
            </w:pPr>
            <w:r>
              <w:rPr>
                <w:noProof/>
              </w:rPr>
              <w:t>définir des normes en matière d’emploi, de fiscalité et de sécurité sociale, garantissant une rémunération proportionnelle et l’accès aux prestations (par exemple, chômage et protection de la santé);</w:t>
            </w:r>
          </w:p>
          <w:p w14:paraId="71066054" w14:textId="77777777" w:rsidR="00A345F4" w:rsidRDefault="005E2D4E">
            <w:pPr>
              <w:pStyle w:val="P68B1DB1-Normal19"/>
              <w:numPr>
                <w:ilvl w:val="0"/>
                <w:numId w:val="52"/>
              </w:numPr>
              <w:spacing w:before="120" w:after="0" w:line="240" w:lineRule="auto"/>
              <w:ind w:left="202" w:hanging="219"/>
              <w:contextualSpacing/>
              <w:jc w:val="both"/>
              <w:rPr>
                <w:noProof/>
              </w:rPr>
            </w:pPr>
            <w:r>
              <w:rPr>
                <w:noProof/>
              </w:rPr>
              <w:t xml:space="preserve"> prévoir des dispositions pour identifier les artistes culturels indépendants et leur accès aux systèmes de protection sociale. </w:t>
            </w:r>
          </w:p>
        </w:tc>
      </w:tr>
      <w:tr w:rsidR="00A345F4" w14:paraId="1E768D7A" w14:textId="77777777" w:rsidTr="00177F29">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4E607337" w14:textId="77777777" w:rsidR="00A345F4" w:rsidRDefault="005E2D4E">
            <w:pPr>
              <w:pStyle w:val="P68B1DB1-Normal14"/>
              <w:spacing w:after="0" w:line="240" w:lineRule="auto"/>
              <w:jc w:val="center"/>
              <w:rPr>
                <w:rFonts w:eastAsia="Times New Roman"/>
                <w:noProof/>
              </w:rPr>
            </w:pPr>
            <w:r>
              <w:rPr>
                <w:noProof/>
              </w:rPr>
              <w:t>347</w:t>
            </w:r>
          </w:p>
        </w:tc>
        <w:tc>
          <w:tcPr>
            <w:tcW w:w="1586" w:type="dxa"/>
            <w:tcBorders>
              <w:top w:val="nil"/>
              <w:left w:val="nil"/>
              <w:bottom w:val="single" w:sz="4" w:space="0" w:color="auto"/>
              <w:right w:val="single" w:sz="4" w:space="0" w:color="auto"/>
            </w:tcBorders>
            <w:shd w:val="clear" w:color="auto" w:fill="C6EFCE"/>
            <w:noWrap/>
          </w:tcPr>
          <w:p w14:paraId="6530F452" w14:textId="77777777" w:rsidR="00A345F4" w:rsidRDefault="005E2D4E">
            <w:pPr>
              <w:pStyle w:val="P68B1DB1-Normal14"/>
              <w:spacing w:after="0" w:line="240" w:lineRule="auto"/>
              <w:jc w:val="both"/>
              <w:rPr>
                <w:rFonts w:eastAsia="Times New Roman"/>
                <w:noProof/>
              </w:rPr>
            </w:pPr>
            <w:r>
              <w:rPr>
                <w:noProof/>
              </w:rPr>
              <w:t>Investissement 5. Accroître l'accès à la culture dans les zones culturellement défavorisées</w:t>
            </w:r>
          </w:p>
        </w:tc>
        <w:tc>
          <w:tcPr>
            <w:tcW w:w="1302" w:type="dxa"/>
            <w:tcBorders>
              <w:top w:val="nil"/>
              <w:left w:val="nil"/>
              <w:bottom w:val="single" w:sz="4" w:space="0" w:color="auto"/>
              <w:right w:val="single" w:sz="4" w:space="0" w:color="auto"/>
            </w:tcBorders>
            <w:shd w:val="clear" w:color="auto" w:fill="C6EFCE"/>
            <w:noWrap/>
          </w:tcPr>
          <w:p w14:paraId="2219EAD9"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57534060" w14:textId="77777777" w:rsidR="00A345F4" w:rsidRDefault="005E2D4E">
            <w:pPr>
              <w:pStyle w:val="P68B1DB1-Normal14"/>
              <w:spacing w:after="0" w:line="240" w:lineRule="auto"/>
              <w:jc w:val="both"/>
              <w:rPr>
                <w:rFonts w:eastAsia="Times New Roman"/>
                <w:noProof/>
              </w:rPr>
            </w:pPr>
            <w:r>
              <w:rPr>
                <w:noProof/>
              </w:rPr>
              <w:t>Petites localités avec accès à la culture</w:t>
            </w:r>
          </w:p>
        </w:tc>
        <w:tc>
          <w:tcPr>
            <w:tcW w:w="1658" w:type="dxa"/>
            <w:tcBorders>
              <w:top w:val="nil"/>
              <w:left w:val="nil"/>
              <w:bottom w:val="single" w:sz="4" w:space="0" w:color="auto"/>
              <w:right w:val="single" w:sz="4" w:space="0" w:color="auto"/>
            </w:tcBorders>
            <w:shd w:val="clear" w:color="auto" w:fill="C6EFCE"/>
            <w:noWrap/>
          </w:tcPr>
          <w:p w14:paraId="2FD98FE6" w14:textId="43259A5D" w:rsidR="00A345F4" w:rsidRDefault="005E2D4E">
            <w:pPr>
              <w:pStyle w:val="P68B1DB1-Normal19"/>
              <w:spacing w:after="0" w:line="240" w:lineRule="auto"/>
              <w:jc w:val="both"/>
              <w:rPr>
                <w:noProof/>
              </w:rPr>
            </w:pPr>
            <w:r>
              <w:rPr>
                <w:noProof/>
              </w:rPr>
              <w:t>Paiement du financement de projets culturels mis en œuvre dans de petites localités</w:t>
            </w:r>
          </w:p>
        </w:tc>
        <w:tc>
          <w:tcPr>
            <w:tcW w:w="1298" w:type="dxa"/>
            <w:tcBorders>
              <w:top w:val="nil"/>
              <w:left w:val="nil"/>
              <w:bottom w:val="single" w:sz="4" w:space="0" w:color="auto"/>
              <w:right w:val="single" w:sz="4" w:space="0" w:color="auto"/>
            </w:tcBorders>
            <w:shd w:val="clear" w:color="auto" w:fill="C6EFCE"/>
            <w:noWrap/>
          </w:tcPr>
          <w:p w14:paraId="4872290B"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tcPr>
          <w:p w14:paraId="5E9D7791" w14:textId="77777777" w:rsidR="00A345F4" w:rsidRDefault="00A345F4">
            <w:pPr>
              <w:spacing w:after="0" w:line="240" w:lineRule="auto"/>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tcPr>
          <w:p w14:paraId="5A00D715"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6D481F90" w14:textId="77777777" w:rsidR="00A345F4" w:rsidRDefault="005E2D4E">
            <w:pPr>
              <w:pStyle w:val="P68B1DB1-Normal14"/>
              <w:spacing w:after="0" w:line="240" w:lineRule="auto"/>
              <w:jc w:val="center"/>
              <w:rPr>
                <w:rFonts w:eastAsia="Times New Roman"/>
                <w:noProof/>
              </w:rPr>
            </w:pPr>
            <w:r>
              <w:rPr>
                <w:noProof/>
              </w:rPr>
              <w:t>T2</w:t>
            </w:r>
          </w:p>
        </w:tc>
        <w:tc>
          <w:tcPr>
            <w:tcW w:w="770" w:type="dxa"/>
            <w:tcBorders>
              <w:top w:val="nil"/>
              <w:left w:val="nil"/>
              <w:bottom w:val="single" w:sz="4" w:space="0" w:color="auto"/>
              <w:right w:val="single" w:sz="4" w:space="0" w:color="auto"/>
            </w:tcBorders>
            <w:shd w:val="clear" w:color="auto" w:fill="C6EFCE"/>
            <w:noWrap/>
          </w:tcPr>
          <w:p w14:paraId="02EFB67A" w14:textId="77777777" w:rsidR="00A345F4" w:rsidRDefault="005E2D4E">
            <w:pPr>
              <w:pStyle w:val="P68B1DB1-Normal14"/>
              <w:spacing w:after="0" w:line="240" w:lineRule="auto"/>
              <w:jc w:val="center"/>
              <w:rPr>
                <w:rFonts w:eastAsia="Times New Roman"/>
                <w:noProof/>
              </w:rPr>
            </w:pPr>
            <w:r>
              <w:rPr>
                <w:noProof/>
              </w:rPr>
              <w:t>2026</w:t>
            </w:r>
          </w:p>
        </w:tc>
        <w:tc>
          <w:tcPr>
            <w:tcW w:w="3634" w:type="dxa"/>
            <w:tcBorders>
              <w:top w:val="nil"/>
              <w:left w:val="nil"/>
              <w:bottom w:val="single" w:sz="4" w:space="0" w:color="auto"/>
              <w:right w:val="single" w:sz="4" w:space="0" w:color="auto"/>
            </w:tcBorders>
            <w:shd w:val="clear" w:color="auto" w:fill="C6EFCE"/>
            <w:noWrap/>
          </w:tcPr>
          <w:p w14:paraId="41380DCF" w14:textId="2B136553" w:rsidR="00A345F4" w:rsidRDefault="005E2D4E">
            <w:pPr>
              <w:pStyle w:val="P68B1DB1-Normal19"/>
              <w:spacing w:after="0" w:line="240" w:lineRule="auto"/>
              <w:jc w:val="both"/>
              <w:rPr>
                <w:noProof/>
              </w:rPr>
            </w:pPr>
            <w:r>
              <w:rPr>
                <w:noProof/>
              </w:rPr>
              <w:t>Paiements de financement par l'Administration du Fonds culturel national pour des projets mis en œuvre dans 50 localités de moins de 50 000 habitants.</w:t>
            </w:r>
          </w:p>
        </w:tc>
      </w:tr>
      <w:tr w:rsidR="00A345F4" w14:paraId="5F84F0B1" w14:textId="77777777" w:rsidTr="00177F29">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hideMark/>
          </w:tcPr>
          <w:p w14:paraId="451E528B" w14:textId="77777777" w:rsidR="00A345F4" w:rsidRDefault="005E2D4E">
            <w:pPr>
              <w:pStyle w:val="P68B1DB1-Normal14"/>
              <w:spacing w:after="0" w:line="240" w:lineRule="auto"/>
              <w:jc w:val="center"/>
              <w:rPr>
                <w:rFonts w:eastAsia="Times New Roman"/>
                <w:noProof/>
              </w:rPr>
            </w:pPr>
            <w:r>
              <w:rPr>
                <w:noProof/>
              </w:rPr>
              <w:t>348</w:t>
            </w:r>
          </w:p>
        </w:tc>
        <w:tc>
          <w:tcPr>
            <w:tcW w:w="1586" w:type="dxa"/>
            <w:tcBorders>
              <w:top w:val="nil"/>
              <w:left w:val="nil"/>
              <w:bottom w:val="single" w:sz="4" w:space="0" w:color="auto"/>
              <w:right w:val="single" w:sz="4" w:space="0" w:color="auto"/>
            </w:tcBorders>
            <w:shd w:val="clear" w:color="auto" w:fill="C6EFCE"/>
            <w:noWrap/>
            <w:hideMark/>
          </w:tcPr>
          <w:p w14:paraId="37517471" w14:textId="77777777" w:rsidR="00A345F4" w:rsidRDefault="005E2D4E">
            <w:pPr>
              <w:pStyle w:val="P68B1DB1-Normal14"/>
              <w:spacing w:after="0" w:line="240" w:lineRule="auto"/>
              <w:jc w:val="both"/>
              <w:rPr>
                <w:rFonts w:eastAsia="Times New Roman"/>
                <w:noProof/>
              </w:rPr>
            </w:pPr>
            <w:r>
              <w:rPr>
                <w:noProof/>
              </w:rPr>
              <w:t>Investissement 6. Mise en place d'un système numérique pour les processus de financement de la culture</w:t>
            </w:r>
          </w:p>
        </w:tc>
        <w:tc>
          <w:tcPr>
            <w:tcW w:w="1302" w:type="dxa"/>
            <w:tcBorders>
              <w:top w:val="nil"/>
              <w:left w:val="nil"/>
              <w:bottom w:val="single" w:sz="4" w:space="0" w:color="auto"/>
              <w:right w:val="single" w:sz="4" w:space="0" w:color="auto"/>
            </w:tcBorders>
            <w:shd w:val="clear" w:color="auto" w:fill="C6EFCE"/>
            <w:noWrap/>
            <w:hideMark/>
          </w:tcPr>
          <w:p w14:paraId="4AECD3A3"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hideMark/>
          </w:tcPr>
          <w:p w14:paraId="7A800414" w14:textId="77777777" w:rsidR="00A345F4" w:rsidRDefault="005E2D4E">
            <w:pPr>
              <w:pStyle w:val="P68B1DB1-Normal14"/>
              <w:spacing w:after="0" w:line="240" w:lineRule="auto"/>
              <w:jc w:val="both"/>
              <w:rPr>
                <w:noProof/>
              </w:rPr>
            </w:pPr>
            <w:r>
              <w:rPr>
                <w:noProof/>
              </w:rPr>
              <w:t xml:space="preserve">Système numérique pour les processus de financement de la culture </w:t>
            </w:r>
          </w:p>
          <w:p w14:paraId="1C297AB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658" w:type="dxa"/>
            <w:tcBorders>
              <w:top w:val="nil"/>
              <w:left w:val="nil"/>
              <w:bottom w:val="single" w:sz="4" w:space="0" w:color="auto"/>
              <w:right w:val="single" w:sz="4" w:space="0" w:color="auto"/>
            </w:tcBorders>
            <w:shd w:val="clear" w:color="auto" w:fill="C6EFCE"/>
            <w:noWrap/>
            <w:hideMark/>
          </w:tcPr>
          <w:p w14:paraId="7E5667B8" w14:textId="51747DB3" w:rsidR="00A345F4" w:rsidRDefault="005E2D4E">
            <w:pPr>
              <w:pStyle w:val="P68B1DB1-Normal14"/>
              <w:spacing w:after="0" w:line="240" w:lineRule="auto"/>
              <w:jc w:val="both"/>
              <w:rPr>
                <w:noProof/>
              </w:rPr>
            </w:pPr>
            <w:r>
              <w:rPr>
                <w:noProof/>
              </w:rPr>
              <w:t xml:space="preserve">Système numérique pour les processus de financement de la culture accessible en ligne </w:t>
            </w:r>
          </w:p>
          <w:p w14:paraId="53D5ED7C"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98" w:type="dxa"/>
            <w:tcBorders>
              <w:top w:val="nil"/>
              <w:left w:val="nil"/>
              <w:bottom w:val="single" w:sz="4" w:space="0" w:color="auto"/>
              <w:right w:val="single" w:sz="4" w:space="0" w:color="auto"/>
            </w:tcBorders>
            <w:shd w:val="clear" w:color="auto" w:fill="C6EFCE"/>
            <w:noWrap/>
            <w:hideMark/>
          </w:tcPr>
          <w:p w14:paraId="5104A0C3"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hideMark/>
          </w:tcPr>
          <w:p w14:paraId="39983634" w14:textId="77777777" w:rsidR="00A345F4" w:rsidRDefault="00A345F4">
            <w:pPr>
              <w:spacing w:after="0" w:line="240" w:lineRule="auto"/>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hideMark/>
          </w:tcPr>
          <w:p w14:paraId="1F6428CF"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607E3E5A" w14:textId="77777777" w:rsidR="00A345F4" w:rsidRDefault="005E2D4E">
            <w:pPr>
              <w:pStyle w:val="P68B1DB1-Normal14"/>
              <w:spacing w:after="0" w:line="240" w:lineRule="auto"/>
              <w:jc w:val="center"/>
              <w:rPr>
                <w:rFonts w:eastAsia="Times New Roman"/>
                <w:noProof/>
              </w:rPr>
            </w:pPr>
            <w:r>
              <w:rPr>
                <w:noProof/>
              </w:rPr>
              <w:t>T3</w:t>
            </w:r>
          </w:p>
        </w:tc>
        <w:tc>
          <w:tcPr>
            <w:tcW w:w="770" w:type="dxa"/>
            <w:tcBorders>
              <w:top w:val="nil"/>
              <w:left w:val="nil"/>
              <w:bottom w:val="single" w:sz="4" w:space="0" w:color="auto"/>
              <w:right w:val="single" w:sz="4" w:space="0" w:color="auto"/>
            </w:tcBorders>
            <w:shd w:val="clear" w:color="auto" w:fill="C6EFCE"/>
            <w:noWrap/>
            <w:hideMark/>
          </w:tcPr>
          <w:p w14:paraId="662AE287" w14:textId="77777777" w:rsidR="00A345F4" w:rsidRDefault="005E2D4E">
            <w:pPr>
              <w:pStyle w:val="P68B1DB1-Normal14"/>
              <w:spacing w:after="0" w:line="240" w:lineRule="auto"/>
              <w:jc w:val="center"/>
              <w:rPr>
                <w:rFonts w:eastAsia="Times New Roman"/>
                <w:noProof/>
              </w:rPr>
            </w:pPr>
            <w:r>
              <w:rPr>
                <w:noProof/>
              </w:rPr>
              <w:t>2025</w:t>
            </w:r>
          </w:p>
        </w:tc>
        <w:tc>
          <w:tcPr>
            <w:tcW w:w="3634" w:type="dxa"/>
            <w:tcBorders>
              <w:top w:val="nil"/>
              <w:left w:val="nil"/>
              <w:bottom w:val="single" w:sz="4" w:space="0" w:color="auto"/>
              <w:right w:val="single" w:sz="4" w:space="0" w:color="auto"/>
            </w:tcBorders>
            <w:shd w:val="clear" w:color="auto" w:fill="C6EFCE"/>
            <w:noWrap/>
            <w:hideMark/>
          </w:tcPr>
          <w:p w14:paraId="16413B19" w14:textId="0BA9D5F4" w:rsidR="00A345F4" w:rsidRDefault="005E2D4E">
            <w:pPr>
              <w:pStyle w:val="P68B1DB1-Normal19"/>
              <w:spacing w:after="0" w:line="240" w:lineRule="auto"/>
              <w:jc w:val="both"/>
              <w:rPr>
                <w:noProof/>
              </w:rPr>
            </w:pPr>
            <w:r>
              <w:rPr>
                <w:noProof/>
              </w:rPr>
              <w:t>Le système numérique pour les processus de financement de la culture est accessible en ligne. Elle rationalise l’évaluation des demandes et des projets et permet l’enregistrement des subventions culturelles publiques afin d’éviter un double financement. Elle permet la collecte de données pour l'analyse des dépenses culturelles et donne au public accès à des informations non confidentielles sur les projets.</w:t>
            </w:r>
          </w:p>
        </w:tc>
      </w:tr>
      <w:tr w:rsidR="00A345F4" w14:paraId="1CEE2749" w14:textId="77777777" w:rsidTr="00177F29">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0A12A280" w14:textId="77777777" w:rsidR="00A345F4" w:rsidRDefault="005E2D4E">
            <w:pPr>
              <w:pStyle w:val="P68B1DB1-Normal14"/>
              <w:spacing w:after="0" w:line="240" w:lineRule="auto"/>
              <w:jc w:val="center"/>
              <w:rPr>
                <w:rFonts w:eastAsia="Times New Roman"/>
                <w:noProof/>
              </w:rPr>
            </w:pPr>
            <w:r>
              <w:rPr>
                <w:noProof/>
              </w:rPr>
              <w:t>350</w:t>
            </w:r>
          </w:p>
        </w:tc>
        <w:tc>
          <w:tcPr>
            <w:tcW w:w="1586" w:type="dxa"/>
            <w:tcBorders>
              <w:top w:val="nil"/>
              <w:left w:val="nil"/>
              <w:bottom w:val="single" w:sz="4" w:space="0" w:color="auto"/>
              <w:right w:val="single" w:sz="4" w:space="0" w:color="auto"/>
            </w:tcBorders>
            <w:shd w:val="clear" w:color="auto" w:fill="C6EFCE"/>
            <w:noWrap/>
          </w:tcPr>
          <w:p w14:paraId="07F0C712" w14:textId="77777777" w:rsidR="00A345F4" w:rsidRDefault="005E2D4E">
            <w:pPr>
              <w:pStyle w:val="P68B1DB1-Normal14"/>
              <w:spacing w:after="0" w:line="240" w:lineRule="auto"/>
              <w:jc w:val="both"/>
              <w:rPr>
                <w:noProof/>
              </w:rPr>
            </w:pPr>
            <w:r>
              <w:rPr>
                <w:noProof/>
              </w:rPr>
              <w:t>Investissement 7. Accélérer la numérisation de la production et de la distribution de films</w:t>
            </w:r>
          </w:p>
        </w:tc>
        <w:tc>
          <w:tcPr>
            <w:tcW w:w="1302" w:type="dxa"/>
            <w:tcBorders>
              <w:top w:val="nil"/>
              <w:left w:val="nil"/>
              <w:bottom w:val="single" w:sz="4" w:space="0" w:color="auto"/>
              <w:right w:val="single" w:sz="4" w:space="0" w:color="auto"/>
            </w:tcBorders>
            <w:shd w:val="clear" w:color="auto" w:fill="C6EFCE"/>
            <w:noWrap/>
          </w:tcPr>
          <w:p w14:paraId="3B11A45A" w14:textId="77777777" w:rsidR="00A345F4" w:rsidRDefault="005E2D4E">
            <w:pPr>
              <w:pStyle w:val="P68B1DB1-Normal14"/>
              <w:spacing w:after="0" w:line="240" w:lineRule="auto"/>
              <w:jc w:val="center"/>
              <w:rPr>
                <w:noProof/>
              </w:rPr>
            </w:pPr>
            <w:r>
              <w:rPr>
                <w:noProof/>
              </w:rPr>
              <w:t>Objectif</w:t>
            </w:r>
          </w:p>
        </w:tc>
        <w:tc>
          <w:tcPr>
            <w:tcW w:w="1518" w:type="dxa"/>
            <w:tcBorders>
              <w:top w:val="nil"/>
              <w:left w:val="nil"/>
              <w:bottom w:val="single" w:sz="4" w:space="0" w:color="auto"/>
              <w:right w:val="single" w:sz="4" w:space="0" w:color="auto"/>
            </w:tcBorders>
            <w:shd w:val="clear" w:color="auto" w:fill="C6EFCE"/>
            <w:noWrap/>
          </w:tcPr>
          <w:p w14:paraId="2EDAEDFB" w14:textId="77777777" w:rsidR="00A345F4" w:rsidRDefault="005E2D4E">
            <w:pPr>
              <w:pStyle w:val="P68B1DB1-Normal14"/>
              <w:spacing w:after="0" w:line="240" w:lineRule="auto"/>
              <w:jc w:val="both"/>
              <w:rPr>
                <w:noProof/>
              </w:rPr>
            </w:pPr>
            <w:r>
              <w:rPr>
                <w:noProof/>
              </w:rPr>
              <w:t>Producteurs et distributeurs de films participant à des formations sur les compétences numériques</w:t>
            </w:r>
          </w:p>
        </w:tc>
        <w:tc>
          <w:tcPr>
            <w:tcW w:w="1658" w:type="dxa"/>
            <w:tcBorders>
              <w:top w:val="nil"/>
              <w:left w:val="nil"/>
              <w:bottom w:val="single" w:sz="4" w:space="0" w:color="auto"/>
              <w:right w:val="single" w:sz="4" w:space="0" w:color="auto"/>
            </w:tcBorders>
            <w:shd w:val="clear" w:color="auto" w:fill="C6EFCE"/>
            <w:noWrap/>
          </w:tcPr>
          <w:p w14:paraId="1FE8957F" w14:textId="77777777" w:rsidR="00A345F4" w:rsidRDefault="005E2D4E">
            <w:pPr>
              <w:pStyle w:val="P68B1DB1-Normal14"/>
              <w:spacing w:after="0" w:line="240" w:lineRule="auto"/>
              <w:jc w:val="both"/>
              <w:rPr>
                <w:noProof/>
              </w:rPr>
            </w:pPr>
            <w:r>
              <w:rPr>
                <w:noProof/>
              </w:rPr>
              <w:t xml:space="preserve"> </w:t>
            </w:r>
          </w:p>
        </w:tc>
        <w:tc>
          <w:tcPr>
            <w:tcW w:w="1298" w:type="dxa"/>
            <w:tcBorders>
              <w:top w:val="nil"/>
              <w:left w:val="nil"/>
              <w:bottom w:val="single" w:sz="4" w:space="0" w:color="auto"/>
              <w:right w:val="single" w:sz="4" w:space="0" w:color="auto"/>
            </w:tcBorders>
            <w:shd w:val="clear" w:color="auto" w:fill="C6EFCE"/>
            <w:noWrap/>
          </w:tcPr>
          <w:p w14:paraId="38BBDE69" w14:textId="77777777" w:rsidR="00A345F4" w:rsidRDefault="005E2D4E">
            <w:pPr>
              <w:pStyle w:val="P68B1DB1-Normal14"/>
              <w:spacing w:after="0" w:line="240" w:lineRule="auto"/>
              <w:rPr>
                <w:rFonts w:eastAsia="Times New Roman"/>
                <w:noProof/>
              </w:rPr>
            </w:pPr>
            <w:r>
              <w:rPr>
                <w:noProof/>
              </w:rPr>
              <w:t>Numéro</w:t>
            </w:r>
          </w:p>
        </w:tc>
        <w:tc>
          <w:tcPr>
            <w:tcW w:w="1157" w:type="dxa"/>
            <w:tcBorders>
              <w:top w:val="nil"/>
              <w:left w:val="nil"/>
              <w:bottom w:val="single" w:sz="4" w:space="0" w:color="auto"/>
              <w:right w:val="single" w:sz="4" w:space="0" w:color="auto"/>
            </w:tcBorders>
            <w:shd w:val="clear" w:color="auto" w:fill="C6EFCE"/>
            <w:noWrap/>
          </w:tcPr>
          <w:p w14:paraId="1A50419B" w14:textId="77777777" w:rsidR="00A345F4" w:rsidRDefault="005E2D4E">
            <w:pPr>
              <w:pStyle w:val="P68B1DB1-Normal14"/>
              <w:spacing w:after="0" w:line="240" w:lineRule="auto"/>
              <w:rPr>
                <w:rFonts w:eastAsia="Times New Roman"/>
                <w:noProof/>
              </w:rPr>
            </w:pPr>
            <w:r>
              <w:rPr>
                <w:noProof/>
              </w:rPr>
              <w:t>0</w:t>
            </w:r>
          </w:p>
        </w:tc>
        <w:tc>
          <w:tcPr>
            <w:tcW w:w="959" w:type="dxa"/>
            <w:tcBorders>
              <w:top w:val="nil"/>
              <w:left w:val="nil"/>
              <w:bottom w:val="single" w:sz="4" w:space="0" w:color="auto"/>
              <w:right w:val="single" w:sz="4" w:space="0" w:color="auto"/>
            </w:tcBorders>
            <w:shd w:val="clear" w:color="auto" w:fill="C6EFCE"/>
            <w:noWrap/>
          </w:tcPr>
          <w:p w14:paraId="13F19A86" w14:textId="77777777" w:rsidR="00A345F4" w:rsidRDefault="005E2D4E">
            <w:pPr>
              <w:pStyle w:val="P68B1DB1-Normal14"/>
              <w:spacing w:after="0" w:line="240" w:lineRule="auto"/>
              <w:rPr>
                <w:rFonts w:eastAsia="Times New Roman"/>
                <w:noProof/>
              </w:rPr>
            </w:pPr>
            <w:r>
              <w:rPr>
                <w:noProof/>
              </w:rPr>
              <w:t>40</w:t>
            </w:r>
          </w:p>
        </w:tc>
        <w:tc>
          <w:tcPr>
            <w:tcW w:w="1134" w:type="dxa"/>
            <w:tcBorders>
              <w:top w:val="nil"/>
              <w:left w:val="nil"/>
              <w:bottom w:val="single" w:sz="4" w:space="0" w:color="auto"/>
              <w:right w:val="single" w:sz="4" w:space="0" w:color="auto"/>
            </w:tcBorders>
            <w:shd w:val="clear" w:color="auto" w:fill="C6EFCE"/>
            <w:noWrap/>
          </w:tcPr>
          <w:p w14:paraId="36C1B789" w14:textId="77777777" w:rsidR="00A345F4" w:rsidRDefault="005E2D4E">
            <w:pPr>
              <w:pStyle w:val="P68B1DB1-Normal14"/>
              <w:spacing w:after="0" w:line="240" w:lineRule="auto"/>
              <w:jc w:val="center"/>
              <w:rPr>
                <w:rFonts w:eastAsia="Times New Roman"/>
                <w:noProof/>
              </w:rPr>
            </w:pPr>
            <w:r>
              <w:rPr>
                <w:noProof/>
              </w:rPr>
              <w:t>T3</w:t>
            </w:r>
          </w:p>
        </w:tc>
        <w:tc>
          <w:tcPr>
            <w:tcW w:w="770" w:type="dxa"/>
            <w:tcBorders>
              <w:top w:val="nil"/>
              <w:left w:val="nil"/>
              <w:bottom w:val="single" w:sz="4" w:space="0" w:color="auto"/>
              <w:right w:val="single" w:sz="4" w:space="0" w:color="auto"/>
            </w:tcBorders>
            <w:shd w:val="clear" w:color="auto" w:fill="C6EFCE"/>
            <w:noWrap/>
          </w:tcPr>
          <w:p w14:paraId="40AAC6BB" w14:textId="77777777" w:rsidR="00A345F4" w:rsidRDefault="005E2D4E">
            <w:pPr>
              <w:pStyle w:val="P68B1DB1-Normal14"/>
              <w:spacing w:after="0" w:line="240" w:lineRule="auto"/>
              <w:jc w:val="center"/>
              <w:rPr>
                <w:rFonts w:eastAsia="Times New Roman"/>
                <w:noProof/>
              </w:rPr>
            </w:pPr>
            <w:r>
              <w:rPr>
                <w:noProof/>
              </w:rPr>
              <w:t>2025</w:t>
            </w:r>
          </w:p>
        </w:tc>
        <w:tc>
          <w:tcPr>
            <w:tcW w:w="3634" w:type="dxa"/>
            <w:tcBorders>
              <w:top w:val="nil"/>
              <w:left w:val="nil"/>
              <w:bottom w:val="single" w:sz="4" w:space="0" w:color="auto"/>
              <w:right w:val="single" w:sz="4" w:space="0" w:color="auto"/>
            </w:tcBorders>
            <w:shd w:val="clear" w:color="auto" w:fill="C6EFCE"/>
            <w:noWrap/>
          </w:tcPr>
          <w:p w14:paraId="7296C41B" w14:textId="77777777" w:rsidR="00A345F4" w:rsidRDefault="005E2D4E">
            <w:pPr>
              <w:pStyle w:val="P68B1DB1-Normal19"/>
              <w:spacing w:after="0" w:line="240" w:lineRule="auto"/>
              <w:jc w:val="both"/>
              <w:rPr>
                <w:noProof/>
              </w:rPr>
            </w:pPr>
            <w:r>
              <w:rPr>
                <w:noProof/>
              </w:rPr>
              <w:t>Certificats de formation aux compétences numériques des producteurs et distributeurs de films de 40 entreprises actives dans le secteur du cinéma et des médias.</w:t>
            </w:r>
          </w:p>
        </w:tc>
      </w:tr>
    </w:tbl>
    <w:p w14:paraId="7765EF83" w14:textId="77777777" w:rsidR="00A345F4" w:rsidRDefault="00A345F4">
      <w:pPr>
        <w:rPr>
          <w:rFonts w:ascii="Times New Roman" w:hAnsi="Times New Roman" w:cs="Times New Roman"/>
          <w:noProof/>
        </w:rPr>
      </w:pPr>
    </w:p>
    <w:p w14:paraId="1CA2662F" w14:textId="77777777" w:rsidR="00A345F4" w:rsidRDefault="00A345F4">
      <w:pPr>
        <w:rPr>
          <w:rFonts w:ascii="Times New Roman" w:hAnsi="Times New Roman" w:cs="Times New Roman"/>
          <w:noProof/>
        </w:rPr>
        <w:sectPr w:rsidR="00A345F4" w:rsidSect="001460A9">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60"/>
        </w:sectPr>
      </w:pPr>
    </w:p>
    <w:p w14:paraId="1D36DAA4" w14:textId="77777777" w:rsidR="00A345F4" w:rsidRDefault="005E2D4E">
      <w:pPr>
        <w:keepNext/>
        <w:spacing w:before="120" w:after="120" w:line="240" w:lineRule="auto"/>
        <w:jc w:val="both"/>
        <w:outlineLvl w:val="1"/>
        <w:rPr>
          <w:rFonts w:ascii="Times New Roman" w:eastAsia="Times New Roman" w:hAnsi="Times New Roman" w:cs="Times New Roman"/>
          <w:b/>
          <w:bCs/>
          <w:noProof/>
        </w:rPr>
      </w:pPr>
      <w:r>
        <w:rPr>
          <w:rFonts w:ascii="Times New Roman" w:eastAsia="Times New Roman" w:hAnsi="Times New Roman" w:cs="Times New Roman"/>
          <w:b/>
          <w:noProof/>
        </w:rPr>
        <w:t xml:space="preserve">K.3. </w:t>
      </w:r>
      <w:r>
        <w:rPr>
          <w:rFonts w:ascii="Times New Roman" w:hAnsi="Times New Roman" w:cs="Times New Roman"/>
          <w:noProof/>
        </w:rPr>
        <w:t xml:space="preserve"> </w:t>
      </w:r>
      <w:r>
        <w:rPr>
          <w:rFonts w:ascii="Times New Roman" w:eastAsia="Times New Roman" w:hAnsi="Times New Roman" w:cs="Times New Roman"/>
          <w:b/>
          <w:noProof/>
        </w:rPr>
        <w:t xml:space="preserve">Description des réformes et des investissements pour le prêt </w:t>
      </w:r>
    </w:p>
    <w:p w14:paraId="5C6E7694" w14:textId="77777777" w:rsidR="00A345F4" w:rsidRDefault="005E2D4E">
      <w:pPr>
        <w:pStyle w:val="P68B1DB1-Normal53"/>
        <w:suppressAutoHyphens/>
        <w:autoSpaceDN w:val="0"/>
        <w:spacing w:before="240" w:after="0" w:line="240" w:lineRule="auto"/>
        <w:jc w:val="both"/>
        <w:textAlignment w:val="baseline"/>
        <w:rPr>
          <w:noProof/>
        </w:rPr>
      </w:pPr>
      <w:r>
        <w:rPr>
          <w:noProof/>
        </w:rPr>
        <w:t xml:space="preserve">Réforme 1. Opérationnalisation des organisations de gestion des destinations (OMD) </w:t>
      </w:r>
    </w:p>
    <w:p w14:paraId="14C80407" w14:textId="77777777" w:rsidR="00A345F4" w:rsidRDefault="005E2D4E">
      <w:pPr>
        <w:pStyle w:val="P68B1DB1-Normal41"/>
        <w:spacing w:before="120" w:after="120" w:line="240" w:lineRule="auto"/>
        <w:jc w:val="both"/>
        <w:rPr>
          <w:noProof/>
        </w:rPr>
      </w:pPr>
      <w:r>
        <w:rPr>
          <w:noProof/>
        </w:rPr>
        <w:t>L'objectif de cette réforme est d'accroître la compétitivité du secteur du tourisme roumain et de promouvoir une transformation socio-économique durable dans les zones rurales et défavorisées en adoptant le cadre nécessaire à la mise en œuvre opérationnelle des organisations de gestion des destinations.</w:t>
      </w:r>
    </w:p>
    <w:p w14:paraId="584F4879" w14:textId="77777777" w:rsidR="00A345F4" w:rsidRDefault="005E2D4E">
      <w:pPr>
        <w:pStyle w:val="P68B1DB1-Normal41"/>
        <w:spacing w:before="120" w:after="120" w:line="240" w:lineRule="auto"/>
        <w:jc w:val="both"/>
        <w:rPr>
          <w:noProof/>
        </w:rPr>
      </w:pPr>
      <w:r>
        <w:rPr>
          <w:noProof/>
        </w:rPr>
        <w:t xml:space="preserve">La mise en œuvre de cette réforme consiste à adopter un cadre législatif nécessaire au fonctionnement des organisations de gestion des destinations et à élaborer un plan d’action consacré à la valorisation du patrimoine culturel afin d’accroître la compétitivité du secteur touristique roumain. </w:t>
      </w:r>
    </w:p>
    <w:p w14:paraId="749C322E" w14:textId="77777777" w:rsidR="00A345F4" w:rsidRDefault="005E2D4E">
      <w:pPr>
        <w:pStyle w:val="P68B1DB1-Normal41"/>
        <w:spacing w:before="120" w:after="120" w:line="240" w:lineRule="auto"/>
        <w:jc w:val="both"/>
        <w:rPr>
          <w:noProof/>
        </w:rPr>
      </w:pPr>
      <w:r>
        <w:rPr>
          <w:noProof/>
        </w:rPr>
        <w:t>La mise en place et l’opérationnalisation des organisations de gestion des destinations se fondent sur les recommandations de l’Organisation de coopération et de développement économiques (OCDE) figurant dans l’étude intitulée «Operationalisation of Destination Management Organisations».</w:t>
      </w:r>
    </w:p>
    <w:p w14:paraId="273E01F4" w14:textId="77777777" w:rsidR="00A345F4" w:rsidRDefault="005E2D4E">
      <w:pPr>
        <w:pStyle w:val="P68B1DB1-Normal41"/>
        <w:spacing w:before="120" w:after="120" w:line="240" w:lineRule="auto"/>
        <w:jc w:val="both"/>
        <w:rPr>
          <w:noProof/>
        </w:rPr>
      </w:pPr>
      <w:r>
        <w:rPr>
          <w:noProof/>
        </w:rPr>
        <w:t>Le cadre législatif nécessaire au fonctionnement des organisations de gestion des destinations comprend également une description détaillée du mécanisme de financement et un modèle de gouvernance clair. Le plan d’action est mis en œuvre conformément à l’ensemble de mesures proposées dans la stratégie de développement de l’organisme de gestion des destinations et est conforme aux résultats de l’activité de cartographie.</w:t>
      </w:r>
    </w:p>
    <w:p w14:paraId="10DDAF35" w14:textId="77777777" w:rsidR="00A345F4" w:rsidRDefault="005E2D4E">
      <w:pPr>
        <w:pStyle w:val="P68B1DB1-Normal41"/>
        <w:spacing w:before="120" w:after="120" w:line="240" w:lineRule="auto"/>
        <w:jc w:val="both"/>
        <w:rPr>
          <w:noProof/>
        </w:rPr>
      </w:pPr>
      <w:r>
        <w:rPr>
          <w:noProof/>
        </w:rPr>
        <w:t>L’organisme de gestion des destinations est une entité juridique qui met en œuvre la politique de développement touristique de chaque destination spécifique, y compris la politique de commercialisation des destinations, conformément aux dispositions légales en vigueur, en réunissant un certain nombre d’autres organisations, telles que: les opérateurs économiques, les institutions du secteur public, les associations professionnelles et patronales et les organismes de réglementation. Les organisations régionales de gestion des destinations sont conçues pour former un réseau efficace axé sur les avantages concurrentiels locaux et travaillent en partenariat avec l'autorité touristique nationale.</w:t>
      </w:r>
    </w:p>
    <w:p w14:paraId="23973542" w14:textId="77777777" w:rsidR="00A345F4" w:rsidRDefault="005E2D4E">
      <w:pPr>
        <w:pStyle w:val="P68B1DB1-Normal41"/>
        <w:spacing w:before="120" w:after="120" w:line="240" w:lineRule="auto"/>
        <w:jc w:val="both"/>
        <w:rPr>
          <w:noProof/>
        </w:rPr>
      </w:pPr>
      <w:r>
        <w:rPr>
          <w:noProof/>
        </w:rPr>
        <w:t>La mise en œuvre de la réforme est achevée au plus tard le 31 décembre 2023.</w:t>
      </w:r>
    </w:p>
    <w:p w14:paraId="7AE2F6DF" w14:textId="42043D6F" w:rsidR="00A345F4" w:rsidRDefault="005E2D4E">
      <w:pPr>
        <w:pStyle w:val="P68B1DB1-Normal53"/>
        <w:suppressAutoHyphens/>
        <w:autoSpaceDN w:val="0"/>
        <w:spacing w:before="240" w:after="0" w:line="240" w:lineRule="auto"/>
        <w:jc w:val="both"/>
        <w:textAlignment w:val="baseline"/>
        <w:rPr>
          <w:noProof/>
        </w:rPr>
      </w:pPr>
      <w:bookmarkStart w:id="23" w:name="_Hlk210227868"/>
      <w:r>
        <w:rPr>
          <w:noProof/>
        </w:rPr>
        <w:t xml:space="preserve">Investissement 1. Promotion des 12 itinéraires touristiques/culturels </w:t>
      </w:r>
    </w:p>
    <w:p w14:paraId="7025B74E" w14:textId="77777777" w:rsidR="00A345F4" w:rsidRDefault="005E2D4E">
      <w:pPr>
        <w:pStyle w:val="P68B1DB1-Normal41"/>
        <w:spacing w:before="120" w:after="120" w:line="240" w:lineRule="auto"/>
        <w:jc w:val="both"/>
        <w:rPr>
          <w:noProof/>
        </w:rPr>
      </w:pPr>
      <w:r>
        <w:rPr>
          <w:noProof/>
        </w:rPr>
        <w:t xml:space="preserve">L'objectif de cet investissement est de déployer 12 itinéraires touristiques thématiques. </w:t>
      </w:r>
    </w:p>
    <w:p w14:paraId="71F6138F" w14:textId="77777777" w:rsidR="00A345F4" w:rsidRDefault="005E2D4E">
      <w:pPr>
        <w:pStyle w:val="P68B1DB1-Normal41"/>
        <w:spacing w:before="120" w:after="120" w:line="240" w:lineRule="auto"/>
        <w:jc w:val="both"/>
        <w:rPr>
          <w:noProof/>
        </w:rPr>
      </w:pPr>
      <w:r>
        <w:rPr>
          <w:noProof/>
        </w:rPr>
        <w:t>Cette mesure consiste à promouvoir les itinéraires touristiques et à réaliser des travaux de restauration, de consolidation, de réhabilitation ou de conservation sur les sites touristiques.</w:t>
      </w:r>
    </w:p>
    <w:p w14:paraId="08594845" w14:textId="77777777" w:rsidR="00A345F4" w:rsidRDefault="005E2D4E">
      <w:pPr>
        <w:pStyle w:val="P68B1DB1-Normal53"/>
        <w:suppressAutoHyphens/>
        <w:autoSpaceDN w:val="0"/>
        <w:spacing w:before="240" w:after="0" w:line="240" w:lineRule="auto"/>
        <w:jc w:val="both"/>
        <w:textAlignment w:val="baseline"/>
        <w:rPr>
          <w:noProof/>
        </w:rPr>
      </w:pPr>
      <w:r>
        <w:rPr>
          <w:noProof/>
        </w:rPr>
        <w:t>Investissement 2. Modernisation/création de musées et de monuments commémoratifs</w:t>
      </w:r>
    </w:p>
    <w:p w14:paraId="64362128" w14:textId="4BF8EBAD" w:rsidR="00A345F4" w:rsidRDefault="005E2D4E">
      <w:pPr>
        <w:pStyle w:val="P68B1DB1-Normal41"/>
        <w:spacing w:before="120" w:after="120" w:line="240" w:lineRule="auto"/>
        <w:jc w:val="both"/>
        <w:rPr>
          <w:noProof/>
        </w:rPr>
      </w:pPr>
      <w:r>
        <w:rPr>
          <w:noProof/>
        </w:rPr>
        <w:t>L’objectif de cet investissement est d’accroître le tourisme culturel en créant ou en modernisant des musées et des monuments commémoratifs consacrés à l’oppression et aux conflits.</w:t>
      </w:r>
    </w:p>
    <w:p w14:paraId="0BA2EE2D" w14:textId="77777777" w:rsidR="00A345F4" w:rsidRDefault="005E2D4E">
      <w:pPr>
        <w:pStyle w:val="P68B1DB1-Normal41"/>
        <w:spacing w:before="120" w:after="120" w:line="240" w:lineRule="auto"/>
        <w:jc w:val="both"/>
        <w:rPr>
          <w:noProof/>
        </w:rPr>
      </w:pPr>
      <w:r>
        <w:rPr>
          <w:noProof/>
        </w:rPr>
        <w:t>Cette mesure consiste en la modernisation ou la construction de musées ou de sites commémoratifs.</w:t>
      </w:r>
      <w:bookmarkEnd w:id="23"/>
    </w:p>
    <w:p w14:paraId="0497E461" w14:textId="7A1FE51D" w:rsidR="00A345F4" w:rsidRDefault="005E2D4E">
      <w:pPr>
        <w:pStyle w:val="P68B1DB1-Normal53"/>
        <w:suppressAutoHyphens/>
        <w:autoSpaceDN w:val="0"/>
        <w:spacing w:before="240" w:after="0" w:line="240" w:lineRule="auto"/>
        <w:jc w:val="both"/>
        <w:textAlignment w:val="baseline"/>
        <w:rPr>
          <w:noProof/>
        </w:rPr>
      </w:pPr>
      <w:r>
        <w:rPr>
          <w:noProof/>
        </w:rPr>
        <w:t xml:space="preserve">Réforme 2. Cadre pour la mise en service des pistes cyclables au niveau national </w:t>
      </w:r>
    </w:p>
    <w:p w14:paraId="52212146" w14:textId="77777777" w:rsidR="00A345F4" w:rsidRDefault="005E2D4E">
      <w:pPr>
        <w:pStyle w:val="P68B1DB1-Normal41"/>
        <w:spacing w:before="120" w:after="120" w:line="240" w:lineRule="auto"/>
        <w:jc w:val="both"/>
        <w:rPr>
          <w:noProof/>
        </w:rPr>
      </w:pPr>
      <w:r>
        <w:rPr>
          <w:noProof/>
        </w:rPr>
        <w:t>L'objectif de cette réforme est de contribuer au développement économique des petites villes et des zones rurales en adoptant un cadre législatif, institutionnel et d'investissement pour les itinéraires cyclables et les formes durables de tourisme.</w:t>
      </w:r>
    </w:p>
    <w:p w14:paraId="5C065192" w14:textId="77777777" w:rsidR="00A345F4" w:rsidRDefault="005E2D4E">
      <w:pPr>
        <w:pStyle w:val="P68B1DB1-Normal41"/>
        <w:spacing w:before="120" w:after="120" w:line="240" w:lineRule="auto"/>
        <w:jc w:val="both"/>
        <w:rPr>
          <w:noProof/>
        </w:rPr>
      </w:pPr>
      <w:r>
        <w:rPr>
          <w:noProof/>
        </w:rPr>
        <w:t>La mise en œuvre de cette réforme consiste en une réforme réglementaire visant à établir les entités concernées, les critères applicables aux itinéraires cyclables et les incitations à promouvoir le cyclotourisme.</w:t>
      </w:r>
    </w:p>
    <w:p w14:paraId="79743164" w14:textId="77777777" w:rsidR="00A345F4" w:rsidRDefault="005E2D4E">
      <w:pPr>
        <w:pStyle w:val="P68B1DB1-Normal41"/>
        <w:spacing w:before="120" w:after="120" w:line="240" w:lineRule="auto"/>
        <w:rPr>
          <w:noProof/>
        </w:rPr>
      </w:pPr>
      <w:r>
        <w:rPr>
          <w:noProof/>
        </w:rPr>
        <w:t>La mise en œuvre de la réforme est achevée au plus tard le 31 mars 2022.</w:t>
      </w:r>
    </w:p>
    <w:p w14:paraId="05B9A677" w14:textId="77777777" w:rsidR="00A345F4" w:rsidRDefault="00A345F4">
      <w:pPr>
        <w:spacing w:before="120" w:after="120" w:line="240" w:lineRule="auto"/>
        <w:rPr>
          <w:rFonts w:ascii="Times New Roman" w:eastAsia="Times New Roman" w:hAnsi="Times New Roman" w:cs="Times New Roman"/>
          <w:noProof/>
        </w:rPr>
      </w:pPr>
    </w:p>
    <w:p w14:paraId="6398C841" w14:textId="77777777" w:rsidR="00A345F4" w:rsidRDefault="00A345F4">
      <w:pPr>
        <w:spacing w:before="120" w:after="120" w:line="240" w:lineRule="auto"/>
        <w:rPr>
          <w:rFonts w:ascii="Times New Roman" w:eastAsia="Times New Roman" w:hAnsi="Times New Roman" w:cs="Times New Roman"/>
          <w:noProof/>
        </w:rPr>
      </w:pPr>
    </w:p>
    <w:p w14:paraId="7997C3FC" w14:textId="77777777" w:rsidR="00A345F4" w:rsidRDefault="005E2D4E">
      <w:pPr>
        <w:pStyle w:val="P68B1DB1-Normal53"/>
        <w:suppressAutoHyphens/>
        <w:autoSpaceDN w:val="0"/>
        <w:spacing w:before="240" w:after="0" w:line="240" w:lineRule="auto"/>
        <w:jc w:val="both"/>
        <w:textAlignment w:val="baseline"/>
        <w:rPr>
          <w:noProof/>
        </w:rPr>
      </w:pPr>
      <w:r>
        <w:rPr>
          <w:noProof/>
        </w:rPr>
        <w:t xml:space="preserve">Investissement 3. Création et mise en service du centre national de coordination de Velo </w:t>
      </w:r>
    </w:p>
    <w:p w14:paraId="4E4681B9" w14:textId="77777777" w:rsidR="00A345F4" w:rsidRDefault="005E2D4E">
      <w:pPr>
        <w:pStyle w:val="P68B1DB1-Normal41"/>
        <w:spacing w:before="120" w:after="120" w:line="240" w:lineRule="auto"/>
        <w:jc w:val="both"/>
        <w:rPr>
          <w:noProof/>
        </w:rPr>
      </w:pPr>
      <w:r>
        <w:rPr>
          <w:noProof/>
        </w:rPr>
        <w:t>L'objectif de cet investissement est de contribuer à la mobilité durable en promouvant le vélo via un nouveau centre national de coordination Velo.</w:t>
      </w:r>
    </w:p>
    <w:p w14:paraId="01EB74B2" w14:textId="77777777" w:rsidR="00A345F4" w:rsidRDefault="005E2D4E">
      <w:pPr>
        <w:pStyle w:val="P68B1DB1-Normal41"/>
        <w:spacing w:before="120" w:after="120" w:line="240" w:lineRule="auto"/>
        <w:jc w:val="both"/>
        <w:rPr>
          <w:noProof/>
        </w:rPr>
      </w:pPr>
      <w:r>
        <w:rPr>
          <w:noProof/>
        </w:rPr>
        <w:t>La mise en œuvre de cet investissement comprendra une étude sur les itinéraires cyclotouristiques au niveau national, qui servira de base à la numérisation des pistes et des itinéraires Velo et au développement d’une plateforme nationale eVelo dotée d’une application numérique intégrée pour toutes les routes cyclotouristiques et d’un site web spécifique.</w:t>
      </w:r>
    </w:p>
    <w:p w14:paraId="40E88603" w14:textId="77777777" w:rsidR="00A345F4" w:rsidRDefault="005E2D4E">
      <w:pPr>
        <w:pStyle w:val="P68B1DB1-Normal41"/>
        <w:spacing w:before="120" w:after="120" w:line="240" w:lineRule="auto"/>
        <w:jc w:val="both"/>
        <w:rPr>
          <w:noProof/>
        </w:rPr>
      </w:pPr>
      <w:r>
        <w:rPr>
          <w:noProof/>
        </w:rPr>
        <w:t>La mise en œuvre de l’investissement est achevée au plus tard le 30 septembre 2022.</w:t>
      </w:r>
    </w:p>
    <w:p w14:paraId="336A0785" w14:textId="01E577CF" w:rsidR="00A345F4" w:rsidRDefault="005E2D4E">
      <w:pPr>
        <w:pStyle w:val="P68B1DB1-Normal54"/>
        <w:spacing w:before="120" w:after="120" w:line="240" w:lineRule="auto"/>
        <w:jc w:val="both"/>
        <w:rPr>
          <w:noProof/>
        </w:rPr>
      </w:pPr>
      <w:r>
        <w:rPr>
          <w:noProof/>
        </w:rPr>
        <w:t>Investissement 4. Construction d'au moins 236 km de pistes cyclables</w:t>
      </w:r>
    </w:p>
    <w:p w14:paraId="05AF4F6A" w14:textId="77777777" w:rsidR="00A345F4" w:rsidRDefault="005E2D4E">
      <w:pPr>
        <w:pStyle w:val="P68B1DB1-Normal41"/>
        <w:spacing w:before="120" w:after="120" w:line="240" w:lineRule="auto"/>
        <w:jc w:val="both"/>
        <w:rPr>
          <w:noProof/>
        </w:rPr>
      </w:pPr>
      <w:r>
        <w:rPr>
          <w:noProof/>
        </w:rPr>
        <w:t xml:space="preserve">L’objectif de cet investissement est d’accroître le transport durable grâce à la construction d’infrastructures de pistes cyclables. </w:t>
      </w:r>
    </w:p>
    <w:p w14:paraId="31863DAC" w14:textId="77777777" w:rsidR="00A345F4" w:rsidRDefault="005E2D4E">
      <w:pPr>
        <w:pStyle w:val="P68B1DB1-Normal41"/>
        <w:spacing w:before="120" w:after="120" w:line="240" w:lineRule="auto"/>
        <w:jc w:val="both"/>
        <w:rPr>
          <w:noProof/>
        </w:rPr>
      </w:pPr>
      <w:r>
        <w:rPr>
          <w:noProof/>
        </w:rPr>
        <w:t xml:space="preserve">Cette mesure consiste en la construction de pistes cyclables à travers la Roumanie. </w:t>
      </w:r>
    </w:p>
    <w:p w14:paraId="05F8B0C0" w14:textId="77777777" w:rsidR="00A345F4" w:rsidRDefault="005E2D4E">
      <w:pPr>
        <w:pStyle w:val="P68B1DB1-Normal53"/>
        <w:suppressAutoHyphens/>
        <w:autoSpaceDN w:val="0"/>
        <w:spacing w:before="240" w:after="0" w:line="240" w:lineRule="auto"/>
        <w:jc w:val="both"/>
        <w:textAlignment w:val="baseline"/>
        <w:rPr>
          <w:noProof/>
        </w:rPr>
      </w:pPr>
      <w:r>
        <w:rPr>
          <w:noProof/>
        </w:rPr>
        <w:t>Réforme 3. Réforme du système de financement du secteur culturel</w:t>
      </w:r>
    </w:p>
    <w:p w14:paraId="30A1713F" w14:textId="4AB68B08" w:rsidR="00A345F4" w:rsidRDefault="005E2D4E">
      <w:pPr>
        <w:pStyle w:val="P68B1DB1-Normal41"/>
        <w:spacing w:before="120" w:after="120" w:line="240" w:lineRule="auto"/>
        <w:jc w:val="both"/>
        <w:rPr>
          <w:noProof/>
        </w:rPr>
      </w:pPr>
      <w:r>
        <w:rPr>
          <w:noProof/>
        </w:rPr>
        <w:t>L'objectif de cette réforme est d'établir le cadre juridique et administratif pour les travailleurs culturels.</w:t>
      </w:r>
    </w:p>
    <w:p w14:paraId="3C8239E8" w14:textId="77777777" w:rsidR="00A345F4" w:rsidRDefault="005E2D4E">
      <w:pPr>
        <w:pStyle w:val="P68B1DB1-Normal41"/>
        <w:spacing w:before="120" w:after="120" w:line="240" w:lineRule="auto"/>
        <w:jc w:val="both"/>
        <w:rPr>
          <w:noProof/>
        </w:rPr>
      </w:pPr>
      <w:r>
        <w:rPr>
          <w:noProof/>
        </w:rPr>
        <w:t>Ces mesures consistent en l'adoption d'actes juridiques sur le système de financement des projets culturels et le soutien aux travailleurs des secteurs culturels.</w:t>
      </w:r>
    </w:p>
    <w:p w14:paraId="6AF43FB6" w14:textId="77777777" w:rsidR="00A345F4" w:rsidRDefault="005E2D4E">
      <w:pPr>
        <w:pStyle w:val="P68B1DB1-Normal41"/>
        <w:spacing w:before="120" w:after="120" w:line="240" w:lineRule="auto"/>
        <w:jc w:val="both"/>
        <w:rPr>
          <w:noProof/>
        </w:rPr>
        <w:sectPr w:rsidR="00A345F4" w:rsidSect="001460A9">
          <w:headerReference w:type="even" r:id="rId270"/>
          <w:headerReference w:type="default" r:id="rId271"/>
          <w:footerReference w:type="even" r:id="rId272"/>
          <w:footerReference w:type="default" r:id="rId273"/>
          <w:headerReference w:type="first" r:id="rId274"/>
          <w:footerReference w:type="first" r:id="rId275"/>
          <w:pgSz w:w="11907" w:h="16839"/>
          <w:pgMar w:top="1134" w:right="1134" w:bottom="1134" w:left="1134" w:header="567" w:footer="567" w:gutter="0"/>
          <w:cols w:space="720"/>
          <w:docGrid w:linePitch="360"/>
        </w:sectPr>
      </w:pPr>
      <w:r>
        <w:rPr>
          <w:noProof/>
        </w:rPr>
        <w:t>Cette mesure complète la sous-réforme Réforme 3.a.: Réformer le système de financement du secteur culturel.</w:t>
      </w:r>
      <w:r>
        <w:rPr>
          <w:noProof/>
        </w:rPr>
        <w:tab/>
      </w:r>
    </w:p>
    <w:p w14:paraId="373D1F6E" w14:textId="77777777" w:rsidR="00A345F4" w:rsidRDefault="005E2D4E">
      <w:pPr>
        <w:pStyle w:val="P68B1DB1-Normal4"/>
        <w:keepNext/>
        <w:spacing w:before="120" w:after="120" w:line="240" w:lineRule="auto"/>
        <w:ind w:firstLine="720"/>
        <w:jc w:val="both"/>
        <w:outlineLvl w:val="1"/>
        <w:rPr>
          <w:rFonts w:eastAsiaTheme="majorEastAsia"/>
          <w:b/>
          <w:bCs/>
          <w:noProof/>
        </w:rPr>
      </w:pPr>
      <w:r>
        <w:rPr>
          <w:b/>
          <w:noProof/>
        </w:rPr>
        <w:t xml:space="preserve">K.4. </w:t>
      </w:r>
      <w:r>
        <w:rPr>
          <w:noProof/>
        </w:rPr>
        <w:t xml:space="preserve"> </w:t>
      </w:r>
      <w:r>
        <w:rPr>
          <w:b/>
          <w:noProof/>
        </w:rPr>
        <w:t xml:space="preserve">Étapes, objectifs, indicateurs et calendrier du suivi et de la mise en œuvre du prêt </w:t>
      </w:r>
    </w:p>
    <w:tbl>
      <w:tblPr>
        <w:tblW w:w="15881" w:type="dxa"/>
        <w:jc w:val="center"/>
        <w:tblLayout w:type="fixed"/>
        <w:tblLook w:val="04A0" w:firstRow="1" w:lastRow="0" w:firstColumn="1" w:lastColumn="0" w:noHBand="0" w:noVBand="1"/>
      </w:tblPr>
      <w:tblGrid>
        <w:gridCol w:w="865"/>
        <w:gridCol w:w="1586"/>
        <w:gridCol w:w="1302"/>
        <w:gridCol w:w="1518"/>
        <w:gridCol w:w="1658"/>
        <w:gridCol w:w="1298"/>
        <w:gridCol w:w="1157"/>
        <w:gridCol w:w="959"/>
        <w:gridCol w:w="1134"/>
        <w:gridCol w:w="770"/>
        <w:gridCol w:w="3634"/>
      </w:tblGrid>
      <w:tr w:rsidR="00A345F4" w14:paraId="60F7EBAA" w14:textId="77777777" w:rsidTr="000D606E">
        <w:trPr>
          <w:trHeight w:val="632"/>
          <w:tblHeader/>
          <w:jc w:val="center"/>
        </w:trPr>
        <w:tc>
          <w:tcPr>
            <w:tcW w:w="8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EB919B" w14:textId="77777777" w:rsidR="00A345F4" w:rsidRDefault="005E2D4E">
            <w:pPr>
              <w:pStyle w:val="P68B1DB1-Normal13"/>
              <w:spacing w:after="0" w:line="240" w:lineRule="auto"/>
              <w:jc w:val="center"/>
              <w:rPr>
                <w:rFonts w:eastAsia="Times New Roman"/>
                <w:noProof/>
              </w:rPr>
            </w:pPr>
            <w:r>
              <w:rPr>
                <w:noProof/>
              </w:rPr>
              <w:t>Seq. Num.</w:t>
            </w:r>
          </w:p>
        </w:tc>
        <w:tc>
          <w:tcPr>
            <w:tcW w:w="15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3DCE8F"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2A2954" w14:textId="77777777" w:rsidR="00A345F4" w:rsidRDefault="005E2D4E">
            <w:pPr>
              <w:pStyle w:val="P68B1DB1-Normal13"/>
              <w:spacing w:after="0" w:line="240" w:lineRule="auto"/>
              <w:jc w:val="center"/>
              <w:rPr>
                <w:rFonts w:eastAsia="Times New Roman"/>
                <w:noProof/>
              </w:rPr>
            </w:pPr>
            <w:r>
              <w:rPr>
                <w:noProof/>
              </w:rPr>
              <w:t>Étape/cible</w:t>
            </w:r>
          </w:p>
        </w:tc>
        <w:tc>
          <w:tcPr>
            <w:tcW w:w="15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804C36" w14:textId="77777777" w:rsidR="00A345F4" w:rsidRDefault="005E2D4E">
            <w:pPr>
              <w:pStyle w:val="P68B1DB1-Normal13"/>
              <w:spacing w:after="0" w:line="240" w:lineRule="auto"/>
              <w:jc w:val="center"/>
              <w:rPr>
                <w:rFonts w:eastAsia="Times New Roman"/>
                <w:noProof/>
              </w:rPr>
            </w:pPr>
            <w:r>
              <w:rPr>
                <w:noProof/>
              </w:rPr>
              <w:t>Nom</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F8A583"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41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1F249A9"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04" w:type="dxa"/>
            <w:gridSpan w:val="2"/>
            <w:tcBorders>
              <w:top w:val="single" w:sz="4" w:space="0" w:color="auto"/>
              <w:left w:val="nil"/>
              <w:bottom w:val="single" w:sz="4" w:space="0" w:color="auto"/>
              <w:right w:val="single" w:sz="4" w:space="0" w:color="auto"/>
            </w:tcBorders>
            <w:shd w:val="clear" w:color="auto" w:fill="BDD7EE"/>
            <w:vAlign w:val="center"/>
            <w:hideMark/>
          </w:tcPr>
          <w:p w14:paraId="5700C5A4" w14:textId="77777777" w:rsidR="00A345F4" w:rsidRDefault="005E2D4E">
            <w:pPr>
              <w:pStyle w:val="P68B1DB1-Normal13"/>
              <w:spacing w:after="0" w:line="240" w:lineRule="auto"/>
              <w:jc w:val="center"/>
              <w:rPr>
                <w:rFonts w:eastAsia="Times New Roman"/>
                <w:noProof/>
              </w:rPr>
            </w:pPr>
            <w:r>
              <w:rPr>
                <w:noProof/>
              </w:rPr>
              <w:t xml:space="preserve">Calendrier indicatif d'achèvement </w:t>
            </w:r>
          </w:p>
        </w:tc>
        <w:tc>
          <w:tcPr>
            <w:tcW w:w="36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AAF7F9"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6FEC4757" w14:textId="77777777" w:rsidTr="000D606E">
        <w:trPr>
          <w:trHeight w:val="56"/>
          <w:tblHeader/>
          <w:jc w:val="center"/>
        </w:trPr>
        <w:tc>
          <w:tcPr>
            <w:tcW w:w="865" w:type="dxa"/>
            <w:vMerge/>
            <w:tcBorders>
              <w:top w:val="single" w:sz="4" w:space="0" w:color="auto"/>
              <w:left w:val="single" w:sz="4" w:space="0" w:color="auto"/>
              <w:bottom w:val="single" w:sz="4" w:space="0" w:color="auto"/>
              <w:right w:val="single" w:sz="4" w:space="0" w:color="auto"/>
            </w:tcBorders>
            <w:hideMark/>
          </w:tcPr>
          <w:p w14:paraId="2218BB4A"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586" w:type="dxa"/>
            <w:vMerge/>
            <w:tcBorders>
              <w:top w:val="single" w:sz="4" w:space="0" w:color="auto"/>
              <w:left w:val="single" w:sz="4" w:space="0" w:color="auto"/>
              <w:bottom w:val="single" w:sz="4" w:space="0" w:color="auto"/>
              <w:right w:val="single" w:sz="4" w:space="0" w:color="auto"/>
            </w:tcBorders>
            <w:hideMark/>
          </w:tcPr>
          <w:p w14:paraId="29D5DA41"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302" w:type="dxa"/>
            <w:vMerge/>
            <w:tcBorders>
              <w:top w:val="single" w:sz="4" w:space="0" w:color="auto"/>
              <w:left w:val="single" w:sz="4" w:space="0" w:color="auto"/>
              <w:bottom w:val="single" w:sz="4" w:space="0" w:color="auto"/>
              <w:right w:val="single" w:sz="4" w:space="0" w:color="auto"/>
            </w:tcBorders>
            <w:hideMark/>
          </w:tcPr>
          <w:p w14:paraId="0C22B753" w14:textId="77777777" w:rsidR="00A345F4" w:rsidRDefault="00A345F4">
            <w:pPr>
              <w:spacing w:after="0" w:line="240" w:lineRule="auto"/>
              <w:jc w:val="center"/>
              <w:rPr>
                <w:rFonts w:ascii="Times New Roman" w:eastAsia="Times New Roman" w:hAnsi="Times New Roman" w:cs="Times New Roman"/>
                <w:b/>
                <w:bCs/>
                <w:noProof/>
                <w:sz w:val="20"/>
                <w:szCs w:val="20"/>
              </w:rPr>
            </w:pPr>
          </w:p>
        </w:tc>
        <w:tc>
          <w:tcPr>
            <w:tcW w:w="1518" w:type="dxa"/>
            <w:vMerge/>
            <w:tcBorders>
              <w:top w:val="single" w:sz="4" w:space="0" w:color="auto"/>
              <w:left w:val="single" w:sz="4" w:space="0" w:color="auto"/>
              <w:bottom w:val="single" w:sz="4" w:space="0" w:color="auto"/>
              <w:right w:val="single" w:sz="4" w:space="0" w:color="auto"/>
            </w:tcBorders>
            <w:hideMark/>
          </w:tcPr>
          <w:p w14:paraId="2ADF981C"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658" w:type="dxa"/>
            <w:vMerge/>
            <w:tcBorders>
              <w:top w:val="single" w:sz="4" w:space="0" w:color="auto"/>
              <w:left w:val="single" w:sz="4" w:space="0" w:color="auto"/>
              <w:bottom w:val="single" w:sz="4" w:space="0" w:color="auto"/>
              <w:right w:val="single" w:sz="4" w:space="0" w:color="auto"/>
            </w:tcBorders>
            <w:hideMark/>
          </w:tcPr>
          <w:p w14:paraId="5EDB4369"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98" w:type="dxa"/>
            <w:tcBorders>
              <w:top w:val="nil"/>
              <w:left w:val="single" w:sz="4" w:space="0" w:color="auto"/>
              <w:bottom w:val="single" w:sz="4" w:space="0" w:color="auto"/>
              <w:right w:val="single" w:sz="4" w:space="0" w:color="auto"/>
            </w:tcBorders>
            <w:shd w:val="clear" w:color="auto" w:fill="BDD7EE"/>
            <w:vAlign w:val="center"/>
            <w:hideMark/>
          </w:tcPr>
          <w:p w14:paraId="1CB5F9CC" w14:textId="77777777" w:rsidR="00A345F4" w:rsidRDefault="005E2D4E">
            <w:pPr>
              <w:pStyle w:val="P68B1DB1-Normal13"/>
              <w:spacing w:after="0" w:line="240" w:lineRule="auto"/>
              <w:jc w:val="center"/>
              <w:rPr>
                <w:rFonts w:eastAsia="Times New Roman"/>
                <w:noProof/>
              </w:rPr>
            </w:pPr>
            <w:r>
              <w:rPr>
                <w:noProof/>
              </w:rPr>
              <w:t>Unité de mesure</w:t>
            </w:r>
          </w:p>
        </w:tc>
        <w:tc>
          <w:tcPr>
            <w:tcW w:w="1157" w:type="dxa"/>
            <w:tcBorders>
              <w:top w:val="nil"/>
              <w:left w:val="nil"/>
              <w:bottom w:val="single" w:sz="4" w:space="0" w:color="auto"/>
              <w:right w:val="single" w:sz="4" w:space="0" w:color="auto"/>
            </w:tcBorders>
            <w:shd w:val="clear" w:color="auto" w:fill="BDD7EE"/>
            <w:vAlign w:val="center"/>
            <w:hideMark/>
          </w:tcPr>
          <w:p w14:paraId="0C3CDB1C" w14:textId="77777777" w:rsidR="00A345F4" w:rsidRDefault="005E2D4E">
            <w:pPr>
              <w:pStyle w:val="P68B1DB1-Normal13"/>
              <w:spacing w:after="0" w:line="240" w:lineRule="auto"/>
              <w:jc w:val="center"/>
              <w:rPr>
                <w:rFonts w:eastAsia="Times New Roman"/>
                <w:noProof/>
              </w:rPr>
            </w:pPr>
            <w:r>
              <w:rPr>
                <w:noProof/>
              </w:rPr>
              <w:t xml:space="preserve">Données de référence </w:t>
            </w:r>
          </w:p>
        </w:tc>
        <w:tc>
          <w:tcPr>
            <w:tcW w:w="959" w:type="dxa"/>
            <w:tcBorders>
              <w:top w:val="nil"/>
              <w:left w:val="nil"/>
              <w:bottom w:val="single" w:sz="4" w:space="0" w:color="auto"/>
              <w:right w:val="single" w:sz="4" w:space="0" w:color="auto"/>
            </w:tcBorders>
            <w:shd w:val="clear" w:color="auto" w:fill="BDD7EE"/>
            <w:vAlign w:val="center"/>
            <w:hideMark/>
          </w:tcPr>
          <w:p w14:paraId="15AE660A" w14:textId="77777777" w:rsidR="00A345F4" w:rsidRDefault="005E2D4E">
            <w:pPr>
              <w:pStyle w:val="P68B1DB1-Normal13"/>
              <w:spacing w:after="0" w:line="240" w:lineRule="auto"/>
              <w:jc w:val="center"/>
              <w:rPr>
                <w:rFonts w:eastAsia="Times New Roman"/>
                <w:noProof/>
              </w:rPr>
            </w:pPr>
            <w:r>
              <w:rPr>
                <w:noProof/>
              </w:rPr>
              <w:t xml:space="preserve">Objectif </w:t>
            </w:r>
          </w:p>
        </w:tc>
        <w:tc>
          <w:tcPr>
            <w:tcW w:w="1134" w:type="dxa"/>
            <w:tcBorders>
              <w:top w:val="nil"/>
              <w:left w:val="nil"/>
              <w:bottom w:val="single" w:sz="4" w:space="0" w:color="auto"/>
              <w:right w:val="single" w:sz="4" w:space="0" w:color="auto"/>
            </w:tcBorders>
            <w:shd w:val="clear" w:color="auto" w:fill="BDD7EE"/>
            <w:vAlign w:val="center"/>
            <w:hideMark/>
          </w:tcPr>
          <w:p w14:paraId="5E8D4F32" w14:textId="77777777" w:rsidR="00A345F4" w:rsidRDefault="005E2D4E">
            <w:pPr>
              <w:pStyle w:val="P68B1DB1-Normal13"/>
              <w:spacing w:after="0" w:line="240" w:lineRule="auto"/>
              <w:jc w:val="center"/>
              <w:rPr>
                <w:rFonts w:eastAsia="Times New Roman"/>
                <w:noProof/>
              </w:rPr>
            </w:pPr>
            <w:r>
              <w:rPr>
                <w:noProof/>
              </w:rPr>
              <w:t>Trimestre</w:t>
            </w:r>
          </w:p>
        </w:tc>
        <w:tc>
          <w:tcPr>
            <w:tcW w:w="770" w:type="dxa"/>
            <w:tcBorders>
              <w:top w:val="nil"/>
              <w:left w:val="nil"/>
              <w:bottom w:val="single" w:sz="4" w:space="0" w:color="auto"/>
              <w:right w:val="single" w:sz="4" w:space="0" w:color="auto"/>
            </w:tcBorders>
            <w:shd w:val="clear" w:color="auto" w:fill="BDD7EE"/>
            <w:vAlign w:val="center"/>
            <w:hideMark/>
          </w:tcPr>
          <w:p w14:paraId="6E240887" w14:textId="77777777" w:rsidR="00A345F4" w:rsidRDefault="005E2D4E">
            <w:pPr>
              <w:pStyle w:val="P68B1DB1-Normal13"/>
              <w:spacing w:after="0" w:line="240" w:lineRule="auto"/>
              <w:jc w:val="center"/>
              <w:rPr>
                <w:rFonts w:eastAsia="Times New Roman"/>
                <w:noProof/>
              </w:rPr>
            </w:pPr>
            <w:r>
              <w:rPr>
                <w:noProof/>
              </w:rPr>
              <w:t>Année</w:t>
            </w:r>
          </w:p>
        </w:tc>
        <w:tc>
          <w:tcPr>
            <w:tcW w:w="3634" w:type="dxa"/>
            <w:vMerge/>
            <w:tcBorders>
              <w:top w:val="single" w:sz="4" w:space="0" w:color="auto"/>
              <w:bottom w:val="single" w:sz="4" w:space="0" w:color="auto"/>
              <w:right w:val="single" w:sz="4" w:space="0" w:color="auto"/>
            </w:tcBorders>
            <w:hideMark/>
          </w:tcPr>
          <w:p w14:paraId="77681B4D"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1BB3AE71" w14:textId="77777777" w:rsidTr="000D606E">
        <w:trPr>
          <w:trHeight w:val="300"/>
          <w:jc w:val="center"/>
        </w:trPr>
        <w:tc>
          <w:tcPr>
            <w:tcW w:w="865" w:type="dxa"/>
            <w:tcBorders>
              <w:top w:val="single" w:sz="4" w:space="0" w:color="auto"/>
              <w:left w:val="single" w:sz="4" w:space="0" w:color="auto"/>
              <w:bottom w:val="single" w:sz="4" w:space="0" w:color="auto"/>
              <w:right w:val="single" w:sz="4" w:space="0" w:color="auto"/>
            </w:tcBorders>
            <w:shd w:val="clear" w:color="auto" w:fill="C6EFCE"/>
            <w:noWrap/>
            <w:hideMark/>
          </w:tcPr>
          <w:p w14:paraId="5679C3DF" w14:textId="77777777" w:rsidR="00A345F4" w:rsidRDefault="005E2D4E">
            <w:pPr>
              <w:pStyle w:val="P68B1DB1-Normal14"/>
              <w:spacing w:after="0" w:line="240" w:lineRule="auto"/>
              <w:jc w:val="center"/>
              <w:rPr>
                <w:rFonts w:eastAsia="Times New Roman"/>
                <w:noProof/>
              </w:rPr>
            </w:pPr>
            <w:r>
              <w:rPr>
                <w:noProof/>
              </w:rPr>
              <w:t>326</w:t>
            </w:r>
          </w:p>
        </w:tc>
        <w:tc>
          <w:tcPr>
            <w:tcW w:w="1586" w:type="dxa"/>
            <w:tcBorders>
              <w:top w:val="single" w:sz="4" w:space="0" w:color="auto"/>
              <w:left w:val="nil"/>
              <w:bottom w:val="single" w:sz="4" w:space="0" w:color="auto"/>
              <w:right w:val="single" w:sz="4" w:space="0" w:color="auto"/>
            </w:tcBorders>
            <w:shd w:val="clear" w:color="auto" w:fill="C6EFCE"/>
            <w:noWrap/>
            <w:hideMark/>
          </w:tcPr>
          <w:p w14:paraId="185C382D" w14:textId="77777777" w:rsidR="00A345F4" w:rsidRDefault="005E2D4E">
            <w:pPr>
              <w:pStyle w:val="P68B1DB1-Normal14"/>
              <w:spacing w:after="0" w:line="240" w:lineRule="auto"/>
              <w:jc w:val="both"/>
              <w:rPr>
                <w:rFonts w:eastAsia="Times New Roman"/>
                <w:noProof/>
              </w:rPr>
            </w:pPr>
            <w:r>
              <w:rPr>
                <w:noProof/>
              </w:rPr>
              <w:t>Réforme 1. Mise en œuvre des organisations de gestion des destinations (OMD)</w:t>
            </w:r>
          </w:p>
        </w:tc>
        <w:tc>
          <w:tcPr>
            <w:tcW w:w="1302" w:type="dxa"/>
            <w:tcBorders>
              <w:top w:val="single" w:sz="4" w:space="0" w:color="auto"/>
              <w:left w:val="nil"/>
              <w:bottom w:val="single" w:sz="4" w:space="0" w:color="auto"/>
              <w:right w:val="single" w:sz="4" w:space="0" w:color="auto"/>
            </w:tcBorders>
            <w:shd w:val="clear" w:color="auto" w:fill="C6EFCE"/>
            <w:noWrap/>
            <w:hideMark/>
          </w:tcPr>
          <w:p w14:paraId="24E3DAFC"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single" w:sz="4" w:space="0" w:color="auto"/>
              <w:left w:val="nil"/>
              <w:bottom w:val="single" w:sz="4" w:space="0" w:color="auto"/>
              <w:right w:val="single" w:sz="4" w:space="0" w:color="auto"/>
            </w:tcBorders>
            <w:shd w:val="clear" w:color="auto" w:fill="C6EFCE"/>
            <w:noWrap/>
            <w:hideMark/>
          </w:tcPr>
          <w:p w14:paraId="5454B7B5" w14:textId="77777777" w:rsidR="00A345F4" w:rsidRDefault="005E2D4E">
            <w:pPr>
              <w:pStyle w:val="P68B1DB1-Normal14"/>
              <w:spacing w:after="0" w:line="240" w:lineRule="auto"/>
              <w:jc w:val="both"/>
              <w:rPr>
                <w:rFonts w:eastAsia="Times New Roman"/>
                <w:noProof/>
              </w:rPr>
            </w:pPr>
            <w:r>
              <w:rPr>
                <w:noProof/>
              </w:rPr>
              <w:t>Toutes les zones de destination optimales pour les organisations régionales de gestion des destinations (DMO) en Roumanie cartographiées</w:t>
            </w:r>
          </w:p>
        </w:tc>
        <w:tc>
          <w:tcPr>
            <w:tcW w:w="1658" w:type="dxa"/>
            <w:tcBorders>
              <w:top w:val="single" w:sz="4" w:space="0" w:color="auto"/>
              <w:left w:val="nil"/>
              <w:bottom w:val="single" w:sz="4" w:space="0" w:color="auto"/>
              <w:right w:val="single" w:sz="4" w:space="0" w:color="auto"/>
            </w:tcBorders>
            <w:shd w:val="clear" w:color="auto" w:fill="C6EFCE"/>
            <w:noWrap/>
            <w:hideMark/>
          </w:tcPr>
          <w:p w14:paraId="51188381" w14:textId="77777777" w:rsidR="00A345F4" w:rsidRDefault="005E2D4E">
            <w:pPr>
              <w:pStyle w:val="P68B1DB1-Normal14"/>
              <w:spacing w:after="0" w:line="240" w:lineRule="auto"/>
              <w:jc w:val="both"/>
              <w:rPr>
                <w:rFonts w:eastAsia="Times New Roman"/>
                <w:noProof/>
              </w:rPr>
            </w:pPr>
            <w:r>
              <w:rPr>
                <w:noProof/>
              </w:rPr>
              <w:t>Toutes les zones de destination optimales pour les DMO régionaux en Roumanie publiées</w:t>
            </w:r>
          </w:p>
          <w:p w14:paraId="3479C328"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98" w:type="dxa"/>
            <w:tcBorders>
              <w:top w:val="nil"/>
              <w:left w:val="nil"/>
              <w:bottom w:val="single" w:sz="4" w:space="0" w:color="auto"/>
              <w:right w:val="single" w:sz="4" w:space="0" w:color="auto"/>
            </w:tcBorders>
            <w:shd w:val="clear" w:color="auto" w:fill="C6EFCE"/>
            <w:noWrap/>
            <w:hideMark/>
          </w:tcPr>
          <w:p w14:paraId="3E40A076"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hideMark/>
          </w:tcPr>
          <w:p w14:paraId="50589AEB" w14:textId="77777777" w:rsidR="00A345F4" w:rsidRDefault="00A345F4">
            <w:pPr>
              <w:spacing w:after="0" w:line="240" w:lineRule="auto"/>
              <w:jc w:val="right"/>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hideMark/>
          </w:tcPr>
          <w:p w14:paraId="723C1138" w14:textId="77777777" w:rsidR="00A345F4" w:rsidRDefault="00A345F4">
            <w:pPr>
              <w:spacing w:after="0" w:line="240" w:lineRule="auto"/>
              <w:jc w:val="right"/>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056D881C" w14:textId="77777777" w:rsidR="00A345F4" w:rsidRDefault="005E2D4E">
            <w:pPr>
              <w:pStyle w:val="P68B1DB1-Normal14"/>
              <w:spacing w:after="0" w:line="240" w:lineRule="auto"/>
              <w:jc w:val="center"/>
              <w:rPr>
                <w:rFonts w:eastAsia="Times New Roman"/>
                <w:noProof/>
              </w:rPr>
            </w:pPr>
            <w:r>
              <w:rPr>
                <w:noProof/>
              </w:rPr>
              <w:t>T1</w:t>
            </w:r>
          </w:p>
        </w:tc>
        <w:tc>
          <w:tcPr>
            <w:tcW w:w="770" w:type="dxa"/>
            <w:tcBorders>
              <w:top w:val="nil"/>
              <w:left w:val="nil"/>
              <w:bottom w:val="single" w:sz="4" w:space="0" w:color="auto"/>
              <w:right w:val="single" w:sz="4" w:space="0" w:color="auto"/>
            </w:tcBorders>
            <w:shd w:val="clear" w:color="auto" w:fill="C6EFCE"/>
            <w:noWrap/>
            <w:hideMark/>
          </w:tcPr>
          <w:p w14:paraId="560B49E6"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single" w:sz="4" w:space="0" w:color="auto"/>
              <w:left w:val="nil"/>
              <w:bottom w:val="single" w:sz="4" w:space="0" w:color="auto"/>
              <w:right w:val="single" w:sz="4" w:space="0" w:color="auto"/>
            </w:tcBorders>
            <w:shd w:val="clear" w:color="auto" w:fill="C6EFCE"/>
            <w:noWrap/>
            <w:hideMark/>
          </w:tcPr>
          <w:p w14:paraId="0A1EF172" w14:textId="77777777" w:rsidR="00A345F4" w:rsidRDefault="005E2D4E">
            <w:pPr>
              <w:pStyle w:val="P68B1DB1-Normal14"/>
              <w:spacing w:after="0" w:line="240" w:lineRule="auto"/>
              <w:jc w:val="both"/>
              <w:rPr>
                <w:rFonts w:eastAsia="Times New Roman"/>
                <w:noProof/>
              </w:rPr>
            </w:pPr>
            <w:r>
              <w:rPr>
                <w:noProof/>
              </w:rPr>
              <w:t>Les zones de destination optimales sont identifiées par les organismes de gestion des destinations sur la base des critères suivants:</w:t>
            </w:r>
          </w:p>
          <w:p w14:paraId="602163AD" w14:textId="77777777" w:rsidR="00A345F4" w:rsidRDefault="005E2D4E">
            <w:pPr>
              <w:pStyle w:val="P68B1DB1-Normal14"/>
              <w:spacing w:after="0" w:line="240" w:lineRule="auto"/>
              <w:jc w:val="both"/>
              <w:rPr>
                <w:rFonts w:eastAsia="Times New Roman"/>
                <w:noProof/>
              </w:rPr>
            </w:pPr>
            <w:r>
              <w:rPr>
                <w:noProof/>
              </w:rPr>
              <w:t>- leur capacité à attirer des touristes internationaux</w:t>
            </w:r>
          </w:p>
          <w:p w14:paraId="7BF9C5B3" w14:textId="77777777" w:rsidR="00A345F4" w:rsidRDefault="005E2D4E">
            <w:pPr>
              <w:pStyle w:val="P68B1DB1-Normal14"/>
              <w:spacing w:after="0" w:line="240" w:lineRule="auto"/>
              <w:jc w:val="both"/>
              <w:rPr>
                <w:rFonts w:eastAsia="Times New Roman"/>
                <w:noProof/>
              </w:rPr>
            </w:pPr>
            <w:r>
              <w:rPr>
                <w:noProof/>
              </w:rPr>
              <w:t>- la promotion d’une transformation socio-économique durable/respectueuse de l’environnement dans les zones rurales et défavorisées, en complémentarité avec le volet «Fonds local» (par exemple en ce qui concerne les zones rurales fonctionnelles);</w:t>
            </w:r>
          </w:p>
          <w:p w14:paraId="38226CC6" w14:textId="77777777" w:rsidR="00A345F4" w:rsidRDefault="005E2D4E">
            <w:pPr>
              <w:pStyle w:val="P68B1DB1-Normal14"/>
              <w:spacing w:after="0" w:line="240" w:lineRule="auto"/>
              <w:jc w:val="both"/>
              <w:rPr>
                <w:rFonts w:eastAsia="Times New Roman"/>
                <w:noProof/>
              </w:rPr>
            </w:pPr>
            <w:r>
              <w:rPr>
                <w:noProof/>
              </w:rPr>
              <w:t>- le potentiel de création de nouveaux emplois.</w:t>
            </w:r>
          </w:p>
        </w:tc>
      </w:tr>
      <w:tr w:rsidR="00A345F4" w14:paraId="5CA77E57"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5737D59A" w14:textId="77777777" w:rsidR="00A345F4" w:rsidRDefault="005E2D4E">
            <w:pPr>
              <w:pStyle w:val="P68B1DB1-Normal14"/>
              <w:spacing w:after="0" w:line="240" w:lineRule="auto"/>
              <w:jc w:val="center"/>
              <w:rPr>
                <w:rFonts w:eastAsia="Times New Roman"/>
                <w:noProof/>
              </w:rPr>
            </w:pPr>
            <w:r>
              <w:rPr>
                <w:noProof/>
              </w:rPr>
              <w:t>327</w:t>
            </w:r>
          </w:p>
        </w:tc>
        <w:tc>
          <w:tcPr>
            <w:tcW w:w="1586" w:type="dxa"/>
            <w:tcBorders>
              <w:top w:val="nil"/>
              <w:left w:val="nil"/>
              <w:bottom w:val="single" w:sz="4" w:space="0" w:color="auto"/>
              <w:right w:val="single" w:sz="4" w:space="0" w:color="auto"/>
            </w:tcBorders>
            <w:shd w:val="clear" w:color="auto" w:fill="C6EFCE"/>
            <w:noWrap/>
          </w:tcPr>
          <w:p w14:paraId="140A69C3" w14:textId="77777777" w:rsidR="00A345F4" w:rsidRDefault="005E2D4E">
            <w:pPr>
              <w:pStyle w:val="P68B1DB1-Normal14"/>
              <w:spacing w:after="0" w:line="240" w:lineRule="auto"/>
              <w:jc w:val="both"/>
              <w:rPr>
                <w:noProof/>
              </w:rPr>
            </w:pPr>
            <w:r>
              <w:rPr>
                <w:noProof/>
              </w:rPr>
              <w:t>Réforme 1.</w:t>
            </w:r>
          </w:p>
          <w:p w14:paraId="6E881822" w14:textId="77777777" w:rsidR="00A345F4" w:rsidRDefault="005E2D4E">
            <w:pPr>
              <w:pStyle w:val="P68B1DB1-Normal14"/>
              <w:spacing w:after="0" w:line="240" w:lineRule="auto"/>
              <w:jc w:val="both"/>
              <w:rPr>
                <w:rFonts w:eastAsia="Times New Roman"/>
                <w:noProof/>
              </w:rPr>
            </w:pPr>
            <w:r>
              <w:rPr>
                <w:noProof/>
              </w:rPr>
              <w:t>Mise en œuvre des organisations de gestion des destinations (OMD)</w:t>
            </w:r>
          </w:p>
        </w:tc>
        <w:tc>
          <w:tcPr>
            <w:tcW w:w="1302" w:type="dxa"/>
            <w:tcBorders>
              <w:top w:val="nil"/>
              <w:left w:val="nil"/>
              <w:bottom w:val="single" w:sz="4" w:space="0" w:color="auto"/>
              <w:right w:val="single" w:sz="4" w:space="0" w:color="auto"/>
            </w:tcBorders>
            <w:shd w:val="clear" w:color="auto" w:fill="C6EFCE"/>
            <w:noWrap/>
          </w:tcPr>
          <w:p w14:paraId="7612B653"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46E99699" w14:textId="77777777" w:rsidR="00A345F4" w:rsidRDefault="005E2D4E">
            <w:pPr>
              <w:pStyle w:val="P68B1DB1-Normal14"/>
              <w:spacing w:after="0" w:line="240" w:lineRule="auto"/>
              <w:jc w:val="both"/>
              <w:rPr>
                <w:rFonts w:eastAsia="Times New Roman"/>
                <w:noProof/>
              </w:rPr>
            </w:pPr>
            <w:r>
              <w:rPr>
                <w:noProof/>
              </w:rPr>
              <w:t>Plan d'action pour l'utilisation du patrimoine culturel afin d'accroître la compétitivité du secteur touristique roumain</w:t>
            </w:r>
          </w:p>
        </w:tc>
        <w:tc>
          <w:tcPr>
            <w:tcW w:w="1658" w:type="dxa"/>
            <w:tcBorders>
              <w:top w:val="nil"/>
              <w:left w:val="nil"/>
              <w:bottom w:val="single" w:sz="4" w:space="0" w:color="auto"/>
              <w:right w:val="single" w:sz="4" w:space="0" w:color="auto"/>
            </w:tcBorders>
            <w:shd w:val="clear" w:color="auto" w:fill="C6EFCE"/>
            <w:noWrap/>
          </w:tcPr>
          <w:p w14:paraId="0A433C95" w14:textId="77777777" w:rsidR="00A345F4" w:rsidRDefault="005E2D4E">
            <w:pPr>
              <w:pStyle w:val="P68B1DB1-Normal14"/>
              <w:spacing w:after="0" w:line="240" w:lineRule="auto"/>
              <w:jc w:val="both"/>
              <w:rPr>
                <w:rFonts w:eastAsia="Times New Roman"/>
                <w:noProof/>
              </w:rPr>
            </w:pPr>
            <w:r>
              <w:rPr>
                <w:noProof/>
              </w:rPr>
              <w:t>Adoption du plan d'action pour l'utilisation du patrimoine culturel afin d'accroître la compétitivité du secteur touristique roumain</w:t>
            </w:r>
          </w:p>
        </w:tc>
        <w:tc>
          <w:tcPr>
            <w:tcW w:w="1298" w:type="dxa"/>
            <w:tcBorders>
              <w:top w:val="nil"/>
              <w:left w:val="nil"/>
              <w:bottom w:val="single" w:sz="4" w:space="0" w:color="auto"/>
              <w:right w:val="single" w:sz="4" w:space="0" w:color="auto"/>
            </w:tcBorders>
            <w:shd w:val="clear" w:color="auto" w:fill="C6EFCE"/>
            <w:noWrap/>
          </w:tcPr>
          <w:p w14:paraId="5077E12A"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tcPr>
          <w:p w14:paraId="2205FB93" w14:textId="77777777" w:rsidR="00A345F4" w:rsidRDefault="00A345F4">
            <w:pPr>
              <w:spacing w:after="0" w:line="240" w:lineRule="auto"/>
              <w:jc w:val="right"/>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tcPr>
          <w:p w14:paraId="5A90FEC8" w14:textId="77777777" w:rsidR="00A345F4" w:rsidRDefault="00A345F4">
            <w:pPr>
              <w:spacing w:after="0" w:line="240" w:lineRule="auto"/>
              <w:jc w:val="right"/>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078B2A55" w14:textId="77777777" w:rsidR="00A345F4" w:rsidRDefault="005E2D4E">
            <w:pPr>
              <w:pStyle w:val="P68B1DB1-Normal14"/>
              <w:spacing w:after="0" w:line="240" w:lineRule="auto"/>
              <w:jc w:val="center"/>
              <w:rPr>
                <w:rFonts w:eastAsia="Times New Roman"/>
                <w:noProof/>
              </w:rPr>
            </w:pPr>
            <w:r>
              <w:rPr>
                <w:noProof/>
              </w:rPr>
              <w:t>T1</w:t>
            </w:r>
          </w:p>
        </w:tc>
        <w:tc>
          <w:tcPr>
            <w:tcW w:w="770" w:type="dxa"/>
            <w:tcBorders>
              <w:top w:val="nil"/>
              <w:left w:val="nil"/>
              <w:bottom w:val="single" w:sz="4" w:space="0" w:color="auto"/>
              <w:right w:val="single" w:sz="4" w:space="0" w:color="auto"/>
            </w:tcBorders>
            <w:shd w:val="clear" w:color="auto" w:fill="C6EFCE"/>
            <w:noWrap/>
          </w:tcPr>
          <w:p w14:paraId="00E3B308"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nil"/>
              <w:left w:val="nil"/>
              <w:bottom w:val="single" w:sz="4" w:space="0" w:color="auto"/>
              <w:right w:val="single" w:sz="4" w:space="0" w:color="auto"/>
            </w:tcBorders>
            <w:shd w:val="clear" w:color="auto" w:fill="C6EFCE"/>
            <w:noWrap/>
          </w:tcPr>
          <w:p w14:paraId="3A57FD91" w14:textId="77777777" w:rsidR="00A345F4" w:rsidRDefault="005E2D4E">
            <w:pPr>
              <w:pStyle w:val="P68B1DB1-Normal14"/>
              <w:spacing w:after="0" w:line="240" w:lineRule="auto"/>
              <w:jc w:val="both"/>
              <w:rPr>
                <w:rFonts w:eastAsia="Times New Roman"/>
                <w:noProof/>
              </w:rPr>
            </w:pPr>
            <w:r>
              <w:rPr>
                <w:noProof/>
              </w:rPr>
              <w:t>Le plan d’action doit être conforme aux forfaits touristiques multiples du DMO. Le plan d’action couvre la période 2022-2026 et comprend des objectifs annuels et pluriannuels spécifiques ainsi que les principales actions suivantes: a) établir les types de sites, ayant un impact national et international, qui seront utilisés pour la promotion du tourisme en Roumanie et contribueront à la promotion d'une transformation socio-économique durable / respectueuse de l'environnement dans les zones rurales et défavorisées; et b) l'établissement des itinéraires culturels qui sont le résultat de l'exercice de cartographie. Il détaille également les principaux acteurs, leurs rôles et responsabilités ainsi que les résultats escomptés.</w:t>
            </w:r>
          </w:p>
        </w:tc>
      </w:tr>
      <w:tr w:rsidR="00A345F4" w14:paraId="7D31D2B6"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20A6ACAB" w14:textId="77777777" w:rsidR="00A345F4" w:rsidRDefault="005E2D4E">
            <w:pPr>
              <w:pStyle w:val="P68B1DB1-Normal14"/>
              <w:spacing w:after="0" w:line="240" w:lineRule="auto"/>
              <w:jc w:val="center"/>
              <w:rPr>
                <w:rFonts w:eastAsia="Times New Roman"/>
                <w:noProof/>
              </w:rPr>
            </w:pPr>
            <w:r>
              <w:rPr>
                <w:noProof/>
              </w:rPr>
              <w:t>328</w:t>
            </w:r>
          </w:p>
        </w:tc>
        <w:tc>
          <w:tcPr>
            <w:tcW w:w="1586" w:type="dxa"/>
            <w:tcBorders>
              <w:top w:val="nil"/>
              <w:left w:val="nil"/>
              <w:bottom w:val="single" w:sz="4" w:space="0" w:color="auto"/>
              <w:right w:val="single" w:sz="4" w:space="0" w:color="auto"/>
            </w:tcBorders>
            <w:shd w:val="clear" w:color="auto" w:fill="C6EFCE"/>
            <w:noWrap/>
          </w:tcPr>
          <w:p w14:paraId="353AE687" w14:textId="77777777" w:rsidR="00A345F4" w:rsidRDefault="005E2D4E">
            <w:pPr>
              <w:pStyle w:val="P68B1DB1-Normal14"/>
              <w:spacing w:after="0" w:line="240" w:lineRule="auto"/>
              <w:jc w:val="both"/>
              <w:rPr>
                <w:rFonts w:eastAsia="Times New Roman"/>
                <w:noProof/>
              </w:rPr>
            </w:pPr>
            <w:r>
              <w:rPr>
                <w:noProof/>
              </w:rPr>
              <w:t>Réforme 1. Mise en œuvre des organisations de gestion des destinations (OMD)</w:t>
            </w:r>
          </w:p>
        </w:tc>
        <w:tc>
          <w:tcPr>
            <w:tcW w:w="1302" w:type="dxa"/>
            <w:tcBorders>
              <w:top w:val="nil"/>
              <w:left w:val="nil"/>
              <w:bottom w:val="single" w:sz="4" w:space="0" w:color="auto"/>
              <w:right w:val="single" w:sz="4" w:space="0" w:color="auto"/>
            </w:tcBorders>
            <w:shd w:val="clear" w:color="auto" w:fill="C6EFCE"/>
            <w:noWrap/>
          </w:tcPr>
          <w:p w14:paraId="2FAA8AAE"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3C97138C" w14:textId="77777777" w:rsidR="00A345F4" w:rsidRDefault="005E2D4E">
            <w:pPr>
              <w:pStyle w:val="P68B1DB1-Normal14"/>
              <w:spacing w:after="0" w:line="240" w:lineRule="auto"/>
              <w:jc w:val="both"/>
              <w:rPr>
                <w:rFonts w:eastAsia="Times New Roman"/>
                <w:noProof/>
              </w:rPr>
            </w:pPr>
            <w:r>
              <w:rPr>
                <w:noProof/>
              </w:rPr>
              <w:t>Entrée en vigueur du cadre législatif au moyen d’une ordonnance gouvernementale d’urgence qui comprend une description claire du mécanisme de financement destiné à soutenir le développement du réseau des OGD et un modèle de gouvernance clair</w:t>
            </w:r>
          </w:p>
        </w:tc>
        <w:tc>
          <w:tcPr>
            <w:tcW w:w="1658" w:type="dxa"/>
            <w:tcBorders>
              <w:top w:val="nil"/>
              <w:left w:val="nil"/>
              <w:bottom w:val="single" w:sz="4" w:space="0" w:color="auto"/>
              <w:right w:val="single" w:sz="4" w:space="0" w:color="auto"/>
            </w:tcBorders>
            <w:shd w:val="clear" w:color="auto" w:fill="C6EFCE"/>
            <w:noWrap/>
          </w:tcPr>
          <w:p w14:paraId="0AD5AFA3"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 loi portant création des OGD</w:t>
            </w:r>
          </w:p>
        </w:tc>
        <w:tc>
          <w:tcPr>
            <w:tcW w:w="1298" w:type="dxa"/>
            <w:tcBorders>
              <w:top w:val="nil"/>
              <w:left w:val="nil"/>
              <w:bottom w:val="single" w:sz="4" w:space="0" w:color="auto"/>
              <w:right w:val="single" w:sz="4" w:space="0" w:color="auto"/>
            </w:tcBorders>
            <w:shd w:val="clear" w:color="auto" w:fill="C6EFCE"/>
            <w:noWrap/>
          </w:tcPr>
          <w:p w14:paraId="42BFC885"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tcPr>
          <w:p w14:paraId="527C7B05" w14:textId="77777777" w:rsidR="00A345F4" w:rsidRDefault="00A345F4">
            <w:pPr>
              <w:spacing w:after="0" w:line="240" w:lineRule="auto"/>
              <w:jc w:val="right"/>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tcPr>
          <w:p w14:paraId="0C884D74" w14:textId="77777777" w:rsidR="00A345F4" w:rsidRDefault="00A345F4">
            <w:pPr>
              <w:spacing w:after="0" w:line="240" w:lineRule="auto"/>
              <w:jc w:val="right"/>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64101E6D" w14:textId="77777777" w:rsidR="00A345F4" w:rsidRDefault="005E2D4E">
            <w:pPr>
              <w:pStyle w:val="P68B1DB1-Normal14"/>
              <w:spacing w:after="0" w:line="240" w:lineRule="auto"/>
              <w:jc w:val="center"/>
              <w:rPr>
                <w:rFonts w:eastAsia="Times New Roman"/>
                <w:noProof/>
              </w:rPr>
            </w:pPr>
            <w:r>
              <w:rPr>
                <w:noProof/>
              </w:rPr>
              <w:t>T3</w:t>
            </w:r>
          </w:p>
        </w:tc>
        <w:tc>
          <w:tcPr>
            <w:tcW w:w="770" w:type="dxa"/>
            <w:tcBorders>
              <w:top w:val="nil"/>
              <w:left w:val="nil"/>
              <w:bottom w:val="single" w:sz="4" w:space="0" w:color="auto"/>
              <w:right w:val="single" w:sz="4" w:space="0" w:color="auto"/>
            </w:tcBorders>
            <w:shd w:val="clear" w:color="auto" w:fill="C6EFCE"/>
            <w:noWrap/>
          </w:tcPr>
          <w:p w14:paraId="596C19C8"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nil"/>
              <w:left w:val="nil"/>
              <w:bottom w:val="single" w:sz="4" w:space="0" w:color="auto"/>
              <w:right w:val="single" w:sz="4" w:space="0" w:color="auto"/>
            </w:tcBorders>
            <w:shd w:val="clear" w:color="auto" w:fill="C6EFCE"/>
            <w:noWrap/>
          </w:tcPr>
          <w:p w14:paraId="2325F3DC" w14:textId="77777777" w:rsidR="00A345F4" w:rsidRDefault="005E2D4E">
            <w:pPr>
              <w:pStyle w:val="P68B1DB1-Normal14"/>
              <w:spacing w:after="0" w:line="240" w:lineRule="auto"/>
              <w:jc w:val="both"/>
              <w:rPr>
                <w:noProof/>
              </w:rPr>
            </w:pPr>
            <w:r>
              <w:rPr>
                <w:noProof/>
              </w:rPr>
              <w:t>La législation comprend une description claire du mécanisme de financement destiné à soutenir le développement du réseau des OGD régionaux et locaux (organisations de gestion des destinations) et un modèle de gouvernance solide.</w:t>
            </w:r>
          </w:p>
          <w:p w14:paraId="02090F79" w14:textId="77777777" w:rsidR="00A345F4" w:rsidRDefault="005E2D4E">
            <w:pPr>
              <w:pStyle w:val="P68B1DB1-Normal14"/>
              <w:spacing w:after="0" w:line="240" w:lineRule="auto"/>
              <w:jc w:val="both"/>
              <w:rPr>
                <w:noProof/>
              </w:rPr>
            </w:pPr>
            <w:r>
              <w:rPr>
                <w:noProof/>
              </w:rPr>
              <w:t>Les éléments clés du cadre juridique sont les suivants:</w:t>
            </w:r>
          </w:p>
          <w:p w14:paraId="30A3528D" w14:textId="77777777" w:rsidR="00A345F4" w:rsidRDefault="005E2D4E">
            <w:pPr>
              <w:pStyle w:val="P68B1DB1-Normal14"/>
              <w:numPr>
                <w:ilvl w:val="0"/>
                <w:numId w:val="53"/>
              </w:numPr>
              <w:spacing w:before="120" w:after="0" w:line="240" w:lineRule="auto"/>
              <w:ind w:left="202" w:hanging="232"/>
              <w:contextualSpacing/>
              <w:jc w:val="both"/>
              <w:rPr>
                <w:noProof/>
              </w:rPr>
            </w:pPr>
            <w:r>
              <w:rPr>
                <w:noProof/>
              </w:rPr>
              <w:t>Objectif de la législation, définition des OGD à différents niveaux territoriaux ainsi que des OGD thématiques;</w:t>
            </w:r>
          </w:p>
          <w:p w14:paraId="04A2AA8B" w14:textId="77777777" w:rsidR="00A345F4" w:rsidRDefault="005E2D4E">
            <w:pPr>
              <w:pStyle w:val="P68B1DB1-Normal14"/>
              <w:numPr>
                <w:ilvl w:val="0"/>
                <w:numId w:val="53"/>
              </w:numPr>
              <w:spacing w:before="120" w:after="0" w:line="240" w:lineRule="auto"/>
              <w:ind w:left="202" w:hanging="232"/>
              <w:contextualSpacing/>
              <w:jc w:val="both"/>
              <w:rPr>
                <w:noProof/>
              </w:rPr>
            </w:pPr>
            <w:r>
              <w:rPr>
                <w:noProof/>
              </w:rPr>
              <w:t>Identification des députés;</w:t>
            </w:r>
          </w:p>
          <w:p w14:paraId="6F754D44" w14:textId="77777777" w:rsidR="00A345F4" w:rsidRDefault="005E2D4E">
            <w:pPr>
              <w:pStyle w:val="P68B1DB1-Normal14"/>
              <w:numPr>
                <w:ilvl w:val="0"/>
                <w:numId w:val="53"/>
              </w:numPr>
              <w:spacing w:before="120" w:after="0" w:line="240" w:lineRule="auto"/>
              <w:ind w:left="202" w:hanging="232"/>
              <w:contextualSpacing/>
              <w:jc w:val="both"/>
              <w:rPr>
                <w:noProof/>
              </w:rPr>
            </w:pPr>
            <w:r>
              <w:rPr>
                <w:noProof/>
              </w:rPr>
              <w:t>Critères minimaux pour qu’une destination puisse former un OGD pour représenter la destination;</w:t>
            </w:r>
          </w:p>
          <w:p w14:paraId="02222171" w14:textId="77777777" w:rsidR="00A345F4" w:rsidRDefault="005E2D4E">
            <w:pPr>
              <w:pStyle w:val="P68B1DB1-Normal14"/>
              <w:numPr>
                <w:ilvl w:val="0"/>
                <w:numId w:val="53"/>
              </w:numPr>
              <w:spacing w:before="120" w:after="0" w:line="240" w:lineRule="auto"/>
              <w:ind w:left="202" w:hanging="232"/>
              <w:contextualSpacing/>
              <w:jc w:val="both"/>
              <w:rPr>
                <w:noProof/>
              </w:rPr>
            </w:pPr>
            <w:r>
              <w:rPr>
                <w:noProof/>
              </w:rPr>
              <w:t>Forme d’organisation – le DMO dispose d’une assemblée générale, d’un conseil d’administration et du personnel qui représente la partie exécutive. Les OGD sont enregistrés conformément aux dispositions légales, disposent d’une stratégie et d’un plan d’action et disposent des fonds nécessaires à la mise en œuvre de la stratégie. En termes de membres, le DMO est un organe représentatif des opérateurs économiques dans le domaine du tourisme dans la destination, des associations touristiques et des autres parties prenantes concernées et des autorités publiques locales ou départementales.</w:t>
            </w:r>
          </w:p>
          <w:p w14:paraId="7269A9B7" w14:textId="77777777" w:rsidR="00A345F4" w:rsidRDefault="005E2D4E">
            <w:pPr>
              <w:pStyle w:val="P68B1DB1-Normal14"/>
              <w:numPr>
                <w:ilvl w:val="0"/>
                <w:numId w:val="53"/>
              </w:numPr>
              <w:spacing w:before="120" w:after="0" w:line="240" w:lineRule="auto"/>
              <w:ind w:left="202" w:hanging="232"/>
              <w:contextualSpacing/>
              <w:jc w:val="both"/>
              <w:rPr>
                <w:noProof/>
              </w:rPr>
            </w:pPr>
            <w:r>
              <w:rPr>
                <w:noProof/>
              </w:rPr>
              <w:t>Description des attributions du conseil d'administration et de l'assemblée générale;</w:t>
            </w:r>
          </w:p>
          <w:p w14:paraId="5AA0BE21" w14:textId="77777777" w:rsidR="00A345F4" w:rsidRDefault="005E2D4E">
            <w:pPr>
              <w:pStyle w:val="P68B1DB1-Normal14"/>
              <w:numPr>
                <w:ilvl w:val="0"/>
                <w:numId w:val="53"/>
              </w:numPr>
              <w:spacing w:before="120" w:after="0" w:line="240" w:lineRule="auto"/>
              <w:ind w:left="202" w:hanging="232"/>
              <w:contextualSpacing/>
              <w:jc w:val="both"/>
              <w:rPr>
                <w:noProof/>
              </w:rPr>
            </w:pPr>
            <w:r>
              <w:rPr>
                <w:noProof/>
              </w:rPr>
              <w:t>Système de vote et processus décisionnel;</w:t>
            </w:r>
          </w:p>
          <w:p w14:paraId="63AAD113" w14:textId="77777777" w:rsidR="00A345F4" w:rsidRDefault="005E2D4E">
            <w:pPr>
              <w:pStyle w:val="P68B1DB1-Normal14"/>
              <w:numPr>
                <w:ilvl w:val="0"/>
                <w:numId w:val="53"/>
              </w:numPr>
              <w:spacing w:before="120" w:after="0" w:line="240" w:lineRule="auto"/>
              <w:ind w:left="202" w:hanging="232"/>
              <w:contextualSpacing/>
              <w:jc w:val="both"/>
              <w:rPr>
                <w:noProof/>
              </w:rPr>
            </w:pPr>
            <w:r>
              <w:rPr>
                <w:noProof/>
              </w:rPr>
              <w:t>Mécanisme de financement;</w:t>
            </w:r>
          </w:p>
          <w:p w14:paraId="2B23C4FB" w14:textId="77777777" w:rsidR="00A345F4" w:rsidRDefault="005E2D4E">
            <w:pPr>
              <w:pStyle w:val="P68B1DB1-Normal14"/>
              <w:numPr>
                <w:ilvl w:val="0"/>
                <w:numId w:val="53"/>
              </w:numPr>
              <w:spacing w:before="120" w:after="0" w:line="240" w:lineRule="auto"/>
              <w:ind w:left="202" w:hanging="232"/>
              <w:contextualSpacing/>
              <w:jc w:val="both"/>
              <w:rPr>
                <w:noProof/>
              </w:rPr>
            </w:pPr>
            <w:r>
              <w:rPr>
                <w:noProof/>
              </w:rPr>
              <w:t>Objectifs des OGD et suivi des résultats avec des responsabilités spécifiques.</w:t>
            </w:r>
          </w:p>
          <w:p w14:paraId="1648AD6C" w14:textId="77777777" w:rsidR="00A345F4" w:rsidRDefault="005E2D4E">
            <w:pPr>
              <w:pStyle w:val="P68B1DB1-Normal14"/>
              <w:spacing w:after="0" w:line="240" w:lineRule="auto"/>
              <w:jc w:val="both"/>
              <w:rPr>
                <w:noProof/>
              </w:rPr>
            </w:pPr>
            <w:r>
              <w:rPr>
                <w:noProof/>
              </w:rPr>
              <w:t>Un OGD est établi en tenant compte des unités géographiques (comtés, municipalités) dans le but de promouvoir le tourisme local ou régional.</w:t>
            </w:r>
          </w:p>
        </w:tc>
      </w:tr>
      <w:tr w:rsidR="00A345F4" w14:paraId="4B3AEDE7"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hideMark/>
          </w:tcPr>
          <w:p w14:paraId="7B6D7F15" w14:textId="77777777" w:rsidR="00A345F4" w:rsidRDefault="005E2D4E">
            <w:pPr>
              <w:pStyle w:val="P68B1DB1-Normal14"/>
              <w:spacing w:after="0" w:line="240" w:lineRule="auto"/>
              <w:jc w:val="center"/>
              <w:rPr>
                <w:rFonts w:eastAsia="Times New Roman"/>
                <w:noProof/>
              </w:rPr>
            </w:pPr>
            <w:r>
              <w:rPr>
                <w:noProof/>
              </w:rPr>
              <w:t>331</w:t>
            </w:r>
          </w:p>
        </w:tc>
        <w:tc>
          <w:tcPr>
            <w:tcW w:w="1586" w:type="dxa"/>
            <w:tcBorders>
              <w:top w:val="nil"/>
              <w:left w:val="nil"/>
              <w:bottom w:val="single" w:sz="4" w:space="0" w:color="auto"/>
              <w:right w:val="single" w:sz="4" w:space="0" w:color="auto"/>
            </w:tcBorders>
            <w:shd w:val="clear" w:color="auto" w:fill="C6EFCE"/>
            <w:noWrap/>
            <w:hideMark/>
          </w:tcPr>
          <w:p w14:paraId="32B14948" w14:textId="77777777" w:rsidR="00A345F4" w:rsidRDefault="005E2D4E">
            <w:pPr>
              <w:pStyle w:val="P68B1DB1-Normal14"/>
              <w:spacing w:after="0" w:line="240" w:lineRule="auto"/>
              <w:jc w:val="both"/>
              <w:rPr>
                <w:rFonts w:eastAsia="Times New Roman"/>
                <w:noProof/>
              </w:rPr>
            </w:pPr>
            <w:r>
              <w:rPr>
                <w:noProof/>
              </w:rPr>
              <w:t>Investissement 1. Promotion des 12 itinéraires touristiques/culturels</w:t>
            </w:r>
          </w:p>
        </w:tc>
        <w:tc>
          <w:tcPr>
            <w:tcW w:w="1302" w:type="dxa"/>
            <w:tcBorders>
              <w:top w:val="nil"/>
              <w:left w:val="nil"/>
              <w:bottom w:val="single" w:sz="4" w:space="0" w:color="auto"/>
              <w:right w:val="single" w:sz="4" w:space="0" w:color="auto"/>
            </w:tcBorders>
            <w:shd w:val="clear" w:color="auto" w:fill="C6EFCE"/>
            <w:noWrap/>
            <w:hideMark/>
          </w:tcPr>
          <w:p w14:paraId="56552459" w14:textId="77777777" w:rsidR="00A345F4" w:rsidRDefault="005E2D4E">
            <w:pPr>
              <w:pStyle w:val="P68B1DB1-Normal14"/>
              <w:spacing w:after="0" w:line="240" w:lineRule="auto"/>
              <w:jc w:val="center"/>
              <w:rPr>
                <w:rFonts w:eastAsia="Times New Roman"/>
                <w:noProof/>
              </w:rPr>
            </w:pPr>
            <w:r>
              <w:rPr>
                <w:noProof/>
              </w:rPr>
              <w:t>Objectif</w:t>
            </w:r>
          </w:p>
        </w:tc>
        <w:tc>
          <w:tcPr>
            <w:tcW w:w="1518" w:type="dxa"/>
            <w:tcBorders>
              <w:top w:val="nil"/>
              <w:left w:val="nil"/>
              <w:bottom w:val="single" w:sz="4" w:space="0" w:color="auto"/>
              <w:right w:val="single" w:sz="4" w:space="0" w:color="auto"/>
            </w:tcBorders>
            <w:shd w:val="clear" w:color="auto" w:fill="C6EFCE"/>
            <w:noWrap/>
            <w:hideMark/>
          </w:tcPr>
          <w:p w14:paraId="1B605854" w14:textId="77777777" w:rsidR="00A345F4" w:rsidRDefault="005E2D4E">
            <w:pPr>
              <w:pStyle w:val="P68B1DB1-Normal14"/>
              <w:spacing w:after="0" w:line="240" w:lineRule="auto"/>
              <w:jc w:val="both"/>
              <w:rPr>
                <w:noProof/>
              </w:rPr>
            </w:pPr>
            <w:r>
              <w:rPr>
                <w:noProof/>
              </w:rPr>
              <w:t>Sites à inclure dans les itinéraires culturels</w:t>
            </w:r>
          </w:p>
          <w:p w14:paraId="5A295ADE" w14:textId="77777777" w:rsidR="00A345F4" w:rsidRDefault="00A345F4">
            <w:pPr>
              <w:spacing w:after="0" w:line="240" w:lineRule="auto"/>
              <w:jc w:val="both"/>
              <w:rPr>
                <w:rFonts w:ascii="Times New Roman" w:hAnsi="Times New Roman" w:cs="Times New Roman"/>
                <w:noProof/>
                <w:sz w:val="20"/>
                <w:szCs w:val="20"/>
              </w:rPr>
            </w:pPr>
          </w:p>
          <w:p w14:paraId="7F8FD401" w14:textId="77777777" w:rsidR="00A345F4" w:rsidRDefault="00A345F4">
            <w:pPr>
              <w:spacing w:after="0" w:line="240" w:lineRule="auto"/>
              <w:jc w:val="both"/>
              <w:rPr>
                <w:rFonts w:ascii="Times New Roman" w:hAnsi="Times New Roman" w:cs="Times New Roman"/>
                <w:noProof/>
                <w:sz w:val="20"/>
                <w:szCs w:val="20"/>
              </w:rPr>
            </w:pPr>
          </w:p>
          <w:p w14:paraId="4BC53701"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658" w:type="dxa"/>
            <w:tcBorders>
              <w:top w:val="nil"/>
              <w:left w:val="nil"/>
              <w:bottom w:val="single" w:sz="4" w:space="0" w:color="auto"/>
              <w:right w:val="single" w:sz="4" w:space="0" w:color="auto"/>
            </w:tcBorders>
            <w:shd w:val="clear" w:color="auto" w:fill="C6EFCE"/>
            <w:noWrap/>
            <w:hideMark/>
          </w:tcPr>
          <w:p w14:paraId="67DBF8F4"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98" w:type="dxa"/>
            <w:tcBorders>
              <w:top w:val="nil"/>
              <w:left w:val="nil"/>
              <w:bottom w:val="single" w:sz="4" w:space="0" w:color="auto"/>
              <w:right w:val="single" w:sz="4" w:space="0" w:color="auto"/>
            </w:tcBorders>
            <w:shd w:val="clear" w:color="auto" w:fill="C6EFCE"/>
            <w:noWrap/>
            <w:hideMark/>
          </w:tcPr>
          <w:p w14:paraId="7CEA8F70" w14:textId="77777777" w:rsidR="00A345F4" w:rsidRDefault="005E2D4E">
            <w:pPr>
              <w:pStyle w:val="P68B1DB1-Normal14"/>
              <w:spacing w:after="0" w:line="240" w:lineRule="auto"/>
              <w:rPr>
                <w:rFonts w:eastAsia="Times New Roman"/>
                <w:noProof/>
              </w:rPr>
            </w:pPr>
            <w:r>
              <w:rPr>
                <w:noProof/>
              </w:rPr>
              <w:t>Numéro</w:t>
            </w:r>
          </w:p>
        </w:tc>
        <w:tc>
          <w:tcPr>
            <w:tcW w:w="1157" w:type="dxa"/>
            <w:tcBorders>
              <w:top w:val="nil"/>
              <w:left w:val="nil"/>
              <w:bottom w:val="single" w:sz="4" w:space="0" w:color="auto"/>
              <w:right w:val="single" w:sz="4" w:space="0" w:color="auto"/>
            </w:tcBorders>
            <w:shd w:val="clear" w:color="auto" w:fill="C6EFCE"/>
            <w:noWrap/>
            <w:hideMark/>
          </w:tcPr>
          <w:p w14:paraId="4D8DC3FB" w14:textId="77777777" w:rsidR="00A345F4" w:rsidRDefault="005E2D4E">
            <w:pPr>
              <w:pStyle w:val="P68B1DB1-Normal14"/>
              <w:spacing w:after="0" w:line="240" w:lineRule="auto"/>
              <w:jc w:val="right"/>
              <w:rPr>
                <w:rFonts w:eastAsia="Times New Roman"/>
                <w:noProof/>
              </w:rPr>
            </w:pPr>
            <w:r>
              <w:rPr>
                <w:noProof/>
              </w:rPr>
              <w:t>0</w:t>
            </w:r>
          </w:p>
        </w:tc>
        <w:tc>
          <w:tcPr>
            <w:tcW w:w="959" w:type="dxa"/>
            <w:tcBorders>
              <w:top w:val="nil"/>
              <w:left w:val="nil"/>
              <w:bottom w:val="single" w:sz="4" w:space="0" w:color="auto"/>
              <w:right w:val="single" w:sz="4" w:space="0" w:color="auto"/>
            </w:tcBorders>
            <w:shd w:val="clear" w:color="auto" w:fill="C6EFCE"/>
            <w:noWrap/>
            <w:hideMark/>
          </w:tcPr>
          <w:p w14:paraId="52A45D9B" w14:textId="77777777" w:rsidR="00A345F4" w:rsidRDefault="005E2D4E">
            <w:pPr>
              <w:pStyle w:val="P68B1DB1-Normal14"/>
              <w:spacing w:after="0" w:line="240" w:lineRule="auto"/>
              <w:jc w:val="right"/>
              <w:rPr>
                <w:rFonts w:eastAsia="Times New Roman"/>
                <w:noProof/>
              </w:rPr>
            </w:pPr>
            <w:r>
              <w:rPr>
                <w:noProof/>
              </w:rPr>
              <w:t>225</w:t>
            </w:r>
          </w:p>
        </w:tc>
        <w:tc>
          <w:tcPr>
            <w:tcW w:w="1134" w:type="dxa"/>
            <w:tcBorders>
              <w:top w:val="nil"/>
              <w:left w:val="nil"/>
              <w:bottom w:val="single" w:sz="4" w:space="0" w:color="auto"/>
              <w:right w:val="single" w:sz="4" w:space="0" w:color="auto"/>
            </w:tcBorders>
            <w:shd w:val="clear" w:color="auto" w:fill="C6EFCE"/>
            <w:noWrap/>
            <w:hideMark/>
          </w:tcPr>
          <w:p w14:paraId="06A7F2F5" w14:textId="77777777" w:rsidR="00A345F4" w:rsidRDefault="005E2D4E">
            <w:pPr>
              <w:pStyle w:val="P68B1DB1-Normal14"/>
              <w:spacing w:after="0" w:line="240" w:lineRule="auto"/>
              <w:jc w:val="center"/>
              <w:rPr>
                <w:rFonts w:eastAsia="Times New Roman"/>
                <w:noProof/>
              </w:rPr>
            </w:pPr>
            <w:r>
              <w:rPr>
                <w:noProof/>
              </w:rPr>
              <w:t>T1</w:t>
            </w:r>
          </w:p>
        </w:tc>
        <w:tc>
          <w:tcPr>
            <w:tcW w:w="770" w:type="dxa"/>
            <w:tcBorders>
              <w:top w:val="nil"/>
              <w:left w:val="nil"/>
              <w:bottom w:val="single" w:sz="4" w:space="0" w:color="auto"/>
              <w:right w:val="single" w:sz="4" w:space="0" w:color="auto"/>
            </w:tcBorders>
            <w:shd w:val="clear" w:color="auto" w:fill="C6EFCE"/>
            <w:noWrap/>
            <w:hideMark/>
          </w:tcPr>
          <w:p w14:paraId="742046D7"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nil"/>
              <w:left w:val="nil"/>
              <w:bottom w:val="single" w:sz="4" w:space="0" w:color="auto"/>
              <w:right w:val="single" w:sz="4" w:space="0" w:color="auto"/>
            </w:tcBorders>
            <w:shd w:val="clear" w:color="auto" w:fill="C6EFCE"/>
            <w:noWrap/>
            <w:hideMark/>
          </w:tcPr>
          <w:p w14:paraId="154A9BE5" w14:textId="77777777" w:rsidR="00A345F4" w:rsidRDefault="005E2D4E">
            <w:pPr>
              <w:pStyle w:val="P68B1DB1-Normal14"/>
              <w:spacing w:after="0" w:line="240" w:lineRule="auto"/>
              <w:jc w:val="both"/>
              <w:rPr>
                <w:noProof/>
              </w:rPr>
            </w:pPr>
            <w:r>
              <w:rPr>
                <w:noProof/>
              </w:rPr>
              <w:t xml:space="preserve">Au moins 225 sites sont inclus dans les itinéraires culturels et sont choisis sur la base de la cartographie et sont positionnés principalement dans les zones rurales et défavorisées afin d’attirer les touristes et de créer de nouveaux lieux de travail dans l’industrie du tourisme. </w:t>
            </w:r>
          </w:p>
          <w:p w14:paraId="6A4B6858" w14:textId="77777777" w:rsidR="00A345F4" w:rsidRDefault="005E2D4E">
            <w:pPr>
              <w:pStyle w:val="P68B1DB1-Normal14"/>
              <w:spacing w:after="0" w:line="240" w:lineRule="auto"/>
              <w:jc w:val="both"/>
              <w:rPr>
                <w:noProof/>
              </w:rPr>
            </w:pPr>
            <w:r>
              <w:rPr>
                <w:noProof/>
              </w:rPr>
              <w:t>Les «sites» sont les points d’attraction touristique (tels que les châteaux, les fortifications, les monastères, les maisons traditionnelles) qui seront inclus dans les 12 itinéraires culturels et seront choisis par un comité et seront fondés sur un processus de consultation.</w:t>
            </w:r>
          </w:p>
          <w:p w14:paraId="69EEF519" w14:textId="77777777" w:rsidR="00A345F4" w:rsidRDefault="005E2D4E">
            <w:pPr>
              <w:pStyle w:val="P68B1DB1-Normal14"/>
              <w:spacing w:after="0" w:line="240" w:lineRule="auto"/>
              <w:jc w:val="both"/>
              <w:rPr>
                <w:noProof/>
              </w:rPr>
            </w:pPr>
            <w:r>
              <w:rPr>
                <w:noProof/>
              </w:rPr>
              <w:t xml:space="preserve">Les critères de sélection minimaux sont les suivants: a) les critères territoriaux, économiques et sociaux, y compris la croissance et l'emploi, en mettant l'accent sur les régions moins développées; b) la capacité du projet à générer un impact sur l'attractivité du tourisme et l'augmentation de la participation culturelle, le caractère unique au niveau national, les avantages comparatifs et concurrentiels. c) l'inclusion de sites liés au thème des itinéraires précédemment financés dans le cadre du </w:t>
            </w:r>
            <w:r>
              <w:rPr>
                <w:i/>
                <w:noProof/>
              </w:rPr>
              <w:t>Programme opérationnel régional et du Programme national de développement rural</w:t>
            </w:r>
            <w:r>
              <w:rPr>
                <w:noProof/>
              </w:rPr>
              <w:t xml:space="preserve"> d) l'inclusion de sites sur la Liste du patrimoine mondial de l'UNESCO ou sur la liste temporaire ou indicative, e) l'inclusion de sites dans la catégorie des bâtiments historiques qui ne sont pas considérés comme des monuments historiques.</w:t>
            </w:r>
          </w:p>
          <w:p w14:paraId="0F3DA6F6" w14:textId="77777777" w:rsidR="00A345F4" w:rsidRDefault="005E2D4E">
            <w:pPr>
              <w:pStyle w:val="P68B1DB1-Normal14"/>
              <w:spacing w:after="0" w:line="240" w:lineRule="auto"/>
              <w:jc w:val="both"/>
              <w:rPr>
                <w:rFonts w:eastAsia="Times New Roman"/>
                <w:noProof/>
              </w:rPr>
            </w:pPr>
            <w:r>
              <w:rPr>
                <w:noProof/>
              </w:rPr>
              <w:t xml:space="preserve">Seuls les sites qui donnent actuellement accès aux touristes sont inclus dans les itinéraires culturels. </w:t>
            </w:r>
          </w:p>
        </w:tc>
      </w:tr>
      <w:tr w:rsidR="00A345F4" w14:paraId="571F16FE"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hideMark/>
          </w:tcPr>
          <w:p w14:paraId="2EC59C26" w14:textId="77777777" w:rsidR="00A345F4" w:rsidRDefault="005E2D4E">
            <w:pPr>
              <w:pStyle w:val="P68B1DB1-Normal14"/>
              <w:spacing w:after="0" w:line="240" w:lineRule="auto"/>
              <w:jc w:val="center"/>
              <w:rPr>
                <w:rFonts w:eastAsia="Times New Roman"/>
                <w:noProof/>
              </w:rPr>
            </w:pPr>
            <w:r>
              <w:rPr>
                <w:noProof/>
              </w:rPr>
              <w:t>332</w:t>
            </w:r>
          </w:p>
        </w:tc>
        <w:tc>
          <w:tcPr>
            <w:tcW w:w="1586" w:type="dxa"/>
            <w:tcBorders>
              <w:top w:val="nil"/>
              <w:left w:val="nil"/>
              <w:bottom w:val="single" w:sz="4" w:space="0" w:color="auto"/>
              <w:right w:val="single" w:sz="4" w:space="0" w:color="auto"/>
            </w:tcBorders>
            <w:shd w:val="clear" w:color="auto" w:fill="C6EFCE"/>
            <w:noWrap/>
            <w:hideMark/>
          </w:tcPr>
          <w:p w14:paraId="6E04207D" w14:textId="77777777" w:rsidR="00A345F4" w:rsidRDefault="005E2D4E">
            <w:pPr>
              <w:pStyle w:val="P68B1DB1-Normal14"/>
              <w:spacing w:after="0" w:line="240" w:lineRule="auto"/>
              <w:jc w:val="both"/>
              <w:rPr>
                <w:rFonts w:eastAsia="Times New Roman"/>
                <w:noProof/>
              </w:rPr>
            </w:pPr>
            <w:r>
              <w:rPr>
                <w:noProof/>
              </w:rPr>
              <w:t>Investissement 1. Promotion des 12 itinéraires touristiques/culturels</w:t>
            </w:r>
          </w:p>
        </w:tc>
        <w:tc>
          <w:tcPr>
            <w:tcW w:w="1302" w:type="dxa"/>
            <w:tcBorders>
              <w:top w:val="nil"/>
              <w:left w:val="nil"/>
              <w:bottom w:val="single" w:sz="4" w:space="0" w:color="auto"/>
              <w:right w:val="single" w:sz="4" w:space="0" w:color="auto"/>
            </w:tcBorders>
            <w:shd w:val="clear" w:color="auto" w:fill="C6EFCE"/>
            <w:noWrap/>
            <w:hideMark/>
          </w:tcPr>
          <w:p w14:paraId="2F5F4E94"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hideMark/>
          </w:tcPr>
          <w:p w14:paraId="76563E48" w14:textId="77777777" w:rsidR="00A345F4" w:rsidRDefault="005E2D4E">
            <w:pPr>
              <w:pStyle w:val="P68B1DB1-Normal14"/>
              <w:spacing w:after="0" w:line="240" w:lineRule="auto"/>
              <w:jc w:val="both"/>
              <w:rPr>
                <w:rFonts w:eastAsia="Times New Roman"/>
                <w:noProof/>
              </w:rPr>
            </w:pPr>
            <w:r>
              <w:rPr>
                <w:noProof/>
              </w:rPr>
              <w:t xml:space="preserve">Signature des contrats pour la promotion des 12 itinéraires </w:t>
            </w:r>
          </w:p>
        </w:tc>
        <w:tc>
          <w:tcPr>
            <w:tcW w:w="1658" w:type="dxa"/>
            <w:tcBorders>
              <w:top w:val="nil"/>
              <w:left w:val="nil"/>
              <w:bottom w:val="single" w:sz="4" w:space="0" w:color="auto"/>
              <w:right w:val="single" w:sz="4" w:space="0" w:color="auto"/>
            </w:tcBorders>
            <w:shd w:val="clear" w:color="auto" w:fill="C6EFCE"/>
            <w:noWrap/>
            <w:hideMark/>
          </w:tcPr>
          <w:p w14:paraId="65A04B09" w14:textId="77777777" w:rsidR="00A345F4" w:rsidRDefault="005E2D4E">
            <w:pPr>
              <w:pStyle w:val="P68B1DB1-Normal14"/>
              <w:spacing w:after="0" w:line="240" w:lineRule="auto"/>
              <w:jc w:val="both"/>
              <w:rPr>
                <w:rFonts w:eastAsia="Times New Roman"/>
                <w:noProof/>
              </w:rPr>
            </w:pPr>
            <w:r>
              <w:rPr>
                <w:noProof/>
              </w:rPr>
              <w:t>Signature des contrats</w:t>
            </w:r>
          </w:p>
        </w:tc>
        <w:tc>
          <w:tcPr>
            <w:tcW w:w="1298" w:type="dxa"/>
            <w:tcBorders>
              <w:top w:val="nil"/>
              <w:left w:val="nil"/>
              <w:bottom w:val="single" w:sz="4" w:space="0" w:color="auto"/>
              <w:right w:val="single" w:sz="4" w:space="0" w:color="auto"/>
            </w:tcBorders>
            <w:shd w:val="clear" w:color="auto" w:fill="C6EFCE"/>
            <w:noWrap/>
            <w:hideMark/>
          </w:tcPr>
          <w:p w14:paraId="516B9446"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hideMark/>
          </w:tcPr>
          <w:p w14:paraId="272432DF" w14:textId="77777777" w:rsidR="00A345F4" w:rsidRDefault="00A345F4">
            <w:pPr>
              <w:spacing w:after="0" w:line="240" w:lineRule="auto"/>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hideMark/>
          </w:tcPr>
          <w:p w14:paraId="32C06F00"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1B6F329C" w14:textId="77777777" w:rsidR="00A345F4" w:rsidRDefault="005E2D4E">
            <w:pPr>
              <w:pStyle w:val="P68B1DB1-Normal14"/>
              <w:spacing w:after="0" w:line="240" w:lineRule="auto"/>
              <w:jc w:val="center"/>
              <w:rPr>
                <w:rFonts w:eastAsia="Times New Roman"/>
                <w:noProof/>
              </w:rPr>
            </w:pPr>
            <w:r>
              <w:rPr>
                <w:noProof/>
              </w:rPr>
              <w:t>T3</w:t>
            </w:r>
          </w:p>
        </w:tc>
        <w:tc>
          <w:tcPr>
            <w:tcW w:w="770" w:type="dxa"/>
            <w:tcBorders>
              <w:top w:val="nil"/>
              <w:left w:val="nil"/>
              <w:bottom w:val="single" w:sz="4" w:space="0" w:color="auto"/>
              <w:right w:val="single" w:sz="4" w:space="0" w:color="auto"/>
            </w:tcBorders>
            <w:shd w:val="clear" w:color="auto" w:fill="C6EFCE"/>
            <w:noWrap/>
            <w:hideMark/>
          </w:tcPr>
          <w:p w14:paraId="13F55BD2"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nil"/>
              <w:left w:val="nil"/>
              <w:bottom w:val="single" w:sz="4" w:space="0" w:color="auto"/>
              <w:right w:val="single" w:sz="4" w:space="0" w:color="auto"/>
            </w:tcBorders>
            <w:shd w:val="clear" w:color="auto" w:fill="C6EFCE"/>
            <w:noWrap/>
            <w:hideMark/>
          </w:tcPr>
          <w:p w14:paraId="46D05643" w14:textId="77777777" w:rsidR="00A345F4" w:rsidRDefault="005E2D4E">
            <w:pPr>
              <w:pStyle w:val="P68B1DB1-Normal14"/>
              <w:spacing w:after="0" w:line="240" w:lineRule="auto"/>
              <w:jc w:val="both"/>
              <w:rPr>
                <w:noProof/>
              </w:rPr>
            </w:pPr>
            <w:r>
              <w:rPr>
                <w:noProof/>
              </w:rPr>
              <w:t>Signature de contrats pour le développement du tourisme dans chaque itinéraire culturel. Les activités suivantes sont incluses:</w:t>
            </w:r>
          </w:p>
          <w:p w14:paraId="418A336A" w14:textId="77777777" w:rsidR="00A345F4" w:rsidRDefault="005E2D4E">
            <w:pPr>
              <w:pStyle w:val="P68B1DB1-Normal14"/>
              <w:spacing w:after="0" w:line="240" w:lineRule="auto"/>
              <w:jc w:val="both"/>
              <w:rPr>
                <w:noProof/>
              </w:rPr>
            </w:pPr>
            <w:r>
              <w:rPr>
                <w:noProof/>
              </w:rPr>
              <w:t>- Numérisation des sites inclus dans l'itinéraire</w:t>
            </w:r>
          </w:p>
          <w:p w14:paraId="6DE332A3" w14:textId="77777777" w:rsidR="00A345F4" w:rsidRDefault="005E2D4E">
            <w:pPr>
              <w:pStyle w:val="P68B1DB1-Normal14"/>
              <w:spacing w:after="0" w:line="240" w:lineRule="auto"/>
              <w:jc w:val="both"/>
              <w:rPr>
                <w:noProof/>
              </w:rPr>
            </w:pPr>
            <w:r>
              <w:rPr>
                <w:noProof/>
              </w:rPr>
              <w:t>- Création d'une application dédiée aux visiteurs</w:t>
            </w:r>
          </w:p>
          <w:p w14:paraId="401A7BD8" w14:textId="77777777" w:rsidR="00A345F4" w:rsidRDefault="005E2D4E">
            <w:pPr>
              <w:pStyle w:val="P68B1DB1-Normal14"/>
              <w:spacing w:after="0" w:line="240" w:lineRule="auto"/>
              <w:jc w:val="both"/>
              <w:rPr>
                <w:noProof/>
              </w:rPr>
            </w:pPr>
            <w:r>
              <w:rPr>
                <w:noProof/>
              </w:rPr>
              <w:t>- Marquage et signalisation de l'itinéraire/des sites inclus dans l'itinéraire;</w:t>
            </w:r>
          </w:p>
          <w:p w14:paraId="530DE535" w14:textId="77777777" w:rsidR="00A345F4" w:rsidRDefault="005E2D4E">
            <w:pPr>
              <w:pStyle w:val="P68B1DB1-Normal14"/>
              <w:spacing w:after="0" w:line="240" w:lineRule="auto"/>
              <w:jc w:val="both"/>
              <w:rPr>
                <w:noProof/>
              </w:rPr>
            </w:pPr>
            <w:r>
              <w:rPr>
                <w:noProof/>
              </w:rPr>
              <w:t xml:space="preserve">- Créer une offre culturelle commune </w:t>
            </w:r>
          </w:p>
        </w:tc>
      </w:tr>
      <w:tr w:rsidR="00A345F4" w14:paraId="2FA893E9"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5EC1E7F6" w14:textId="77777777" w:rsidR="00A345F4" w:rsidRDefault="005E2D4E">
            <w:pPr>
              <w:pStyle w:val="P68B1DB1-Normal14"/>
              <w:spacing w:after="0" w:line="240" w:lineRule="auto"/>
              <w:jc w:val="center"/>
              <w:rPr>
                <w:rFonts w:eastAsia="Times New Roman"/>
                <w:noProof/>
              </w:rPr>
            </w:pPr>
            <w:r>
              <w:rPr>
                <w:noProof/>
              </w:rPr>
              <w:t>335</w:t>
            </w:r>
          </w:p>
        </w:tc>
        <w:tc>
          <w:tcPr>
            <w:tcW w:w="1586" w:type="dxa"/>
            <w:tcBorders>
              <w:top w:val="nil"/>
              <w:left w:val="nil"/>
              <w:bottom w:val="single" w:sz="4" w:space="0" w:color="auto"/>
              <w:right w:val="single" w:sz="4" w:space="0" w:color="auto"/>
            </w:tcBorders>
            <w:shd w:val="clear" w:color="auto" w:fill="C6EFCE"/>
            <w:noWrap/>
          </w:tcPr>
          <w:p w14:paraId="4FECB277" w14:textId="77777777" w:rsidR="00A345F4" w:rsidRDefault="005E2D4E">
            <w:pPr>
              <w:pStyle w:val="P68B1DB1-Normal14"/>
              <w:spacing w:after="0" w:line="240" w:lineRule="auto"/>
              <w:jc w:val="both"/>
              <w:rPr>
                <w:noProof/>
              </w:rPr>
            </w:pPr>
            <w:r>
              <w:rPr>
                <w:noProof/>
              </w:rPr>
              <w:t>Investissement 1. Promotion des 12 itinéraires touristiques/culturels</w:t>
            </w:r>
          </w:p>
        </w:tc>
        <w:tc>
          <w:tcPr>
            <w:tcW w:w="1302" w:type="dxa"/>
            <w:tcBorders>
              <w:top w:val="nil"/>
              <w:left w:val="nil"/>
              <w:bottom w:val="single" w:sz="4" w:space="0" w:color="auto"/>
              <w:right w:val="single" w:sz="4" w:space="0" w:color="auto"/>
            </w:tcBorders>
            <w:shd w:val="clear" w:color="auto" w:fill="C6EFCE"/>
            <w:noWrap/>
          </w:tcPr>
          <w:p w14:paraId="468760DD"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529BCBC3" w14:textId="77777777" w:rsidR="00A345F4" w:rsidRDefault="005E2D4E">
            <w:pPr>
              <w:pStyle w:val="P68B1DB1-Normal14"/>
              <w:spacing w:after="0" w:line="240" w:lineRule="auto"/>
              <w:jc w:val="both"/>
              <w:rPr>
                <w:rFonts w:eastAsia="Times New Roman"/>
                <w:noProof/>
              </w:rPr>
            </w:pPr>
            <w:r>
              <w:rPr>
                <w:noProof/>
              </w:rPr>
              <w:t>Sites touristiques ouverts aux visiteurs</w:t>
            </w:r>
          </w:p>
        </w:tc>
        <w:tc>
          <w:tcPr>
            <w:tcW w:w="1658" w:type="dxa"/>
            <w:tcBorders>
              <w:top w:val="nil"/>
              <w:left w:val="nil"/>
              <w:bottom w:val="single" w:sz="4" w:space="0" w:color="auto"/>
              <w:right w:val="single" w:sz="4" w:space="0" w:color="auto"/>
            </w:tcBorders>
            <w:shd w:val="clear" w:color="auto" w:fill="C6EFCE"/>
            <w:noWrap/>
          </w:tcPr>
          <w:p w14:paraId="3DE4CAA3" w14:textId="77777777" w:rsidR="00A345F4" w:rsidRDefault="005E2D4E">
            <w:pPr>
              <w:pStyle w:val="P68B1DB1-Normal19"/>
              <w:spacing w:after="0" w:line="240" w:lineRule="auto"/>
              <w:jc w:val="both"/>
              <w:rPr>
                <w:noProof/>
              </w:rPr>
            </w:pPr>
            <w:r>
              <w:rPr>
                <w:noProof/>
              </w:rPr>
              <w:t>Sites touristiques ouverts aux visiteurs</w:t>
            </w:r>
          </w:p>
        </w:tc>
        <w:tc>
          <w:tcPr>
            <w:tcW w:w="1298" w:type="dxa"/>
            <w:tcBorders>
              <w:top w:val="nil"/>
              <w:left w:val="nil"/>
              <w:bottom w:val="single" w:sz="4" w:space="0" w:color="auto"/>
              <w:right w:val="single" w:sz="4" w:space="0" w:color="auto"/>
            </w:tcBorders>
            <w:shd w:val="clear" w:color="auto" w:fill="C6EFCE"/>
            <w:noWrap/>
          </w:tcPr>
          <w:p w14:paraId="0D3E9E0B"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tcPr>
          <w:p w14:paraId="3641C2C5" w14:textId="77777777" w:rsidR="00A345F4" w:rsidRDefault="00A345F4">
            <w:pPr>
              <w:spacing w:after="0" w:line="240" w:lineRule="auto"/>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tcPr>
          <w:p w14:paraId="13D9D0F1" w14:textId="77777777" w:rsidR="00A345F4" w:rsidRDefault="00A345F4">
            <w:pPr>
              <w:spacing w:after="0" w:line="240" w:lineRule="auto"/>
              <w:jc w:val="both"/>
              <w:rPr>
                <w:rFonts w:ascii="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26316B12" w14:textId="77777777" w:rsidR="00A345F4" w:rsidRDefault="005E2D4E">
            <w:pPr>
              <w:pStyle w:val="P68B1DB1-Normal14"/>
              <w:spacing w:after="0" w:line="240" w:lineRule="auto"/>
              <w:jc w:val="center"/>
              <w:rPr>
                <w:rFonts w:eastAsia="Times New Roman"/>
                <w:noProof/>
              </w:rPr>
            </w:pPr>
            <w:r>
              <w:rPr>
                <w:noProof/>
              </w:rPr>
              <w:t>T2</w:t>
            </w:r>
          </w:p>
        </w:tc>
        <w:tc>
          <w:tcPr>
            <w:tcW w:w="770" w:type="dxa"/>
            <w:tcBorders>
              <w:top w:val="nil"/>
              <w:left w:val="nil"/>
              <w:bottom w:val="single" w:sz="4" w:space="0" w:color="auto"/>
              <w:right w:val="single" w:sz="4" w:space="0" w:color="auto"/>
            </w:tcBorders>
            <w:shd w:val="clear" w:color="auto" w:fill="C6EFCE"/>
            <w:noWrap/>
          </w:tcPr>
          <w:p w14:paraId="50E549E2" w14:textId="77777777" w:rsidR="00A345F4" w:rsidRDefault="005E2D4E">
            <w:pPr>
              <w:pStyle w:val="P68B1DB1-Normal14"/>
              <w:spacing w:after="0" w:line="240" w:lineRule="auto"/>
              <w:jc w:val="both"/>
              <w:rPr>
                <w:noProof/>
              </w:rPr>
            </w:pPr>
            <w:r>
              <w:rPr>
                <w:noProof/>
              </w:rPr>
              <w:t>2026</w:t>
            </w:r>
          </w:p>
        </w:tc>
        <w:tc>
          <w:tcPr>
            <w:tcW w:w="3634" w:type="dxa"/>
            <w:tcBorders>
              <w:top w:val="nil"/>
              <w:left w:val="nil"/>
              <w:bottom w:val="single" w:sz="4" w:space="0" w:color="auto"/>
              <w:right w:val="single" w:sz="4" w:space="0" w:color="auto"/>
            </w:tcBorders>
            <w:shd w:val="clear" w:color="auto" w:fill="C6EFCE"/>
            <w:noWrap/>
          </w:tcPr>
          <w:p w14:paraId="075053B9" w14:textId="77777777" w:rsidR="00A345F4" w:rsidRDefault="005E2D4E">
            <w:pPr>
              <w:pStyle w:val="P68B1DB1-Normal14"/>
              <w:spacing w:after="0" w:line="240" w:lineRule="auto"/>
              <w:jc w:val="both"/>
              <w:rPr>
                <w:noProof/>
              </w:rPr>
            </w:pPr>
            <w:r>
              <w:rPr>
                <w:noProof/>
              </w:rPr>
              <w:t>Certificats de réception d'achèvement d'ouvrages pour des travaux de restauration, de consolidation, de réhabilitation ou de conservation sur 201 sites touristiques.</w:t>
            </w:r>
            <w:r>
              <w:rPr>
                <w:i/>
                <w:noProof/>
              </w:rPr>
              <w:t xml:space="preserve"> </w:t>
            </w:r>
            <w:r>
              <w:rPr>
                <w:noProof/>
              </w:rPr>
              <w:t xml:space="preserve">Ces sites sont ouverts aux visiteurs. </w:t>
            </w:r>
          </w:p>
        </w:tc>
      </w:tr>
      <w:tr w:rsidR="00A345F4" w14:paraId="72EFCCAC"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713F11DB" w14:textId="77777777" w:rsidR="00A345F4" w:rsidRDefault="005E2D4E">
            <w:pPr>
              <w:pStyle w:val="P68B1DB1-Normal14"/>
              <w:spacing w:after="0" w:line="240" w:lineRule="auto"/>
              <w:jc w:val="center"/>
              <w:rPr>
                <w:rFonts w:eastAsia="Times New Roman"/>
                <w:noProof/>
              </w:rPr>
            </w:pPr>
            <w:r>
              <w:rPr>
                <w:noProof/>
              </w:rPr>
              <w:t>337</w:t>
            </w:r>
          </w:p>
        </w:tc>
        <w:tc>
          <w:tcPr>
            <w:tcW w:w="1586" w:type="dxa"/>
            <w:tcBorders>
              <w:top w:val="nil"/>
              <w:left w:val="nil"/>
              <w:bottom w:val="single" w:sz="4" w:space="0" w:color="auto"/>
              <w:right w:val="single" w:sz="4" w:space="0" w:color="auto"/>
            </w:tcBorders>
            <w:shd w:val="clear" w:color="auto" w:fill="C6EFCE"/>
            <w:noWrap/>
          </w:tcPr>
          <w:p w14:paraId="1B9CF1F3" w14:textId="77777777" w:rsidR="00A345F4" w:rsidRDefault="005E2D4E">
            <w:pPr>
              <w:pStyle w:val="P68B1DB1-Normal14"/>
              <w:spacing w:after="0" w:line="240" w:lineRule="auto"/>
              <w:jc w:val="both"/>
              <w:rPr>
                <w:noProof/>
              </w:rPr>
            </w:pPr>
            <w:r>
              <w:rPr>
                <w:noProof/>
              </w:rPr>
              <w:t>Investissement 2. Modernisation/création de musées et de monuments commémoratifs</w:t>
            </w:r>
          </w:p>
          <w:p w14:paraId="6EFAC6A0"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02" w:type="dxa"/>
            <w:tcBorders>
              <w:top w:val="nil"/>
              <w:left w:val="nil"/>
              <w:bottom w:val="single" w:sz="4" w:space="0" w:color="auto"/>
              <w:right w:val="single" w:sz="4" w:space="0" w:color="auto"/>
            </w:tcBorders>
            <w:shd w:val="clear" w:color="auto" w:fill="C6EFCE"/>
            <w:noWrap/>
          </w:tcPr>
          <w:p w14:paraId="25A2CFAE" w14:textId="77777777" w:rsidR="00A345F4" w:rsidRDefault="005E2D4E">
            <w:pPr>
              <w:pStyle w:val="P68B1DB1-Normal14"/>
              <w:spacing w:after="0" w:line="240" w:lineRule="auto"/>
              <w:jc w:val="center"/>
              <w:rPr>
                <w:rFonts w:eastAsia="Times New Roman"/>
                <w:noProof/>
              </w:rPr>
            </w:pPr>
            <w:r>
              <w:rPr>
                <w:noProof/>
              </w:rPr>
              <w:t>Objectif</w:t>
            </w:r>
          </w:p>
        </w:tc>
        <w:tc>
          <w:tcPr>
            <w:tcW w:w="1518" w:type="dxa"/>
            <w:tcBorders>
              <w:top w:val="nil"/>
              <w:left w:val="nil"/>
              <w:bottom w:val="single" w:sz="4" w:space="0" w:color="auto"/>
              <w:right w:val="single" w:sz="4" w:space="0" w:color="auto"/>
            </w:tcBorders>
            <w:shd w:val="clear" w:color="auto" w:fill="C6EFCE"/>
            <w:noWrap/>
          </w:tcPr>
          <w:p w14:paraId="7205FAE2" w14:textId="77777777" w:rsidR="00A345F4" w:rsidRDefault="005E2D4E">
            <w:pPr>
              <w:pStyle w:val="P68B1DB1-Normal14"/>
              <w:spacing w:after="0" w:line="240" w:lineRule="auto"/>
              <w:jc w:val="both"/>
              <w:rPr>
                <w:rFonts w:eastAsia="Times New Roman"/>
                <w:noProof/>
              </w:rPr>
            </w:pPr>
            <w:r>
              <w:rPr>
                <w:noProof/>
              </w:rPr>
              <w:t>Musées ou mémoriaux ouverts au public</w:t>
            </w:r>
          </w:p>
        </w:tc>
        <w:tc>
          <w:tcPr>
            <w:tcW w:w="1658" w:type="dxa"/>
            <w:tcBorders>
              <w:top w:val="nil"/>
              <w:left w:val="nil"/>
              <w:bottom w:val="single" w:sz="4" w:space="0" w:color="auto"/>
              <w:right w:val="single" w:sz="4" w:space="0" w:color="auto"/>
            </w:tcBorders>
            <w:shd w:val="clear" w:color="auto" w:fill="C6EFCE"/>
            <w:noWrap/>
          </w:tcPr>
          <w:p w14:paraId="6A76A48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98" w:type="dxa"/>
            <w:tcBorders>
              <w:top w:val="nil"/>
              <w:left w:val="nil"/>
              <w:bottom w:val="single" w:sz="4" w:space="0" w:color="auto"/>
              <w:right w:val="single" w:sz="4" w:space="0" w:color="auto"/>
            </w:tcBorders>
            <w:shd w:val="clear" w:color="auto" w:fill="C6EFCE"/>
            <w:noWrap/>
          </w:tcPr>
          <w:p w14:paraId="64932676" w14:textId="77777777" w:rsidR="00A345F4" w:rsidRDefault="005E2D4E">
            <w:pPr>
              <w:pStyle w:val="P68B1DB1-Normal14"/>
              <w:spacing w:after="0" w:line="240" w:lineRule="auto"/>
              <w:rPr>
                <w:rFonts w:eastAsia="Times New Roman"/>
                <w:noProof/>
              </w:rPr>
            </w:pPr>
            <w:r>
              <w:rPr>
                <w:noProof/>
              </w:rPr>
              <w:t>Numéro</w:t>
            </w:r>
          </w:p>
        </w:tc>
        <w:tc>
          <w:tcPr>
            <w:tcW w:w="1157" w:type="dxa"/>
            <w:tcBorders>
              <w:top w:val="nil"/>
              <w:left w:val="nil"/>
              <w:bottom w:val="single" w:sz="4" w:space="0" w:color="auto"/>
              <w:right w:val="single" w:sz="4" w:space="0" w:color="auto"/>
            </w:tcBorders>
            <w:shd w:val="clear" w:color="auto" w:fill="C6EFCE"/>
            <w:noWrap/>
          </w:tcPr>
          <w:p w14:paraId="7C375F05" w14:textId="77777777" w:rsidR="00A345F4" w:rsidRDefault="005E2D4E">
            <w:pPr>
              <w:pStyle w:val="P68B1DB1-Normal14"/>
              <w:spacing w:after="0" w:line="240" w:lineRule="auto"/>
              <w:rPr>
                <w:rFonts w:eastAsia="Times New Roman"/>
                <w:noProof/>
              </w:rPr>
            </w:pPr>
            <w:r>
              <w:rPr>
                <w:noProof/>
              </w:rPr>
              <w:t>0</w:t>
            </w:r>
          </w:p>
        </w:tc>
        <w:tc>
          <w:tcPr>
            <w:tcW w:w="959" w:type="dxa"/>
            <w:tcBorders>
              <w:top w:val="nil"/>
              <w:left w:val="nil"/>
              <w:bottom w:val="single" w:sz="4" w:space="0" w:color="auto"/>
              <w:right w:val="single" w:sz="4" w:space="0" w:color="auto"/>
            </w:tcBorders>
            <w:shd w:val="clear" w:color="auto" w:fill="C6EFCE"/>
            <w:noWrap/>
          </w:tcPr>
          <w:p w14:paraId="73454111" w14:textId="77777777" w:rsidR="00A345F4" w:rsidRDefault="005E2D4E">
            <w:pPr>
              <w:pStyle w:val="P68B1DB1-Normal14"/>
              <w:spacing w:after="0" w:line="240" w:lineRule="auto"/>
              <w:jc w:val="both"/>
              <w:rPr>
                <w:noProof/>
              </w:rPr>
            </w:pPr>
            <w:r>
              <w:rPr>
                <w:noProof/>
              </w:rPr>
              <w:t>5</w:t>
            </w:r>
          </w:p>
        </w:tc>
        <w:tc>
          <w:tcPr>
            <w:tcW w:w="1134" w:type="dxa"/>
            <w:tcBorders>
              <w:top w:val="nil"/>
              <w:left w:val="nil"/>
              <w:bottom w:val="single" w:sz="4" w:space="0" w:color="auto"/>
              <w:right w:val="single" w:sz="4" w:space="0" w:color="auto"/>
            </w:tcBorders>
            <w:shd w:val="clear" w:color="auto" w:fill="C6EFCE"/>
            <w:noWrap/>
          </w:tcPr>
          <w:p w14:paraId="42DE2BED" w14:textId="77777777" w:rsidR="00A345F4" w:rsidRDefault="005E2D4E">
            <w:pPr>
              <w:pStyle w:val="P68B1DB1-Normal14"/>
              <w:spacing w:after="0" w:line="240" w:lineRule="auto"/>
              <w:jc w:val="center"/>
              <w:rPr>
                <w:rFonts w:eastAsia="Times New Roman"/>
                <w:noProof/>
              </w:rPr>
            </w:pPr>
            <w:r>
              <w:rPr>
                <w:noProof/>
              </w:rPr>
              <w:t>T2</w:t>
            </w:r>
          </w:p>
        </w:tc>
        <w:tc>
          <w:tcPr>
            <w:tcW w:w="770" w:type="dxa"/>
            <w:tcBorders>
              <w:top w:val="nil"/>
              <w:left w:val="nil"/>
              <w:bottom w:val="single" w:sz="4" w:space="0" w:color="auto"/>
              <w:right w:val="single" w:sz="4" w:space="0" w:color="auto"/>
            </w:tcBorders>
            <w:shd w:val="clear" w:color="auto" w:fill="C6EFCE"/>
            <w:noWrap/>
          </w:tcPr>
          <w:p w14:paraId="6047FB96" w14:textId="77777777" w:rsidR="00A345F4" w:rsidRDefault="005E2D4E">
            <w:pPr>
              <w:pStyle w:val="P68B1DB1-Normal14"/>
              <w:spacing w:after="0" w:line="240" w:lineRule="auto"/>
              <w:jc w:val="both"/>
              <w:rPr>
                <w:rFonts w:eastAsia="Times New Roman"/>
                <w:noProof/>
              </w:rPr>
            </w:pPr>
            <w:r>
              <w:rPr>
                <w:noProof/>
              </w:rPr>
              <w:t>2026</w:t>
            </w:r>
          </w:p>
        </w:tc>
        <w:tc>
          <w:tcPr>
            <w:tcW w:w="3634" w:type="dxa"/>
            <w:tcBorders>
              <w:top w:val="nil"/>
              <w:left w:val="nil"/>
              <w:bottom w:val="single" w:sz="4" w:space="0" w:color="auto"/>
              <w:right w:val="single" w:sz="4" w:space="0" w:color="auto"/>
            </w:tcBorders>
            <w:shd w:val="clear" w:color="auto" w:fill="C6EFCE"/>
            <w:noWrap/>
          </w:tcPr>
          <w:p w14:paraId="448B9730" w14:textId="45FE28AC" w:rsidR="00A345F4" w:rsidRDefault="005E2D4E">
            <w:pPr>
              <w:pStyle w:val="P68B1DB1-Normal14"/>
              <w:spacing w:after="0" w:line="240" w:lineRule="auto"/>
              <w:jc w:val="both"/>
              <w:rPr>
                <w:noProof/>
              </w:rPr>
            </w:pPr>
            <w:r>
              <w:rPr>
                <w:noProof/>
              </w:rPr>
              <w:t>Cinq musées ou mémoriaux ouverts au public comme suit:</w:t>
            </w:r>
          </w:p>
          <w:p w14:paraId="3A33E348" w14:textId="77777777" w:rsidR="00A345F4" w:rsidRDefault="005E2D4E">
            <w:pPr>
              <w:pStyle w:val="P68B1DB1-Normal14"/>
              <w:spacing w:after="0" w:line="240" w:lineRule="auto"/>
              <w:jc w:val="both"/>
              <w:rPr>
                <w:noProof/>
              </w:rPr>
            </w:pPr>
            <w:r>
              <w:rPr>
                <w:noProof/>
              </w:rPr>
              <w:t xml:space="preserve">Le musée et les mémoriaux suivants seront construits: </w:t>
            </w:r>
          </w:p>
          <w:p w14:paraId="73A308A3" w14:textId="77777777" w:rsidR="00A345F4" w:rsidRDefault="005E2D4E">
            <w:pPr>
              <w:pStyle w:val="P68B1DB1-Normal14"/>
              <w:spacing w:after="0" w:line="240" w:lineRule="auto"/>
              <w:jc w:val="both"/>
              <w:rPr>
                <w:noProof/>
              </w:rPr>
            </w:pPr>
            <w:r>
              <w:rPr>
                <w:noProof/>
              </w:rPr>
              <w:t>La Galerie d'Histoire de Transylvanie;</w:t>
            </w:r>
          </w:p>
          <w:p w14:paraId="508F39FE" w14:textId="77777777" w:rsidR="00A345F4" w:rsidRDefault="005E2D4E">
            <w:pPr>
              <w:pStyle w:val="P68B1DB1-Normal14"/>
              <w:spacing w:before="120" w:after="0" w:line="240" w:lineRule="auto"/>
              <w:contextualSpacing/>
              <w:jc w:val="both"/>
              <w:rPr>
                <w:noProof/>
              </w:rPr>
            </w:pPr>
            <w:r>
              <w:rPr>
                <w:noProof/>
              </w:rPr>
              <w:t>Lieu commémoratif de Rapa Robilor et centre d'accueil des visiteurs;</w:t>
            </w:r>
          </w:p>
          <w:p w14:paraId="21B0AAF4" w14:textId="77777777" w:rsidR="00A345F4" w:rsidRDefault="005E2D4E">
            <w:pPr>
              <w:pStyle w:val="P68B1DB1-Normal14"/>
              <w:spacing w:before="120" w:after="0" w:line="240" w:lineRule="auto"/>
              <w:contextualSpacing/>
              <w:jc w:val="both"/>
              <w:rPr>
                <w:noProof/>
              </w:rPr>
            </w:pPr>
            <w:r>
              <w:rPr>
                <w:noProof/>
              </w:rPr>
              <w:t>Mémorial du déplacement forcé de personnes et de la surindustrialisation, Satu Mare.</w:t>
            </w:r>
          </w:p>
          <w:p w14:paraId="119B18C7" w14:textId="27BB0827" w:rsidR="00A345F4" w:rsidRDefault="005E2D4E">
            <w:pPr>
              <w:pStyle w:val="P68B1DB1-Normal14"/>
              <w:spacing w:before="120" w:after="0" w:line="240" w:lineRule="auto"/>
              <w:contextualSpacing/>
              <w:jc w:val="both"/>
              <w:rPr>
                <w:noProof/>
              </w:rPr>
            </w:pPr>
            <w:r>
              <w:rPr>
                <w:noProof/>
              </w:rPr>
              <w:t>Le musée et le mémorial suivants sont restaurés, rénovés ou modernisés:</w:t>
            </w:r>
          </w:p>
          <w:p w14:paraId="06123E5F" w14:textId="77777777" w:rsidR="00A345F4" w:rsidRDefault="005E2D4E">
            <w:pPr>
              <w:pStyle w:val="P68B1DB1-Normal14"/>
              <w:numPr>
                <w:ilvl w:val="0"/>
                <w:numId w:val="54"/>
              </w:numPr>
              <w:spacing w:before="120" w:after="0" w:line="240" w:lineRule="auto"/>
              <w:contextualSpacing/>
              <w:jc w:val="both"/>
              <w:rPr>
                <w:noProof/>
              </w:rPr>
            </w:pPr>
            <w:r>
              <w:rPr>
                <w:noProof/>
              </w:rPr>
              <w:t>Mémorial des victimes, Sighet;</w:t>
            </w:r>
          </w:p>
          <w:p w14:paraId="04EF7F35" w14:textId="77777777" w:rsidR="00A345F4" w:rsidRDefault="005E2D4E">
            <w:pPr>
              <w:pStyle w:val="P68B1DB1-Normal14"/>
              <w:numPr>
                <w:ilvl w:val="0"/>
                <w:numId w:val="54"/>
              </w:numPr>
              <w:spacing w:before="120" w:after="0" w:line="240" w:lineRule="auto"/>
              <w:contextualSpacing/>
              <w:jc w:val="both"/>
              <w:rPr>
                <w:noProof/>
              </w:rPr>
            </w:pPr>
            <w:r>
              <w:rPr>
                <w:noProof/>
              </w:rPr>
              <w:t>Musée des horreurs du communisme, Sfântu Gheorghe.</w:t>
            </w:r>
          </w:p>
        </w:tc>
      </w:tr>
      <w:tr w:rsidR="00A345F4" w14:paraId="3FE78710"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748BDA11" w14:textId="77777777" w:rsidR="00A345F4" w:rsidRDefault="005E2D4E">
            <w:pPr>
              <w:pStyle w:val="P68B1DB1-Normal14"/>
              <w:spacing w:after="0" w:line="240" w:lineRule="auto"/>
              <w:jc w:val="center"/>
              <w:rPr>
                <w:rFonts w:eastAsia="Times New Roman"/>
                <w:noProof/>
              </w:rPr>
            </w:pPr>
            <w:r>
              <w:rPr>
                <w:noProof/>
              </w:rPr>
              <w:t>338</w:t>
            </w:r>
          </w:p>
        </w:tc>
        <w:tc>
          <w:tcPr>
            <w:tcW w:w="1586" w:type="dxa"/>
            <w:tcBorders>
              <w:top w:val="nil"/>
              <w:left w:val="nil"/>
              <w:bottom w:val="single" w:sz="4" w:space="0" w:color="auto"/>
              <w:right w:val="single" w:sz="4" w:space="0" w:color="auto"/>
            </w:tcBorders>
            <w:shd w:val="clear" w:color="auto" w:fill="C6EFCE"/>
            <w:noWrap/>
          </w:tcPr>
          <w:p w14:paraId="3439BA7C" w14:textId="77777777" w:rsidR="00A345F4" w:rsidRDefault="005E2D4E">
            <w:pPr>
              <w:pStyle w:val="P68B1DB1-Normal14"/>
              <w:spacing w:after="0" w:line="240" w:lineRule="auto"/>
              <w:jc w:val="both"/>
              <w:rPr>
                <w:rFonts w:eastAsia="Times New Roman"/>
                <w:noProof/>
              </w:rPr>
            </w:pPr>
            <w:r>
              <w:rPr>
                <w:noProof/>
              </w:rPr>
              <w:t>Réforme 2. Cadre pour l'exploitation des pistes cyclables au niveau national</w:t>
            </w:r>
          </w:p>
        </w:tc>
        <w:tc>
          <w:tcPr>
            <w:tcW w:w="1302" w:type="dxa"/>
            <w:tcBorders>
              <w:top w:val="nil"/>
              <w:left w:val="nil"/>
              <w:bottom w:val="single" w:sz="4" w:space="0" w:color="auto"/>
              <w:right w:val="single" w:sz="4" w:space="0" w:color="auto"/>
            </w:tcBorders>
            <w:shd w:val="clear" w:color="auto" w:fill="C6EFCE"/>
            <w:noWrap/>
          </w:tcPr>
          <w:p w14:paraId="25B3E7B6"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01CD0198" w14:textId="77777777" w:rsidR="00A345F4" w:rsidRDefault="005E2D4E">
            <w:pPr>
              <w:pStyle w:val="P68B1DB1-Normal14"/>
              <w:spacing w:after="0" w:line="240" w:lineRule="auto"/>
              <w:jc w:val="both"/>
              <w:rPr>
                <w:rFonts w:eastAsia="Times New Roman"/>
                <w:noProof/>
              </w:rPr>
            </w:pPr>
            <w:r>
              <w:rPr>
                <w:noProof/>
              </w:rPr>
              <w:t xml:space="preserve">Entrée en vigueur du cadre réglementaire relatif au cyclotourisme </w:t>
            </w:r>
          </w:p>
        </w:tc>
        <w:tc>
          <w:tcPr>
            <w:tcW w:w="1658" w:type="dxa"/>
            <w:tcBorders>
              <w:top w:val="nil"/>
              <w:left w:val="nil"/>
              <w:bottom w:val="single" w:sz="4" w:space="0" w:color="auto"/>
              <w:right w:val="single" w:sz="4" w:space="0" w:color="auto"/>
            </w:tcBorders>
            <w:shd w:val="clear" w:color="auto" w:fill="C6EFCE"/>
            <w:noWrap/>
          </w:tcPr>
          <w:p w14:paraId="30C2DAD8" w14:textId="77777777" w:rsidR="00A345F4" w:rsidRDefault="005E2D4E">
            <w:pPr>
              <w:pStyle w:val="P68B1DB1-Normal14"/>
              <w:spacing w:after="0" w:line="240" w:lineRule="auto"/>
              <w:jc w:val="both"/>
              <w:rPr>
                <w:rFonts w:eastAsia="Times New Roman"/>
                <w:noProof/>
              </w:rPr>
            </w:pPr>
            <w:r>
              <w:rPr>
                <w:noProof/>
              </w:rPr>
              <w:t>Disposition de la loi indiquant l’entrée en vigueur du cadre réglementaire relatif au cyclotourisme</w:t>
            </w:r>
          </w:p>
        </w:tc>
        <w:tc>
          <w:tcPr>
            <w:tcW w:w="1298" w:type="dxa"/>
            <w:tcBorders>
              <w:top w:val="nil"/>
              <w:left w:val="nil"/>
              <w:bottom w:val="single" w:sz="4" w:space="0" w:color="auto"/>
              <w:right w:val="single" w:sz="4" w:space="0" w:color="auto"/>
            </w:tcBorders>
            <w:shd w:val="clear" w:color="auto" w:fill="C6EFCE"/>
            <w:noWrap/>
          </w:tcPr>
          <w:p w14:paraId="3E5253E8" w14:textId="77777777" w:rsidR="00A345F4" w:rsidRDefault="005E2D4E">
            <w:pPr>
              <w:pStyle w:val="P68B1DB1-Normal14"/>
              <w:spacing w:after="0" w:line="240" w:lineRule="auto"/>
              <w:rPr>
                <w:rFonts w:eastAsia="Times New Roman"/>
                <w:noProof/>
              </w:rPr>
            </w:pPr>
            <w:r>
              <w:rPr>
                <w:noProof/>
              </w:rPr>
              <w:t xml:space="preserve"> </w:t>
            </w:r>
          </w:p>
        </w:tc>
        <w:tc>
          <w:tcPr>
            <w:tcW w:w="1157" w:type="dxa"/>
            <w:tcBorders>
              <w:top w:val="nil"/>
              <w:left w:val="nil"/>
              <w:bottom w:val="single" w:sz="4" w:space="0" w:color="auto"/>
              <w:right w:val="single" w:sz="4" w:space="0" w:color="auto"/>
            </w:tcBorders>
            <w:shd w:val="clear" w:color="auto" w:fill="C6EFCE"/>
            <w:noWrap/>
          </w:tcPr>
          <w:p w14:paraId="7769C80A" w14:textId="77777777" w:rsidR="00A345F4" w:rsidRDefault="005E2D4E">
            <w:pPr>
              <w:pStyle w:val="P68B1DB1-Normal14"/>
              <w:spacing w:after="0" w:line="240" w:lineRule="auto"/>
              <w:rPr>
                <w:rFonts w:eastAsia="Times New Roman"/>
                <w:noProof/>
              </w:rPr>
            </w:pPr>
            <w:r>
              <w:rPr>
                <w:noProof/>
              </w:rPr>
              <w:t xml:space="preserve"> </w:t>
            </w:r>
          </w:p>
        </w:tc>
        <w:tc>
          <w:tcPr>
            <w:tcW w:w="959" w:type="dxa"/>
            <w:tcBorders>
              <w:top w:val="nil"/>
              <w:left w:val="nil"/>
              <w:bottom w:val="single" w:sz="4" w:space="0" w:color="auto"/>
              <w:right w:val="single" w:sz="4" w:space="0" w:color="auto"/>
            </w:tcBorders>
            <w:shd w:val="clear" w:color="auto" w:fill="C6EFCE"/>
            <w:noWrap/>
          </w:tcPr>
          <w:p w14:paraId="302C22E4" w14:textId="77777777" w:rsidR="00A345F4" w:rsidRDefault="005E2D4E">
            <w:pPr>
              <w:pStyle w:val="P68B1DB1-Normal14"/>
              <w:spacing w:after="0" w:line="240" w:lineRule="auto"/>
              <w:rPr>
                <w:rFonts w:eastAsia="Times New Roman"/>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28435707" w14:textId="77777777" w:rsidR="00A345F4" w:rsidRDefault="005E2D4E">
            <w:pPr>
              <w:pStyle w:val="P68B1DB1-Normal14"/>
              <w:spacing w:after="0" w:line="240" w:lineRule="auto"/>
              <w:jc w:val="center"/>
              <w:rPr>
                <w:rFonts w:eastAsia="Times New Roman"/>
                <w:noProof/>
              </w:rPr>
            </w:pPr>
            <w:r>
              <w:rPr>
                <w:noProof/>
              </w:rPr>
              <w:t>T1</w:t>
            </w:r>
          </w:p>
        </w:tc>
        <w:tc>
          <w:tcPr>
            <w:tcW w:w="770" w:type="dxa"/>
            <w:tcBorders>
              <w:top w:val="nil"/>
              <w:left w:val="nil"/>
              <w:bottom w:val="single" w:sz="4" w:space="0" w:color="auto"/>
              <w:right w:val="single" w:sz="4" w:space="0" w:color="auto"/>
            </w:tcBorders>
            <w:shd w:val="clear" w:color="auto" w:fill="C6EFCE"/>
            <w:noWrap/>
          </w:tcPr>
          <w:p w14:paraId="3A6E64FC"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nil"/>
              <w:left w:val="nil"/>
              <w:bottom w:val="single" w:sz="4" w:space="0" w:color="auto"/>
              <w:right w:val="single" w:sz="4" w:space="0" w:color="auto"/>
            </w:tcBorders>
            <w:shd w:val="clear" w:color="auto" w:fill="C6EFCE"/>
            <w:noWrap/>
          </w:tcPr>
          <w:p w14:paraId="3824EF4A" w14:textId="77777777" w:rsidR="00A345F4" w:rsidRDefault="005E2D4E">
            <w:pPr>
              <w:pStyle w:val="P68B1DB1-Normal14"/>
              <w:spacing w:after="0" w:line="240" w:lineRule="auto"/>
              <w:jc w:val="both"/>
              <w:rPr>
                <w:noProof/>
              </w:rPr>
            </w:pPr>
            <w:r>
              <w:rPr>
                <w:noProof/>
              </w:rPr>
              <w:t xml:space="preserve">Le cadre réglementaire (décisions gouvernementales) pour la mise en service des pistes cyclables comprend les éléments suivants: </w:t>
            </w:r>
          </w:p>
          <w:p w14:paraId="7BFCB841" w14:textId="77777777" w:rsidR="00A345F4" w:rsidRDefault="005E2D4E">
            <w:pPr>
              <w:pStyle w:val="P68B1DB1-Normal14"/>
              <w:spacing w:after="0" w:line="240" w:lineRule="auto"/>
              <w:jc w:val="both"/>
              <w:rPr>
                <w:noProof/>
              </w:rPr>
            </w:pPr>
            <w:r>
              <w:rPr>
                <w:noProof/>
              </w:rPr>
              <w:t>- mise en place des institutions chargées de l'opérationnalisation et du suivi des infrastructures de cyclotourisme (y compris le Centre national de coordination des itinéraires cyclables)</w:t>
            </w:r>
          </w:p>
          <w:p w14:paraId="293595AB" w14:textId="77777777" w:rsidR="00A345F4" w:rsidRDefault="005E2D4E">
            <w:pPr>
              <w:pStyle w:val="P68B1DB1-Normal14"/>
              <w:spacing w:after="0" w:line="240" w:lineRule="auto"/>
              <w:jc w:val="both"/>
              <w:rPr>
                <w:noProof/>
              </w:rPr>
            </w:pPr>
            <w:r>
              <w:rPr>
                <w:noProof/>
              </w:rPr>
              <w:t>- établissement des typologies et des caractéristiques des pistes cyclables;</w:t>
            </w:r>
          </w:p>
          <w:p w14:paraId="07BB84EF" w14:textId="77777777" w:rsidR="00A345F4" w:rsidRDefault="005E2D4E">
            <w:pPr>
              <w:pStyle w:val="P68B1DB1-Normal14"/>
              <w:spacing w:after="0" w:line="240" w:lineRule="auto"/>
              <w:jc w:val="both"/>
              <w:rPr>
                <w:rFonts w:eastAsia="Times New Roman"/>
                <w:noProof/>
              </w:rPr>
            </w:pPr>
            <w:r>
              <w:rPr>
                <w:noProof/>
              </w:rPr>
              <w:t>- des incitations réglementaires à l'utilisation du cyclotourisme.</w:t>
            </w:r>
          </w:p>
        </w:tc>
      </w:tr>
      <w:tr w:rsidR="00A345F4" w14:paraId="39B728DB"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30353A2B" w14:textId="77777777" w:rsidR="00A345F4" w:rsidRDefault="005E2D4E">
            <w:pPr>
              <w:pStyle w:val="P68B1DB1-Normal14"/>
              <w:spacing w:after="0" w:line="240" w:lineRule="auto"/>
              <w:jc w:val="center"/>
              <w:rPr>
                <w:rFonts w:eastAsia="Times New Roman"/>
                <w:noProof/>
              </w:rPr>
            </w:pPr>
            <w:r>
              <w:rPr>
                <w:noProof/>
              </w:rPr>
              <w:t>339</w:t>
            </w:r>
          </w:p>
        </w:tc>
        <w:tc>
          <w:tcPr>
            <w:tcW w:w="1586" w:type="dxa"/>
            <w:tcBorders>
              <w:top w:val="nil"/>
              <w:left w:val="nil"/>
              <w:bottom w:val="single" w:sz="4" w:space="0" w:color="auto"/>
              <w:right w:val="single" w:sz="4" w:space="0" w:color="auto"/>
            </w:tcBorders>
            <w:shd w:val="clear" w:color="auto" w:fill="C6EFCE"/>
            <w:noWrap/>
          </w:tcPr>
          <w:p w14:paraId="050556CC" w14:textId="77777777" w:rsidR="00A345F4" w:rsidRDefault="005E2D4E">
            <w:pPr>
              <w:pStyle w:val="P68B1DB1-Normal14"/>
              <w:spacing w:after="0" w:line="240" w:lineRule="auto"/>
              <w:jc w:val="both"/>
              <w:rPr>
                <w:rFonts w:eastAsia="Times New Roman"/>
                <w:noProof/>
              </w:rPr>
            </w:pPr>
            <w:r>
              <w:rPr>
                <w:noProof/>
              </w:rPr>
              <w:t>Réforme 2. Cadre pour l'exploitation des pistes cyclables au niveau national</w:t>
            </w:r>
          </w:p>
        </w:tc>
        <w:tc>
          <w:tcPr>
            <w:tcW w:w="1302" w:type="dxa"/>
            <w:tcBorders>
              <w:top w:val="nil"/>
              <w:left w:val="nil"/>
              <w:bottom w:val="single" w:sz="4" w:space="0" w:color="auto"/>
              <w:right w:val="single" w:sz="4" w:space="0" w:color="auto"/>
            </w:tcBorders>
            <w:shd w:val="clear" w:color="auto" w:fill="C6EFCE"/>
            <w:noWrap/>
          </w:tcPr>
          <w:p w14:paraId="38DF750D"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6F9A3C40" w14:textId="77777777" w:rsidR="00A345F4" w:rsidRDefault="005E2D4E">
            <w:pPr>
              <w:pStyle w:val="P68B1DB1-Normal14"/>
              <w:spacing w:after="0" w:line="240" w:lineRule="auto"/>
              <w:jc w:val="both"/>
              <w:rPr>
                <w:rFonts w:eastAsia="Times New Roman"/>
                <w:noProof/>
              </w:rPr>
            </w:pPr>
            <w:r>
              <w:rPr>
                <w:noProof/>
              </w:rPr>
              <w:t xml:space="preserve">Mise en place et fonctionnement du Centre national de coordination Velo Routes </w:t>
            </w:r>
          </w:p>
        </w:tc>
        <w:tc>
          <w:tcPr>
            <w:tcW w:w="1658" w:type="dxa"/>
            <w:tcBorders>
              <w:top w:val="nil"/>
              <w:left w:val="nil"/>
              <w:bottom w:val="single" w:sz="4" w:space="0" w:color="auto"/>
              <w:right w:val="single" w:sz="4" w:space="0" w:color="auto"/>
            </w:tcBorders>
            <w:shd w:val="clear" w:color="auto" w:fill="C6EFCE"/>
            <w:noWrap/>
          </w:tcPr>
          <w:p w14:paraId="0B065CDD" w14:textId="77777777" w:rsidR="00A345F4" w:rsidRDefault="005E2D4E">
            <w:pPr>
              <w:pStyle w:val="P68B1DB1-Normal14"/>
              <w:spacing w:after="0" w:line="240" w:lineRule="auto"/>
              <w:jc w:val="both"/>
              <w:rPr>
                <w:noProof/>
              </w:rPr>
            </w:pPr>
            <w:r>
              <w:rPr>
                <w:noProof/>
              </w:rPr>
              <w:t>Adoption de la décision du Gouvernement relative à la création du Centre national de coordination des itinéraires cyclables</w:t>
            </w:r>
          </w:p>
          <w:p w14:paraId="0E253645" w14:textId="77777777" w:rsidR="00A345F4" w:rsidRDefault="005E2D4E">
            <w:pPr>
              <w:pStyle w:val="P68B1DB1-Normal14"/>
              <w:spacing w:after="0" w:line="240" w:lineRule="auto"/>
              <w:jc w:val="both"/>
              <w:rPr>
                <w:rFonts w:eastAsia="Times New Roman"/>
                <w:noProof/>
              </w:rPr>
            </w:pPr>
            <w:r>
              <w:rPr>
                <w:noProof/>
              </w:rPr>
              <w:t xml:space="preserve"> </w:t>
            </w:r>
          </w:p>
        </w:tc>
        <w:tc>
          <w:tcPr>
            <w:tcW w:w="1298" w:type="dxa"/>
            <w:tcBorders>
              <w:top w:val="nil"/>
              <w:left w:val="nil"/>
              <w:bottom w:val="single" w:sz="4" w:space="0" w:color="auto"/>
              <w:right w:val="single" w:sz="4" w:space="0" w:color="auto"/>
            </w:tcBorders>
            <w:shd w:val="clear" w:color="auto" w:fill="C6EFCE"/>
            <w:noWrap/>
          </w:tcPr>
          <w:p w14:paraId="449FC072"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tcPr>
          <w:p w14:paraId="3FA6A4EA" w14:textId="77777777" w:rsidR="00A345F4" w:rsidRDefault="00A345F4">
            <w:pPr>
              <w:spacing w:after="0" w:line="240" w:lineRule="auto"/>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tcPr>
          <w:p w14:paraId="77117421"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73A10EFF" w14:textId="77777777" w:rsidR="00A345F4" w:rsidRDefault="005E2D4E">
            <w:pPr>
              <w:pStyle w:val="P68B1DB1-Normal14"/>
              <w:spacing w:after="0" w:line="240" w:lineRule="auto"/>
              <w:jc w:val="center"/>
              <w:rPr>
                <w:rFonts w:eastAsia="Times New Roman"/>
                <w:noProof/>
              </w:rPr>
            </w:pPr>
            <w:r>
              <w:rPr>
                <w:noProof/>
              </w:rPr>
              <w:t>T2</w:t>
            </w:r>
          </w:p>
        </w:tc>
        <w:tc>
          <w:tcPr>
            <w:tcW w:w="770" w:type="dxa"/>
            <w:tcBorders>
              <w:top w:val="nil"/>
              <w:left w:val="nil"/>
              <w:bottom w:val="single" w:sz="4" w:space="0" w:color="auto"/>
              <w:right w:val="single" w:sz="4" w:space="0" w:color="auto"/>
            </w:tcBorders>
            <w:shd w:val="clear" w:color="auto" w:fill="C6EFCE"/>
            <w:noWrap/>
          </w:tcPr>
          <w:p w14:paraId="04C933F7"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nil"/>
              <w:left w:val="nil"/>
              <w:bottom w:val="single" w:sz="4" w:space="0" w:color="auto"/>
              <w:right w:val="single" w:sz="4" w:space="0" w:color="auto"/>
            </w:tcBorders>
            <w:shd w:val="clear" w:color="auto" w:fill="C6EFCE"/>
            <w:noWrap/>
          </w:tcPr>
          <w:p w14:paraId="35DB50CA" w14:textId="77777777" w:rsidR="00A345F4" w:rsidRDefault="005E2D4E">
            <w:pPr>
              <w:pStyle w:val="P68B1DB1-Normal14"/>
              <w:spacing w:after="0" w:line="240" w:lineRule="auto"/>
              <w:jc w:val="both"/>
              <w:rPr>
                <w:rFonts w:eastAsia="Times New Roman"/>
                <w:noProof/>
              </w:rPr>
            </w:pPr>
            <w:r>
              <w:rPr>
                <w:noProof/>
              </w:rPr>
              <w:t>Le Centre national de coordination (CNC) pour les itinéraires Velo est établi au sein du ministère du développement, des travaux publics et de l’administration. Le CCN devient opérationnel et commence l'élaboration de l'étude et de l'application eVelo.</w:t>
            </w:r>
          </w:p>
        </w:tc>
      </w:tr>
      <w:tr w:rsidR="00A345F4" w14:paraId="55B07B88"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42A71A5F" w14:textId="77777777" w:rsidR="00A345F4" w:rsidRDefault="005E2D4E">
            <w:pPr>
              <w:pStyle w:val="P68B1DB1-Normal14"/>
              <w:spacing w:after="0" w:line="240" w:lineRule="auto"/>
              <w:jc w:val="center"/>
              <w:rPr>
                <w:rFonts w:eastAsia="Times New Roman"/>
                <w:noProof/>
              </w:rPr>
            </w:pPr>
            <w:r>
              <w:rPr>
                <w:noProof/>
              </w:rPr>
              <w:t>340</w:t>
            </w:r>
          </w:p>
        </w:tc>
        <w:tc>
          <w:tcPr>
            <w:tcW w:w="1586" w:type="dxa"/>
            <w:tcBorders>
              <w:top w:val="nil"/>
              <w:left w:val="nil"/>
              <w:bottom w:val="single" w:sz="4" w:space="0" w:color="auto"/>
              <w:right w:val="single" w:sz="4" w:space="0" w:color="auto"/>
            </w:tcBorders>
            <w:shd w:val="clear" w:color="auto" w:fill="C6EFCE"/>
            <w:noWrap/>
          </w:tcPr>
          <w:p w14:paraId="1FAB8CEC" w14:textId="77777777" w:rsidR="00A345F4" w:rsidRDefault="005E2D4E">
            <w:pPr>
              <w:pStyle w:val="P68B1DB1-Normal14"/>
              <w:spacing w:after="0" w:line="240" w:lineRule="auto"/>
              <w:jc w:val="both"/>
              <w:rPr>
                <w:noProof/>
              </w:rPr>
            </w:pPr>
            <w:r>
              <w:rPr>
                <w:noProof/>
              </w:rPr>
              <w:t>Réforme 2. Cadre pour l'exploitation des pistes cyclables au niveau national</w:t>
            </w:r>
          </w:p>
        </w:tc>
        <w:tc>
          <w:tcPr>
            <w:tcW w:w="1302" w:type="dxa"/>
            <w:tcBorders>
              <w:top w:val="nil"/>
              <w:left w:val="nil"/>
              <w:bottom w:val="single" w:sz="4" w:space="0" w:color="auto"/>
              <w:right w:val="single" w:sz="4" w:space="0" w:color="auto"/>
            </w:tcBorders>
            <w:shd w:val="clear" w:color="auto" w:fill="C6EFCE"/>
            <w:noWrap/>
          </w:tcPr>
          <w:p w14:paraId="134A0E7B" w14:textId="77777777" w:rsidR="00A345F4" w:rsidRDefault="005E2D4E">
            <w:pPr>
              <w:pStyle w:val="P68B1DB1-Normal14"/>
              <w:spacing w:after="0" w:line="240" w:lineRule="auto"/>
              <w:jc w:val="center"/>
              <w:rPr>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1B1A48DF" w14:textId="77777777" w:rsidR="00A345F4" w:rsidRDefault="005E2D4E">
            <w:pPr>
              <w:pStyle w:val="P68B1DB1-Normal14"/>
              <w:spacing w:after="0" w:line="240" w:lineRule="auto"/>
              <w:jc w:val="both"/>
              <w:rPr>
                <w:noProof/>
              </w:rPr>
            </w:pPr>
            <w:r>
              <w:rPr>
                <w:noProof/>
              </w:rPr>
              <w:t>Étude approfondie sur la répartition territoriale des pistes cyclables nationales</w:t>
            </w:r>
          </w:p>
        </w:tc>
        <w:tc>
          <w:tcPr>
            <w:tcW w:w="1658" w:type="dxa"/>
            <w:tcBorders>
              <w:top w:val="nil"/>
              <w:left w:val="nil"/>
              <w:bottom w:val="single" w:sz="4" w:space="0" w:color="auto"/>
              <w:right w:val="single" w:sz="4" w:space="0" w:color="auto"/>
            </w:tcBorders>
            <w:shd w:val="clear" w:color="auto" w:fill="C6EFCE"/>
            <w:noWrap/>
          </w:tcPr>
          <w:p w14:paraId="5A6A51BA" w14:textId="77777777" w:rsidR="00A345F4" w:rsidRDefault="005E2D4E">
            <w:pPr>
              <w:pStyle w:val="P68B1DB1-Normal14"/>
              <w:spacing w:after="0" w:line="240" w:lineRule="auto"/>
              <w:jc w:val="both"/>
              <w:rPr>
                <w:noProof/>
              </w:rPr>
            </w:pPr>
            <w:r>
              <w:rPr>
                <w:noProof/>
              </w:rPr>
              <w:t>Étude publiée</w:t>
            </w:r>
          </w:p>
        </w:tc>
        <w:tc>
          <w:tcPr>
            <w:tcW w:w="1298" w:type="dxa"/>
            <w:tcBorders>
              <w:top w:val="nil"/>
              <w:left w:val="nil"/>
              <w:bottom w:val="single" w:sz="4" w:space="0" w:color="auto"/>
              <w:right w:val="single" w:sz="4" w:space="0" w:color="auto"/>
            </w:tcBorders>
            <w:shd w:val="clear" w:color="auto" w:fill="C6EFCE"/>
            <w:noWrap/>
          </w:tcPr>
          <w:p w14:paraId="3BCE27AF"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tcPr>
          <w:p w14:paraId="6ED5399E" w14:textId="77777777" w:rsidR="00A345F4" w:rsidRDefault="00A345F4">
            <w:pPr>
              <w:spacing w:after="0" w:line="240" w:lineRule="auto"/>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tcPr>
          <w:p w14:paraId="05104276"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5BD2573F" w14:textId="77777777" w:rsidR="00A345F4" w:rsidRDefault="005E2D4E">
            <w:pPr>
              <w:pStyle w:val="P68B1DB1-Normal14"/>
              <w:spacing w:after="0" w:line="240" w:lineRule="auto"/>
              <w:jc w:val="center"/>
              <w:rPr>
                <w:rFonts w:eastAsia="Times New Roman"/>
                <w:noProof/>
              </w:rPr>
            </w:pPr>
            <w:r>
              <w:rPr>
                <w:noProof/>
              </w:rPr>
              <w:t>T3</w:t>
            </w:r>
          </w:p>
        </w:tc>
        <w:tc>
          <w:tcPr>
            <w:tcW w:w="770" w:type="dxa"/>
            <w:tcBorders>
              <w:top w:val="nil"/>
              <w:left w:val="nil"/>
              <w:bottom w:val="single" w:sz="4" w:space="0" w:color="auto"/>
              <w:right w:val="single" w:sz="4" w:space="0" w:color="auto"/>
            </w:tcBorders>
            <w:shd w:val="clear" w:color="auto" w:fill="C6EFCE"/>
            <w:noWrap/>
          </w:tcPr>
          <w:p w14:paraId="2F69F670"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nil"/>
              <w:left w:val="nil"/>
              <w:bottom w:val="single" w:sz="4" w:space="0" w:color="auto"/>
              <w:right w:val="single" w:sz="4" w:space="0" w:color="auto"/>
            </w:tcBorders>
            <w:shd w:val="clear" w:color="auto" w:fill="C6EFCE"/>
            <w:noWrap/>
          </w:tcPr>
          <w:p w14:paraId="0F1FE568" w14:textId="77777777" w:rsidR="00A345F4" w:rsidRDefault="005E2D4E">
            <w:pPr>
              <w:pStyle w:val="P68B1DB1-Normal14"/>
              <w:spacing w:after="0" w:line="240" w:lineRule="auto"/>
              <w:jc w:val="both"/>
              <w:rPr>
                <w:rFonts w:eastAsia="Times New Roman"/>
                <w:noProof/>
              </w:rPr>
            </w:pPr>
            <w:r>
              <w:rPr>
                <w:noProof/>
              </w:rPr>
              <w:t>L’étude approfondie établit la répartition territoriale des pistes cyclables (2 404 km de pistes cyclables) sur la base de critères clés (par exemple, réduction de la congestion, promotion de l’écotourisme), identifie les acteurs concernés et intègre les initiatives existantes visant à valoriser le patrimoine naturel et culturel, conformément aux exigences du jalon 338. Sur la base des résultats de l’étude, la procédure de passation de marché pour la mise en place des pistes cyclables est lancée.</w:t>
            </w:r>
          </w:p>
        </w:tc>
      </w:tr>
      <w:tr w:rsidR="00A345F4" w14:paraId="063D73D8"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6E7FE573" w14:textId="77777777" w:rsidR="00A345F4" w:rsidRDefault="005E2D4E">
            <w:pPr>
              <w:pStyle w:val="P68B1DB1-Normal14"/>
              <w:spacing w:after="0" w:line="240" w:lineRule="auto"/>
              <w:jc w:val="center"/>
              <w:rPr>
                <w:rFonts w:eastAsia="Times New Roman"/>
                <w:noProof/>
              </w:rPr>
            </w:pPr>
            <w:r>
              <w:rPr>
                <w:noProof/>
              </w:rPr>
              <w:t>341</w:t>
            </w:r>
          </w:p>
        </w:tc>
        <w:tc>
          <w:tcPr>
            <w:tcW w:w="1586" w:type="dxa"/>
            <w:tcBorders>
              <w:top w:val="nil"/>
              <w:left w:val="nil"/>
              <w:bottom w:val="single" w:sz="4" w:space="0" w:color="auto"/>
              <w:right w:val="single" w:sz="4" w:space="0" w:color="auto"/>
            </w:tcBorders>
            <w:shd w:val="clear" w:color="auto" w:fill="C6EFCE"/>
            <w:noWrap/>
          </w:tcPr>
          <w:p w14:paraId="3B924CD6" w14:textId="77777777" w:rsidR="00A345F4" w:rsidRDefault="005E2D4E">
            <w:pPr>
              <w:pStyle w:val="P68B1DB1-Normal14"/>
              <w:spacing w:after="0" w:line="240" w:lineRule="auto"/>
              <w:jc w:val="both"/>
              <w:rPr>
                <w:rFonts w:eastAsia="Times New Roman"/>
                <w:noProof/>
              </w:rPr>
            </w:pPr>
            <w:r>
              <w:rPr>
                <w:noProof/>
              </w:rPr>
              <w:t>Investissement 3. Mise en place et fonctionnement du centre national de coordination de Velo</w:t>
            </w:r>
          </w:p>
        </w:tc>
        <w:tc>
          <w:tcPr>
            <w:tcW w:w="1302" w:type="dxa"/>
            <w:tcBorders>
              <w:top w:val="nil"/>
              <w:left w:val="nil"/>
              <w:bottom w:val="single" w:sz="4" w:space="0" w:color="auto"/>
              <w:right w:val="single" w:sz="4" w:space="0" w:color="auto"/>
            </w:tcBorders>
            <w:shd w:val="clear" w:color="auto" w:fill="C6EFCE"/>
            <w:noWrap/>
          </w:tcPr>
          <w:p w14:paraId="769A827C"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208CB999" w14:textId="77777777" w:rsidR="00A345F4" w:rsidRDefault="005E2D4E">
            <w:pPr>
              <w:pStyle w:val="P68B1DB1-Normal14"/>
              <w:spacing w:after="0" w:line="240" w:lineRule="auto"/>
              <w:jc w:val="both"/>
              <w:rPr>
                <w:rFonts w:eastAsia="Times New Roman"/>
                <w:noProof/>
              </w:rPr>
            </w:pPr>
            <w:r>
              <w:rPr>
                <w:noProof/>
              </w:rPr>
              <w:t>Plateforme nationale eVelo intégrée et application pour smartphone</w:t>
            </w:r>
          </w:p>
        </w:tc>
        <w:tc>
          <w:tcPr>
            <w:tcW w:w="1658" w:type="dxa"/>
            <w:tcBorders>
              <w:top w:val="nil"/>
              <w:left w:val="nil"/>
              <w:bottom w:val="single" w:sz="4" w:space="0" w:color="auto"/>
              <w:right w:val="single" w:sz="4" w:space="0" w:color="auto"/>
            </w:tcBorders>
            <w:shd w:val="clear" w:color="auto" w:fill="C6EFCE"/>
            <w:noWrap/>
          </w:tcPr>
          <w:p w14:paraId="51B8E172" w14:textId="77777777" w:rsidR="00A345F4" w:rsidRDefault="005E2D4E">
            <w:pPr>
              <w:pStyle w:val="P68B1DB1-Normal14"/>
              <w:spacing w:after="0" w:line="240" w:lineRule="auto"/>
              <w:jc w:val="both"/>
              <w:rPr>
                <w:rFonts w:eastAsia="Times New Roman"/>
                <w:noProof/>
              </w:rPr>
            </w:pPr>
            <w:r>
              <w:rPr>
                <w:noProof/>
              </w:rPr>
              <w:t>Développement et publication de la plateforme et de l'application</w:t>
            </w:r>
          </w:p>
        </w:tc>
        <w:tc>
          <w:tcPr>
            <w:tcW w:w="1298" w:type="dxa"/>
            <w:tcBorders>
              <w:top w:val="nil"/>
              <w:left w:val="nil"/>
              <w:bottom w:val="single" w:sz="4" w:space="0" w:color="auto"/>
              <w:right w:val="single" w:sz="4" w:space="0" w:color="auto"/>
            </w:tcBorders>
            <w:shd w:val="clear" w:color="auto" w:fill="C6EFCE"/>
            <w:noWrap/>
          </w:tcPr>
          <w:p w14:paraId="3CADBB77"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tcPr>
          <w:p w14:paraId="6FFD9108" w14:textId="77777777" w:rsidR="00A345F4" w:rsidRDefault="00A345F4">
            <w:pPr>
              <w:spacing w:after="0" w:line="240" w:lineRule="auto"/>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tcPr>
          <w:p w14:paraId="6DB1C0B6"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573AFA08" w14:textId="77777777" w:rsidR="00A345F4" w:rsidRDefault="005E2D4E">
            <w:pPr>
              <w:pStyle w:val="P68B1DB1-Normal14"/>
              <w:spacing w:after="0" w:line="240" w:lineRule="auto"/>
              <w:jc w:val="center"/>
              <w:rPr>
                <w:rFonts w:eastAsia="Times New Roman"/>
                <w:noProof/>
              </w:rPr>
            </w:pPr>
            <w:r>
              <w:rPr>
                <w:noProof/>
              </w:rPr>
              <w:t>T3</w:t>
            </w:r>
          </w:p>
        </w:tc>
        <w:tc>
          <w:tcPr>
            <w:tcW w:w="770" w:type="dxa"/>
            <w:tcBorders>
              <w:top w:val="nil"/>
              <w:left w:val="nil"/>
              <w:bottom w:val="single" w:sz="4" w:space="0" w:color="auto"/>
              <w:right w:val="single" w:sz="4" w:space="0" w:color="auto"/>
            </w:tcBorders>
            <w:shd w:val="clear" w:color="auto" w:fill="C6EFCE"/>
            <w:noWrap/>
          </w:tcPr>
          <w:p w14:paraId="0C96DEC0"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nil"/>
              <w:left w:val="nil"/>
              <w:bottom w:val="single" w:sz="4" w:space="0" w:color="auto"/>
              <w:right w:val="single" w:sz="4" w:space="0" w:color="auto"/>
            </w:tcBorders>
            <w:shd w:val="clear" w:color="auto" w:fill="C6EFCE"/>
            <w:noWrap/>
          </w:tcPr>
          <w:p w14:paraId="12EC1710" w14:textId="77777777" w:rsidR="00A345F4" w:rsidRDefault="005E2D4E">
            <w:pPr>
              <w:pStyle w:val="P68B1DB1-Normal14"/>
              <w:spacing w:after="0" w:line="240" w:lineRule="auto"/>
              <w:jc w:val="both"/>
              <w:rPr>
                <w:rFonts w:eastAsia="Times New Roman"/>
                <w:noProof/>
              </w:rPr>
            </w:pPr>
            <w:r>
              <w:rPr>
                <w:noProof/>
              </w:rPr>
              <w:t>Développement et publication d'une application numérique intégrée pour la fourniture d'informations thématiques relatives au cyclotourisme. L’application intégrée comprend la mise en place de la plateforme nationale eVelo (un site web pour les itinéraires cyclistes nationaux) et d’une application thématique pour smartphone, conformément aux exigences du jalon 340.</w:t>
            </w:r>
          </w:p>
        </w:tc>
      </w:tr>
      <w:tr w:rsidR="00A345F4" w14:paraId="2FBD9E8F"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7E91CD54" w14:textId="77777777" w:rsidR="00A345F4" w:rsidRDefault="005E2D4E">
            <w:pPr>
              <w:pStyle w:val="P68B1DB1-Normal14"/>
              <w:spacing w:after="0" w:line="240" w:lineRule="auto"/>
              <w:jc w:val="center"/>
              <w:rPr>
                <w:rFonts w:eastAsia="Times New Roman"/>
                <w:noProof/>
              </w:rPr>
            </w:pPr>
            <w:r>
              <w:rPr>
                <w:noProof/>
              </w:rPr>
              <w:t>342</w:t>
            </w:r>
          </w:p>
        </w:tc>
        <w:tc>
          <w:tcPr>
            <w:tcW w:w="1586" w:type="dxa"/>
            <w:tcBorders>
              <w:top w:val="nil"/>
              <w:left w:val="nil"/>
              <w:bottom w:val="single" w:sz="4" w:space="0" w:color="auto"/>
              <w:right w:val="single" w:sz="4" w:space="0" w:color="auto"/>
            </w:tcBorders>
            <w:shd w:val="clear" w:color="auto" w:fill="C6EFCE"/>
            <w:noWrap/>
          </w:tcPr>
          <w:p w14:paraId="3A7F01A2" w14:textId="77777777" w:rsidR="00A345F4" w:rsidRDefault="005E2D4E">
            <w:pPr>
              <w:pStyle w:val="P68B1DB1-Normal14"/>
              <w:spacing w:after="0" w:line="240" w:lineRule="auto"/>
              <w:jc w:val="both"/>
              <w:rPr>
                <w:noProof/>
              </w:rPr>
            </w:pPr>
            <w:r>
              <w:rPr>
                <w:noProof/>
              </w:rPr>
              <w:t>Investissement 4.</w:t>
            </w:r>
          </w:p>
          <w:p w14:paraId="356E6FE8" w14:textId="77777777" w:rsidR="00A345F4" w:rsidRDefault="005E2D4E">
            <w:pPr>
              <w:pStyle w:val="P68B1DB1-Normal14"/>
              <w:spacing w:after="0" w:line="240" w:lineRule="auto"/>
              <w:jc w:val="both"/>
              <w:rPr>
                <w:rFonts w:eastAsia="Times New Roman"/>
                <w:noProof/>
              </w:rPr>
            </w:pPr>
            <w:r>
              <w:rPr>
                <w:noProof/>
              </w:rPr>
              <w:t>Construction de 236,05 km de pistes cyclables</w:t>
            </w:r>
          </w:p>
        </w:tc>
        <w:tc>
          <w:tcPr>
            <w:tcW w:w="1302" w:type="dxa"/>
            <w:tcBorders>
              <w:top w:val="nil"/>
              <w:left w:val="nil"/>
              <w:bottom w:val="single" w:sz="4" w:space="0" w:color="auto"/>
              <w:right w:val="single" w:sz="4" w:space="0" w:color="auto"/>
            </w:tcBorders>
            <w:shd w:val="clear" w:color="auto" w:fill="C6EFCE"/>
            <w:noWrap/>
          </w:tcPr>
          <w:p w14:paraId="68C7D8C4"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55D3CDF7" w14:textId="77777777" w:rsidR="00A345F4" w:rsidRDefault="005E2D4E">
            <w:pPr>
              <w:pStyle w:val="P68B1DB1-Normal14"/>
              <w:spacing w:after="0" w:line="240" w:lineRule="auto"/>
              <w:jc w:val="both"/>
              <w:rPr>
                <w:rFonts w:eastAsia="Times New Roman"/>
                <w:noProof/>
              </w:rPr>
            </w:pPr>
            <w:r>
              <w:rPr>
                <w:noProof/>
              </w:rPr>
              <w:t xml:space="preserve">Signature des contrats pour les pistes cyclables </w:t>
            </w:r>
          </w:p>
        </w:tc>
        <w:tc>
          <w:tcPr>
            <w:tcW w:w="1658" w:type="dxa"/>
            <w:tcBorders>
              <w:top w:val="nil"/>
              <w:left w:val="nil"/>
              <w:bottom w:val="single" w:sz="4" w:space="0" w:color="auto"/>
              <w:right w:val="single" w:sz="4" w:space="0" w:color="auto"/>
            </w:tcBorders>
            <w:shd w:val="clear" w:color="auto" w:fill="C6EFCE"/>
            <w:noWrap/>
          </w:tcPr>
          <w:p w14:paraId="399152C0" w14:textId="77777777" w:rsidR="00A345F4" w:rsidRDefault="005E2D4E">
            <w:pPr>
              <w:pStyle w:val="P68B1DB1-Normal14"/>
              <w:spacing w:after="0" w:line="240" w:lineRule="auto"/>
              <w:jc w:val="both"/>
              <w:rPr>
                <w:rFonts w:eastAsia="Times New Roman"/>
                <w:noProof/>
              </w:rPr>
            </w:pPr>
            <w:r>
              <w:rPr>
                <w:noProof/>
              </w:rPr>
              <w:t>Signature des contrats</w:t>
            </w:r>
          </w:p>
        </w:tc>
        <w:tc>
          <w:tcPr>
            <w:tcW w:w="1298" w:type="dxa"/>
            <w:tcBorders>
              <w:top w:val="nil"/>
              <w:left w:val="nil"/>
              <w:bottom w:val="single" w:sz="4" w:space="0" w:color="auto"/>
              <w:right w:val="single" w:sz="4" w:space="0" w:color="auto"/>
            </w:tcBorders>
            <w:shd w:val="clear" w:color="auto" w:fill="C6EFCE"/>
            <w:noWrap/>
          </w:tcPr>
          <w:p w14:paraId="1720574F"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tcPr>
          <w:p w14:paraId="4EC23715" w14:textId="77777777" w:rsidR="00A345F4" w:rsidRDefault="00A345F4">
            <w:pPr>
              <w:spacing w:after="0" w:line="240" w:lineRule="auto"/>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tcPr>
          <w:p w14:paraId="0BC8021D"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1305D214" w14:textId="77777777" w:rsidR="00A345F4" w:rsidRDefault="005E2D4E">
            <w:pPr>
              <w:pStyle w:val="P68B1DB1-Normal14"/>
              <w:spacing w:after="0" w:line="240" w:lineRule="auto"/>
              <w:jc w:val="center"/>
              <w:rPr>
                <w:rFonts w:eastAsia="Times New Roman"/>
                <w:noProof/>
              </w:rPr>
            </w:pPr>
            <w:r>
              <w:rPr>
                <w:noProof/>
              </w:rPr>
              <w:t>T4</w:t>
            </w:r>
          </w:p>
        </w:tc>
        <w:tc>
          <w:tcPr>
            <w:tcW w:w="770" w:type="dxa"/>
            <w:tcBorders>
              <w:top w:val="nil"/>
              <w:left w:val="nil"/>
              <w:bottom w:val="single" w:sz="4" w:space="0" w:color="auto"/>
              <w:right w:val="single" w:sz="4" w:space="0" w:color="auto"/>
            </w:tcBorders>
            <w:shd w:val="clear" w:color="auto" w:fill="C6EFCE"/>
            <w:noWrap/>
          </w:tcPr>
          <w:p w14:paraId="6158FDF0"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nil"/>
              <w:left w:val="nil"/>
              <w:bottom w:val="single" w:sz="4" w:space="0" w:color="auto"/>
              <w:right w:val="single" w:sz="4" w:space="0" w:color="auto"/>
            </w:tcBorders>
            <w:shd w:val="clear" w:color="auto" w:fill="C6EFCE"/>
            <w:noWrap/>
          </w:tcPr>
          <w:p w14:paraId="2E12D4A1" w14:textId="77777777" w:rsidR="00A345F4" w:rsidRDefault="005E2D4E">
            <w:pPr>
              <w:pStyle w:val="P68B1DB1-Normal14"/>
              <w:spacing w:after="0" w:line="240" w:lineRule="auto"/>
              <w:jc w:val="both"/>
              <w:rPr>
                <w:rFonts w:eastAsia="Times New Roman"/>
                <w:noProof/>
              </w:rPr>
            </w:pPr>
            <w:r>
              <w:rPr>
                <w:noProof/>
              </w:rPr>
              <w:t xml:space="preserve">Signature de contrats de financement pour la construction de 236,05 km de nouvelles pistes cyclables, à la suite d'une procédure d'appel d'offres ouverte et concurrentielle. La procédure d’appel d’offres commence par la publication du système de financement qui établit l’éligibilité, les critères et les conditions d’attribution des marchés. Le système financier est mis au point par le Centre national de coordination des itinéraires Velo. </w:t>
            </w:r>
          </w:p>
          <w:p w14:paraId="2373E24E" w14:textId="77777777" w:rsidR="00A345F4" w:rsidRDefault="005E2D4E">
            <w:pPr>
              <w:pStyle w:val="P68B1DB1-Normal14"/>
              <w:spacing w:after="0" w:line="240" w:lineRule="auto"/>
              <w:jc w:val="both"/>
              <w:rPr>
                <w:rFonts w:eastAsia="Times New Roman"/>
                <w:noProof/>
              </w:rPr>
            </w:pPr>
            <w:r>
              <w:rPr>
                <w:noProof/>
              </w:rPr>
              <w:t>À l’issue de la procédure d’appel d’offres, les travaux débuteront sur les 236,05 km de pistes cyclables.</w:t>
            </w:r>
          </w:p>
        </w:tc>
      </w:tr>
      <w:tr w:rsidR="00A345F4" w14:paraId="4C812739"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18788DB9" w14:textId="77777777" w:rsidR="00A345F4" w:rsidRDefault="005E2D4E">
            <w:pPr>
              <w:pStyle w:val="P68B1DB1-Normal14"/>
              <w:spacing w:after="0" w:line="240" w:lineRule="auto"/>
              <w:jc w:val="center"/>
              <w:rPr>
                <w:rFonts w:eastAsia="Times New Roman"/>
                <w:noProof/>
              </w:rPr>
            </w:pPr>
            <w:r>
              <w:rPr>
                <w:noProof/>
              </w:rPr>
              <w:t>343</w:t>
            </w:r>
          </w:p>
        </w:tc>
        <w:tc>
          <w:tcPr>
            <w:tcW w:w="1586" w:type="dxa"/>
            <w:tcBorders>
              <w:top w:val="nil"/>
              <w:left w:val="nil"/>
              <w:bottom w:val="single" w:sz="4" w:space="0" w:color="auto"/>
              <w:right w:val="single" w:sz="4" w:space="0" w:color="auto"/>
            </w:tcBorders>
            <w:shd w:val="clear" w:color="auto" w:fill="C6EFCE"/>
            <w:noWrap/>
          </w:tcPr>
          <w:p w14:paraId="63E1A767" w14:textId="77777777" w:rsidR="00A345F4" w:rsidRDefault="005E2D4E">
            <w:pPr>
              <w:pStyle w:val="P68B1DB1-Normal14"/>
              <w:spacing w:after="0" w:line="240" w:lineRule="auto"/>
              <w:jc w:val="both"/>
              <w:rPr>
                <w:noProof/>
              </w:rPr>
            </w:pPr>
            <w:r>
              <w:rPr>
                <w:noProof/>
              </w:rPr>
              <w:t>Investissement 4.</w:t>
            </w:r>
          </w:p>
          <w:p w14:paraId="62E01945" w14:textId="7065A364" w:rsidR="00A345F4" w:rsidRDefault="005E2D4E">
            <w:pPr>
              <w:pStyle w:val="P68B1DB1-Normal14"/>
              <w:spacing w:after="0" w:line="240" w:lineRule="auto"/>
              <w:jc w:val="both"/>
              <w:rPr>
                <w:rFonts w:eastAsia="Times New Roman"/>
                <w:noProof/>
              </w:rPr>
            </w:pPr>
            <w:r>
              <w:rPr>
                <w:noProof/>
              </w:rPr>
              <w:t>Construction d'au moins 236 km de pistes cyclables</w:t>
            </w:r>
          </w:p>
        </w:tc>
        <w:tc>
          <w:tcPr>
            <w:tcW w:w="1302" w:type="dxa"/>
            <w:tcBorders>
              <w:top w:val="nil"/>
              <w:left w:val="nil"/>
              <w:bottom w:val="single" w:sz="4" w:space="0" w:color="auto"/>
              <w:right w:val="single" w:sz="4" w:space="0" w:color="auto"/>
            </w:tcBorders>
            <w:shd w:val="clear" w:color="auto" w:fill="C6EFCE"/>
            <w:noWrap/>
          </w:tcPr>
          <w:p w14:paraId="4A3659C3"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221E64AF" w14:textId="77777777" w:rsidR="00A345F4" w:rsidRDefault="005E2D4E">
            <w:pPr>
              <w:pStyle w:val="P68B1DB1-Normal14"/>
              <w:spacing w:after="0" w:line="240" w:lineRule="auto"/>
              <w:jc w:val="both"/>
              <w:rPr>
                <w:rFonts w:eastAsia="Times New Roman"/>
                <w:noProof/>
              </w:rPr>
            </w:pPr>
            <w:r>
              <w:rPr>
                <w:noProof/>
              </w:rPr>
              <w:t>Itinéraires cyclables construits et accessibles pour le cyclisme</w:t>
            </w:r>
          </w:p>
        </w:tc>
        <w:tc>
          <w:tcPr>
            <w:tcW w:w="1658" w:type="dxa"/>
            <w:tcBorders>
              <w:top w:val="nil"/>
              <w:left w:val="nil"/>
              <w:bottom w:val="single" w:sz="4" w:space="0" w:color="auto"/>
              <w:right w:val="single" w:sz="4" w:space="0" w:color="auto"/>
            </w:tcBorders>
            <w:shd w:val="clear" w:color="auto" w:fill="C6EFCE"/>
            <w:noWrap/>
          </w:tcPr>
          <w:p w14:paraId="0309550F" w14:textId="50435266" w:rsidR="00A345F4" w:rsidRDefault="005E2D4E">
            <w:pPr>
              <w:pStyle w:val="P68B1DB1-Normal14"/>
              <w:spacing w:after="0" w:line="240" w:lineRule="auto"/>
              <w:jc w:val="both"/>
              <w:rPr>
                <w:rFonts w:eastAsia="Times New Roman"/>
                <w:noProof/>
              </w:rPr>
            </w:pPr>
            <w:r>
              <w:rPr>
                <w:noProof/>
              </w:rPr>
              <w:t>Routes cyclables construites</w:t>
            </w:r>
          </w:p>
        </w:tc>
        <w:tc>
          <w:tcPr>
            <w:tcW w:w="1298" w:type="dxa"/>
            <w:tcBorders>
              <w:top w:val="nil"/>
              <w:left w:val="nil"/>
              <w:bottom w:val="single" w:sz="4" w:space="0" w:color="auto"/>
              <w:right w:val="single" w:sz="4" w:space="0" w:color="auto"/>
            </w:tcBorders>
            <w:shd w:val="clear" w:color="auto" w:fill="C6EFCE"/>
            <w:noWrap/>
          </w:tcPr>
          <w:p w14:paraId="1810DEDE" w14:textId="77777777" w:rsidR="00A345F4" w:rsidRDefault="00A345F4">
            <w:pPr>
              <w:spacing w:after="0" w:line="240" w:lineRule="auto"/>
              <w:rPr>
                <w:rFonts w:ascii="Times New Roman" w:eastAsia="Times New Roman" w:hAnsi="Times New Roman" w:cs="Times New Roman"/>
                <w:noProof/>
                <w:sz w:val="20"/>
                <w:szCs w:val="20"/>
              </w:rPr>
            </w:pPr>
          </w:p>
        </w:tc>
        <w:tc>
          <w:tcPr>
            <w:tcW w:w="1157" w:type="dxa"/>
            <w:tcBorders>
              <w:top w:val="nil"/>
              <w:left w:val="nil"/>
              <w:bottom w:val="single" w:sz="4" w:space="0" w:color="auto"/>
              <w:right w:val="single" w:sz="4" w:space="0" w:color="auto"/>
            </w:tcBorders>
            <w:shd w:val="clear" w:color="auto" w:fill="C6EFCE"/>
            <w:noWrap/>
          </w:tcPr>
          <w:p w14:paraId="5A42A9E4" w14:textId="77777777" w:rsidR="00A345F4" w:rsidRDefault="00A345F4">
            <w:pPr>
              <w:spacing w:after="0" w:line="240" w:lineRule="auto"/>
              <w:rPr>
                <w:rFonts w:ascii="Times New Roman" w:eastAsia="Times New Roman" w:hAnsi="Times New Roman" w:cs="Times New Roman"/>
                <w:noProof/>
                <w:sz w:val="20"/>
                <w:szCs w:val="20"/>
              </w:rPr>
            </w:pPr>
          </w:p>
        </w:tc>
        <w:tc>
          <w:tcPr>
            <w:tcW w:w="959" w:type="dxa"/>
            <w:tcBorders>
              <w:top w:val="nil"/>
              <w:left w:val="nil"/>
              <w:bottom w:val="single" w:sz="4" w:space="0" w:color="auto"/>
              <w:right w:val="single" w:sz="4" w:space="0" w:color="auto"/>
            </w:tcBorders>
            <w:shd w:val="clear" w:color="auto" w:fill="C6EFCE"/>
            <w:noWrap/>
          </w:tcPr>
          <w:p w14:paraId="4A7C65FF"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2161BD22" w14:textId="77777777" w:rsidR="00A345F4" w:rsidRDefault="005E2D4E">
            <w:pPr>
              <w:pStyle w:val="P68B1DB1-Normal14"/>
              <w:spacing w:after="0" w:line="240" w:lineRule="auto"/>
              <w:jc w:val="center"/>
              <w:rPr>
                <w:rFonts w:eastAsia="Times New Roman"/>
                <w:noProof/>
              </w:rPr>
            </w:pPr>
            <w:r>
              <w:rPr>
                <w:noProof/>
              </w:rPr>
              <w:t>T2</w:t>
            </w:r>
          </w:p>
        </w:tc>
        <w:tc>
          <w:tcPr>
            <w:tcW w:w="770" w:type="dxa"/>
            <w:tcBorders>
              <w:top w:val="nil"/>
              <w:left w:val="nil"/>
              <w:bottom w:val="single" w:sz="4" w:space="0" w:color="auto"/>
              <w:right w:val="single" w:sz="4" w:space="0" w:color="auto"/>
            </w:tcBorders>
            <w:shd w:val="clear" w:color="auto" w:fill="C6EFCE"/>
            <w:noWrap/>
          </w:tcPr>
          <w:p w14:paraId="3DA17E7E" w14:textId="77777777" w:rsidR="00A345F4" w:rsidRDefault="005E2D4E">
            <w:pPr>
              <w:pStyle w:val="P68B1DB1-Normal14"/>
              <w:spacing w:after="0" w:line="240" w:lineRule="auto"/>
              <w:jc w:val="center"/>
              <w:rPr>
                <w:rFonts w:eastAsia="Times New Roman"/>
                <w:noProof/>
              </w:rPr>
            </w:pPr>
            <w:r>
              <w:rPr>
                <w:noProof/>
              </w:rPr>
              <w:t>2026</w:t>
            </w:r>
          </w:p>
        </w:tc>
        <w:tc>
          <w:tcPr>
            <w:tcW w:w="3634" w:type="dxa"/>
            <w:tcBorders>
              <w:top w:val="nil"/>
              <w:left w:val="nil"/>
              <w:bottom w:val="single" w:sz="4" w:space="0" w:color="auto"/>
              <w:right w:val="single" w:sz="4" w:space="0" w:color="auto"/>
            </w:tcBorders>
            <w:shd w:val="clear" w:color="auto" w:fill="C6EFCE"/>
            <w:noWrap/>
          </w:tcPr>
          <w:p w14:paraId="777E8A00" w14:textId="23A89FFC" w:rsidR="00A345F4" w:rsidRDefault="005E2D4E">
            <w:pPr>
              <w:pStyle w:val="P68B1DB1-Normal14"/>
              <w:spacing w:after="0" w:line="240" w:lineRule="auto"/>
              <w:jc w:val="both"/>
              <w:rPr>
                <w:rFonts w:eastAsia="Times New Roman"/>
                <w:noProof/>
              </w:rPr>
            </w:pPr>
            <w:r>
              <w:rPr>
                <w:noProof/>
              </w:rPr>
              <w:t xml:space="preserve">Certificat(s) de réception d'achèvement des travaux pour un total d'au moins 236 km de pistes cyclables construites. </w:t>
            </w:r>
          </w:p>
        </w:tc>
      </w:tr>
      <w:tr w:rsidR="00A345F4" w14:paraId="6BF437D8" w14:textId="77777777" w:rsidTr="000D606E">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11CA8E0D" w14:textId="77777777" w:rsidR="00A345F4" w:rsidRDefault="005E2D4E">
            <w:pPr>
              <w:pStyle w:val="P68B1DB1-Normal14"/>
              <w:spacing w:after="0" w:line="240" w:lineRule="auto"/>
              <w:jc w:val="center"/>
              <w:rPr>
                <w:rFonts w:eastAsia="Times New Roman"/>
                <w:noProof/>
              </w:rPr>
            </w:pPr>
            <w:r>
              <w:rPr>
                <w:noProof/>
              </w:rPr>
              <w:t>344</w:t>
            </w:r>
          </w:p>
        </w:tc>
        <w:tc>
          <w:tcPr>
            <w:tcW w:w="1586" w:type="dxa"/>
            <w:tcBorders>
              <w:top w:val="nil"/>
              <w:left w:val="nil"/>
              <w:bottom w:val="single" w:sz="4" w:space="0" w:color="auto"/>
              <w:right w:val="single" w:sz="4" w:space="0" w:color="auto"/>
            </w:tcBorders>
            <w:shd w:val="clear" w:color="auto" w:fill="C6EFCE"/>
            <w:noWrap/>
          </w:tcPr>
          <w:p w14:paraId="22B8421F" w14:textId="77777777" w:rsidR="00A345F4" w:rsidRDefault="005E2D4E">
            <w:pPr>
              <w:pStyle w:val="P68B1DB1-Normal14"/>
              <w:spacing w:after="0" w:line="240" w:lineRule="auto"/>
              <w:jc w:val="both"/>
              <w:rPr>
                <w:noProof/>
              </w:rPr>
            </w:pPr>
            <w:r>
              <w:rPr>
                <w:noProof/>
              </w:rPr>
              <w:t>Réforme 3. Réforme du système de financement du secteur culturel</w:t>
            </w:r>
          </w:p>
          <w:p w14:paraId="11CD57FC" w14:textId="77777777" w:rsidR="00A345F4" w:rsidRDefault="00A345F4">
            <w:pPr>
              <w:spacing w:after="0" w:line="240" w:lineRule="auto"/>
              <w:jc w:val="both"/>
              <w:rPr>
                <w:rFonts w:ascii="Times New Roman" w:hAnsi="Times New Roman" w:cs="Times New Roman"/>
                <w:noProof/>
                <w:sz w:val="20"/>
                <w:szCs w:val="20"/>
              </w:rPr>
            </w:pPr>
          </w:p>
          <w:p w14:paraId="0DB52548" w14:textId="77777777" w:rsidR="00A345F4" w:rsidRDefault="00A345F4">
            <w:pPr>
              <w:spacing w:after="0" w:line="240" w:lineRule="auto"/>
              <w:jc w:val="both"/>
              <w:rPr>
                <w:rFonts w:ascii="Times New Roman" w:hAnsi="Times New Roman" w:cs="Times New Roman"/>
                <w:noProof/>
                <w:sz w:val="20"/>
                <w:szCs w:val="20"/>
              </w:rPr>
            </w:pPr>
          </w:p>
          <w:p w14:paraId="7964009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02" w:type="dxa"/>
            <w:tcBorders>
              <w:top w:val="nil"/>
              <w:left w:val="nil"/>
              <w:bottom w:val="single" w:sz="4" w:space="0" w:color="auto"/>
              <w:right w:val="single" w:sz="4" w:space="0" w:color="auto"/>
            </w:tcBorders>
            <w:shd w:val="clear" w:color="auto" w:fill="C6EFCE"/>
            <w:noWrap/>
          </w:tcPr>
          <w:p w14:paraId="0C786F7D" w14:textId="77777777" w:rsidR="00A345F4" w:rsidRDefault="005E2D4E">
            <w:pPr>
              <w:pStyle w:val="P68B1DB1-Normal14"/>
              <w:spacing w:after="0" w:line="240" w:lineRule="auto"/>
              <w:jc w:val="center"/>
              <w:rPr>
                <w:rFonts w:eastAsia="Times New Roman"/>
                <w:noProof/>
              </w:rPr>
            </w:pPr>
            <w:r>
              <w:rPr>
                <w:noProof/>
              </w:rPr>
              <w:t>Étape</w:t>
            </w:r>
          </w:p>
        </w:tc>
        <w:tc>
          <w:tcPr>
            <w:tcW w:w="1518" w:type="dxa"/>
            <w:tcBorders>
              <w:top w:val="nil"/>
              <w:left w:val="nil"/>
              <w:bottom w:val="single" w:sz="4" w:space="0" w:color="auto"/>
              <w:right w:val="single" w:sz="4" w:space="0" w:color="auto"/>
            </w:tcBorders>
            <w:shd w:val="clear" w:color="auto" w:fill="C6EFCE"/>
            <w:noWrap/>
          </w:tcPr>
          <w:p w14:paraId="0359C9FB" w14:textId="77777777" w:rsidR="00A345F4" w:rsidRDefault="005E2D4E">
            <w:pPr>
              <w:pStyle w:val="P68B1DB1-Normal14"/>
              <w:spacing w:after="0" w:line="240" w:lineRule="auto"/>
              <w:jc w:val="both"/>
              <w:rPr>
                <w:noProof/>
              </w:rPr>
            </w:pPr>
            <w:r>
              <w:rPr>
                <w:noProof/>
              </w:rPr>
              <w:t>Entrée en vigueur de la loi sur le système de financement du secteur culturel</w:t>
            </w:r>
          </w:p>
          <w:p w14:paraId="26A6652C" w14:textId="77777777" w:rsidR="00A345F4" w:rsidRDefault="00A345F4">
            <w:pPr>
              <w:spacing w:after="0" w:line="240" w:lineRule="auto"/>
              <w:jc w:val="both"/>
              <w:rPr>
                <w:rFonts w:ascii="Times New Roman" w:hAnsi="Times New Roman" w:cs="Times New Roman"/>
                <w:noProof/>
                <w:sz w:val="20"/>
                <w:szCs w:val="20"/>
              </w:rPr>
            </w:pPr>
          </w:p>
          <w:p w14:paraId="58840B4B" w14:textId="77777777" w:rsidR="00A345F4" w:rsidRDefault="00A345F4">
            <w:pPr>
              <w:spacing w:after="0" w:line="240" w:lineRule="auto"/>
              <w:jc w:val="both"/>
              <w:rPr>
                <w:rFonts w:ascii="Times New Roman" w:hAnsi="Times New Roman" w:cs="Times New Roman"/>
                <w:noProof/>
                <w:sz w:val="20"/>
                <w:szCs w:val="20"/>
              </w:rPr>
            </w:pPr>
          </w:p>
          <w:p w14:paraId="5CB232E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658" w:type="dxa"/>
            <w:tcBorders>
              <w:top w:val="nil"/>
              <w:left w:val="nil"/>
              <w:bottom w:val="single" w:sz="4" w:space="0" w:color="auto"/>
              <w:right w:val="single" w:sz="4" w:space="0" w:color="auto"/>
            </w:tcBorders>
            <w:shd w:val="clear" w:color="auto" w:fill="C6EFCE"/>
            <w:noWrap/>
          </w:tcPr>
          <w:p w14:paraId="3B58C9E0" w14:textId="77777777" w:rsidR="00A345F4" w:rsidRDefault="005E2D4E">
            <w:pPr>
              <w:pStyle w:val="P68B1DB1-Normal14"/>
              <w:spacing w:after="0" w:line="240" w:lineRule="auto"/>
              <w:jc w:val="both"/>
              <w:rPr>
                <w:rFonts w:eastAsia="Times New Roman"/>
                <w:noProof/>
              </w:rPr>
            </w:pPr>
            <w:r>
              <w:rPr>
                <w:noProof/>
              </w:rPr>
              <w:t xml:space="preserve">Disposition de la loi indiquant l'entrée en vigueur du cadre législatif pour le financement du secteur culturel </w:t>
            </w:r>
          </w:p>
        </w:tc>
        <w:tc>
          <w:tcPr>
            <w:tcW w:w="1298" w:type="dxa"/>
            <w:tcBorders>
              <w:top w:val="nil"/>
              <w:left w:val="nil"/>
              <w:bottom w:val="single" w:sz="4" w:space="0" w:color="auto"/>
              <w:right w:val="single" w:sz="4" w:space="0" w:color="auto"/>
            </w:tcBorders>
            <w:shd w:val="clear" w:color="auto" w:fill="C6EFCE"/>
            <w:noWrap/>
          </w:tcPr>
          <w:p w14:paraId="5845620D" w14:textId="77777777" w:rsidR="00A345F4" w:rsidRDefault="005E2D4E">
            <w:pPr>
              <w:pStyle w:val="P68B1DB1-Normal14"/>
              <w:spacing w:after="0" w:line="240" w:lineRule="auto"/>
              <w:rPr>
                <w:rFonts w:eastAsia="Times New Roman"/>
                <w:noProof/>
              </w:rPr>
            </w:pPr>
            <w:r>
              <w:rPr>
                <w:noProof/>
              </w:rPr>
              <w:t xml:space="preserve"> </w:t>
            </w:r>
          </w:p>
        </w:tc>
        <w:tc>
          <w:tcPr>
            <w:tcW w:w="1157" w:type="dxa"/>
            <w:tcBorders>
              <w:top w:val="nil"/>
              <w:left w:val="nil"/>
              <w:bottom w:val="single" w:sz="4" w:space="0" w:color="auto"/>
              <w:right w:val="single" w:sz="4" w:space="0" w:color="auto"/>
            </w:tcBorders>
            <w:shd w:val="clear" w:color="auto" w:fill="C6EFCE"/>
            <w:noWrap/>
          </w:tcPr>
          <w:p w14:paraId="78CF7817" w14:textId="77777777" w:rsidR="00A345F4" w:rsidRDefault="005E2D4E">
            <w:pPr>
              <w:pStyle w:val="P68B1DB1-Normal14"/>
              <w:spacing w:after="0" w:line="240" w:lineRule="auto"/>
              <w:rPr>
                <w:rFonts w:eastAsia="Times New Roman"/>
                <w:noProof/>
              </w:rPr>
            </w:pPr>
            <w:r>
              <w:rPr>
                <w:noProof/>
              </w:rPr>
              <w:t xml:space="preserve"> </w:t>
            </w:r>
          </w:p>
        </w:tc>
        <w:tc>
          <w:tcPr>
            <w:tcW w:w="959" w:type="dxa"/>
            <w:tcBorders>
              <w:top w:val="nil"/>
              <w:left w:val="nil"/>
              <w:bottom w:val="single" w:sz="4" w:space="0" w:color="auto"/>
              <w:right w:val="single" w:sz="4" w:space="0" w:color="auto"/>
            </w:tcBorders>
            <w:shd w:val="clear" w:color="auto" w:fill="C6EFCE"/>
            <w:noWrap/>
          </w:tcPr>
          <w:p w14:paraId="4A3F15B9" w14:textId="77777777" w:rsidR="00A345F4" w:rsidRDefault="005E2D4E">
            <w:pPr>
              <w:pStyle w:val="P68B1DB1-Normal14"/>
              <w:spacing w:after="0" w:line="240" w:lineRule="auto"/>
              <w:rPr>
                <w:rFonts w:eastAsia="Times New Roman"/>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71312E59" w14:textId="77777777" w:rsidR="00A345F4" w:rsidRDefault="005E2D4E">
            <w:pPr>
              <w:pStyle w:val="P68B1DB1-Normal14"/>
              <w:spacing w:after="0" w:line="240" w:lineRule="auto"/>
              <w:jc w:val="center"/>
              <w:rPr>
                <w:rFonts w:eastAsia="Times New Roman"/>
                <w:noProof/>
              </w:rPr>
            </w:pPr>
            <w:r>
              <w:rPr>
                <w:noProof/>
              </w:rPr>
              <w:t>T3</w:t>
            </w:r>
          </w:p>
        </w:tc>
        <w:tc>
          <w:tcPr>
            <w:tcW w:w="770" w:type="dxa"/>
            <w:tcBorders>
              <w:top w:val="nil"/>
              <w:left w:val="nil"/>
              <w:bottom w:val="single" w:sz="4" w:space="0" w:color="auto"/>
              <w:right w:val="single" w:sz="4" w:space="0" w:color="auto"/>
            </w:tcBorders>
            <w:shd w:val="clear" w:color="auto" w:fill="C6EFCE"/>
            <w:noWrap/>
          </w:tcPr>
          <w:p w14:paraId="06CC0BDD" w14:textId="77777777" w:rsidR="00A345F4" w:rsidRDefault="005E2D4E">
            <w:pPr>
              <w:pStyle w:val="P68B1DB1-Normal14"/>
              <w:spacing w:after="0" w:line="240" w:lineRule="auto"/>
              <w:jc w:val="center"/>
              <w:rPr>
                <w:rFonts w:eastAsia="Times New Roman"/>
                <w:noProof/>
              </w:rPr>
            </w:pPr>
            <w:r>
              <w:rPr>
                <w:noProof/>
              </w:rPr>
              <w:t>2022</w:t>
            </w:r>
          </w:p>
        </w:tc>
        <w:tc>
          <w:tcPr>
            <w:tcW w:w="3634" w:type="dxa"/>
            <w:tcBorders>
              <w:top w:val="nil"/>
              <w:left w:val="nil"/>
              <w:bottom w:val="single" w:sz="4" w:space="0" w:color="auto"/>
              <w:right w:val="single" w:sz="4" w:space="0" w:color="auto"/>
            </w:tcBorders>
            <w:shd w:val="clear" w:color="auto" w:fill="C6EFCE"/>
            <w:noWrap/>
          </w:tcPr>
          <w:p w14:paraId="5CEFD6C1" w14:textId="77777777" w:rsidR="00A345F4" w:rsidRDefault="005E2D4E">
            <w:pPr>
              <w:pStyle w:val="P68B1DB1-Normal14"/>
              <w:spacing w:after="0" w:line="240" w:lineRule="auto"/>
              <w:jc w:val="both"/>
              <w:rPr>
                <w:rFonts w:eastAsia="Times New Roman"/>
                <w:noProof/>
              </w:rPr>
            </w:pPr>
            <w:r>
              <w:rPr>
                <w:noProof/>
              </w:rPr>
              <w:t xml:space="preserve">Le jalon vise à assurer un système stable de financement des projets culturels. </w:t>
            </w:r>
          </w:p>
          <w:p w14:paraId="780E902A" w14:textId="77777777" w:rsidR="00A345F4" w:rsidRDefault="005E2D4E">
            <w:pPr>
              <w:pStyle w:val="P68B1DB1-Normal14"/>
              <w:spacing w:after="0" w:line="240" w:lineRule="auto"/>
              <w:jc w:val="both"/>
              <w:rPr>
                <w:noProof/>
              </w:rPr>
            </w:pPr>
            <w:r>
              <w:rPr>
                <w:noProof/>
              </w:rPr>
              <w:t xml:space="preserve">La loi actualisée établit un mécanisme de financement stable à partir du budget de l’État pour le secteur culturel, axé sur: réduire l’écart d’accès à la culture entre les zones rurales/petites villes et les grandes zones urbaines, soutenir la diversité culturelle, l’inclusion sociale et l’égalité entre les hommes et les femmes, soutenir les industries créatives et accroître le potentiel économique du secteur culturel. </w:t>
            </w:r>
          </w:p>
          <w:p w14:paraId="61BD843B" w14:textId="77777777" w:rsidR="00A345F4" w:rsidRDefault="005E2D4E">
            <w:pPr>
              <w:pStyle w:val="P68B1DB1-Normal14"/>
              <w:spacing w:after="0" w:line="240" w:lineRule="auto"/>
              <w:jc w:val="both"/>
              <w:rPr>
                <w:noProof/>
              </w:rPr>
            </w:pPr>
            <w:r>
              <w:rPr>
                <w:noProof/>
              </w:rPr>
              <w:t xml:space="preserve">Les lois qui doivent être approuvées et entrer en vigueur sont les suivantes: </w:t>
            </w:r>
          </w:p>
          <w:p w14:paraId="3E86B7B5" w14:textId="77777777" w:rsidR="00A345F4" w:rsidRDefault="005E2D4E">
            <w:pPr>
              <w:pStyle w:val="P68B1DB1-Normal14"/>
              <w:spacing w:after="0" w:line="240" w:lineRule="auto"/>
              <w:jc w:val="both"/>
              <w:rPr>
                <w:noProof/>
              </w:rPr>
            </w:pPr>
            <w:r>
              <w:rPr>
                <w:noProof/>
              </w:rPr>
              <w:t>-le cadre législatif relatif au financement non remboursable dans le domaine de la culture (ordonnance gouvernementale 51/1998);</w:t>
            </w:r>
          </w:p>
          <w:p w14:paraId="51426049" w14:textId="77777777" w:rsidR="00A345F4" w:rsidRDefault="005E2D4E">
            <w:pPr>
              <w:pStyle w:val="P68B1DB1-Normal14"/>
              <w:spacing w:after="0" w:line="240" w:lineRule="auto"/>
              <w:jc w:val="both"/>
              <w:rPr>
                <w:noProof/>
              </w:rPr>
            </w:pPr>
            <w:r>
              <w:rPr>
                <w:noProof/>
              </w:rPr>
              <w:t>- Le financement dans le domaine audiovisuel conformément aux orientations communautaires.</w:t>
            </w:r>
          </w:p>
          <w:p w14:paraId="7A74BFEF" w14:textId="77777777" w:rsidR="00A345F4" w:rsidRDefault="005E2D4E">
            <w:pPr>
              <w:pStyle w:val="P68B1DB1-Normal14"/>
              <w:spacing w:after="0" w:line="240" w:lineRule="auto"/>
              <w:jc w:val="both"/>
              <w:rPr>
                <w:noProof/>
              </w:rPr>
            </w:pPr>
            <w:r>
              <w:rPr>
                <w:noProof/>
              </w:rPr>
              <w:t>Les modifications législatives seront fondées, entre autres, sur les résultats de la cartographie des offres publiques et privées de services culturels aux niveaux national et local, sur l’identification et la fourniture de sources de financement supplémentaires prévisibles et transparentes, un mécanisme de gouvernance avec des responsabilités claires attribuées aux autorités publiques aux niveaux national et local; un mécanisme de décaissement du financement subordonné à la réalisation d’indicateurs de performance clés associés aux objectifs stratégiques.</w:t>
            </w:r>
          </w:p>
        </w:tc>
      </w:tr>
    </w:tbl>
    <w:p w14:paraId="130F5BC6" w14:textId="77777777" w:rsidR="00A345F4" w:rsidRDefault="00A345F4">
      <w:pPr>
        <w:spacing w:before="120" w:after="120" w:line="240" w:lineRule="auto"/>
        <w:jc w:val="both"/>
        <w:rPr>
          <w:rFonts w:ascii="Times New Roman" w:hAnsi="Times New Roman" w:cs="Times New Roman"/>
          <w:noProof/>
        </w:rPr>
      </w:pPr>
    </w:p>
    <w:p w14:paraId="4F40699C" w14:textId="77777777" w:rsidR="00A345F4" w:rsidRDefault="00A345F4">
      <w:pPr>
        <w:rPr>
          <w:rFonts w:ascii="Times New Roman" w:hAnsi="Times New Roman" w:cs="Times New Roman"/>
          <w:noProof/>
        </w:rPr>
        <w:sectPr w:rsidR="00A345F4" w:rsidSect="001460A9">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6FAC88F2" w14:textId="77777777" w:rsidR="00A345F4" w:rsidRDefault="005E2D4E">
      <w:pPr>
        <w:pStyle w:val="P68B1DB1-Normal1"/>
        <w:keepNext/>
        <w:numPr>
          <w:ilvl w:val="0"/>
          <w:numId w:val="55"/>
        </w:numPr>
        <w:tabs>
          <w:tab w:val="left" w:pos="850"/>
        </w:tabs>
        <w:spacing w:before="360" w:after="120" w:line="240" w:lineRule="auto"/>
        <w:jc w:val="both"/>
        <w:outlineLvl w:val="0"/>
        <w:rPr>
          <w:bCs/>
          <w:noProof/>
        </w:rPr>
      </w:pPr>
      <w:r>
        <w:rPr>
          <w:noProof/>
        </w:rPr>
        <w:t>COMPOSANT 12: Soins de santé</w:t>
      </w:r>
    </w:p>
    <w:p w14:paraId="490E9BB5" w14:textId="77777777" w:rsidR="00A345F4" w:rsidRDefault="005E2D4E">
      <w:pPr>
        <w:pStyle w:val="P68B1DB1-Normal4"/>
        <w:spacing w:before="120" w:after="120" w:line="240" w:lineRule="auto"/>
        <w:jc w:val="both"/>
        <w:rPr>
          <w:noProof/>
        </w:rPr>
      </w:pPr>
      <w:r>
        <w:rPr>
          <w:noProof/>
        </w:rPr>
        <w:t>Le volet «soins de santé» du plan pour la reprise et la résilience se compose de trois réformes et de quatre investissements visant à relever les principaux défis du système de santé. Les principales sont une réduction du taux de mortalité évitable, une réduction des disparités régionales, sociales et rurales-urbaines dans l'accès aux services de santé de base, une augmentation de l'accès à des services de santé de qualité, l'amélioration des infrastructures hospitalières et préhospitalières, et l'optimisation des dépenses de soins de santé et la gestion des ressources.</w:t>
      </w:r>
    </w:p>
    <w:p w14:paraId="507848E4" w14:textId="77777777" w:rsidR="00A345F4" w:rsidRDefault="005E2D4E">
      <w:pPr>
        <w:pStyle w:val="P68B1DB1-Normal4"/>
        <w:spacing w:before="120" w:after="120" w:line="240" w:lineRule="auto"/>
        <w:jc w:val="both"/>
        <w:rPr>
          <w:noProof/>
        </w:rPr>
      </w:pPr>
      <w:r>
        <w:rPr>
          <w:noProof/>
        </w:rPr>
        <w:t>Ce volet contribue à donner suite à la recommandation par pays de la Roumanie visant à améliorer l’accès aux soins de santé et leur rapport coût-efficacité, y compris par le passage aux soins ambulatoires (recommandation par pays no 3, 2019). Il répond également à la recommandation relative au renforcement de la résilience du système de santé, y compris dans les domaines du personnel de santé et des produits médicaux, et à l’amélioration de l’accès aux services de santé (recommandation par pays 1, 2020).</w:t>
      </w:r>
    </w:p>
    <w:p w14:paraId="31914060" w14:textId="77777777" w:rsidR="00A345F4" w:rsidRDefault="005E2D4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2C5F6BC8" w14:textId="77777777" w:rsidR="00A345F4" w:rsidRDefault="00A345F4">
      <w:pPr>
        <w:spacing w:before="120" w:after="120" w:line="240" w:lineRule="auto"/>
        <w:jc w:val="both"/>
        <w:rPr>
          <w:rFonts w:ascii="Times New Roman" w:hAnsi="Times New Roman" w:cs="Times New Roman"/>
          <w:noProof/>
        </w:rPr>
      </w:pPr>
    </w:p>
    <w:p w14:paraId="63B6A761"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L.1. </w:t>
      </w:r>
      <w:r>
        <w:rPr>
          <w:noProof/>
        </w:rPr>
        <w:t xml:space="preserve"> </w:t>
      </w:r>
      <w:r>
        <w:rPr>
          <w:b/>
          <w:noProof/>
        </w:rPr>
        <w:t>Description des réformes et des investissements pour le soutien financier non remboursable</w:t>
      </w:r>
    </w:p>
    <w:p w14:paraId="71401844"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Réforme 1. Renforcement des capacités de gestion des fonds de santé publique</w:t>
      </w:r>
    </w:p>
    <w:p w14:paraId="42EFD559" w14:textId="77777777" w:rsidR="00A345F4" w:rsidRDefault="005E2D4E">
      <w:pPr>
        <w:pStyle w:val="P68B1DB1-Normal4"/>
        <w:spacing w:before="120" w:after="120" w:line="240" w:lineRule="auto"/>
        <w:jc w:val="both"/>
        <w:rPr>
          <w:noProof/>
        </w:rPr>
      </w:pPr>
      <w:r>
        <w:rPr>
          <w:noProof/>
        </w:rPr>
        <w:t>L’objectif de cette réforme est d’accroître l’efficacité des dépenses publiques de santé en adoptant des modifications législatives et en pilotant un régime de subventions visant à récompenser les prestataires de soins de santé les plus performants.</w:t>
      </w:r>
    </w:p>
    <w:p w14:paraId="05D89FDC" w14:textId="77777777" w:rsidR="00A345F4" w:rsidRDefault="005E2D4E">
      <w:pPr>
        <w:pStyle w:val="P68B1DB1-Normal4"/>
        <w:spacing w:before="120" w:after="120" w:line="240" w:lineRule="auto"/>
        <w:jc w:val="both"/>
        <w:rPr>
          <w:noProof/>
        </w:rPr>
      </w:pPr>
      <w:r>
        <w:rPr>
          <w:noProof/>
        </w:rPr>
        <w:t xml:space="preserve">La réforme consiste en des mécanismes financiers qui récompensent la performance des prestataires de soins de santé par l’intermédiaire du «Fonds pour la qualité des services de santé» et en l’élaboration d’un nouveau contrat-cadre type régissant les conditions de prestation des soins de santé. </w:t>
      </w:r>
    </w:p>
    <w:p w14:paraId="62797D4E"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Réforme 2. Capacité accrue d'entreprendre des investissements dans les infrastructures de santé</w:t>
      </w:r>
    </w:p>
    <w:p w14:paraId="69C916FD" w14:textId="77777777" w:rsidR="00A345F4" w:rsidRDefault="005E2D4E">
      <w:pPr>
        <w:pStyle w:val="P68B1DB1-Normal4"/>
        <w:spacing w:before="120" w:after="120" w:line="240" w:lineRule="auto"/>
        <w:jc w:val="both"/>
        <w:rPr>
          <w:noProof/>
        </w:rPr>
      </w:pPr>
      <w:r>
        <w:rPr>
          <w:noProof/>
        </w:rPr>
        <w:t xml:space="preserve">La réforme vise à accroître la capacité administrative des autorités centrales et locales à gérer efficacement les projets d’infrastructures de santé en créant et en rendant opérationnelle l’Agence nationale pour le développement des infrastructures de santé (ANDIS), en tant qu’institution publique dotée de la personnalité juridique et subordonnée au ministère de la santé. À sa pleine capacité institutionnelle, l'ANDIS sera en mesure de gérer les grands projets d'infrastructures de santé publique, ainsi que de fournir une expertise technique à la demande des autorités locales. </w:t>
      </w:r>
    </w:p>
    <w:p w14:paraId="6283D933" w14:textId="77777777" w:rsidR="00A345F4" w:rsidRDefault="005E2D4E">
      <w:pPr>
        <w:pStyle w:val="P68B1DB1-Normal4"/>
        <w:spacing w:before="120" w:after="120" w:line="240" w:lineRule="auto"/>
        <w:jc w:val="both"/>
        <w:rPr>
          <w:noProof/>
        </w:rPr>
      </w:pPr>
      <w:r>
        <w:rPr>
          <w:noProof/>
        </w:rPr>
        <w:t>La mise en œuvre de la réforme comprend la création de l’ANDIS, sa dotation en siège et en personnel (y compris la nomination d’un président et d’un conseil de direction), des activités de formation du personnel et des activités de conseil et d’assistance technique pour les projets relevant du portefeuille de l’ANDIS. La mise en œuvre de la réforme est achevée au plus tard le 30 juin 2022.</w:t>
      </w:r>
    </w:p>
    <w:p w14:paraId="77306BF1"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Réforme 3. Renforcement des capacités en matière de gestion de la santé et de ressources humaines dans le domaine de la santé</w:t>
      </w:r>
    </w:p>
    <w:p w14:paraId="17A9E467" w14:textId="77777777" w:rsidR="00A345F4" w:rsidRDefault="005E2D4E">
      <w:pPr>
        <w:pStyle w:val="P68B1DB1-Normal4"/>
        <w:spacing w:before="120" w:after="120" w:line="240" w:lineRule="auto"/>
        <w:jc w:val="both"/>
        <w:rPr>
          <w:noProof/>
        </w:rPr>
      </w:pPr>
      <w:r>
        <w:rPr>
          <w:noProof/>
        </w:rPr>
        <w:t xml:space="preserve">L’objectif de la réforme est de soutenir le développement des connaissances, des aptitudes et des compétences de la main-d’œuvre dans l’ensemble du système de santé roumain et de prévenir la corruption. </w:t>
      </w:r>
    </w:p>
    <w:p w14:paraId="6BAC13F7" w14:textId="77777777" w:rsidR="00A345F4" w:rsidRDefault="005E2D4E">
      <w:pPr>
        <w:pStyle w:val="P68B1DB1-Normal4"/>
        <w:spacing w:before="120" w:after="120" w:line="240" w:lineRule="auto"/>
        <w:jc w:val="both"/>
        <w:rPr>
          <w:noProof/>
        </w:rPr>
      </w:pPr>
      <w:r>
        <w:rPr>
          <w:noProof/>
        </w:rPr>
        <w:t>La réforme consiste en des modifications législatives visant à réviser le cadre des ressources humaines en santé, la création d’un centre d’excellence pour la gestion des services de santé ainsi que des centres de formation et la formation du personnel de santé.</w:t>
      </w:r>
    </w:p>
    <w:p w14:paraId="4386CEAF" w14:textId="77777777" w:rsidR="00A345F4" w:rsidRDefault="005E2D4E">
      <w:pPr>
        <w:pStyle w:val="P68B1DB1-Normal12"/>
        <w:keepNext/>
        <w:suppressAutoHyphens/>
        <w:autoSpaceDN w:val="0"/>
        <w:spacing w:before="240" w:after="0" w:line="240" w:lineRule="auto"/>
        <w:jc w:val="both"/>
        <w:textAlignment w:val="baseline"/>
        <w:rPr>
          <w:rFonts w:eastAsiaTheme="majorEastAsia"/>
          <w:bCs/>
          <w:noProof/>
        </w:rPr>
      </w:pPr>
      <w:r>
        <w:rPr>
          <w:noProof/>
        </w:rPr>
        <w:t>Investissement 1. Infrastructures médicales préhospitalières</w:t>
      </w:r>
    </w:p>
    <w:p w14:paraId="25B3F567" w14:textId="77777777" w:rsidR="00A345F4" w:rsidRDefault="005E2D4E">
      <w:pPr>
        <w:pStyle w:val="P68B1DB1-Normal4"/>
        <w:spacing w:before="120" w:after="120" w:line="240" w:lineRule="auto"/>
        <w:jc w:val="both"/>
        <w:rPr>
          <w:i/>
          <w:iCs/>
          <w:noProof/>
        </w:rPr>
      </w:pPr>
      <w:r>
        <w:rPr>
          <w:noProof/>
        </w:rPr>
        <w:t xml:space="preserve">L'objectif de cet investissement est de soutenir l'accessibilité aux soins de santé de base. </w:t>
      </w:r>
    </w:p>
    <w:p w14:paraId="03DA447E" w14:textId="77777777" w:rsidR="00A345F4" w:rsidRDefault="005E2D4E">
      <w:pPr>
        <w:pStyle w:val="P68B1DB1-Normal4"/>
        <w:suppressAutoHyphens/>
        <w:autoSpaceDN w:val="0"/>
        <w:spacing w:before="240" w:after="0" w:line="240" w:lineRule="auto"/>
        <w:jc w:val="both"/>
        <w:textAlignment w:val="baseline"/>
        <w:rPr>
          <w:noProof/>
        </w:rPr>
      </w:pPr>
      <w:r>
        <w:rPr>
          <w:noProof/>
        </w:rPr>
        <w:t xml:space="preserve">L'investissement consiste en des investissements dans des cabinets de médecins de famille ou des associations de praticiens de soins primaires, des unités de soins ambulatoires et des centres communautaires intégrés. </w:t>
      </w:r>
    </w:p>
    <w:p w14:paraId="6782419B"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Investissement 2. Infrastructures hospitalières publiques</w:t>
      </w:r>
    </w:p>
    <w:p w14:paraId="0B1BBB1E" w14:textId="77777777" w:rsidR="00A345F4" w:rsidRDefault="005E2D4E">
      <w:pPr>
        <w:pStyle w:val="P68B1DB1-Normal4"/>
        <w:spacing w:before="120" w:after="120" w:line="240" w:lineRule="auto"/>
        <w:jc w:val="both"/>
        <w:rPr>
          <w:noProof/>
        </w:rPr>
      </w:pPr>
      <w:r>
        <w:rPr>
          <w:noProof/>
        </w:rPr>
        <w:t xml:space="preserve">L'objectif de cet investissement est de construire et d'équiper des hôpitaux publics. </w:t>
      </w:r>
    </w:p>
    <w:p w14:paraId="41E61F47" w14:textId="77777777" w:rsidR="00A345F4" w:rsidRDefault="005E2D4E">
      <w:pPr>
        <w:pStyle w:val="P68B1DB1-Normal4"/>
        <w:spacing w:before="120" w:after="240" w:line="240" w:lineRule="auto"/>
        <w:jc w:val="both"/>
        <w:rPr>
          <w:noProof/>
        </w:rPr>
      </w:pPr>
      <w:r>
        <w:rPr>
          <w:noProof/>
        </w:rPr>
        <w:t>L'investissement consiste en de nouvelles infrastructures hospitalières publiques, des équipements et des dispositifs médicaux, des investissements dans des installations de soins intensifs pour les nouveau-nés, ainsi que des équipements et du matériel visant à réduire le risque d'infections nosocomiales.</w:t>
      </w:r>
    </w:p>
    <w:p w14:paraId="344AB52B" w14:textId="77777777" w:rsidR="00A345F4" w:rsidRDefault="005E2D4E">
      <w:pPr>
        <w:pStyle w:val="P68B1DB1-Normal24"/>
        <w:spacing w:before="120" w:after="120" w:line="240" w:lineRule="auto"/>
        <w:jc w:val="both"/>
        <w:rPr>
          <w:noProof/>
        </w:rPr>
      </w:pPr>
      <w:r>
        <w:rPr>
          <w:noProof/>
        </w:rPr>
        <w:t xml:space="preserve">Investissement 4. Modernisation des soins de santé d'urgence </w:t>
      </w:r>
    </w:p>
    <w:p w14:paraId="31150C50" w14:textId="77777777" w:rsidR="00A345F4" w:rsidRDefault="005E2D4E">
      <w:pPr>
        <w:pStyle w:val="P68B1DB1-Normal4"/>
        <w:spacing w:before="120" w:after="120" w:line="240" w:lineRule="auto"/>
        <w:jc w:val="both"/>
        <w:rPr>
          <w:noProof/>
        </w:rPr>
      </w:pPr>
      <w:r>
        <w:rPr>
          <w:noProof/>
        </w:rPr>
        <w:t xml:space="preserve">L'objectif de cet investissement est de renouveler une partie du parc de véhicules pour l'intervention des services d'urgence et de premiers soins. </w:t>
      </w:r>
    </w:p>
    <w:p w14:paraId="0F861CCD" w14:textId="77777777" w:rsidR="00A345F4" w:rsidRDefault="005E2D4E">
      <w:pPr>
        <w:pStyle w:val="P68B1DB1-Normal4"/>
        <w:spacing w:before="120" w:after="120" w:line="240" w:lineRule="auto"/>
        <w:jc w:val="both"/>
        <w:rPr>
          <w:noProof/>
        </w:rPr>
      </w:pPr>
      <w:r>
        <w:rPr>
          <w:noProof/>
        </w:rPr>
        <w:t>L'investissement consiste en l'achat de nouvelles ambulances.</w:t>
      </w:r>
    </w:p>
    <w:p w14:paraId="270B9FBE" w14:textId="77777777" w:rsidR="00A345F4" w:rsidRDefault="00A345F4">
      <w:pPr>
        <w:spacing w:before="120" w:after="120" w:line="240" w:lineRule="auto"/>
        <w:jc w:val="both"/>
        <w:rPr>
          <w:rFonts w:ascii="Times New Roman" w:hAnsi="Times New Roman" w:cs="Times New Roman"/>
          <w:noProof/>
        </w:rPr>
      </w:pPr>
    </w:p>
    <w:p w14:paraId="03FC0981" w14:textId="77777777" w:rsidR="00A345F4" w:rsidRDefault="00A345F4">
      <w:pPr>
        <w:spacing w:before="120" w:after="120" w:line="240" w:lineRule="auto"/>
        <w:rPr>
          <w:rFonts w:ascii="Times New Roman" w:hAnsi="Times New Roman" w:cs="Times New Roman"/>
          <w:noProof/>
        </w:rPr>
        <w:sectPr w:rsidR="00A345F4" w:rsidSect="00823693">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p w14:paraId="7705464B" w14:textId="77777777" w:rsidR="00A345F4" w:rsidRDefault="005E2D4E">
      <w:pPr>
        <w:pStyle w:val="P68B1DB1-Normal4"/>
        <w:keepNext/>
        <w:spacing w:before="120" w:after="120" w:line="240" w:lineRule="auto"/>
        <w:ind w:left="851"/>
        <w:jc w:val="both"/>
        <w:outlineLvl w:val="1"/>
        <w:rPr>
          <w:rFonts w:eastAsiaTheme="majorEastAsia"/>
          <w:b/>
          <w:bCs/>
          <w:noProof/>
        </w:rPr>
      </w:pPr>
      <w:r>
        <w:rPr>
          <w:b/>
          <w:noProof/>
        </w:rPr>
        <w:t xml:space="preserve">L.2. </w:t>
      </w:r>
      <w:r>
        <w:rPr>
          <w:noProof/>
        </w:rPr>
        <w:t xml:space="preserve"> </w:t>
      </w:r>
      <w:r>
        <w:rPr>
          <w:b/>
          <w:noProof/>
        </w:rPr>
        <w:t>Étapes, cibles, indicateurs et calendrier pour le suivi et la mise en œuvre du soutien financier non remboursable</w:t>
      </w:r>
    </w:p>
    <w:tbl>
      <w:tblPr>
        <w:tblW w:w="15876" w:type="dxa"/>
        <w:jc w:val="center"/>
        <w:tblLayout w:type="fixed"/>
        <w:tblCellMar>
          <w:left w:w="28" w:type="dxa"/>
          <w:right w:w="28" w:type="dxa"/>
        </w:tblCellMar>
        <w:tblLook w:val="04A0" w:firstRow="1" w:lastRow="0" w:firstColumn="1" w:lastColumn="0" w:noHBand="0" w:noVBand="1"/>
      </w:tblPr>
      <w:tblGrid>
        <w:gridCol w:w="729"/>
        <w:gridCol w:w="1656"/>
        <w:gridCol w:w="1296"/>
        <w:gridCol w:w="1819"/>
        <w:gridCol w:w="2104"/>
        <w:gridCol w:w="1180"/>
        <w:gridCol w:w="992"/>
        <w:gridCol w:w="797"/>
        <w:gridCol w:w="982"/>
        <w:gridCol w:w="773"/>
        <w:gridCol w:w="3548"/>
      </w:tblGrid>
      <w:tr w:rsidR="00A345F4" w14:paraId="17126248" w14:textId="77777777" w:rsidTr="000D606E">
        <w:trPr>
          <w:trHeight w:val="927"/>
          <w:tblHeader/>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66A070" w14:textId="77777777" w:rsidR="00A345F4" w:rsidRDefault="005E2D4E">
            <w:pPr>
              <w:pStyle w:val="P68B1DB1-Normal13"/>
              <w:spacing w:after="0" w:line="240" w:lineRule="auto"/>
              <w:jc w:val="center"/>
              <w:rPr>
                <w:bCs/>
                <w:noProof/>
              </w:rPr>
            </w:pPr>
            <w:r>
              <w:rPr>
                <w:noProof/>
              </w:rPr>
              <w:t>Seq. Num.</w:t>
            </w:r>
          </w:p>
        </w:tc>
        <w:tc>
          <w:tcPr>
            <w:tcW w:w="16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259F76" w14:textId="77777777" w:rsidR="00A345F4" w:rsidRDefault="005E2D4E">
            <w:pPr>
              <w:pStyle w:val="P68B1DB1-Normal13"/>
              <w:spacing w:after="0" w:line="240" w:lineRule="auto"/>
              <w:jc w:val="center"/>
              <w:rPr>
                <w:bCs/>
                <w:noProof/>
              </w:rPr>
            </w:pPr>
            <w:r>
              <w:rPr>
                <w:noProof/>
              </w:rPr>
              <w:t>Mesure connexe (réforme ou investissement)</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63433D" w14:textId="2FBCCE2C" w:rsidR="00A345F4" w:rsidRDefault="005E2D4E">
            <w:pPr>
              <w:pStyle w:val="P68B1DB1-Normal13"/>
              <w:spacing w:after="0" w:line="240" w:lineRule="auto"/>
              <w:jc w:val="center"/>
              <w:rPr>
                <w:bCs/>
                <w:noProof/>
              </w:rPr>
            </w:pPr>
            <w:r>
              <w:rPr>
                <w:noProof/>
              </w:rPr>
              <w:t>Étape/objectif</w:t>
            </w:r>
          </w:p>
        </w:tc>
        <w:tc>
          <w:tcPr>
            <w:tcW w:w="18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175F09" w14:textId="77777777" w:rsidR="00A345F4" w:rsidRDefault="005E2D4E">
            <w:pPr>
              <w:pStyle w:val="P68B1DB1-Normal13"/>
              <w:spacing w:after="0" w:line="240" w:lineRule="auto"/>
              <w:jc w:val="center"/>
              <w:rPr>
                <w:bCs/>
                <w:noProof/>
              </w:rPr>
            </w:pPr>
            <w:r>
              <w:rPr>
                <w:noProof/>
              </w:rPr>
              <w:t>Nom</w:t>
            </w:r>
          </w:p>
        </w:tc>
        <w:tc>
          <w:tcPr>
            <w:tcW w:w="21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C2B738" w14:textId="75A64DD5" w:rsidR="00A345F4" w:rsidRDefault="005E2D4E">
            <w:pPr>
              <w:pStyle w:val="P68B1DB1-Normal14"/>
              <w:spacing w:after="0" w:line="240" w:lineRule="auto"/>
              <w:jc w:val="center"/>
              <w:rPr>
                <w:b/>
                <w:bCs/>
                <w:noProof/>
              </w:rPr>
            </w:pPr>
            <w:r>
              <w:rPr>
                <w:b/>
                <w:noProof/>
              </w:rPr>
              <w:t>Indicateurs qualitatifs</w:t>
            </w:r>
            <w:r>
              <w:rPr>
                <w:noProof/>
              </w:rPr>
              <w:t xml:space="preserve"> </w:t>
            </w:r>
            <w:r>
              <w:rPr>
                <w:noProof/>
              </w:rPr>
              <w:br/>
            </w:r>
            <w:r>
              <w:rPr>
                <w:b/>
                <w:noProof/>
              </w:rPr>
              <w:t>(pour les jalons)</w:t>
            </w:r>
          </w:p>
        </w:tc>
        <w:tc>
          <w:tcPr>
            <w:tcW w:w="296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BC46F25" w14:textId="4BE05C1F" w:rsidR="00A345F4" w:rsidRDefault="005E2D4E">
            <w:pPr>
              <w:pStyle w:val="P68B1DB1-Normal14"/>
              <w:spacing w:after="0" w:line="240" w:lineRule="auto"/>
              <w:jc w:val="center"/>
              <w:rPr>
                <w:b/>
                <w:bCs/>
                <w:noProof/>
              </w:rPr>
            </w:pPr>
            <w:r>
              <w:rPr>
                <w:b/>
                <w:noProof/>
              </w:rPr>
              <w:t>Indicateurs quantitatifs</w:t>
            </w:r>
            <w:r>
              <w:rPr>
                <w:noProof/>
              </w:rPr>
              <w:br/>
            </w:r>
            <w:r>
              <w:rPr>
                <w:b/>
                <w:noProof/>
              </w:rPr>
              <w:t>(pour les objectifs)</w:t>
            </w:r>
          </w:p>
        </w:tc>
        <w:tc>
          <w:tcPr>
            <w:tcW w:w="1755" w:type="dxa"/>
            <w:gridSpan w:val="2"/>
            <w:tcBorders>
              <w:top w:val="single" w:sz="4" w:space="0" w:color="auto"/>
              <w:left w:val="nil"/>
              <w:bottom w:val="single" w:sz="4" w:space="0" w:color="auto"/>
              <w:right w:val="single" w:sz="4" w:space="0" w:color="auto"/>
            </w:tcBorders>
            <w:shd w:val="clear" w:color="auto" w:fill="BDD7EE"/>
            <w:vAlign w:val="center"/>
            <w:hideMark/>
          </w:tcPr>
          <w:p w14:paraId="6E06E9F1" w14:textId="66BB7AB3" w:rsidR="00A345F4" w:rsidRDefault="005E2D4E">
            <w:pPr>
              <w:pStyle w:val="P68B1DB1-Normal13"/>
              <w:spacing w:after="0" w:line="240" w:lineRule="auto"/>
              <w:jc w:val="center"/>
              <w:rPr>
                <w:bCs/>
                <w:noProof/>
              </w:rPr>
            </w:pPr>
            <w:r>
              <w:rPr>
                <w:noProof/>
              </w:rPr>
              <w:t>Calendrier indicatif d'achèvement</w:t>
            </w:r>
          </w:p>
        </w:tc>
        <w:tc>
          <w:tcPr>
            <w:tcW w:w="35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49AA2E" w14:textId="77777777" w:rsidR="00A345F4" w:rsidRDefault="005E2D4E">
            <w:pPr>
              <w:pStyle w:val="P68B1DB1-Normal13"/>
              <w:spacing w:after="0" w:line="240" w:lineRule="auto"/>
              <w:jc w:val="center"/>
              <w:rPr>
                <w:bCs/>
                <w:noProof/>
              </w:rPr>
            </w:pPr>
            <w:r>
              <w:rPr>
                <w:noProof/>
              </w:rPr>
              <w:t>Description de chaque jalon et cible</w:t>
            </w:r>
          </w:p>
        </w:tc>
      </w:tr>
      <w:tr w:rsidR="00A345F4" w14:paraId="76EBA2B7" w14:textId="77777777" w:rsidTr="000D606E">
        <w:trPr>
          <w:trHeight w:val="624"/>
          <w:tblHeader/>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14:paraId="37512725" w14:textId="77777777" w:rsidR="00A345F4" w:rsidRDefault="00A345F4">
            <w:pPr>
              <w:spacing w:after="0" w:line="240" w:lineRule="auto"/>
              <w:jc w:val="both"/>
              <w:rPr>
                <w:rFonts w:ascii="Times New Roman" w:hAnsi="Times New Roman" w:cs="Times New Roman"/>
                <w:b/>
                <w:noProof/>
                <w:sz w:val="20"/>
                <w:szCs w:val="20"/>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3F5778C1" w14:textId="77777777" w:rsidR="00A345F4" w:rsidRDefault="00A345F4">
            <w:pPr>
              <w:spacing w:after="0" w:line="240" w:lineRule="auto"/>
              <w:jc w:val="both"/>
              <w:rPr>
                <w:rFonts w:ascii="Times New Roman" w:hAnsi="Times New Roman" w:cs="Times New Roman"/>
                <w:b/>
                <w:noProof/>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19C05470" w14:textId="77777777" w:rsidR="00A345F4" w:rsidRDefault="00A345F4">
            <w:pPr>
              <w:spacing w:after="0" w:line="240" w:lineRule="auto"/>
              <w:jc w:val="both"/>
              <w:rPr>
                <w:rFonts w:ascii="Times New Roman" w:hAnsi="Times New Roman" w:cs="Times New Roman"/>
                <w:b/>
                <w:noProof/>
                <w:sz w:val="20"/>
                <w:szCs w:val="20"/>
              </w:rPr>
            </w:pPr>
          </w:p>
        </w:tc>
        <w:tc>
          <w:tcPr>
            <w:tcW w:w="1819" w:type="dxa"/>
            <w:vMerge/>
            <w:tcBorders>
              <w:top w:val="single" w:sz="4" w:space="0" w:color="auto"/>
              <w:left w:val="single" w:sz="4" w:space="0" w:color="auto"/>
              <w:bottom w:val="single" w:sz="4" w:space="0" w:color="auto"/>
              <w:right w:val="single" w:sz="4" w:space="0" w:color="auto"/>
            </w:tcBorders>
            <w:vAlign w:val="center"/>
            <w:hideMark/>
          </w:tcPr>
          <w:p w14:paraId="02741BBE" w14:textId="77777777" w:rsidR="00A345F4" w:rsidRDefault="00A345F4">
            <w:pPr>
              <w:spacing w:after="0" w:line="240" w:lineRule="auto"/>
              <w:jc w:val="both"/>
              <w:rPr>
                <w:rFonts w:ascii="Times New Roman" w:hAnsi="Times New Roman" w:cs="Times New Roman"/>
                <w:b/>
                <w:noProof/>
                <w:sz w:val="20"/>
                <w:szCs w:val="20"/>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14:paraId="3B58ED57" w14:textId="77777777" w:rsidR="00A345F4" w:rsidRDefault="00A345F4">
            <w:pPr>
              <w:spacing w:after="0" w:line="240" w:lineRule="auto"/>
              <w:jc w:val="both"/>
              <w:rPr>
                <w:rFonts w:ascii="Times New Roman" w:hAnsi="Times New Roman" w:cs="Times New Roman"/>
                <w:b/>
                <w:noProof/>
                <w:sz w:val="20"/>
                <w:szCs w:val="20"/>
              </w:rPr>
            </w:pPr>
          </w:p>
        </w:tc>
        <w:tc>
          <w:tcPr>
            <w:tcW w:w="1180" w:type="dxa"/>
            <w:tcBorders>
              <w:top w:val="nil"/>
              <w:left w:val="single" w:sz="4" w:space="0" w:color="auto"/>
              <w:bottom w:val="single" w:sz="4" w:space="0" w:color="auto"/>
              <w:right w:val="single" w:sz="4" w:space="0" w:color="auto"/>
            </w:tcBorders>
            <w:shd w:val="clear" w:color="auto" w:fill="BDD7EE"/>
            <w:vAlign w:val="center"/>
            <w:hideMark/>
          </w:tcPr>
          <w:p w14:paraId="62016713" w14:textId="2AC0D548" w:rsidR="00A345F4" w:rsidRDefault="005E2D4E">
            <w:pPr>
              <w:pStyle w:val="P68B1DB1-Normal13"/>
              <w:spacing w:after="0" w:line="240" w:lineRule="auto"/>
              <w:jc w:val="center"/>
              <w:rPr>
                <w:bCs/>
                <w:noProof/>
              </w:rPr>
            </w:pPr>
            <w:r>
              <w:rPr>
                <w:noProof/>
              </w:rPr>
              <w:t>Unité de mesure</w:t>
            </w:r>
          </w:p>
        </w:tc>
        <w:tc>
          <w:tcPr>
            <w:tcW w:w="992" w:type="dxa"/>
            <w:tcBorders>
              <w:top w:val="nil"/>
              <w:left w:val="nil"/>
              <w:bottom w:val="single" w:sz="4" w:space="0" w:color="auto"/>
              <w:right w:val="single" w:sz="4" w:space="0" w:color="auto"/>
            </w:tcBorders>
            <w:shd w:val="clear" w:color="auto" w:fill="BDD7EE"/>
            <w:vAlign w:val="center"/>
            <w:hideMark/>
          </w:tcPr>
          <w:p w14:paraId="6ADC1DE4" w14:textId="77777777" w:rsidR="00A345F4" w:rsidRDefault="005E2D4E">
            <w:pPr>
              <w:pStyle w:val="P68B1DB1-Normal13"/>
              <w:spacing w:after="0" w:line="240" w:lineRule="auto"/>
              <w:jc w:val="center"/>
              <w:rPr>
                <w:bCs/>
                <w:noProof/>
              </w:rPr>
            </w:pPr>
            <w:r>
              <w:rPr>
                <w:noProof/>
              </w:rPr>
              <w:t>Données de référence</w:t>
            </w:r>
          </w:p>
        </w:tc>
        <w:tc>
          <w:tcPr>
            <w:tcW w:w="797" w:type="dxa"/>
            <w:tcBorders>
              <w:top w:val="nil"/>
              <w:left w:val="nil"/>
              <w:bottom w:val="single" w:sz="4" w:space="0" w:color="auto"/>
              <w:right w:val="single" w:sz="4" w:space="0" w:color="auto"/>
            </w:tcBorders>
            <w:shd w:val="clear" w:color="auto" w:fill="BDD7EE"/>
            <w:vAlign w:val="center"/>
            <w:hideMark/>
          </w:tcPr>
          <w:p w14:paraId="19739370" w14:textId="77777777" w:rsidR="00A345F4" w:rsidRDefault="005E2D4E">
            <w:pPr>
              <w:pStyle w:val="P68B1DB1-Normal13"/>
              <w:spacing w:after="0" w:line="240" w:lineRule="auto"/>
              <w:jc w:val="center"/>
              <w:rPr>
                <w:bCs/>
                <w:noProof/>
              </w:rPr>
            </w:pPr>
            <w:r>
              <w:rPr>
                <w:noProof/>
              </w:rPr>
              <w:t>Objectif</w:t>
            </w:r>
          </w:p>
        </w:tc>
        <w:tc>
          <w:tcPr>
            <w:tcW w:w="982" w:type="dxa"/>
            <w:tcBorders>
              <w:top w:val="single" w:sz="4" w:space="0" w:color="auto"/>
              <w:left w:val="nil"/>
              <w:bottom w:val="single" w:sz="4" w:space="0" w:color="auto"/>
              <w:right w:val="single" w:sz="4" w:space="0" w:color="auto"/>
            </w:tcBorders>
            <w:shd w:val="clear" w:color="auto" w:fill="BDD7EE"/>
            <w:vAlign w:val="center"/>
            <w:hideMark/>
          </w:tcPr>
          <w:p w14:paraId="01EC00D7" w14:textId="77777777" w:rsidR="00A345F4" w:rsidRDefault="005E2D4E">
            <w:pPr>
              <w:pStyle w:val="P68B1DB1-Normal13"/>
              <w:spacing w:after="0" w:line="240" w:lineRule="auto"/>
              <w:jc w:val="center"/>
              <w:rPr>
                <w:bCs/>
                <w:noProof/>
              </w:rPr>
            </w:pPr>
            <w:r>
              <w:rPr>
                <w:noProof/>
              </w:rPr>
              <w:t>Trimestre</w:t>
            </w:r>
          </w:p>
        </w:tc>
        <w:tc>
          <w:tcPr>
            <w:tcW w:w="773" w:type="dxa"/>
            <w:tcBorders>
              <w:top w:val="single" w:sz="4" w:space="0" w:color="auto"/>
              <w:left w:val="nil"/>
              <w:bottom w:val="single" w:sz="4" w:space="0" w:color="auto"/>
              <w:right w:val="single" w:sz="4" w:space="0" w:color="auto"/>
            </w:tcBorders>
            <w:shd w:val="clear" w:color="auto" w:fill="BDD7EE"/>
            <w:vAlign w:val="center"/>
            <w:hideMark/>
          </w:tcPr>
          <w:p w14:paraId="55E8E0B7" w14:textId="77777777" w:rsidR="00A345F4" w:rsidRDefault="005E2D4E">
            <w:pPr>
              <w:pStyle w:val="P68B1DB1-Normal13"/>
              <w:spacing w:after="0" w:line="240" w:lineRule="auto"/>
              <w:jc w:val="center"/>
              <w:rPr>
                <w:bCs/>
                <w:noProof/>
              </w:rPr>
            </w:pPr>
            <w:r>
              <w:rPr>
                <w:noProof/>
              </w:rPr>
              <w:t>Année</w:t>
            </w:r>
          </w:p>
        </w:tc>
        <w:tc>
          <w:tcPr>
            <w:tcW w:w="3548" w:type="dxa"/>
            <w:vMerge/>
            <w:tcBorders>
              <w:top w:val="single" w:sz="4" w:space="0" w:color="auto"/>
              <w:left w:val="single" w:sz="4" w:space="0" w:color="auto"/>
              <w:bottom w:val="single" w:sz="4" w:space="0" w:color="auto"/>
              <w:right w:val="single" w:sz="4" w:space="0" w:color="auto"/>
            </w:tcBorders>
            <w:vAlign w:val="center"/>
            <w:hideMark/>
          </w:tcPr>
          <w:p w14:paraId="6201B78E" w14:textId="77777777" w:rsidR="00A345F4" w:rsidRDefault="00A345F4">
            <w:pPr>
              <w:spacing w:after="0" w:line="240" w:lineRule="auto"/>
              <w:jc w:val="both"/>
              <w:rPr>
                <w:rFonts w:ascii="Times New Roman" w:hAnsi="Times New Roman" w:cs="Times New Roman"/>
                <w:b/>
                <w:noProof/>
                <w:sz w:val="20"/>
                <w:szCs w:val="20"/>
              </w:rPr>
            </w:pPr>
          </w:p>
        </w:tc>
      </w:tr>
      <w:tr w:rsidR="00A345F4" w14:paraId="761BD7F3" w14:textId="77777777" w:rsidTr="000D606E">
        <w:trPr>
          <w:trHeight w:val="309"/>
          <w:jc w:val="center"/>
        </w:trPr>
        <w:tc>
          <w:tcPr>
            <w:tcW w:w="72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tcPr>
          <w:p w14:paraId="48CE4868" w14:textId="77777777" w:rsidR="00A345F4" w:rsidRDefault="005E2D4E">
            <w:pPr>
              <w:pStyle w:val="P68B1DB1-Normal14"/>
              <w:spacing w:after="0" w:line="240" w:lineRule="auto"/>
              <w:jc w:val="center"/>
              <w:rPr>
                <w:noProof/>
              </w:rPr>
            </w:pPr>
            <w:r>
              <w:rPr>
                <w:noProof/>
              </w:rPr>
              <w:t>351</w:t>
            </w:r>
          </w:p>
        </w:tc>
        <w:tc>
          <w:tcPr>
            <w:tcW w:w="1656" w:type="dxa"/>
            <w:tcBorders>
              <w:top w:val="single" w:sz="4" w:space="0" w:color="auto"/>
              <w:left w:val="nil"/>
              <w:bottom w:val="single" w:sz="4" w:space="0" w:color="000000" w:themeColor="text1"/>
              <w:right w:val="single" w:sz="4" w:space="0" w:color="000000" w:themeColor="text1"/>
            </w:tcBorders>
            <w:shd w:val="clear" w:color="auto" w:fill="C6EFCE"/>
            <w:noWrap/>
          </w:tcPr>
          <w:p w14:paraId="2CBC966C" w14:textId="77777777" w:rsidR="00A345F4" w:rsidRDefault="005E2D4E">
            <w:pPr>
              <w:pStyle w:val="P68B1DB1-Normal14"/>
              <w:spacing w:after="0" w:line="240" w:lineRule="auto"/>
              <w:jc w:val="both"/>
              <w:rPr>
                <w:noProof/>
              </w:rPr>
            </w:pPr>
            <w:r>
              <w:rPr>
                <w:noProof/>
              </w:rPr>
              <w:t xml:space="preserve">Réforme 1. Renforcement des capacités de gestion des fonds de santé publique </w:t>
            </w:r>
          </w:p>
        </w:tc>
        <w:tc>
          <w:tcPr>
            <w:tcW w:w="1296" w:type="dxa"/>
            <w:tcBorders>
              <w:top w:val="single" w:sz="4" w:space="0" w:color="auto"/>
              <w:left w:val="nil"/>
              <w:bottom w:val="single" w:sz="4" w:space="0" w:color="000000" w:themeColor="text1"/>
              <w:right w:val="single" w:sz="4" w:space="0" w:color="000000" w:themeColor="text1"/>
            </w:tcBorders>
            <w:shd w:val="clear" w:color="auto" w:fill="C6EFCE"/>
            <w:noWrap/>
          </w:tcPr>
          <w:p w14:paraId="59E38280" w14:textId="77777777" w:rsidR="00A345F4" w:rsidRDefault="005E2D4E">
            <w:pPr>
              <w:pStyle w:val="P68B1DB1-Normal14"/>
              <w:spacing w:after="0" w:line="240" w:lineRule="auto"/>
              <w:jc w:val="both"/>
              <w:rPr>
                <w:noProof/>
              </w:rPr>
            </w:pPr>
            <w:r>
              <w:rPr>
                <w:noProof/>
              </w:rPr>
              <w:t>Étape</w:t>
            </w:r>
          </w:p>
        </w:tc>
        <w:tc>
          <w:tcPr>
            <w:tcW w:w="1819" w:type="dxa"/>
            <w:tcBorders>
              <w:top w:val="single" w:sz="4" w:space="0" w:color="auto"/>
              <w:left w:val="nil"/>
              <w:bottom w:val="single" w:sz="4" w:space="0" w:color="000000" w:themeColor="text1"/>
              <w:right w:val="single" w:sz="4" w:space="0" w:color="000000" w:themeColor="text1"/>
            </w:tcBorders>
            <w:shd w:val="clear" w:color="auto" w:fill="C6EFCE"/>
            <w:noWrap/>
          </w:tcPr>
          <w:p w14:paraId="08125D78" w14:textId="77777777" w:rsidR="00A345F4" w:rsidRDefault="005E2D4E">
            <w:pPr>
              <w:pStyle w:val="P68B1DB1-Normal14"/>
              <w:spacing w:after="0" w:line="240" w:lineRule="auto"/>
              <w:jc w:val="both"/>
              <w:rPr>
                <w:noProof/>
              </w:rPr>
            </w:pPr>
            <w:r>
              <w:rPr>
                <w:noProof/>
              </w:rPr>
              <w:t>Entrée en vigueur de l'arrêté ministériel relatif aux indicateurs de performance et de qualité à utiliser pour la sélection des unités médicales bénéficiant du Fonds Qualité Santé</w:t>
            </w:r>
          </w:p>
        </w:tc>
        <w:tc>
          <w:tcPr>
            <w:tcW w:w="2104" w:type="dxa"/>
            <w:tcBorders>
              <w:top w:val="single" w:sz="4" w:space="0" w:color="auto"/>
              <w:left w:val="nil"/>
              <w:bottom w:val="single" w:sz="4" w:space="0" w:color="000000" w:themeColor="text1"/>
              <w:right w:val="single" w:sz="4" w:space="0" w:color="000000" w:themeColor="text1"/>
            </w:tcBorders>
            <w:shd w:val="clear" w:color="auto" w:fill="C6EFCE"/>
            <w:noWrap/>
          </w:tcPr>
          <w:p w14:paraId="43986676" w14:textId="77777777" w:rsidR="00A345F4" w:rsidRDefault="005E2D4E">
            <w:pPr>
              <w:pStyle w:val="P68B1DB1-Normal14"/>
              <w:spacing w:after="0" w:line="240" w:lineRule="auto"/>
              <w:jc w:val="both"/>
              <w:rPr>
                <w:noProof/>
              </w:rPr>
            </w:pPr>
            <w:r>
              <w:rPr>
                <w:noProof/>
              </w:rPr>
              <w:t>Disposition de l'arrêté ministériel indiquant l'entrée en vigueur de l'arrêté ministériel portant adoption de l'ensemble des indicateurs de qualité des soins et de la méthodologie nécessaire à la sélection des établissements médicaux bénéficiaires</w:t>
            </w:r>
          </w:p>
        </w:tc>
        <w:tc>
          <w:tcPr>
            <w:tcW w:w="1180" w:type="dxa"/>
            <w:tcBorders>
              <w:top w:val="nil"/>
              <w:left w:val="nil"/>
              <w:bottom w:val="single" w:sz="4" w:space="0" w:color="000000" w:themeColor="text1"/>
              <w:right w:val="single" w:sz="4" w:space="0" w:color="000000" w:themeColor="text1"/>
            </w:tcBorders>
            <w:shd w:val="clear" w:color="auto" w:fill="C6EFCE"/>
            <w:noWrap/>
          </w:tcPr>
          <w:p w14:paraId="489F9A9A"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nil"/>
              <w:left w:val="nil"/>
              <w:bottom w:val="single" w:sz="4" w:space="0" w:color="000000" w:themeColor="text1"/>
              <w:right w:val="single" w:sz="4" w:space="0" w:color="000000" w:themeColor="text1"/>
            </w:tcBorders>
            <w:shd w:val="clear" w:color="auto" w:fill="C6EFCE"/>
            <w:noWrap/>
          </w:tcPr>
          <w:p w14:paraId="2DFAE8B4" w14:textId="77777777" w:rsidR="00A345F4" w:rsidRDefault="00A345F4">
            <w:pPr>
              <w:spacing w:after="0" w:line="240" w:lineRule="auto"/>
              <w:jc w:val="both"/>
              <w:rPr>
                <w:rFonts w:ascii="Times New Roman" w:hAnsi="Times New Roman" w:cs="Times New Roman"/>
                <w:noProof/>
                <w:sz w:val="20"/>
                <w:szCs w:val="20"/>
              </w:rPr>
            </w:pPr>
          </w:p>
        </w:tc>
        <w:tc>
          <w:tcPr>
            <w:tcW w:w="797" w:type="dxa"/>
            <w:tcBorders>
              <w:top w:val="nil"/>
              <w:left w:val="nil"/>
              <w:bottom w:val="single" w:sz="4" w:space="0" w:color="000000" w:themeColor="text1"/>
              <w:right w:val="single" w:sz="4" w:space="0" w:color="000000" w:themeColor="text1"/>
            </w:tcBorders>
            <w:shd w:val="clear" w:color="auto" w:fill="C6EFCE"/>
            <w:noWrap/>
          </w:tcPr>
          <w:p w14:paraId="0DBE044E"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single" w:sz="4" w:space="0" w:color="auto"/>
              <w:left w:val="nil"/>
              <w:bottom w:val="single" w:sz="4" w:space="0" w:color="000000" w:themeColor="text1"/>
              <w:right w:val="single" w:sz="4" w:space="0" w:color="000000" w:themeColor="text1"/>
            </w:tcBorders>
            <w:shd w:val="clear" w:color="auto" w:fill="C6EFCE"/>
            <w:noWrap/>
          </w:tcPr>
          <w:p w14:paraId="4DB7DFAE" w14:textId="77777777" w:rsidR="00A345F4" w:rsidRDefault="005E2D4E">
            <w:pPr>
              <w:pStyle w:val="P68B1DB1-Normal14"/>
              <w:spacing w:after="0" w:line="240" w:lineRule="auto"/>
              <w:jc w:val="both"/>
              <w:rPr>
                <w:noProof/>
              </w:rPr>
            </w:pPr>
            <w:r>
              <w:rPr>
                <w:noProof/>
              </w:rPr>
              <w:t>T4</w:t>
            </w:r>
          </w:p>
        </w:tc>
        <w:tc>
          <w:tcPr>
            <w:tcW w:w="773" w:type="dxa"/>
            <w:tcBorders>
              <w:top w:val="single" w:sz="4" w:space="0" w:color="auto"/>
              <w:left w:val="nil"/>
              <w:bottom w:val="single" w:sz="4" w:space="0" w:color="000000" w:themeColor="text1"/>
              <w:right w:val="single" w:sz="4" w:space="0" w:color="000000" w:themeColor="text1"/>
            </w:tcBorders>
            <w:shd w:val="clear" w:color="auto" w:fill="C6EFCE"/>
            <w:noWrap/>
          </w:tcPr>
          <w:p w14:paraId="220CEAA8" w14:textId="77777777" w:rsidR="00A345F4" w:rsidRDefault="005E2D4E">
            <w:pPr>
              <w:pStyle w:val="P68B1DB1-Normal14"/>
              <w:spacing w:after="0" w:line="240" w:lineRule="auto"/>
              <w:jc w:val="both"/>
              <w:rPr>
                <w:noProof/>
              </w:rPr>
            </w:pPr>
            <w:r>
              <w:rPr>
                <w:noProof/>
              </w:rPr>
              <w:t>2022</w:t>
            </w:r>
          </w:p>
        </w:tc>
        <w:tc>
          <w:tcPr>
            <w:tcW w:w="3548" w:type="dxa"/>
            <w:tcBorders>
              <w:top w:val="single" w:sz="4" w:space="0" w:color="auto"/>
              <w:left w:val="nil"/>
              <w:bottom w:val="single" w:sz="4" w:space="0" w:color="000000" w:themeColor="text1"/>
              <w:right w:val="single" w:sz="4" w:space="0" w:color="000000" w:themeColor="text1"/>
            </w:tcBorders>
            <w:shd w:val="clear" w:color="auto" w:fill="C6EFCE"/>
            <w:noWrap/>
          </w:tcPr>
          <w:p w14:paraId="6492FDB4" w14:textId="77777777" w:rsidR="00A345F4" w:rsidRDefault="005E2D4E">
            <w:pPr>
              <w:pStyle w:val="P68B1DB1-Normal14"/>
              <w:spacing w:after="0" w:line="240" w:lineRule="auto"/>
              <w:jc w:val="both"/>
              <w:rPr>
                <w:noProof/>
              </w:rPr>
            </w:pPr>
            <w:r>
              <w:rPr>
                <w:noProof/>
              </w:rPr>
              <w:t xml:space="preserve">Le ministère de la santé élabore et adopte un ensemble d’indicateurs de processus, d’indicateurs de résultats et d’indicateurs spécifiques aux patients à utiliser pour l’évaluation des prestataires de soins de santé, ainsi que la méthode de sélection des établissements bénéficiaires fondée sur les performances. L’ensemble d’indicateurs comprend des indicateurs tels que: la proportion de patients présentant des événements indésirables, l'amélioration de l'échelle de la douleur (score de l'échelle analogique visuelle), le taux d'infections acquises à l'hôpital, les informations de qualité disponibles pour les patients. </w:t>
            </w:r>
          </w:p>
        </w:tc>
      </w:tr>
      <w:tr w:rsidR="00A345F4" w14:paraId="5E684230" w14:textId="77777777" w:rsidTr="000D606E">
        <w:trPr>
          <w:trHeight w:val="309"/>
          <w:jc w:val="center"/>
        </w:trPr>
        <w:tc>
          <w:tcPr>
            <w:tcW w:w="729" w:type="dxa"/>
            <w:tcBorders>
              <w:top w:val="nil"/>
              <w:left w:val="single" w:sz="4" w:space="0" w:color="000000" w:themeColor="text1"/>
              <w:bottom w:val="single" w:sz="4" w:space="0" w:color="000000" w:themeColor="text1"/>
              <w:right w:val="single" w:sz="4" w:space="0" w:color="000000" w:themeColor="text1"/>
            </w:tcBorders>
            <w:shd w:val="clear" w:color="auto" w:fill="C6EFCE"/>
            <w:noWrap/>
          </w:tcPr>
          <w:p w14:paraId="25388542" w14:textId="77777777" w:rsidR="00A345F4" w:rsidRDefault="005E2D4E">
            <w:pPr>
              <w:pStyle w:val="P68B1DB1-Normal14"/>
              <w:spacing w:after="0" w:line="240" w:lineRule="auto"/>
              <w:jc w:val="center"/>
              <w:rPr>
                <w:noProof/>
              </w:rPr>
            </w:pPr>
            <w:r>
              <w:rPr>
                <w:noProof/>
              </w:rPr>
              <w:t>352</w:t>
            </w:r>
          </w:p>
        </w:tc>
        <w:tc>
          <w:tcPr>
            <w:tcW w:w="1656" w:type="dxa"/>
            <w:tcBorders>
              <w:top w:val="nil"/>
              <w:left w:val="nil"/>
              <w:bottom w:val="single" w:sz="4" w:space="0" w:color="000000" w:themeColor="text1"/>
              <w:right w:val="single" w:sz="4" w:space="0" w:color="000000" w:themeColor="text1"/>
            </w:tcBorders>
            <w:shd w:val="clear" w:color="auto" w:fill="C6EFCE"/>
            <w:noWrap/>
          </w:tcPr>
          <w:p w14:paraId="045CF1BF" w14:textId="77777777" w:rsidR="00A345F4" w:rsidRDefault="005E2D4E">
            <w:pPr>
              <w:pStyle w:val="P68B1DB1-Normal14"/>
              <w:spacing w:after="0" w:line="240" w:lineRule="auto"/>
              <w:jc w:val="both"/>
              <w:rPr>
                <w:noProof/>
              </w:rPr>
            </w:pPr>
            <w:r>
              <w:rPr>
                <w:noProof/>
              </w:rPr>
              <w:t>Réforme 1. Renforcement de la capacité de gestion des fonds de santé publique</w:t>
            </w:r>
          </w:p>
        </w:tc>
        <w:tc>
          <w:tcPr>
            <w:tcW w:w="1296" w:type="dxa"/>
            <w:tcBorders>
              <w:top w:val="nil"/>
              <w:left w:val="nil"/>
              <w:bottom w:val="single" w:sz="4" w:space="0" w:color="000000" w:themeColor="text1"/>
              <w:right w:val="single" w:sz="4" w:space="0" w:color="000000" w:themeColor="text1"/>
            </w:tcBorders>
            <w:shd w:val="clear" w:color="auto" w:fill="C6EFCE"/>
            <w:noWrap/>
          </w:tcPr>
          <w:p w14:paraId="7CB2EBC6" w14:textId="77777777" w:rsidR="00A345F4" w:rsidRDefault="005E2D4E">
            <w:pPr>
              <w:pStyle w:val="P68B1DB1-Normal14"/>
              <w:spacing w:after="0" w:line="240" w:lineRule="auto"/>
              <w:jc w:val="both"/>
              <w:rPr>
                <w:noProof/>
              </w:rPr>
            </w:pPr>
            <w:r>
              <w:rPr>
                <w:noProof/>
              </w:rPr>
              <w:t>Étape</w:t>
            </w:r>
          </w:p>
        </w:tc>
        <w:tc>
          <w:tcPr>
            <w:tcW w:w="1819" w:type="dxa"/>
            <w:tcBorders>
              <w:top w:val="nil"/>
              <w:left w:val="nil"/>
              <w:bottom w:val="single" w:sz="4" w:space="0" w:color="000000" w:themeColor="text1"/>
              <w:right w:val="single" w:sz="4" w:space="0" w:color="000000" w:themeColor="text1"/>
            </w:tcBorders>
            <w:shd w:val="clear" w:color="auto" w:fill="C6EFCE"/>
            <w:noWrap/>
          </w:tcPr>
          <w:p w14:paraId="770BFE64" w14:textId="77777777" w:rsidR="00A345F4" w:rsidRDefault="005E2D4E">
            <w:pPr>
              <w:pStyle w:val="P68B1DB1-Normal14"/>
              <w:spacing w:after="0" w:line="240" w:lineRule="auto"/>
              <w:jc w:val="both"/>
              <w:rPr>
                <w:noProof/>
              </w:rPr>
            </w:pPr>
            <w:r>
              <w:rPr>
                <w:noProof/>
              </w:rPr>
              <w:t xml:space="preserve">Entrée en vigueur de l’acte juridique relatif à un nouveau contrat-cadre type pour le système d’assurance maladie </w:t>
            </w:r>
          </w:p>
        </w:tc>
        <w:tc>
          <w:tcPr>
            <w:tcW w:w="2104" w:type="dxa"/>
            <w:tcBorders>
              <w:top w:val="nil"/>
              <w:left w:val="nil"/>
              <w:bottom w:val="single" w:sz="4" w:space="0" w:color="000000" w:themeColor="text1"/>
              <w:right w:val="single" w:sz="4" w:space="0" w:color="000000" w:themeColor="text1"/>
            </w:tcBorders>
            <w:shd w:val="clear" w:color="auto" w:fill="C6EFCE"/>
            <w:noWrap/>
          </w:tcPr>
          <w:p w14:paraId="222B3F16" w14:textId="77777777" w:rsidR="00A345F4" w:rsidRDefault="005E2D4E">
            <w:pPr>
              <w:pStyle w:val="P68B1DB1-Normal14"/>
              <w:spacing w:after="0" w:line="240" w:lineRule="auto"/>
              <w:jc w:val="both"/>
              <w:rPr>
                <w:noProof/>
              </w:rPr>
            </w:pPr>
            <w:r>
              <w:rPr>
                <w:noProof/>
              </w:rPr>
              <w:t xml:space="preserve">Disposition de l’acte juridique indiquant son entrée en vigueur </w:t>
            </w:r>
          </w:p>
        </w:tc>
        <w:tc>
          <w:tcPr>
            <w:tcW w:w="1180" w:type="dxa"/>
            <w:tcBorders>
              <w:top w:val="nil"/>
              <w:left w:val="nil"/>
              <w:bottom w:val="single" w:sz="4" w:space="0" w:color="000000" w:themeColor="text1"/>
              <w:right w:val="single" w:sz="4" w:space="0" w:color="000000" w:themeColor="text1"/>
            </w:tcBorders>
            <w:shd w:val="clear" w:color="auto" w:fill="C6EFCE"/>
            <w:noWrap/>
          </w:tcPr>
          <w:p w14:paraId="701FF319"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nil"/>
              <w:left w:val="nil"/>
              <w:bottom w:val="single" w:sz="4" w:space="0" w:color="000000" w:themeColor="text1"/>
              <w:right w:val="single" w:sz="4" w:space="0" w:color="000000" w:themeColor="text1"/>
            </w:tcBorders>
            <w:shd w:val="clear" w:color="auto" w:fill="C6EFCE"/>
            <w:noWrap/>
          </w:tcPr>
          <w:p w14:paraId="14BE0A8F" w14:textId="77777777" w:rsidR="00A345F4" w:rsidRDefault="00A345F4">
            <w:pPr>
              <w:spacing w:after="0" w:line="240" w:lineRule="auto"/>
              <w:jc w:val="both"/>
              <w:rPr>
                <w:rFonts w:ascii="Times New Roman" w:hAnsi="Times New Roman" w:cs="Times New Roman"/>
                <w:noProof/>
                <w:sz w:val="20"/>
                <w:szCs w:val="20"/>
              </w:rPr>
            </w:pPr>
          </w:p>
        </w:tc>
        <w:tc>
          <w:tcPr>
            <w:tcW w:w="797" w:type="dxa"/>
            <w:tcBorders>
              <w:top w:val="nil"/>
              <w:left w:val="nil"/>
              <w:bottom w:val="single" w:sz="4" w:space="0" w:color="000000" w:themeColor="text1"/>
              <w:right w:val="single" w:sz="4" w:space="0" w:color="000000" w:themeColor="text1"/>
            </w:tcBorders>
            <w:shd w:val="clear" w:color="auto" w:fill="C6EFCE"/>
            <w:noWrap/>
          </w:tcPr>
          <w:p w14:paraId="59A7C8D2"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nil"/>
              <w:left w:val="nil"/>
              <w:bottom w:val="single" w:sz="4" w:space="0" w:color="000000" w:themeColor="text1"/>
              <w:right w:val="single" w:sz="4" w:space="0" w:color="000000" w:themeColor="text1"/>
            </w:tcBorders>
            <w:shd w:val="clear" w:color="auto" w:fill="C6EFCE"/>
            <w:noWrap/>
          </w:tcPr>
          <w:p w14:paraId="14CFF4F6" w14:textId="77777777" w:rsidR="00A345F4" w:rsidRDefault="005E2D4E">
            <w:pPr>
              <w:pStyle w:val="P68B1DB1-Normal14"/>
              <w:spacing w:after="0" w:line="240" w:lineRule="auto"/>
              <w:jc w:val="both"/>
              <w:rPr>
                <w:noProof/>
              </w:rPr>
            </w:pPr>
            <w:r>
              <w:rPr>
                <w:noProof/>
              </w:rPr>
              <w:t>T2</w:t>
            </w:r>
          </w:p>
        </w:tc>
        <w:tc>
          <w:tcPr>
            <w:tcW w:w="773" w:type="dxa"/>
            <w:tcBorders>
              <w:top w:val="nil"/>
              <w:left w:val="nil"/>
              <w:bottom w:val="single" w:sz="4" w:space="0" w:color="000000" w:themeColor="text1"/>
              <w:right w:val="single" w:sz="4" w:space="0" w:color="000000" w:themeColor="text1"/>
            </w:tcBorders>
            <w:shd w:val="clear" w:color="auto" w:fill="C6EFCE"/>
            <w:noWrap/>
          </w:tcPr>
          <w:p w14:paraId="08F53E96" w14:textId="77777777" w:rsidR="00A345F4" w:rsidRDefault="005E2D4E">
            <w:pPr>
              <w:pStyle w:val="P68B1DB1-Normal14"/>
              <w:spacing w:after="0" w:line="240" w:lineRule="auto"/>
              <w:jc w:val="both"/>
              <w:rPr>
                <w:noProof/>
              </w:rPr>
            </w:pPr>
            <w:r>
              <w:rPr>
                <w:noProof/>
              </w:rPr>
              <w:t>2023</w:t>
            </w:r>
          </w:p>
        </w:tc>
        <w:tc>
          <w:tcPr>
            <w:tcW w:w="3548" w:type="dxa"/>
            <w:tcBorders>
              <w:top w:val="nil"/>
              <w:left w:val="nil"/>
              <w:bottom w:val="single" w:sz="4" w:space="0" w:color="000000" w:themeColor="text1"/>
              <w:right w:val="single" w:sz="4" w:space="0" w:color="000000" w:themeColor="text1"/>
            </w:tcBorders>
            <w:shd w:val="clear" w:color="auto" w:fill="C6EFCE"/>
            <w:noWrap/>
          </w:tcPr>
          <w:p w14:paraId="436EC354" w14:textId="77777777" w:rsidR="00A345F4" w:rsidRDefault="005E2D4E">
            <w:pPr>
              <w:pStyle w:val="P68B1DB1-Normal14"/>
              <w:spacing w:after="0" w:line="240" w:lineRule="auto"/>
              <w:jc w:val="both"/>
              <w:rPr>
                <w:noProof/>
              </w:rPr>
            </w:pPr>
            <w:r>
              <w:rPr>
                <w:noProof/>
              </w:rPr>
              <w:t>Le nouveau modèle de contrat-cadre pour le système d'assurance maladie:</w:t>
            </w:r>
          </w:p>
          <w:p w14:paraId="0B484842" w14:textId="77777777" w:rsidR="00A345F4" w:rsidRDefault="005E2D4E">
            <w:pPr>
              <w:pStyle w:val="P68B1DB1-Normal46"/>
              <w:numPr>
                <w:ilvl w:val="0"/>
                <w:numId w:val="56"/>
              </w:numPr>
              <w:pBdr>
                <w:top w:val="nil"/>
                <w:left w:val="nil"/>
                <w:bottom w:val="nil"/>
                <w:right w:val="nil"/>
                <w:between w:val="nil"/>
              </w:pBdr>
              <w:spacing w:after="0" w:line="240" w:lineRule="auto"/>
              <w:ind w:left="260" w:hanging="260"/>
              <w:jc w:val="both"/>
              <w:rPr>
                <w:noProof/>
              </w:rPr>
            </w:pPr>
            <w:r>
              <w:rPr>
                <w:noProof/>
              </w:rPr>
              <w:t>c) Contient des indicateurs d ' efficacité pour les dépenses de la Caisse nationale d ' assurance maladie, qui doivent être communiqués régulièrement;</w:t>
            </w:r>
          </w:p>
          <w:p w14:paraId="6F08BE2D" w14:textId="77777777" w:rsidR="00A345F4" w:rsidRDefault="005E2D4E">
            <w:pPr>
              <w:pStyle w:val="P68B1DB1-Normal46"/>
              <w:numPr>
                <w:ilvl w:val="0"/>
                <w:numId w:val="56"/>
              </w:numPr>
              <w:pBdr>
                <w:top w:val="nil"/>
                <w:left w:val="nil"/>
                <w:bottom w:val="nil"/>
                <w:right w:val="nil"/>
                <w:between w:val="nil"/>
              </w:pBdr>
              <w:spacing w:after="0" w:line="240" w:lineRule="auto"/>
              <w:ind w:left="260" w:hanging="260"/>
              <w:jc w:val="both"/>
              <w:rPr>
                <w:noProof/>
              </w:rPr>
            </w:pPr>
            <w:r>
              <w:rPr>
                <w:noProof/>
              </w:rPr>
              <w:t>Accroître la portée des services ambulatoires;</w:t>
            </w:r>
          </w:p>
          <w:p w14:paraId="3D74B903" w14:textId="77777777" w:rsidR="00A345F4" w:rsidRDefault="005E2D4E">
            <w:pPr>
              <w:pStyle w:val="P68B1DB1-Normal46"/>
              <w:numPr>
                <w:ilvl w:val="0"/>
                <w:numId w:val="56"/>
              </w:numPr>
              <w:pBdr>
                <w:top w:val="nil"/>
                <w:left w:val="nil"/>
                <w:bottom w:val="nil"/>
                <w:right w:val="nil"/>
                <w:between w:val="nil"/>
              </w:pBdr>
              <w:spacing w:after="0" w:line="240" w:lineRule="auto"/>
              <w:ind w:left="260" w:hanging="260"/>
              <w:jc w:val="both"/>
              <w:rPr>
                <w:noProof/>
              </w:rPr>
            </w:pPr>
            <w:r>
              <w:rPr>
                <w:noProof/>
              </w:rPr>
              <w:t>Mandater des protocoles de soins préventifs et des programmes de détection précoce au niveau des soins primaires;</w:t>
            </w:r>
          </w:p>
          <w:p w14:paraId="41EA7AE3" w14:textId="77777777" w:rsidR="00A345F4" w:rsidRDefault="005E2D4E">
            <w:pPr>
              <w:pStyle w:val="P68B1DB1-Normal46"/>
              <w:numPr>
                <w:ilvl w:val="0"/>
                <w:numId w:val="56"/>
              </w:numPr>
              <w:pBdr>
                <w:top w:val="nil"/>
                <w:left w:val="nil"/>
                <w:bottom w:val="nil"/>
                <w:right w:val="nil"/>
                <w:between w:val="nil"/>
              </w:pBdr>
              <w:spacing w:after="0" w:line="240" w:lineRule="auto"/>
              <w:ind w:left="260" w:hanging="260"/>
              <w:jc w:val="both"/>
              <w:rPr>
                <w:noProof/>
              </w:rPr>
            </w:pPr>
            <w:r>
              <w:rPr>
                <w:noProof/>
              </w:rPr>
              <w:t>Permettre la télémédecine et les capacités de consultation à distance pour certains services médicaux;</w:t>
            </w:r>
          </w:p>
          <w:p w14:paraId="5B79254A" w14:textId="77777777" w:rsidR="00A345F4" w:rsidRDefault="005E2D4E">
            <w:pPr>
              <w:pStyle w:val="P68B1DB1-Normal46"/>
              <w:numPr>
                <w:ilvl w:val="0"/>
                <w:numId w:val="56"/>
              </w:numPr>
              <w:pBdr>
                <w:top w:val="nil"/>
                <w:left w:val="nil"/>
                <w:bottom w:val="nil"/>
                <w:right w:val="nil"/>
                <w:between w:val="nil"/>
              </w:pBdr>
              <w:spacing w:after="0" w:line="240" w:lineRule="auto"/>
              <w:ind w:left="260" w:hanging="260"/>
              <w:jc w:val="both"/>
              <w:rPr>
                <w:noProof/>
              </w:rPr>
            </w:pPr>
            <w:r>
              <w:rPr>
                <w:noProof/>
              </w:rPr>
              <w:t>Inclure des dispositions sur les incitations financières et les mécanismes de soutien pour les prestataires de soins de santé desservant les populations rurales mal desservies;</w:t>
            </w:r>
          </w:p>
          <w:p w14:paraId="51986505" w14:textId="77777777" w:rsidR="00A345F4" w:rsidRDefault="005E2D4E">
            <w:pPr>
              <w:pStyle w:val="P68B1DB1-Normal46"/>
              <w:numPr>
                <w:ilvl w:val="0"/>
                <w:numId w:val="56"/>
              </w:numPr>
              <w:pBdr>
                <w:top w:val="nil"/>
                <w:left w:val="nil"/>
                <w:bottom w:val="nil"/>
                <w:right w:val="nil"/>
                <w:between w:val="nil"/>
              </w:pBdr>
              <w:spacing w:after="0" w:line="240" w:lineRule="auto"/>
              <w:ind w:left="260" w:hanging="260"/>
              <w:jc w:val="both"/>
              <w:rPr>
                <w:noProof/>
              </w:rPr>
            </w:pPr>
            <w:r>
              <w:rPr>
                <w:noProof/>
              </w:rPr>
              <w:t>Élargir la portée définie des services couverts aux soins primaires, spécialisés et communautaires.</w:t>
            </w:r>
          </w:p>
        </w:tc>
      </w:tr>
      <w:tr w:rsidR="00A345F4" w14:paraId="6FE4DF43" w14:textId="77777777" w:rsidTr="000D606E">
        <w:trPr>
          <w:trHeight w:val="309"/>
          <w:jc w:val="center"/>
        </w:trPr>
        <w:tc>
          <w:tcPr>
            <w:tcW w:w="729" w:type="dxa"/>
            <w:tcBorders>
              <w:top w:val="nil"/>
              <w:left w:val="single" w:sz="4" w:space="0" w:color="000000" w:themeColor="text1"/>
              <w:bottom w:val="single" w:sz="4" w:space="0" w:color="000000" w:themeColor="text1"/>
              <w:right w:val="single" w:sz="4" w:space="0" w:color="000000" w:themeColor="text1"/>
            </w:tcBorders>
            <w:shd w:val="clear" w:color="auto" w:fill="C6EFCE"/>
            <w:noWrap/>
          </w:tcPr>
          <w:p w14:paraId="60C00F51" w14:textId="77777777" w:rsidR="00A345F4" w:rsidRDefault="005E2D4E">
            <w:pPr>
              <w:pStyle w:val="P68B1DB1-Normal14"/>
              <w:spacing w:after="0" w:line="240" w:lineRule="auto"/>
              <w:jc w:val="center"/>
              <w:rPr>
                <w:noProof/>
              </w:rPr>
            </w:pPr>
            <w:r>
              <w:rPr>
                <w:noProof/>
              </w:rPr>
              <w:t>355</w:t>
            </w:r>
          </w:p>
        </w:tc>
        <w:tc>
          <w:tcPr>
            <w:tcW w:w="1656" w:type="dxa"/>
            <w:tcBorders>
              <w:top w:val="nil"/>
              <w:left w:val="nil"/>
              <w:bottom w:val="single" w:sz="4" w:space="0" w:color="000000" w:themeColor="text1"/>
              <w:right w:val="single" w:sz="4" w:space="0" w:color="000000" w:themeColor="text1"/>
            </w:tcBorders>
            <w:shd w:val="clear" w:color="auto" w:fill="C6EFCE"/>
            <w:noWrap/>
          </w:tcPr>
          <w:p w14:paraId="43187523" w14:textId="77777777" w:rsidR="00A345F4" w:rsidRDefault="005E2D4E">
            <w:pPr>
              <w:pStyle w:val="P68B1DB1-Normal14"/>
              <w:spacing w:after="0" w:line="240" w:lineRule="auto"/>
              <w:jc w:val="both"/>
              <w:rPr>
                <w:noProof/>
              </w:rPr>
            </w:pPr>
            <w:r>
              <w:rPr>
                <w:noProof/>
              </w:rPr>
              <w:t xml:space="preserve">Réforme 2. Capacité accrue d'entreprendre des investissements dans les infrastructures de santé </w:t>
            </w:r>
          </w:p>
        </w:tc>
        <w:tc>
          <w:tcPr>
            <w:tcW w:w="1296" w:type="dxa"/>
            <w:tcBorders>
              <w:top w:val="nil"/>
              <w:left w:val="nil"/>
              <w:bottom w:val="single" w:sz="4" w:space="0" w:color="000000" w:themeColor="text1"/>
              <w:right w:val="single" w:sz="4" w:space="0" w:color="000000" w:themeColor="text1"/>
            </w:tcBorders>
            <w:shd w:val="clear" w:color="auto" w:fill="C6EFCE"/>
            <w:noWrap/>
          </w:tcPr>
          <w:p w14:paraId="1C5289F9" w14:textId="77777777" w:rsidR="00A345F4" w:rsidRDefault="005E2D4E">
            <w:pPr>
              <w:pStyle w:val="P68B1DB1-Normal14"/>
              <w:spacing w:after="0" w:line="240" w:lineRule="auto"/>
              <w:jc w:val="both"/>
              <w:rPr>
                <w:noProof/>
              </w:rPr>
            </w:pPr>
            <w:r>
              <w:rPr>
                <w:noProof/>
              </w:rPr>
              <w:t>Étape</w:t>
            </w:r>
          </w:p>
        </w:tc>
        <w:tc>
          <w:tcPr>
            <w:tcW w:w="1819" w:type="dxa"/>
            <w:tcBorders>
              <w:top w:val="nil"/>
              <w:left w:val="nil"/>
              <w:bottom w:val="single" w:sz="4" w:space="0" w:color="000000" w:themeColor="text1"/>
              <w:right w:val="single" w:sz="4" w:space="0" w:color="000000" w:themeColor="text1"/>
            </w:tcBorders>
            <w:shd w:val="clear" w:color="auto" w:fill="C6EFCE"/>
            <w:noWrap/>
          </w:tcPr>
          <w:p w14:paraId="2583C929" w14:textId="77777777" w:rsidR="00A345F4" w:rsidRDefault="005E2D4E">
            <w:pPr>
              <w:pStyle w:val="P68B1DB1-Normal14"/>
              <w:spacing w:after="0" w:line="240" w:lineRule="auto"/>
              <w:jc w:val="both"/>
              <w:rPr>
                <w:noProof/>
              </w:rPr>
            </w:pPr>
            <w:r>
              <w:rPr>
                <w:noProof/>
              </w:rPr>
              <w:t xml:space="preserve">Entrée en vigueur du cadre législatif portant création de l'Agence nationale pour le développement des infrastructures dans le domaine de la santé (ANDIS) </w:t>
            </w:r>
          </w:p>
          <w:p w14:paraId="4BC8EA1C" w14:textId="77777777" w:rsidR="00A345F4" w:rsidRDefault="00A345F4">
            <w:pPr>
              <w:spacing w:after="0" w:line="240" w:lineRule="auto"/>
              <w:jc w:val="both"/>
              <w:rPr>
                <w:rFonts w:ascii="Times New Roman" w:hAnsi="Times New Roman" w:cs="Times New Roman"/>
                <w:noProof/>
                <w:sz w:val="20"/>
                <w:szCs w:val="20"/>
              </w:rPr>
            </w:pPr>
          </w:p>
          <w:p w14:paraId="75CA0132" w14:textId="77777777" w:rsidR="00A345F4" w:rsidRDefault="00A345F4">
            <w:pPr>
              <w:spacing w:before="120" w:after="0" w:line="240" w:lineRule="auto"/>
              <w:jc w:val="both"/>
              <w:rPr>
                <w:rFonts w:ascii="Times New Roman" w:hAnsi="Times New Roman" w:cs="Times New Roman"/>
                <w:noProof/>
                <w:sz w:val="20"/>
                <w:szCs w:val="20"/>
              </w:rPr>
            </w:pPr>
          </w:p>
        </w:tc>
        <w:tc>
          <w:tcPr>
            <w:tcW w:w="2104" w:type="dxa"/>
            <w:tcBorders>
              <w:top w:val="nil"/>
              <w:left w:val="nil"/>
              <w:bottom w:val="single" w:sz="4" w:space="0" w:color="000000" w:themeColor="text1"/>
              <w:right w:val="single" w:sz="4" w:space="0" w:color="000000" w:themeColor="text1"/>
            </w:tcBorders>
            <w:shd w:val="clear" w:color="auto" w:fill="C6EFCE"/>
            <w:noWrap/>
          </w:tcPr>
          <w:p w14:paraId="619CD0E0" w14:textId="77777777" w:rsidR="00A345F4" w:rsidRDefault="005E2D4E">
            <w:pPr>
              <w:pStyle w:val="P68B1DB1-Normal14"/>
              <w:spacing w:after="0" w:line="240" w:lineRule="auto"/>
              <w:jc w:val="both"/>
              <w:rPr>
                <w:noProof/>
              </w:rPr>
            </w:pPr>
            <w:r>
              <w:rPr>
                <w:noProof/>
              </w:rPr>
              <w:t>Entrée en vigueur du cadre législatif portant création de l'Agence nationale pour le développement des infrastructures dans le domaine de la santé (ANDIS)</w:t>
            </w:r>
          </w:p>
        </w:tc>
        <w:tc>
          <w:tcPr>
            <w:tcW w:w="1180" w:type="dxa"/>
            <w:tcBorders>
              <w:top w:val="nil"/>
              <w:left w:val="nil"/>
              <w:bottom w:val="single" w:sz="4" w:space="0" w:color="000000" w:themeColor="text1"/>
              <w:right w:val="single" w:sz="4" w:space="0" w:color="000000" w:themeColor="text1"/>
            </w:tcBorders>
            <w:shd w:val="clear" w:color="auto" w:fill="C6EFCE"/>
            <w:noWrap/>
          </w:tcPr>
          <w:p w14:paraId="58060900"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nil"/>
              <w:left w:val="nil"/>
              <w:bottom w:val="single" w:sz="4" w:space="0" w:color="000000" w:themeColor="text1"/>
              <w:right w:val="single" w:sz="4" w:space="0" w:color="000000" w:themeColor="text1"/>
            </w:tcBorders>
            <w:shd w:val="clear" w:color="auto" w:fill="C6EFCE"/>
            <w:noWrap/>
          </w:tcPr>
          <w:p w14:paraId="7A9426DA" w14:textId="77777777" w:rsidR="00A345F4" w:rsidRDefault="00A345F4">
            <w:pPr>
              <w:spacing w:after="0" w:line="240" w:lineRule="auto"/>
              <w:jc w:val="both"/>
              <w:rPr>
                <w:rFonts w:ascii="Times New Roman" w:hAnsi="Times New Roman" w:cs="Times New Roman"/>
                <w:noProof/>
                <w:sz w:val="20"/>
                <w:szCs w:val="20"/>
              </w:rPr>
            </w:pPr>
          </w:p>
        </w:tc>
        <w:tc>
          <w:tcPr>
            <w:tcW w:w="797" w:type="dxa"/>
            <w:tcBorders>
              <w:top w:val="nil"/>
              <w:left w:val="nil"/>
              <w:bottom w:val="single" w:sz="4" w:space="0" w:color="000000" w:themeColor="text1"/>
              <w:right w:val="single" w:sz="4" w:space="0" w:color="000000" w:themeColor="text1"/>
            </w:tcBorders>
            <w:shd w:val="clear" w:color="auto" w:fill="C6EFCE"/>
            <w:noWrap/>
          </w:tcPr>
          <w:p w14:paraId="20A381F1"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nil"/>
              <w:left w:val="nil"/>
              <w:bottom w:val="single" w:sz="4" w:space="0" w:color="000000" w:themeColor="text1"/>
              <w:right w:val="single" w:sz="4" w:space="0" w:color="000000" w:themeColor="text1"/>
            </w:tcBorders>
            <w:shd w:val="clear" w:color="auto" w:fill="C6EFCE"/>
            <w:noWrap/>
          </w:tcPr>
          <w:p w14:paraId="3BBCC10F" w14:textId="77777777" w:rsidR="00A345F4" w:rsidRDefault="005E2D4E">
            <w:pPr>
              <w:pStyle w:val="P68B1DB1-Normal14"/>
              <w:spacing w:after="0" w:line="240" w:lineRule="auto"/>
              <w:jc w:val="both"/>
              <w:rPr>
                <w:noProof/>
              </w:rPr>
            </w:pPr>
            <w:r>
              <w:rPr>
                <w:noProof/>
              </w:rPr>
              <w:t>T2</w:t>
            </w:r>
          </w:p>
        </w:tc>
        <w:tc>
          <w:tcPr>
            <w:tcW w:w="773" w:type="dxa"/>
            <w:tcBorders>
              <w:top w:val="nil"/>
              <w:left w:val="nil"/>
              <w:bottom w:val="single" w:sz="4" w:space="0" w:color="000000" w:themeColor="text1"/>
              <w:right w:val="single" w:sz="4" w:space="0" w:color="000000" w:themeColor="text1"/>
            </w:tcBorders>
            <w:shd w:val="clear" w:color="auto" w:fill="C6EFCE"/>
            <w:noWrap/>
          </w:tcPr>
          <w:p w14:paraId="5347335D" w14:textId="77777777" w:rsidR="00A345F4" w:rsidRDefault="005E2D4E">
            <w:pPr>
              <w:pStyle w:val="P68B1DB1-Normal14"/>
              <w:spacing w:after="0" w:line="240" w:lineRule="auto"/>
              <w:jc w:val="both"/>
              <w:rPr>
                <w:noProof/>
              </w:rPr>
            </w:pPr>
            <w:r>
              <w:rPr>
                <w:noProof/>
              </w:rPr>
              <w:t>2022</w:t>
            </w:r>
          </w:p>
        </w:tc>
        <w:tc>
          <w:tcPr>
            <w:tcW w:w="3548" w:type="dxa"/>
            <w:tcBorders>
              <w:top w:val="nil"/>
              <w:left w:val="nil"/>
              <w:bottom w:val="single" w:sz="4" w:space="0" w:color="000000" w:themeColor="text1"/>
              <w:right w:val="single" w:sz="4" w:space="0" w:color="000000" w:themeColor="text1"/>
            </w:tcBorders>
            <w:shd w:val="clear" w:color="auto" w:fill="C6EFCE"/>
            <w:noWrap/>
          </w:tcPr>
          <w:p w14:paraId="6D8A6B99" w14:textId="77777777" w:rsidR="00A345F4" w:rsidRDefault="005E2D4E">
            <w:pPr>
              <w:pStyle w:val="P68B1DB1-Normal14"/>
              <w:spacing w:after="0" w:line="240" w:lineRule="auto"/>
              <w:jc w:val="both"/>
              <w:rPr>
                <w:noProof/>
              </w:rPr>
            </w:pPr>
            <w:r>
              <w:rPr>
                <w:noProof/>
              </w:rPr>
              <w:t>Le cadre législatif définit les fonctions suivantes de l'Agence:</w:t>
            </w:r>
          </w:p>
          <w:p w14:paraId="724EAD3D" w14:textId="77777777" w:rsidR="00A345F4" w:rsidRDefault="005E2D4E">
            <w:pPr>
              <w:pStyle w:val="P68B1DB1-Normal14"/>
              <w:spacing w:after="0" w:line="240" w:lineRule="auto"/>
              <w:jc w:val="both"/>
              <w:rPr>
                <w:noProof/>
              </w:rPr>
            </w:pPr>
            <w:r>
              <w:rPr>
                <w:noProof/>
              </w:rPr>
              <w:t>—préparer et mettre en œuvre les projets prioritaires d’investissement dans les infrastructures de santé publique en temps utile, conformément au cahier des charges et dans le cadre du budget approuvé;</w:t>
            </w:r>
          </w:p>
          <w:p w14:paraId="4F58E349" w14:textId="77777777" w:rsidR="00A345F4" w:rsidRDefault="005E2D4E">
            <w:pPr>
              <w:pStyle w:val="P68B1DB1-Normal14"/>
              <w:spacing w:after="0" w:line="240" w:lineRule="auto"/>
              <w:jc w:val="both"/>
              <w:rPr>
                <w:noProof/>
              </w:rPr>
            </w:pPr>
            <w:r>
              <w:rPr>
                <w:noProof/>
              </w:rPr>
              <w:t>—émettre des instructions, des recommandations et des normes méthodologiques applicables pour l’élaboration, la mise en œuvre et l’achèvement de projets d’investissement dans des infrastructures de santé publique;</w:t>
            </w:r>
          </w:p>
          <w:p w14:paraId="2014578A" w14:textId="77777777" w:rsidR="00A345F4" w:rsidRDefault="005E2D4E">
            <w:pPr>
              <w:pStyle w:val="P68B1DB1-Normal14"/>
              <w:numPr>
                <w:ilvl w:val="0"/>
                <w:numId w:val="57"/>
              </w:numPr>
              <w:spacing w:after="0" w:line="240" w:lineRule="auto"/>
              <w:ind w:left="260" w:hanging="260"/>
              <w:contextualSpacing/>
              <w:jc w:val="both"/>
              <w:rPr>
                <w:noProof/>
              </w:rPr>
            </w:pPr>
            <w:r>
              <w:rPr>
                <w:noProof/>
              </w:rPr>
              <w:t>fournir une assistance spécialisée dans le domaine des projets d’investissement dans les infrastructures de santé publique aux ministères, aux hôpitaux publics ou à d’autres autorités publiques;</w:t>
            </w:r>
          </w:p>
          <w:p w14:paraId="476F11D0" w14:textId="77777777" w:rsidR="00A345F4" w:rsidRDefault="005E2D4E">
            <w:pPr>
              <w:pStyle w:val="P68B1DB1-Normal14"/>
              <w:numPr>
                <w:ilvl w:val="0"/>
                <w:numId w:val="57"/>
              </w:numPr>
              <w:spacing w:after="0" w:line="240" w:lineRule="auto"/>
              <w:ind w:left="260" w:hanging="260"/>
              <w:contextualSpacing/>
              <w:jc w:val="both"/>
              <w:rPr>
                <w:noProof/>
              </w:rPr>
            </w:pPr>
            <w:r>
              <w:rPr>
                <w:noProof/>
              </w:rPr>
              <w:t>Établir et mettre en œuvre le programme pluriannuel de projets d'investissement prioritaires dans les infrastructures de santé publique;</w:t>
            </w:r>
          </w:p>
          <w:p w14:paraId="0B0B39C0" w14:textId="77777777" w:rsidR="00A345F4" w:rsidRDefault="005E2D4E">
            <w:pPr>
              <w:pStyle w:val="P68B1DB1-Normal14"/>
              <w:numPr>
                <w:ilvl w:val="0"/>
                <w:numId w:val="57"/>
              </w:numPr>
              <w:spacing w:after="0" w:line="240" w:lineRule="auto"/>
              <w:ind w:left="260" w:hanging="260"/>
              <w:contextualSpacing/>
              <w:jc w:val="both"/>
              <w:rPr>
                <w:noProof/>
              </w:rPr>
            </w:pPr>
            <w:r>
              <w:rPr>
                <w:noProof/>
              </w:rPr>
              <w:t>le suivi de la mise en œuvre des projets d’investissement dans les infrastructures de santé publique;</w:t>
            </w:r>
          </w:p>
          <w:p w14:paraId="48B31E6A" w14:textId="77777777" w:rsidR="00A345F4" w:rsidRDefault="005E2D4E">
            <w:pPr>
              <w:pStyle w:val="P68B1DB1-Normal14"/>
              <w:numPr>
                <w:ilvl w:val="0"/>
                <w:numId w:val="57"/>
              </w:numPr>
              <w:spacing w:after="0" w:line="240" w:lineRule="auto"/>
              <w:ind w:left="260" w:hanging="260"/>
              <w:contextualSpacing/>
              <w:jc w:val="both"/>
              <w:rPr>
                <w:noProof/>
              </w:rPr>
            </w:pPr>
            <w:r>
              <w:rPr>
                <w:noProof/>
              </w:rPr>
              <w:t>la mise en place d’un centre d’excellence dans la gestion des projets d’investissement dans les infrastructures de santé publique;</w:t>
            </w:r>
          </w:p>
          <w:p w14:paraId="1AA2B408" w14:textId="77777777" w:rsidR="00A345F4" w:rsidRDefault="005E2D4E">
            <w:pPr>
              <w:pStyle w:val="P68B1DB1-Normal14"/>
              <w:numPr>
                <w:ilvl w:val="0"/>
                <w:numId w:val="57"/>
              </w:numPr>
              <w:spacing w:after="0" w:line="240" w:lineRule="auto"/>
              <w:ind w:left="260" w:hanging="260"/>
              <w:contextualSpacing/>
              <w:jc w:val="both"/>
              <w:rPr>
                <w:noProof/>
              </w:rPr>
            </w:pPr>
            <w:r>
              <w:rPr>
                <w:noProof/>
              </w:rPr>
              <w:t>Établir des partenariats et conclure des conventions de financement pour des projets d'investissement dans les infrastructures de santé publique.</w:t>
            </w:r>
          </w:p>
          <w:p w14:paraId="6EE1637B" w14:textId="77777777" w:rsidR="00A345F4" w:rsidRDefault="005E2D4E">
            <w:pPr>
              <w:pStyle w:val="P68B1DB1-Normal14"/>
              <w:spacing w:after="0" w:line="240" w:lineRule="auto"/>
              <w:jc w:val="both"/>
              <w:rPr>
                <w:noProof/>
              </w:rPr>
            </w:pPr>
            <w:r>
              <w:rPr>
                <w:noProof/>
              </w:rPr>
              <w:t xml:space="preserve">Le président de l’ANDIS est nommé et le recrutement du personnel pour les 15 rôles clés de l’organigramme de l’ANDIS finalisé est achevé au moment où l’agence devient opérationnelle. </w:t>
            </w:r>
          </w:p>
          <w:p w14:paraId="57B257F3" w14:textId="77777777" w:rsidR="00A345F4" w:rsidRDefault="00A345F4">
            <w:pPr>
              <w:spacing w:after="0" w:line="240" w:lineRule="auto"/>
              <w:jc w:val="both"/>
              <w:rPr>
                <w:rFonts w:ascii="Times New Roman" w:hAnsi="Times New Roman" w:cs="Times New Roman"/>
                <w:noProof/>
                <w:sz w:val="20"/>
                <w:szCs w:val="20"/>
              </w:rPr>
            </w:pPr>
          </w:p>
        </w:tc>
      </w:tr>
      <w:tr w:rsidR="00A345F4" w14:paraId="4AF59EF5"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3A561350" w14:textId="77777777" w:rsidR="00A345F4" w:rsidRDefault="005E2D4E">
            <w:pPr>
              <w:pStyle w:val="P68B1DB1-Normal14"/>
              <w:spacing w:after="0" w:line="240" w:lineRule="auto"/>
              <w:jc w:val="center"/>
              <w:rPr>
                <w:noProof/>
              </w:rPr>
            </w:pPr>
            <w:r>
              <w:rPr>
                <w:noProof/>
              </w:rPr>
              <w:t>356</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2FB537" w14:textId="77777777" w:rsidR="00A345F4" w:rsidRDefault="005E2D4E">
            <w:pPr>
              <w:pStyle w:val="P68B1DB1-Normal14"/>
              <w:spacing w:after="0" w:line="240" w:lineRule="auto"/>
              <w:jc w:val="both"/>
              <w:rPr>
                <w:noProof/>
              </w:rPr>
            </w:pPr>
            <w:r>
              <w:rPr>
                <w:noProof/>
              </w:rPr>
              <w:t xml:space="preserve">Réforme 3. Renforcement des capacités en matière de gestion de la santé et de ressources humaines dans le domaine de la santé </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847A798" w14:textId="77777777" w:rsidR="00A345F4" w:rsidRDefault="005E2D4E">
            <w:pPr>
              <w:pStyle w:val="P68B1DB1-Normal14"/>
              <w:spacing w:after="0" w:line="240" w:lineRule="auto"/>
              <w:jc w:val="both"/>
              <w:rPr>
                <w:noProof/>
              </w:rPr>
            </w:pPr>
            <w:r>
              <w:rPr>
                <w:noProof/>
              </w:rPr>
              <w:t>Étape</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FF536ED" w14:textId="77777777" w:rsidR="00A345F4" w:rsidRDefault="005E2D4E">
            <w:pPr>
              <w:pStyle w:val="P68B1DB1-Normal14"/>
              <w:spacing w:after="0" w:line="240" w:lineRule="auto"/>
              <w:jc w:val="both"/>
              <w:rPr>
                <w:noProof/>
              </w:rPr>
            </w:pPr>
            <w:r>
              <w:rPr>
                <w:noProof/>
              </w:rPr>
              <w:t>Entrée en vigueur du cadre législatif pour le renforcement des capacités en matière de gestion de la santé et de ressources humaines dans le domaine de la santé</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491197" w14:textId="77777777" w:rsidR="00A345F4" w:rsidRDefault="005E2D4E">
            <w:pPr>
              <w:pStyle w:val="P68B1DB1-Normal14"/>
              <w:spacing w:after="0" w:line="240" w:lineRule="auto"/>
              <w:jc w:val="both"/>
              <w:rPr>
                <w:noProof/>
              </w:rPr>
            </w:pPr>
            <w:r>
              <w:rPr>
                <w:noProof/>
              </w:rPr>
              <w:t>Entrée en vigueur du cadre législatif pour la réforme de la gestion des services de santé et des ressources humaines</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734B27C"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BB016B7" w14:textId="77777777" w:rsidR="00A345F4" w:rsidRDefault="00A345F4">
            <w:pPr>
              <w:spacing w:after="0" w:line="240" w:lineRule="auto"/>
              <w:ind w:left="-69" w:firstLine="69"/>
              <w:jc w:val="both"/>
              <w:rPr>
                <w:rFonts w:ascii="Times New Roman" w:hAnsi="Times New Roman" w:cs="Times New Roman"/>
                <w:noProof/>
                <w:sz w:val="20"/>
                <w:szCs w:val="20"/>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6431E3"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7DAAF47"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B82FA27" w14:textId="77777777" w:rsidR="00A345F4" w:rsidRDefault="005E2D4E">
            <w:pPr>
              <w:pStyle w:val="P68B1DB1-Normal14"/>
              <w:spacing w:after="0" w:line="240" w:lineRule="auto"/>
              <w:jc w:val="both"/>
              <w:rPr>
                <w:noProof/>
              </w:rPr>
            </w:pPr>
            <w:r>
              <w:rPr>
                <w:noProof/>
              </w:rPr>
              <w:t>2022</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AC38F53" w14:textId="4BCAB489" w:rsidR="00A345F4" w:rsidRDefault="005E2D4E">
            <w:pPr>
              <w:pStyle w:val="P68B1DB1-Normal14"/>
              <w:spacing w:after="0" w:line="240" w:lineRule="auto"/>
              <w:jc w:val="both"/>
              <w:rPr>
                <w:noProof/>
              </w:rPr>
            </w:pPr>
            <w:r>
              <w:rPr>
                <w:noProof/>
              </w:rPr>
              <w:t>Les modifications visent la principale loi régissant le secteur de la santé (loi no 95 de 2006, telle que modifiée). En outre, un certain nombre de décisions gouvernementales entreront en vigueur afin de rendre opérationnelles les modifications apportées à la présente loi. Les principales dispositions des actes législatifs nouvellement introduits sont les suivantes:</w:t>
            </w:r>
          </w:p>
          <w:p w14:paraId="2B5E1EDF" w14:textId="77777777" w:rsidR="00A345F4" w:rsidRDefault="005E2D4E">
            <w:pPr>
              <w:pStyle w:val="P68B1DB1-Normal14"/>
              <w:spacing w:after="0" w:line="240" w:lineRule="auto"/>
              <w:jc w:val="both"/>
              <w:rPr>
                <w:noProof/>
              </w:rPr>
            </w:pPr>
            <w:r>
              <w:rPr>
                <w:noProof/>
              </w:rPr>
              <w:t xml:space="preserve">- adapter les critères de compétence pour l'inscription aux concours pour les postes de gestion de la santé; </w:t>
            </w:r>
          </w:p>
          <w:p w14:paraId="54D321EF" w14:textId="77777777" w:rsidR="00A345F4" w:rsidRDefault="005E2D4E">
            <w:pPr>
              <w:pStyle w:val="P68B1DB1-Normal14"/>
              <w:spacing w:after="0" w:line="240" w:lineRule="auto"/>
              <w:jc w:val="both"/>
              <w:rPr>
                <w:noProof/>
              </w:rPr>
            </w:pPr>
            <w:r>
              <w:rPr>
                <w:noProof/>
              </w:rPr>
              <w:t>- adapter les critères de qualité des programmes de formation à la gestion des services de santé;</w:t>
            </w:r>
          </w:p>
          <w:p w14:paraId="42C9AE42" w14:textId="77777777" w:rsidR="00A345F4" w:rsidRDefault="005E2D4E">
            <w:pPr>
              <w:pStyle w:val="P68B1DB1-Normal14"/>
              <w:spacing w:after="0" w:line="240" w:lineRule="auto"/>
              <w:jc w:val="both"/>
              <w:rPr>
                <w:noProof/>
              </w:rPr>
            </w:pPr>
            <w:r>
              <w:rPr>
                <w:noProof/>
              </w:rPr>
              <w:t>- mettre à jour les exigences relatives au perfectionnement professionnel continu des professionnels de la santé;</w:t>
            </w:r>
          </w:p>
          <w:p w14:paraId="4E2EEB0C" w14:textId="77777777" w:rsidR="00A345F4" w:rsidRDefault="005E2D4E">
            <w:pPr>
              <w:pStyle w:val="P68B1DB1-Normal14"/>
              <w:spacing w:after="0" w:line="240" w:lineRule="auto"/>
              <w:jc w:val="both"/>
              <w:rPr>
                <w:noProof/>
              </w:rPr>
            </w:pPr>
            <w:r>
              <w:rPr>
                <w:noProof/>
              </w:rPr>
              <w:t>- développer et renforcer le corps d'experts en gestion des services de santé;</w:t>
            </w:r>
          </w:p>
          <w:p w14:paraId="78FC19BA" w14:textId="77777777" w:rsidR="00A345F4" w:rsidRDefault="005E2D4E">
            <w:pPr>
              <w:pStyle w:val="P68B1DB1-Normal14"/>
              <w:spacing w:after="0" w:line="240" w:lineRule="auto"/>
              <w:jc w:val="both"/>
              <w:rPr>
                <w:noProof/>
              </w:rPr>
            </w:pPr>
            <w:r>
              <w:rPr>
                <w:noProof/>
              </w:rPr>
              <w:t>- développer l'audit et l'évaluation des programmes de formation à la gestion des services de santé.</w:t>
            </w:r>
          </w:p>
          <w:p w14:paraId="7A73E3C3" w14:textId="77777777" w:rsidR="00A345F4" w:rsidRDefault="005E2D4E">
            <w:pPr>
              <w:pStyle w:val="P68B1DB1-Normal14"/>
              <w:spacing w:after="0" w:line="240" w:lineRule="auto"/>
              <w:jc w:val="both"/>
              <w:rPr>
                <w:noProof/>
              </w:rPr>
            </w:pPr>
            <w:r>
              <w:rPr>
                <w:noProof/>
              </w:rPr>
              <w:t xml:space="preserve">La législation nouvellement adoptée contribuera à professionnaliser la gestion des services de santé en élaborant des critères de compétence pour le personnel spécialisé. </w:t>
            </w:r>
          </w:p>
        </w:tc>
      </w:tr>
      <w:tr w:rsidR="00A345F4" w14:paraId="59960C00"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4BE0053B" w14:textId="77777777" w:rsidR="00A345F4" w:rsidRDefault="005E2D4E">
            <w:pPr>
              <w:pStyle w:val="P68B1DB1-Normal14"/>
              <w:spacing w:after="0" w:line="240" w:lineRule="auto"/>
              <w:jc w:val="center"/>
              <w:rPr>
                <w:noProof/>
              </w:rPr>
            </w:pPr>
            <w:r>
              <w:rPr>
                <w:noProof/>
              </w:rPr>
              <w:t>357</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C35754F" w14:textId="77777777" w:rsidR="00A345F4" w:rsidRDefault="005E2D4E">
            <w:pPr>
              <w:pStyle w:val="P68B1DB1-Normal14"/>
              <w:spacing w:after="0" w:line="240" w:lineRule="auto"/>
              <w:jc w:val="both"/>
              <w:rPr>
                <w:noProof/>
              </w:rPr>
            </w:pPr>
            <w:r>
              <w:rPr>
                <w:noProof/>
              </w:rPr>
              <w:t>Réforme 3. Renforcement des capacités en matière de gestion de la santé et de ressources humaines dans le domaine de la santé</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9E23F79" w14:textId="77777777" w:rsidR="00A345F4" w:rsidRDefault="005E2D4E">
            <w:pPr>
              <w:pStyle w:val="P68B1DB1-Normal14"/>
              <w:spacing w:after="0" w:line="240" w:lineRule="auto"/>
              <w:jc w:val="both"/>
              <w:rPr>
                <w:noProof/>
              </w:rPr>
            </w:pPr>
            <w:r>
              <w:rPr>
                <w:noProof/>
              </w:rPr>
              <w:t>Étape</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7A9F4D3" w14:textId="77777777" w:rsidR="00A345F4" w:rsidRDefault="005E2D4E">
            <w:pPr>
              <w:pStyle w:val="P68B1DB1-Normal14"/>
              <w:spacing w:after="0" w:line="240" w:lineRule="auto"/>
              <w:jc w:val="both"/>
              <w:rPr>
                <w:noProof/>
              </w:rPr>
            </w:pPr>
            <w:r>
              <w:rPr>
                <w:noProof/>
              </w:rPr>
              <w:t xml:space="preserve">Entrée en vigueur de la législation relative au cadre stratégique pour le développement des ressources humaines dans le domaine de la santé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E2223C3" w14:textId="77777777" w:rsidR="00A345F4" w:rsidRDefault="005E2D4E">
            <w:pPr>
              <w:pStyle w:val="P68B1DB1-Normal14"/>
              <w:spacing w:after="0" w:line="240" w:lineRule="auto"/>
              <w:jc w:val="both"/>
              <w:rPr>
                <w:noProof/>
              </w:rPr>
            </w:pPr>
            <w:r>
              <w:rPr>
                <w:noProof/>
              </w:rPr>
              <w:t>Entrée en vigueur de la législation relative au cadre stratégique pour le développement des ressources humaines dans le domaine de la santé par décision du gouvernement</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EC2B2E6"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561133" w14:textId="77777777" w:rsidR="00A345F4" w:rsidRDefault="00A345F4">
            <w:pPr>
              <w:spacing w:after="0" w:line="240" w:lineRule="auto"/>
              <w:jc w:val="both"/>
              <w:rPr>
                <w:rFonts w:ascii="Times New Roman" w:hAnsi="Times New Roman" w:cs="Times New Roman"/>
                <w:noProof/>
                <w:sz w:val="20"/>
                <w:szCs w:val="20"/>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6DE9DE2"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55B9E1A"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6CD0B5C" w14:textId="77777777" w:rsidR="00A345F4" w:rsidRDefault="005E2D4E">
            <w:pPr>
              <w:pStyle w:val="P68B1DB1-Normal14"/>
              <w:spacing w:after="0" w:line="240" w:lineRule="auto"/>
              <w:jc w:val="both"/>
              <w:rPr>
                <w:noProof/>
              </w:rPr>
            </w:pPr>
            <w:r>
              <w:rPr>
                <w:noProof/>
              </w:rPr>
              <w:t>2022</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3399FF0" w14:textId="77777777" w:rsidR="00A345F4" w:rsidRDefault="005E2D4E">
            <w:pPr>
              <w:pStyle w:val="P68B1DB1-Normal14"/>
              <w:spacing w:after="0" w:line="240" w:lineRule="auto"/>
              <w:jc w:val="both"/>
              <w:rPr>
                <w:noProof/>
              </w:rPr>
            </w:pPr>
            <w:r>
              <w:rPr>
                <w:noProof/>
              </w:rPr>
              <w:t xml:space="preserve">La loi définit un nouveau cadre stratégique pour le développement des ressources humaines dans le domaine de la santé, conformément aux objectifs généraux du système de santé. </w:t>
            </w:r>
          </w:p>
          <w:p w14:paraId="14B99A06" w14:textId="77777777" w:rsidR="00A345F4" w:rsidRDefault="005E2D4E">
            <w:pPr>
              <w:pStyle w:val="P68B1DB1-Normal14"/>
              <w:spacing w:after="0" w:line="240" w:lineRule="auto"/>
              <w:jc w:val="both"/>
              <w:rPr>
                <w:noProof/>
              </w:rPr>
            </w:pPr>
            <w:r>
              <w:rPr>
                <w:noProof/>
              </w:rPr>
              <w:t>Les éléments clés du cadre stratégique sont les suivants:</w:t>
            </w:r>
          </w:p>
          <w:p w14:paraId="2F5697DF" w14:textId="77777777" w:rsidR="00A345F4" w:rsidRDefault="005E2D4E">
            <w:pPr>
              <w:pStyle w:val="P68B1DB1-Normal14"/>
              <w:spacing w:after="0" w:line="240" w:lineRule="auto"/>
              <w:jc w:val="both"/>
              <w:rPr>
                <w:noProof/>
              </w:rPr>
            </w:pPr>
            <w:r>
              <w:rPr>
                <w:noProof/>
              </w:rPr>
              <w:t xml:space="preserve">a) i) Ressources humaines dans le domaine de la santé - approvisionnement </w:t>
            </w:r>
          </w:p>
          <w:p w14:paraId="280D08A0" w14:textId="77777777" w:rsidR="00A345F4" w:rsidRDefault="005E2D4E">
            <w:pPr>
              <w:pStyle w:val="P68B1DB1-Normal14"/>
              <w:spacing w:after="0" w:line="240" w:lineRule="auto"/>
              <w:jc w:val="both"/>
              <w:rPr>
                <w:noProof/>
              </w:rPr>
            </w:pPr>
            <w:r>
              <w:rPr>
                <w:noProof/>
              </w:rPr>
              <w:t xml:space="preserve">ii) la gestion des ressources humaines dans le domaine de la santé, </w:t>
            </w:r>
          </w:p>
          <w:p w14:paraId="1710A7F6" w14:textId="77777777" w:rsidR="00A345F4" w:rsidRDefault="005E2D4E">
            <w:pPr>
              <w:pStyle w:val="P68B1DB1-Normal14"/>
              <w:spacing w:after="0" w:line="240" w:lineRule="auto"/>
              <w:jc w:val="both"/>
              <w:rPr>
                <w:noProof/>
              </w:rPr>
            </w:pPr>
            <w:r>
              <w:rPr>
                <w:noProof/>
              </w:rPr>
              <w:t xml:space="preserve">iii) gestion de la motivation des ressources humaines </w:t>
            </w:r>
          </w:p>
          <w:p w14:paraId="750846EE" w14:textId="77777777" w:rsidR="00A345F4" w:rsidRDefault="005E2D4E">
            <w:pPr>
              <w:pStyle w:val="P68B1DB1-Normal14"/>
              <w:spacing w:after="0" w:line="240" w:lineRule="auto"/>
              <w:jc w:val="both"/>
              <w:rPr>
                <w:noProof/>
              </w:rPr>
            </w:pPr>
            <w:r>
              <w:rPr>
                <w:noProof/>
              </w:rPr>
              <w:t xml:space="preserve">iv) Gouvernance du personnel de santé </w:t>
            </w:r>
          </w:p>
        </w:tc>
      </w:tr>
      <w:tr w:rsidR="00A345F4" w14:paraId="40D28156"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6C57396F" w14:textId="77777777" w:rsidR="00A345F4" w:rsidRDefault="005E2D4E">
            <w:pPr>
              <w:pStyle w:val="P68B1DB1-Normal14"/>
              <w:spacing w:after="0" w:line="240" w:lineRule="auto"/>
              <w:jc w:val="center"/>
              <w:rPr>
                <w:noProof/>
              </w:rPr>
            </w:pPr>
            <w:r>
              <w:rPr>
                <w:noProof/>
              </w:rPr>
              <w:t>358</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9434491" w14:textId="77777777" w:rsidR="00A345F4" w:rsidRDefault="005E2D4E">
            <w:pPr>
              <w:pStyle w:val="P68B1DB1-Normal14"/>
              <w:spacing w:after="0" w:line="240" w:lineRule="auto"/>
              <w:jc w:val="both"/>
              <w:rPr>
                <w:noProof/>
              </w:rPr>
            </w:pPr>
            <w:r>
              <w:rPr>
                <w:noProof/>
              </w:rPr>
              <w:t xml:space="preserve">Réforme 3. Renforcement des capacités en matière de gestion de la santé et de ressources humaines dans le domaine de la santé </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AA6895" w14:textId="77777777" w:rsidR="00A345F4" w:rsidRDefault="005E2D4E">
            <w:pPr>
              <w:pStyle w:val="P68B1DB1-Normal14"/>
              <w:spacing w:after="0" w:line="240" w:lineRule="auto"/>
              <w:jc w:val="both"/>
              <w:rPr>
                <w:noProof/>
              </w:rPr>
            </w:pPr>
            <w:r>
              <w:rPr>
                <w:noProof/>
              </w:rPr>
              <w:t>Étape</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87B0A46" w14:textId="77777777" w:rsidR="00A345F4" w:rsidRDefault="005E2D4E">
            <w:pPr>
              <w:pStyle w:val="P68B1DB1-Normal14"/>
              <w:spacing w:after="0" w:line="240" w:lineRule="auto"/>
              <w:jc w:val="both"/>
              <w:rPr>
                <w:noProof/>
              </w:rPr>
            </w:pPr>
            <w:r>
              <w:rPr>
                <w:noProof/>
              </w:rPr>
              <w:t>Développement des ressources humaines dans le domaine de la santé</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45F9B9" w14:textId="77777777" w:rsidR="00A345F4" w:rsidRDefault="005E2D4E">
            <w:pPr>
              <w:pStyle w:val="P68B1DB1-Normal14"/>
              <w:spacing w:after="0" w:line="240" w:lineRule="auto"/>
              <w:jc w:val="both"/>
              <w:rPr>
                <w:noProof/>
              </w:rPr>
            </w:pPr>
            <w:r>
              <w:rPr>
                <w:noProof/>
              </w:rPr>
              <w:t>Adoption des plans d'action sectoriels pour le développement des ressources humaines en santé par arrêté du ministre de la Santé</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E89DCF5"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9EEB066" w14:textId="77777777" w:rsidR="00A345F4" w:rsidRDefault="00A345F4">
            <w:pPr>
              <w:spacing w:after="0" w:line="240" w:lineRule="auto"/>
              <w:jc w:val="both"/>
              <w:rPr>
                <w:rFonts w:ascii="Times New Roman" w:hAnsi="Times New Roman" w:cs="Times New Roman"/>
                <w:noProof/>
                <w:sz w:val="20"/>
                <w:szCs w:val="20"/>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4F1E33E"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EA77F1D" w14:textId="77777777" w:rsidR="00A345F4" w:rsidRDefault="005E2D4E">
            <w:pPr>
              <w:pStyle w:val="P68B1DB1-Normal14"/>
              <w:spacing w:after="0" w:line="240" w:lineRule="auto"/>
              <w:jc w:val="both"/>
              <w:rPr>
                <w:noProof/>
              </w:rPr>
            </w:pPr>
            <w:r>
              <w:rPr>
                <w:noProof/>
              </w:rPr>
              <w:t>T4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AC46137" w14:textId="77777777" w:rsidR="00A345F4" w:rsidRDefault="005E2D4E">
            <w:pPr>
              <w:pStyle w:val="P68B1DB1-Normal14"/>
              <w:spacing w:after="0" w:line="240" w:lineRule="auto"/>
              <w:jc w:val="both"/>
              <w:rPr>
                <w:noProof/>
              </w:rPr>
            </w:pPr>
            <w:r>
              <w:rPr>
                <w:noProof/>
              </w:rPr>
              <w:t>2022</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AD24130" w14:textId="77777777" w:rsidR="00A345F4" w:rsidRDefault="005E2D4E">
            <w:pPr>
              <w:pStyle w:val="P68B1DB1-Normal14"/>
              <w:spacing w:after="0" w:line="240" w:lineRule="auto"/>
              <w:jc w:val="both"/>
              <w:rPr>
                <w:noProof/>
              </w:rPr>
            </w:pPr>
            <w:r>
              <w:rPr>
                <w:noProof/>
              </w:rPr>
              <w:t xml:space="preserve">Les plans d’action sectoriels pour le développement des ressources humaines dans le domaine des soins de santé primaires et communautaires, des soins ambulatoires et hospitaliers et de la santé publique mettent en œuvre le cadre stratégique visant à transformer le niveau de connaissances, d’aptitudes et de compétences des ressources humaines dans le domaine de la santé. </w:t>
            </w:r>
          </w:p>
          <w:p w14:paraId="7F1BAFD7" w14:textId="77777777" w:rsidR="00A345F4" w:rsidRDefault="005E2D4E">
            <w:pPr>
              <w:pStyle w:val="P68B1DB1-Normal14"/>
              <w:spacing w:after="0" w:line="240" w:lineRule="auto"/>
              <w:jc w:val="both"/>
              <w:rPr>
                <w:noProof/>
              </w:rPr>
            </w:pPr>
            <w:r>
              <w:rPr>
                <w:noProof/>
              </w:rPr>
              <w:t>Un certain nombre de cinq plans d'action individualisés sont élaborés et les domaines couverts comprennent la formation initiale, le développement professionnel continu, la combinaison de compétences, le partage des tâches et le transfert de tâches.</w:t>
            </w:r>
          </w:p>
          <w:p w14:paraId="6435D067" w14:textId="77777777" w:rsidR="00A345F4" w:rsidRDefault="005E2D4E">
            <w:pPr>
              <w:pStyle w:val="P68B1DB1-Normal14"/>
              <w:spacing w:after="0" w:line="240" w:lineRule="auto"/>
              <w:jc w:val="both"/>
              <w:rPr>
                <w:noProof/>
              </w:rPr>
            </w:pPr>
            <w:r>
              <w:rPr>
                <w:noProof/>
              </w:rPr>
              <w:t xml:space="preserve">Les plans d’action devraient être conformes aux indicateurs de performance établis pour la gestion des fonds de santé publique dans le cadre de la réforme 1. </w:t>
            </w:r>
          </w:p>
          <w:p w14:paraId="7F88DEA6" w14:textId="77777777" w:rsidR="00A345F4" w:rsidRDefault="005E2D4E">
            <w:pPr>
              <w:pStyle w:val="P68B1DB1-Normal14"/>
              <w:spacing w:after="0" w:line="240" w:lineRule="auto"/>
              <w:jc w:val="both"/>
              <w:rPr>
                <w:noProof/>
              </w:rPr>
            </w:pPr>
            <w:r>
              <w:rPr>
                <w:noProof/>
              </w:rPr>
              <w:t>Le personnel médical couvert comprend les médecins, les infirmières, les pharmaciens, les dentistes, les sages-femmes, les infirmières communautaires et d'autres catégories de professionnels de la santé.</w:t>
            </w:r>
          </w:p>
        </w:tc>
      </w:tr>
      <w:tr w:rsidR="00A345F4" w14:paraId="468A8760"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66B8A3F8" w14:textId="77777777" w:rsidR="00A345F4" w:rsidRDefault="005E2D4E">
            <w:pPr>
              <w:pStyle w:val="P68B1DB1-Normal14"/>
              <w:spacing w:after="0" w:line="240" w:lineRule="auto"/>
              <w:jc w:val="center"/>
              <w:rPr>
                <w:noProof/>
              </w:rPr>
            </w:pPr>
            <w:r>
              <w:rPr>
                <w:noProof/>
              </w:rPr>
              <w:t>360</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77583B" w14:textId="77777777" w:rsidR="00A345F4" w:rsidRDefault="005E2D4E">
            <w:pPr>
              <w:pStyle w:val="P68B1DB1-Normal14"/>
              <w:spacing w:after="0" w:line="240" w:lineRule="auto"/>
              <w:jc w:val="both"/>
              <w:rPr>
                <w:noProof/>
              </w:rPr>
            </w:pPr>
            <w:r>
              <w:rPr>
                <w:noProof/>
              </w:rPr>
              <w:t>Réforme 3. Renforcement des capacités en matière de gestion de la santé et de ressources humaines dans le domaine de la santé</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180A1EF" w14:textId="77777777" w:rsidR="00A345F4" w:rsidRDefault="005E2D4E">
            <w:pPr>
              <w:pStyle w:val="P68B1DB1-Normal14"/>
              <w:spacing w:after="0" w:line="240" w:lineRule="auto"/>
              <w:jc w:val="both"/>
              <w:rPr>
                <w:noProof/>
              </w:rPr>
            </w:pPr>
            <w:r>
              <w:rPr>
                <w:noProof/>
              </w:rPr>
              <w:t>Objectif</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D100C7" w14:textId="77777777" w:rsidR="00A345F4" w:rsidRDefault="005E2D4E">
            <w:pPr>
              <w:pStyle w:val="P68B1DB1-Normal14"/>
              <w:spacing w:after="0" w:line="240" w:lineRule="auto"/>
              <w:jc w:val="both"/>
              <w:rPr>
                <w:noProof/>
              </w:rPr>
            </w:pPr>
            <w:r>
              <w:rPr>
                <w:noProof/>
              </w:rPr>
              <w:t xml:space="preserve">Construction et équipement de deux centres de développement des compétences pour la formation du personnel de santé publique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317998C" w14:textId="77777777" w:rsidR="00A345F4" w:rsidRDefault="00A345F4">
            <w:pPr>
              <w:spacing w:after="0" w:line="240" w:lineRule="auto"/>
              <w:jc w:val="both"/>
              <w:rPr>
                <w:rFonts w:ascii="Times New Roman" w:hAnsi="Times New Roman" w:cs="Times New Roman"/>
                <w:noProof/>
                <w:sz w:val="20"/>
                <w:szCs w:val="20"/>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B6A918F"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25F04F8" w14:textId="77777777" w:rsidR="00A345F4" w:rsidRDefault="005E2D4E">
            <w:pPr>
              <w:pStyle w:val="P68B1DB1-Normal14"/>
              <w:spacing w:after="0" w:line="240" w:lineRule="auto"/>
              <w:jc w:val="both"/>
              <w:rPr>
                <w:noProof/>
              </w:rPr>
            </w:pPr>
            <w:r>
              <w:rPr>
                <w:noProof/>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24E9F32" w14:textId="77777777" w:rsidR="00A345F4" w:rsidRDefault="005E2D4E">
            <w:pPr>
              <w:pStyle w:val="P68B1DB1-Normal14"/>
              <w:spacing w:after="0" w:line="240" w:lineRule="auto"/>
              <w:jc w:val="both"/>
              <w:rPr>
                <w:noProof/>
              </w:rPr>
            </w:pPr>
            <w:r>
              <w:rPr>
                <w:noProof/>
              </w:rPr>
              <w:t>2</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3E19CE"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270C91B" w14:textId="77777777" w:rsidR="00A345F4" w:rsidRDefault="005E2D4E">
            <w:pPr>
              <w:pStyle w:val="P68B1DB1-Normal14"/>
              <w:spacing w:after="0" w:line="240" w:lineRule="auto"/>
              <w:jc w:val="both"/>
              <w:rPr>
                <w:noProof/>
              </w:rPr>
            </w:pPr>
            <w:r>
              <w:rPr>
                <w:noProof/>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BDFDF69" w14:textId="77777777" w:rsidR="00A345F4" w:rsidRDefault="005E2D4E">
            <w:pPr>
              <w:pStyle w:val="P68B1DB1-Normal14"/>
              <w:spacing w:after="0" w:line="240" w:lineRule="auto"/>
              <w:jc w:val="both"/>
              <w:rPr>
                <w:noProof/>
              </w:rPr>
            </w:pPr>
            <w:r>
              <w:rPr>
                <w:noProof/>
              </w:rPr>
              <w:t>Deux centres de développement des compétences pour la formation du personnel du secteur public travaillant dans le domaine des soins de santé doivent être construits et équipés.</w:t>
            </w:r>
          </w:p>
        </w:tc>
      </w:tr>
      <w:tr w:rsidR="00A345F4" w14:paraId="0C61377C"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4B784B9C" w14:textId="77777777" w:rsidR="00A345F4" w:rsidRDefault="005E2D4E">
            <w:pPr>
              <w:pStyle w:val="P68B1DB1-Normal14"/>
              <w:spacing w:after="0" w:line="240" w:lineRule="auto"/>
              <w:jc w:val="center"/>
              <w:rPr>
                <w:noProof/>
              </w:rPr>
            </w:pPr>
            <w:r>
              <w:rPr>
                <w:noProof/>
              </w:rPr>
              <w:t>361</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0F9826D" w14:textId="77777777" w:rsidR="00A345F4" w:rsidRDefault="005E2D4E">
            <w:pPr>
              <w:pStyle w:val="P68B1DB1-Normal14"/>
              <w:spacing w:after="0" w:line="240" w:lineRule="auto"/>
              <w:jc w:val="both"/>
              <w:rPr>
                <w:noProof/>
              </w:rPr>
            </w:pPr>
            <w:r>
              <w:rPr>
                <w:noProof/>
              </w:rPr>
              <w:t>Réforme 3. Renforcement des capacités en matière de gestion de la santé et de ressources humaines dans le domaine de la santé</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F0D78DF" w14:textId="77777777" w:rsidR="00A345F4" w:rsidRDefault="005E2D4E">
            <w:pPr>
              <w:pStyle w:val="P68B1DB1-Normal14"/>
              <w:spacing w:after="0" w:line="240" w:lineRule="auto"/>
              <w:jc w:val="both"/>
              <w:rPr>
                <w:noProof/>
              </w:rPr>
            </w:pPr>
            <w:r>
              <w:rPr>
                <w:noProof/>
              </w:rPr>
              <w:t>Étape</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2E2E4B8" w14:textId="77777777" w:rsidR="00A345F4" w:rsidRDefault="005E2D4E">
            <w:pPr>
              <w:pStyle w:val="P68B1DB1-Normal14"/>
              <w:spacing w:after="0" w:line="240" w:lineRule="auto"/>
              <w:jc w:val="both"/>
              <w:rPr>
                <w:noProof/>
              </w:rPr>
            </w:pPr>
            <w:r>
              <w:rPr>
                <w:noProof/>
              </w:rPr>
              <w:t>Formation du personnel de santé</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56D3B49" w14:textId="77777777" w:rsidR="00A345F4" w:rsidRDefault="005E2D4E">
            <w:pPr>
              <w:pStyle w:val="P68B1DB1-Normal14"/>
              <w:spacing w:after="0" w:line="240" w:lineRule="auto"/>
              <w:jc w:val="both"/>
              <w:rPr>
                <w:noProof/>
              </w:rPr>
            </w:pPr>
            <w:r>
              <w:rPr>
                <w:noProof/>
              </w:rPr>
              <w:t>Paiements effectués pour la formation du personnel de santé</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A88548E"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B20C14C" w14:textId="77777777" w:rsidR="00A345F4" w:rsidRDefault="00A345F4">
            <w:pPr>
              <w:spacing w:after="0" w:line="240" w:lineRule="auto"/>
              <w:jc w:val="both"/>
              <w:rPr>
                <w:rFonts w:ascii="Times New Roman" w:hAnsi="Times New Roman" w:cs="Times New Roman"/>
                <w:noProof/>
                <w:sz w:val="20"/>
                <w:szCs w:val="20"/>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2A4683D"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3FA7A7" w14:textId="77777777" w:rsidR="00A345F4" w:rsidRDefault="005E2D4E">
            <w:pPr>
              <w:pStyle w:val="P68B1DB1-Normal14"/>
              <w:spacing w:after="0" w:line="240" w:lineRule="auto"/>
              <w:jc w:val="both"/>
              <w:rPr>
                <w:noProof/>
              </w:rPr>
            </w:pPr>
            <w:r>
              <w:rPr>
                <w:noProof/>
              </w:rPr>
              <w:t>T4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0F940C" w14:textId="77777777" w:rsidR="00A345F4" w:rsidRDefault="005E2D4E">
            <w:pPr>
              <w:pStyle w:val="P68B1DB1-Normal14"/>
              <w:spacing w:after="0" w:line="240" w:lineRule="auto"/>
              <w:jc w:val="both"/>
              <w:rPr>
                <w:noProof/>
              </w:rPr>
            </w:pPr>
            <w:r>
              <w:rPr>
                <w:noProof/>
              </w:rPr>
              <w:t>2025</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9AF7D27" w14:textId="77777777" w:rsidR="00A345F4" w:rsidRDefault="005E2D4E">
            <w:pPr>
              <w:pStyle w:val="P68B1DB1-Normal14"/>
              <w:spacing w:after="0" w:line="240" w:lineRule="auto"/>
              <w:jc w:val="both"/>
              <w:rPr>
                <w:noProof/>
              </w:rPr>
            </w:pPr>
            <w:r>
              <w:rPr>
                <w:noProof/>
              </w:rPr>
              <w:t>Paiements effectués pour la formation de 4 000 membres du personnel de santé soit liés à la gestion des ressources humaines dans les établissements de santé publique, soit liés à l’intégrité et à la prévention de la corruption dans les domaines liés à la santé.</w:t>
            </w:r>
          </w:p>
        </w:tc>
      </w:tr>
      <w:tr w:rsidR="00A345F4" w14:paraId="430970C2"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089A3C42" w14:textId="77777777" w:rsidR="00A345F4" w:rsidRDefault="005E2D4E">
            <w:pPr>
              <w:pStyle w:val="P68B1DB1-Normal14"/>
              <w:spacing w:after="0" w:line="240" w:lineRule="auto"/>
              <w:jc w:val="center"/>
              <w:rPr>
                <w:noProof/>
              </w:rPr>
            </w:pPr>
            <w:r>
              <w:rPr>
                <w:noProof/>
              </w:rPr>
              <w:t>365</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00669E6" w14:textId="77777777" w:rsidR="00A345F4" w:rsidRDefault="005E2D4E">
            <w:pPr>
              <w:pStyle w:val="P68B1DB1-Normal14"/>
              <w:spacing w:after="0" w:line="240" w:lineRule="auto"/>
              <w:jc w:val="both"/>
              <w:rPr>
                <w:noProof/>
              </w:rPr>
            </w:pPr>
            <w:r>
              <w:rPr>
                <w:noProof/>
              </w:rPr>
              <w:t>Réforme 3. Renforcement des capacités en matière de gestion de la santé et de ressources humaines dans le domaine de la santé</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1195FB1" w14:textId="77777777" w:rsidR="00A345F4" w:rsidRDefault="005E2D4E">
            <w:pPr>
              <w:pStyle w:val="P68B1DB1-Normal14"/>
              <w:spacing w:after="0" w:line="240" w:lineRule="auto"/>
              <w:jc w:val="both"/>
              <w:rPr>
                <w:noProof/>
              </w:rPr>
            </w:pPr>
            <w:r>
              <w:rPr>
                <w:noProof/>
              </w:rPr>
              <w:t>Étape</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578D98D" w14:textId="77777777" w:rsidR="00A345F4" w:rsidRDefault="005E2D4E">
            <w:pPr>
              <w:pStyle w:val="P68B1DB1-Normal14"/>
              <w:spacing w:after="0" w:line="240" w:lineRule="auto"/>
              <w:jc w:val="both"/>
              <w:rPr>
                <w:noProof/>
              </w:rPr>
            </w:pPr>
            <w:r>
              <w:rPr>
                <w:noProof/>
              </w:rPr>
              <w:t>Mise en service du portail transparenta.ms.ro sur l'utilisation des ressources publiques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83EBE4D" w14:textId="77777777" w:rsidR="00A345F4" w:rsidRDefault="005E2D4E">
            <w:pPr>
              <w:pStyle w:val="P68B1DB1-Normal14"/>
              <w:spacing w:after="0" w:line="240" w:lineRule="auto"/>
              <w:jc w:val="both"/>
              <w:rPr>
                <w:noProof/>
              </w:rPr>
            </w:pPr>
            <w:r>
              <w:rPr>
                <w:noProof/>
              </w:rPr>
              <w:t>Publication de données sur le portail transparenta.ms.ro concernant l’utilisation des ressources publiques dans le domaine de la santé</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A178623"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81B16D" w14:textId="77777777" w:rsidR="00A345F4" w:rsidRDefault="00A345F4">
            <w:pPr>
              <w:spacing w:after="0" w:line="240" w:lineRule="auto"/>
              <w:jc w:val="both"/>
              <w:rPr>
                <w:rFonts w:ascii="Times New Roman" w:hAnsi="Times New Roman" w:cs="Times New Roman"/>
                <w:noProof/>
                <w:sz w:val="20"/>
                <w:szCs w:val="20"/>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1806BBA"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6B1A332" w14:textId="77777777" w:rsidR="00A345F4" w:rsidRDefault="005E2D4E">
            <w:pPr>
              <w:pStyle w:val="P68B1DB1-Normal14"/>
              <w:spacing w:after="0" w:line="240" w:lineRule="auto"/>
              <w:jc w:val="both"/>
              <w:rPr>
                <w:noProof/>
              </w:rPr>
            </w:pPr>
            <w:r>
              <w:rPr>
                <w:noProof/>
              </w:rPr>
              <w:t>T4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7CEB345" w14:textId="77777777" w:rsidR="00A345F4" w:rsidRDefault="005E2D4E">
            <w:pPr>
              <w:pStyle w:val="P68B1DB1-Normal14"/>
              <w:spacing w:after="0" w:line="240" w:lineRule="auto"/>
              <w:jc w:val="both"/>
              <w:rPr>
                <w:noProof/>
              </w:rPr>
            </w:pPr>
            <w:r>
              <w:rPr>
                <w:noProof/>
              </w:rPr>
              <w:t>2024</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FC02C71" w14:textId="77777777" w:rsidR="00A345F4" w:rsidRDefault="005E2D4E">
            <w:pPr>
              <w:pStyle w:val="P68B1DB1-Normal14"/>
              <w:spacing w:after="0" w:line="240" w:lineRule="auto"/>
              <w:jc w:val="both"/>
              <w:rPr>
                <w:noProof/>
              </w:rPr>
            </w:pPr>
            <w:r>
              <w:rPr>
                <w:noProof/>
              </w:rPr>
              <w:t>L'utilisation des ressources publiques sera rendue plus transparente grâce à l'agrégation centralisée des données sur le portail transparenta.ms.ro.</w:t>
            </w:r>
          </w:p>
          <w:p w14:paraId="6A75C4BD" w14:textId="77777777" w:rsidR="00A345F4" w:rsidRDefault="005E2D4E">
            <w:pPr>
              <w:pStyle w:val="P68B1DB1-Normal14"/>
              <w:spacing w:after="0" w:line="240" w:lineRule="auto"/>
              <w:jc w:val="both"/>
              <w:rPr>
                <w:noProof/>
              </w:rPr>
            </w:pPr>
            <w:r>
              <w:rPr>
                <w:noProof/>
              </w:rPr>
              <w:t>Les données incluses couvrent les ressources utilisées par les institutions centrales et locales, y compris les hôpitaux, ainsi que la liste des entreprises ayant obtenu des marchés publics et des pouvoirs adjudicateurs.</w:t>
            </w:r>
          </w:p>
        </w:tc>
      </w:tr>
      <w:tr w:rsidR="00A345F4" w14:paraId="16CD3D61"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C37A41B" w14:textId="77777777" w:rsidR="00A345F4" w:rsidRDefault="005E2D4E">
            <w:pPr>
              <w:pStyle w:val="P68B1DB1-Normal14"/>
              <w:spacing w:after="0" w:line="240" w:lineRule="auto"/>
              <w:jc w:val="center"/>
              <w:rPr>
                <w:noProof/>
              </w:rPr>
            </w:pPr>
            <w:r>
              <w:rPr>
                <w:noProof/>
              </w:rPr>
              <w:t>366</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9F93A5" w14:textId="77777777" w:rsidR="00A345F4" w:rsidRDefault="005E2D4E">
            <w:pPr>
              <w:pStyle w:val="P68B1DB1-Normal14"/>
              <w:spacing w:after="0" w:line="240" w:lineRule="auto"/>
              <w:jc w:val="both"/>
              <w:rPr>
                <w:noProof/>
              </w:rPr>
            </w:pPr>
            <w:r>
              <w:rPr>
                <w:noProof/>
              </w:rPr>
              <w:t>Investissement 1. Infrastructures médicales préhospitalières</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F01A1A" w14:textId="77777777" w:rsidR="00A345F4" w:rsidRDefault="005E2D4E">
            <w:pPr>
              <w:pStyle w:val="P68B1DB1-Normal14"/>
              <w:spacing w:after="0" w:line="240" w:lineRule="auto"/>
              <w:jc w:val="both"/>
              <w:rPr>
                <w:noProof/>
              </w:rPr>
            </w:pPr>
            <w:r>
              <w:rPr>
                <w:noProof/>
              </w:rPr>
              <w:t>Étape</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F262646" w14:textId="77777777" w:rsidR="00A345F4" w:rsidRDefault="005E2D4E">
            <w:pPr>
              <w:pStyle w:val="P68B1DB1-Normal14"/>
              <w:spacing w:after="0" w:line="240" w:lineRule="auto"/>
              <w:jc w:val="both"/>
              <w:rPr>
                <w:noProof/>
              </w:rPr>
            </w:pPr>
            <w:r>
              <w:rPr>
                <w:noProof/>
              </w:rPr>
              <w:t>Adoption de critères pour hiérarchiser les investissements dans les centres communautaires intégrés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5970234" w14:textId="77777777" w:rsidR="00A345F4" w:rsidRDefault="005E2D4E">
            <w:pPr>
              <w:pStyle w:val="P68B1DB1-Normal14"/>
              <w:spacing w:after="0" w:line="240" w:lineRule="auto"/>
              <w:jc w:val="both"/>
              <w:rPr>
                <w:noProof/>
              </w:rPr>
            </w:pPr>
            <w:r>
              <w:rPr>
                <w:noProof/>
              </w:rPr>
              <w:t>Adoption du Manuel des centres communautaires intégrés, y compris des lignes directrices pour la hiérarchisation des investissements dans les centres communautaires intégrés par arrêté du Ministre de la santé.</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3C5643"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EC62C39" w14:textId="77777777" w:rsidR="00A345F4" w:rsidRDefault="00A345F4">
            <w:pPr>
              <w:spacing w:after="0" w:line="240" w:lineRule="auto"/>
              <w:jc w:val="both"/>
              <w:rPr>
                <w:rFonts w:ascii="Times New Roman" w:hAnsi="Times New Roman" w:cs="Times New Roman"/>
                <w:noProof/>
                <w:sz w:val="20"/>
                <w:szCs w:val="20"/>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39B3F0E"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5CEC657" w14:textId="77777777" w:rsidR="00A345F4" w:rsidRDefault="005E2D4E">
            <w:pPr>
              <w:pStyle w:val="P68B1DB1-Normal14"/>
              <w:spacing w:after="0" w:line="240" w:lineRule="auto"/>
              <w:jc w:val="both"/>
              <w:rPr>
                <w:noProof/>
              </w:rPr>
            </w:pPr>
            <w:r>
              <w:rPr>
                <w:noProof/>
              </w:rPr>
              <w:t>T4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9BD1AB" w14:textId="77777777" w:rsidR="00A345F4" w:rsidRDefault="005E2D4E">
            <w:pPr>
              <w:pStyle w:val="P68B1DB1-Normal14"/>
              <w:spacing w:after="0" w:line="240" w:lineRule="auto"/>
              <w:jc w:val="both"/>
              <w:rPr>
                <w:noProof/>
              </w:rPr>
            </w:pPr>
            <w:r>
              <w:rPr>
                <w:noProof/>
              </w:rPr>
              <w:t>2021</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CC773B3" w14:textId="77777777" w:rsidR="00A345F4" w:rsidRDefault="005E2D4E">
            <w:pPr>
              <w:pStyle w:val="P68B1DB1-Normal14"/>
              <w:spacing w:after="0" w:line="240" w:lineRule="auto"/>
              <w:jc w:val="both"/>
              <w:rPr>
                <w:noProof/>
              </w:rPr>
            </w:pPr>
            <w:r>
              <w:rPr>
                <w:noProof/>
              </w:rPr>
              <w:t>Les centres communautaires intégrés bénéficient d'investissements fondés sur des orientations méthodologiques prioritaires qui seront élaborées par le ministère de la santé en consultation avec les représentants des autorités publiques locales. Ces orientations prioritaires font partie intégrante du manuel des centres communautaires intégrés.</w:t>
            </w:r>
          </w:p>
          <w:p w14:paraId="2AAE670E" w14:textId="77777777" w:rsidR="00A345F4" w:rsidRDefault="005E2D4E">
            <w:pPr>
              <w:pStyle w:val="P68B1DB1-Normal14"/>
              <w:spacing w:after="0" w:line="240" w:lineRule="auto"/>
              <w:jc w:val="both"/>
              <w:rPr>
                <w:noProof/>
              </w:rPr>
            </w:pPr>
            <w:r>
              <w:rPr>
                <w:noProof/>
              </w:rPr>
              <w:t xml:space="preserve">La hiérarchisation des unités territoriales administratives tient compte: </w:t>
            </w:r>
          </w:p>
          <w:p w14:paraId="7FB4536E" w14:textId="77777777" w:rsidR="00A345F4" w:rsidRDefault="005E2D4E">
            <w:pPr>
              <w:pStyle w:val="P68B1DB1-Normal14"/>
              <w:spacing w:after="0" w:line="240" w:lineRule="auto"/>
              <w:jc w:val="both"/>
              <w:rPr>
                <w:noProof/>
              </w:rPr>
            </w:pPr>
            <w:r>
              <w:rPr>
                <w:noProof/>
              </w:rPr>
              <w:t>le nombre de personnes vulnérables par communauté (minimum 500 personnes vulnérables sur le plan médical, social ou économique);</w:t>
            </w:r>
          </w:p>
          <w:p w14:paraId="43F1B0E0" w14:textId="77777777" w:rsidR="00A345F4" w:rsidRDefault="005E2D4E">
            <w:pPr>
              <w:pStyle w:val="P68B1DB1-Normal14"/>
              <w:spacing w:after="0" w:line="240" w:lineRule="auto"/>
              <w:jc w:val="both"/>
              <w:rPr>
                <w:noProof/>
              </w:rPr>
            </w:pPr>
            <w:r>
              <w:rPr>
                <w:noProof/>
              </w:rPr>
              <w:t>- la disponibilité de l'association avec d'autres localités vulnérables</w:t>
            </w:r>
          </w:p>
          <w:p w14:paraId="2A1B5C6A" w14:textId="77777777" w:rsidR="00A345F4" w:rsidRDefault="005E2D4E">
            <w:pPr>
              <w:pStyle w:val="P68B1DB1-Normal14"/>
              <w:spacing w:after="0" w:line="240" w:lineRule="auto"/>
              <w:jc w:val="both"/>
              <w:rPr>
                <w:noProof/>
              </w:rPr>
            </w:pPr>
            <w:r>
              <w:rPr>
                <w:noProof/>
              </w:rPr>
              <w:t>- l'existence d'une infirmière communautaire et d'un travailleur social/technicien en assistance sociale</w:t>
            </w:r>
          </w:p>
          <w:p w14:paraId="76B51C95" w14:textId="77777777" w:rsidR="00A345F4" w:rsidRDefault="005E2D4E">
            <w:pPr>
              <w:pStyle w:val="P68B1DB1-Normal14"/>
              <w:spacing w:after="0" w:line="240" w:lineRule="auto"/>
              <w:jc w:val="both"/>
              <w:rPr>
                <w:noProof/>
              </w:rPr>
            </w:pPr>
            <w:r>
              <w:rPr>
                <w:noProof/>
              </w:rPr>
              <w:t>unités administratives territoriales sans médecin de famille ou avec un nombre insuffisant de médecins de famille par rapport à la population</w:t>
            </w:r>
          </w:p>
          <w:p w14:paraId="1D16644F" w14:textId="77777777" w:rsidR="00A345F4" w:rsidRDefault="005E2D4E">
            <w:pPr>
              <w:pStyle w:val="P68B1DB1-Normal14"/>
              <w:spacing w:after="0" w:line="240" w:lineRule="auto"/>
              <w:jc w:val="both"/>
              <w:rPr>
                <w:noProof/>
              </w:rPr>
            </w:pPr>
            <w:r>
              <w:rPr>
                <w:noProof/>
              </w:rPr>
              <w:t>- l'existence d'une décision du conseil local de créer les centres communautaires intégrés</w:t>
            </w:r>
          </w:p>
          <w:p w14:paraId="7F12FEFD" w14:textId="77777777" w:rsidR="00A345F4" w:rsidRDefault="005E2D4E">
            <w:pPr>
              <w:pStyle w:val="P68B1DB1-Normal14"/>
              <w:spacing w:after="0" w:line="240" w:lineRule="auto"/>
              <w:jc w:val="both"/>
              <w:rPr>
                <w:noProof/>
              </w:rPr>
            </w:pPr>
            <w:r>
              <w:rPr>
                <w:noProof/>
              </w:rPr>
              <w:t xml:space="preserve">- l'identification de la localité comme zone rurale marginale </w:t>
            </w:r>
          </w:p>
        </w:tc>
      </w:tr>
      <w:tr w:rsidR="00A345F4" w14:paraId="66F333A8"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AB86351" w14:textId="77777777" w:rsidR="00A345F4" w:rsidRDefault="005E2D4E">
            <w:pPr>
              <w:pStyle w:val="P68B1DB1-Normal14"/>
              <w:spacing w:after="0" w:line="240" w:lineRule="auto"/>
              <w:jc w:val="center"/>
              <w:rPr>
                <w:noProof/>
              </w:rPr>
            </w:pPr>
            <w:r>
              <w:rPr>
                <w:noProof/>
              </w:rPr>
              <w:t>367</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EC6F34A" w14:textId="77777777" w:rsidR="00A345F4" w:rsidRDefault="005E2D4E">
            <w:pPr>
              <w:pStyle w:val="P68B1DB1-Normal14"/>
              <w:spacing w:after="0" w:line="240" w:lineRule="auto"/>
              <w:jc w:val="both"/>
              <w:rPr>
                <w:noProof/>
              </w:rPr>
            </w:pPr>
            <w:r>
              <w:rPr>
                <w:noProof/>
              </w:rPr>
              <w:t>Investissement 1. Infrastructures médicales préhospitalières</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170480E" w14:textId="77777777" w:rsidR="00A345F4" w:rsidRDefault="005E2D4E">
            <w:pPr>
              <w:pStyle w:val="P68B1DB1-Normal14"/>
              <w:spacing w:after="0" w:line="240" w:lineRule="auto"/>
              <w:jc w:val="both"/>
              <w:rPr>
                <w:noProof/>
              </w:rPr>
            </w:pPr>
            <w:r>
              <w:rPr>
                <w:noProof/>
              </w:rPr>
              <w:t xml:space="preserve">Objectif </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B8929C3" w14:textId="77777777" w:rsidR="00A345F4" w:rsidRDefault="005E2D4E">
            <w:pPr>
              <w:pStyle w:val="P68B1DB1-Normal14"/>
              <w:spacing w:after="0" w:line="240" w:lineRule="auto"/>
              <w:jc w:val="both"/>
              <w:rPr>
                <w:noProof/>
              </w:rPr>
            </w:pPr>
            <w:r>
              <w:rPr>
                <w:noProof/>
              </w:rPr>
              <w:t>Pratiques de médecins de famille ou d’associations de praticiens de soins primaires équipées ou rénovées, en donnant la priorité aux pratiques situées dans des régions et des municipalités marginalisées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13EE2A" w14:textId="77777777" w:rsidR="00A345F4" w:rsidRDefault="00A345F4">
            <w:pPr>
              <w:spacing w:after="0" w:line="240" w:lineRule="auto"/>
              <w:jc w:val="both"/>
              <w:rPr>
                <w:rFonts w:ascii="Times New Roman" w:hAnsi="Times New Roman" w:cs="Times New Roman"/>
                <w:noProof/>
                <w:sz w:val="20"/>
                <w:szCs w:val="20"/>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FA4904F" w14:textId="77777777" w:rsidR="00A345F4" w:rsidRDefault="005E2D4E">
            <w:pPr>
              <w:pStyle w:val="P68B1DB1-Normal14"/>
              <w:spacing w:after="0" w:line="240" w:lineRule="auto"/>
              <w:jc w:val="both"/>
              <w:rPr>
                <w:noProof/>
              </w:rPr>
            </w:pPr>
            <w:r>
              <w:rPr>
                <w:noProof/>
              </w:rPr>
              <w:t>Numéro</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740F261" w14:textId="77777777" w:rsidR="00A345F4" w:rsidRDefault="005E2D4E">
            <w:pPr>
              <w:pStyle w:val="P68B1DB1-Normal14"/>
              <w:spacing w:after="0" w:line="240" w:lineRule="auto"/>
              <w:jc w:val="both"/>
              <w:rPr>
                <w:noProof/>
              </w:rPr>
            </w:pPr>
            <w:r>
              <w:rPr>
                <w:noProof/>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19F3840" w14:textId="30CD6D6C" w:rsidR="00A345F4" w:rsidRDefault="005E2D4E">
            <w:pPr>
              <w:pStyle w:val="P68B1DB1-Normal14"/>
              <w:spacing w:after="0" w:line="240" w:lineRule="auto"/>
              <w:jc w:val="both"/>
              <w:rPr>
                <w:noProof/>
              </w:rPr>
            </w:pPr>
            <w:r>
              <w:rPr>
                <w:noProof/>
              </w:rPr>
              <w:t>2 000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3DADE4"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44D7F9" w14:textId="77777777" w:rsidR="00A345F4" w:rsidRDefault="005E2D4E">
            <w:pPr>
              <w:pStyle w:val="P68B1DB1-Normal14"/>
              <w:spacing w:after="0" w:line="240" w:lineRule="auto"/>
              <w:jc w:val="both"/>
              <w:rPr>
                <w:noProof/>
              </w:rPr>
            </w:pPr>
            <w:r>
              <w:rPr>
                <w:noProof/>
              </w:rPr>
              <w:t>2025</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51E5016" w14:textId="759AB52E" w:rsidR="00A345F4" w:rsidRDefault="005E2D4E">
            <w:pPr>
              <w:pStyle w:val="P68B1DB1-Normal14"/>
              <w:spacing w:after="0" w:line="240" w:lineRule="auto"/>
              <w:jc w:val="both"/>
              <w:rPr>
                <w:noProof/>
              </w:rPr>
            </w:pPr>
            <w:r>
              <w:rPr>
                <w:noProof/>
              </w:rPr>
              <w:t xml:space="preserve">Au moins 2 000 associations de praticiens ou cabinets de médecins de famille doivent être équipés ou rénovés. Au moins 75 % de toutes les associations de praticiens ou de médecins de famille doivent être situées dans des régions ou des municipalités marginalisées. Les régions/municipalités marginalisées sont celles qui n'ont pas ou n'ont qu'un accès limité aux soins de santé primaires. Les critères de marginalisation et le degré de marginalisation sont établis au niveau régional selon les méthodes de calcul de l'indice de développement humain local et de l'indice de développement présentées dans l'Atlas des zones rurales marginalisées et du développement humain local en Roumanie, dans l'Atlas des zones urbaines marginalisées en Roumanie et dans l'Étude de justification de la Stratégie nationale d'inclusion sociale et de réduction de la pauvreté. </w:t>
            </w:r>
          </w:p>
        </w:tc>
      </w:tr>
      <w:tr w:rsidR="00A345F4" w14:paraId="41A70FBB"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1B11A1CE" w14:textId="77777777" w:rsidR="00A345F4" w:rsidRDefault="005E2D4E">
            <w:pPr>
              <w:pStyle w:val="P68B1DB1-Normal14"/>
              <w:spacing w:after="0" w:line="240" w:lineRule="auto"/>
              <w:jc w:val="center"/>
              <w:rPr>
                <w:noProof/>
              </w:rPr>
            </w:pPr>
            <w:r>
              <w:rPr>
                <w:noProof/>
              </w:rPr>
              <w:t>369</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E791349" w14:textId="77777777" w:rsidR="00A345F4" w:rsidRDefault="005E2D4E">
            <w:pPr>
              <w:pStyle w:val="P68B1DB1-Normal14"/>
              <w:spacing w:after="0" w:line="240" w:lineRule="auto"/>
              <w:jc w:val="both"/>
              <w:rPr>
                <w:noProof/>
              </w:rPr>
            </w:pPr>
            <w:r>
              <w:rPr>
                <w:noProof/>
              </w:rPr>
              <w:t xml:space="preserve">Investissement 1. Infrastructures médicales préhospitalières </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5E59AE1" w14:textId="77777777" w:rsidR="00A345F4" w:rsidRDefault="005E2D4E">
            <w:pPr>
              <w:pStyle w:val="P68B1DB1-Normal14"/>
              <w:spacing w:after="0" w:line="240" w:lineRule="auto"/>
              <w:jc w:val="both"/>
              <w:rPr>
                <w:noProof/>
              </w:rPr>
            </w:pPr>
            <w:r>
              <w:rPr>
                <w:noProof/>
              </w:rPr>
              <w:t>Objectif</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4738EE4" w14:textId="77777777" w:rsidR="00A345F4" w:rsidRDefault="005E2D4E">
            <w:pPr>
              <w:pStyle w:val="P68B1DB1-Normal14"/>
              <w:spacing w:after="0" w:line="240" w:lineRule="auto"/>
              <w:jc w:val="both"/>
              <w:rPr>
                <w:noProof/>
              </w:rPr>
            </w:pPr>
            <w:r>
              <w:rPr>
                <w:noProof/>
              </w:rPr>
              <w:t xml:space="preserve">Unités de soins ambulatoires nouvellement construites ou rénovées et équipées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03DA2E9" w14:textId="77777777" w:rsidR="00A345F4" w:rsidRDefault="00A345F4">
            <w:pPr>
              <w:spacing w:after="0" w:line="240" w:lineRule="auto"/>
              <w:jc w:val="both"/>
              <w:rPr>
                <w:rFonts w:ascii="Times New Roman" w:hAnsi="Times New Roman" w:cs="Times New Roman"/>
                <w:noProof/>
                <w:sz w:val="20"/>
                <w:szCs w:val="20"/>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79F9592" w14:textId="77777777" w:rsidR="00A345F4" w:rsidRDefault="005E2D4E">
            <w:pPr>
              <w:pStyle w:val="P68B1DB1-Normal14"/>
              <w:spacing w:after="0" w:line="240" w:lineRule="auto"/>
              <w:jc w:val="both"/>
              <w:rPr>
                <w:noProof/>
              </w:rPr>
            </w:pPr>
            <w:r>
              <w:rPr>
                <w:noProof/>
              </w:rPr>
              <w:t>Numéro</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039BC1B" w14:textId="77777777" w:rsidR="00A345F4" w:rsidRDefault="005E2D4E">
            <w:pPr>
              <w:pStyle w:val="P68B1DB1-Normal14"/>
              <w:spacing w:after="0" w:line="240" w:lineRule="auto"/>
              <w:jc w:val="both"/>
              <w:rPr>
                <w:noProof/>
              </w:rPr>
            </w:pPr>
            <w:r>
              <w:rPr>
                <w:noProof/>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1F24F3F" w14:textId="77777777" w:rsidR="00A345F4" w:rsidRDefault="005E2D4E">
            <w:pPr>
              <w:pStyle w:val="P68B1DB1-Normal14"/>
              <w:spacing w:after="0" w:line="240" w:lineRule="auto"/>
              <w:jc w:val="both"/>
              <w:rPr>
                <w:noProof/>
              </w:rPr>
            </w:pPr>
            <w:r>
              <w:rPr>
                <w:noProof/>
              </w:rPr>
              <w:t>30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7D6EBE4" w14:textId="77777777" w:rsidR="00A345F4" w:rsidRDefault="005E2D4E">
            <w:pPr>
              <w:pStyle w:val="P68B1DB1-Normal14"/>
              <w:spacing w:after="0" w:line="240" w:lineRule="auto"/>
              <w:jc w:val="both"/>
              <w:rPr>
                <w:noProof/>
              </w:rPr>
            </w:pPr>
            <w:r>
              <w:rPr>
                <w:noProof/>
              </w:rPr>
              <w:t>T4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B247906" w14:textId="77777777" w:rsidR="00A345F4" w:rsidRDefault="005E2D4E">
            <w:pPr>
              <w:pStyle w:val="P68B1DB1-Normal14"/>
              <w:spacing w:after="0" w:line="240" w:lineRule="auto"/>
              <w:jc w:val="both"/>
              <w:rPr>
                <w:noProof/>
              </w:rPr>
            </w:pPr>
            <w:r>
              <w:rPr>
                <w:noProof/>
              </w:rPr>
              <w:t>2024</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143A3F0" w14:textId="77777777" w:rsidR="00A345F4" w:rsidRDefault="005E2D4E">
            <w:pPr>
              <w:pStyle w:val="P68B1DB1-Normal14"/>
              <w:spacing w:after="0" w:line="240" w:lineRule="auto"/>
              <w:jc w:val="both"/>
              <w:rPr>
                <w:noProof/>
              </w:rPr>
            </w:pPr>
            <w:r>
              <w:rPr>
                <w:noProof/>
              </w:rPr>
              <w:t>Au moins 30 unités de soins ambulatoires doivent être nouvellement construites ou rénovées et équipées.</w:t>
            </w:r>
          </w:p>
          <w:p w14:paraId="1AF4EFFA" w14:textId="77777777" w:rsidR="00A345F4" w:rsidRDefault="005E2D4E">
            <w:pPr>
              <w:pStyle w:val="P68B1DB1-Normal14"/>
              <w:spacing w:after="0" w:line="240" w:lineRule="auto"/>
              <w:jc w:val="both"/>
              <w:rPr>
                <w:noProof/>
              </w:rPr>
            </w:pPr>
            <w:r>
              <w:rPr>
                <w:noProof/>
              </w:rPr>
              <w:t xml:space="preserve">Sur les 30 unités de soins ambulatoires, au moins 20 unités de soins ambulatoires doivent être situées dans des régions ou municipalités moins développées, compte tenu de l’Atlas des zones urbaines marginalisées, qui fait partie du jalon 367. </w:t>
            </w:r>
          </w:p>
        </w:tc>
      </w:tr>
      <w:tr w:rsidR="00A345F4" w14:paraId="148AF4B2"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411349F8" w14:textId="77777777" w:rsidR="00A345F4" w:rsidRDefault="005E2D4E">
            <w:pPr>
              <w:pStyle w:val="P68B1DB1-Normal14"/>
              <w:spacing w:after="0" w:line="240" w:lineRule="auto"/>
              <w:jc w:val="center"/>
              <w:rPr>
                <w:noProof/>
              </w:rPr>
            </w:pPr>
            <w:r>
              <w:rPr>
                <w:noProof/>
              </w:rPr>
              <w:t>370</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C0986C3" w14:textId="77777777" w:rsidR="00A345F4" w:rsidRDefault="005E2D4E">
            <w:pPr>
              <w:pStyle w:val="P68B1DB1-Normal14"/>
              <w:spacing w:after="0" w:line="240" w:lineRule="auto"/>
              <w:jc w:val="both"/>
              <w:rPr>
                <w:noProof/>
              </w:rPr>
            </w:pPr>
            <w:r>
              <w:rPr>
                <w:noProof/>
              </w:rPr>
              <w:t xml:space="preserve">Investissement 1. Infrastructures médicales préhospitalières </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483AE3F" w14:textId="77777777" w:rsidR="00A345F4" w:rsidRDefault="005E2D4E">
            <w:pPr>
              <w:pStyle w:val="P68B1DB1-Normal14"/>
              <w:spacing w:after="0" w:line="240" w:lineRule="auto"/>
              <w:jc w:val="both"/>
              <w:rPr>
                <w:noProof/>
              </w:rPr>
            </w:pPr>
            <w:r>
              <w:rPr>
                <w:noProof/>
              </w:rPr>
              <w:t>Objectif</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AC084B3" w14:textId="77777777" w:rsidR="00A345F4" w:rsidRDefault="005E2D4E">
            <w:pPr>
              <w:pStyle w:val="P68B1DB1-Normal14"/>
              <w:spacing w:after="0" w:line="240" w:lineRule="auto"/>
              <w:jc w:val="both"/>
              <w:rPr>
                <w:noProof/>
              </w:rPr>
            </w:pPr>
            <w:r>
              <w:rPr>
                <w:noProof/>
              </w:rPr>
              <w:t>Centres communautaires intégrés construits ou rénovés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6AF8A64" w14:textId="77777777" w:rsidR="00A345F4" w:rsidRDefault="00A345F4">
            <w:pPr>
              <w:spacing w:after="0" w:line="240" w:lineRule="auto"/>
              <w:jc w:val="both"/>
              <w:rPr>
                <w:rFonts w:ascii="Times New Roman" w:hAnsi="Times New Roman" w:cs="Times New Roman"/>
                <w:noProof/>
                <w:sz w:val="20"/>
                <w:szCs w:val="20"/>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75CDD1F" w14:textId="77777777" w:rsidR="00A345F4" w:rsidRDefault="005E2D4E">
            <w:pPr>
              <w:pStyle w:val="P68B1DB1-Normal14"/>
              <w:spacing w:after="0" w:line="240" w:lineRule="auto"/>
              <w:jc w:val="both"/>
              <w:rPr>
                <w:noProof/>
              </w:rPr>
            </w:pPr>
            <w:r>
              <w:rPr>
                <w:noProof/>
              </w:rPr>
              <w:t>Numéro</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09BA9FA" w14:textId="77777777" w:rsidR="00A345F4" w:rsidRDefault="005E2D4E">
            <w:pPr>
              <w:pStyle w:val="P68B1DB1-Normal14"/>
              <w:spacing w:after="0" w:line="240" w:lineRule="auto"/>
              <w:jc w:val="both"/>
              <w:rPr>
                <w:noProof/>
              </w:rPr>
            </w:pPr>
            <w:r>
              <w:rPr>
                <w:noProof/>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ED4D31B" w14:textId="77777777" w:rsidR="00A345F4" w:rsidRDefault="005E2D4E">
            <w:pPr>
              <w:pStyle w:val="P68B1DB1-Normal14"/>
              <w:spacing w:after="0" w:line="240" w:lineRule="auto"/>
              <w:jc w:val="both"/>
              <w:rPr>
                <w:noProof/>
              </w:rPr>
            </w:pPr>
            <w:r>
              <w:rPr>
                <w:noProof/>
              </w:rPr>
              <w:t>78</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5B3933E"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5248298" w14:textId="77777777" w:rsidR="00A345F4" w:rsidRDefault="005E2D4E">
            <w:pPr>
              <w:pStyle w:val="P68B1DB1-Normal14"/>
              <w:spacing w:after="0" w:line="240" w:lineRule="auto"/>
              <w:jc w:val="both"/>
              <w:rPr>
                <w:noProof/>
              </w:rPr>
            </w:pPr>
            <w:r>
              <w:rPr>
                <w:noProof/>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4B2EF97" w14:textId="77777777" w:rsidR="00A345F4" w:rsidRDefault="005E2D4E">
            <w:pPr>
              <w:pStyle w:val="P68B1DB1-Normal14"/>
              <w:spacing w:after="0" w:line="240" w:lineRule="auto"/>
              <w:jc w:val="both"/>
              <w:rPr>
                <w:noProof/>
              </w:rPr>
            </w:pPr>
            <w:r>
              <w:rPr>
                <w:noProof/>
              </w:rPr>
              <w:t xml:space="preserve">78 centres communautaires intégrés seront construits ou rénovés. </w:t>
            </w:r>
          </w:p>
          <w:p w14:paraId="1F9E3CB0" w14:textId="77777777" w:rsidR="00A345F4" w:rsidRDefault="005E2D4E">
            <w:pPr>
              <w:pStyle w:val="P68B1DB1-Normal14"/>
              <w:spacing w:after="0" w:line="240" w:lineRule="auto"/>
              <w:jc w:val="both"/>
              <w:rPr>
                <w:noProof/>
              </w:rPr>
            </w:pPr>
            <w:r>
              <w:rPr>
                <w:noProof/>
              </w:rPr>
              <w:t xml:space="preserve">Les centres communautaires construits respectent l’objectif consistant à atteindre une demande d’énergie primaire (DEP) inférieure d’au moins 20 % à l’exigence d’un bâtiment dont la consommation d’énergie est quasi nulle (NZEB) conformément aux lignes directrices nationales, ce qui est confirmé au moyen de certificats de performance énergétique. </w:t>
            </w:r>
          </w:p>
        </w:tc>
      </w:tr>
      <w:tr w:rsidR="00A345F4" w14:paraId="7DEBE038"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31DA1274" w14:textId="77777777" w:rsidR="00A345F4" w:rsidRDefault="005E2D4E">
            <w:pPr>
              <w:pStyle w:val="P68B1DB1-Normal14"/>
              <w:spacing w:after="0" w:line="240" w:lineRule="auto"/>
              <w:jc w:val="center"/>
              <w:rPr>
                <w:noProof/>
              </w:rPr>
            </w:pPr>
            <w:r>
              <w:rPr>
                <w:noProof/>
              </w:rPr>
              <w:t>375</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602B20D" w14:textId="77777777" w:rsidR="00A345F4" w:rsidRDefault="005E2D4E">
            <w:pPr>
              <w:pStyle w:val="P68B1DB1-Normal14"/>
              <w:spacing w:after="0" w:line="240" w:lineRule="auto"/>
              <w:jc w:val="both"/>
              <w:rPr>
                <w:noProof/>
              </w:rPr>
            </w:pPr>
            <w:r>
              <w:rPr>
                <w:noProof/>
              </w:rPr>
              <w:t xml:space="preserve">Investissement 2. Infrastructures hospitalières publiques </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0756243" w14:textId="77777777" w:rsidR="00A345F4" w:rsidRDefault="005E2D4E">
            <w:pPr>
              <w:pStyle w:val="P68B1DB1-Normal14"/>
              <w:spacing w:after="0" w:line="240" w:lineRule="auto"/>
              <w:jc w:val="both"/>
              <w:rPr>
                <w:noProof/>
              </w:rPr>
            </w:pPr>
            <w:r>
              <w:rPr>
                <w:noProof/>
              </w:rPr>
              <w:t>Objectif</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2474708" w14:textId="77777777" w:rsidR="00A345F4" w:rsidRDefault="005E2D4E">
            <w:pPr>
              <w:pStyle w:val="P68B1DB1-Normal14"/>
              <w:spacing w:after="0" w:line="240" w:lineRule="auto"/>
              <w:jc w:val="both"/>
              <w:rPr>
                <w:noProof/>
              </w:rPr>
            </w:pPr>
            <w:r>
              <w:rPr>
                <w:noProof/>
              </w:rPr>
              <w:t>Les hôpitaux publics reçoivent de l'équipement et du matériel pour réduire le risque d'infections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37CDB91" w14:textId="77777777" w:rsidR="00A345F4" w:rsidRDefault="00A345F4">
            <w:pPr>
              <w:spacing w:after="0" w:line="240" w:lineRule="auto"/>
              <w:jc w:val="both"/>
              <w:rPr>
                <w:rFonts w:ascii="Times New Roman" w:hAnsi="Times New Roman" w:cs="Times New Roman"/>
                <w:noProof/>
                <w:sz w:val="20"/>
                <w:szCs w:val="20"/>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80030F8" w14:textId="77777777" w:rsidR="00A345F4" w:rsidRDefault="005E2D4E">
            <w:pPr>
              <w:pStyle w:val="P68B1DB1-Normal14"/>
              <w:spacing w:after="0" w:line="240" w:lineRule="auto"/>
              <w:jc w:val="both"/>
              <w:rPr>
                <w:noProof/>
              </w:rPr>
            </w:pPr>
            <w:r>
              <w:rPr>
                <w:noProof/>
              </w:rPr>
              <w:t>Numéro</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A634986" w14:textId="77777777" w:rsidR="00A345F4" w:rsidRDefault="005E2D4E">
            <w:pPr>
              <w:pStyle w:val="P68B1DB1-Normal14"/>
              <w:spacing w:after="0" w:line="240" w:lineRule="auto"/>
              <w:jc w:val="both"/>
              <w:rPr>
                <w:noProof/>
              </w:rPr>
            </w:pPr>
            <w:r>
              <w:rPr>
                <w:noProof/>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E0872B2" w14:textId="77777777" w:rsidR="00A345F4" w:rsidRDefault="005E2D4E">
            <w:pPr>
              <w:pStyle w:val="P68B1DB1-Normal14"/>
              <w:spacing w:after="0" w:line="240" w:lineRule="auto"/>
              <w:jc w:val="both"/>
              <w:rPr>
                <w:noProof/>
              </w:rPr>
            </w:pPr>
            <w:r>
              <w:rPr>
                <w:noProof/>
              </w:rPr>
              <w:t>25</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524E86A"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3F4E481" w14:textId="77777777" w:rsidR="00A345F4" w:rsidRDefault="005E2D4E">
            <w:pPr>
              <w:pStyle w:val="P68B1DB1-Normal14"/>
              <w:spacing w:after="0" w:line="240" w:lineRule="auto"/>
              <w:jc w:val="both"/>
              <w:rPr>
                <w:noProof/>
              </w:rPr>
            </w:pPr>
            <w:r>
              <w:rPr>
                <w:noProof/>
              </w:rPr>
              <w:t>2024</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4EEF2F8" w14:textId="77777777" w:rsidR="00A345F4" w:rsidRDefault="005E2D4E">
            <w:pPr>
              <w:pStyle w:val="P68B1DB1-Normal14"/>
              <w:spacing w:after="0" w:line="240" w:lineRule="auto"/>
              <w:jc w:val="both"/>
              <w:rPr>
                <w:noProof/>
              </w:rPr>
            </w:pPr>
            <w:r>
              <w:rPr>
                <w:noProof/>
              </w:rPr>
              <w:t xml:space="preserve">Au moins 25 hôpitaux publics doivent recevoir de l'équipement et du matériel contribuant à réduire le risque d'infections nosocomiales, ce qui peut inclure, sans s'y limiter, de l'équipement pour le contrôle microbiologique de l'air dans les blocs opératoires et les unités de soins intensifs par l'intermédiaire d'installations de climatisation spécifiques ainsi que d'installations pour la désinfection du personnel médical (par exemple, équipement de décontamination de l'environnement, stérilisation, récipients à déchets). </w:t>
            </w:r>
          </w:p>
        </w:tc>
      </w:tr>
      <w:tr w:rsidR="00A345F4" w14:paraId="75BFEB55"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D05B329" w14:textId="77777777" w:rsidR="00A345F4" w:rsidRDefault="005E2D4E">
            <w:pPr>
              <w:pStyle w:val="P68B1DB1-Normal14"/>
              <w:spacing w:after="0" w:line="240" w:lineRule="auto"/>
              <w:jc w:val="center"/>
              <w:rPr>
                <w:noProof/>
              </w:rPr>
            </w:pPr>
            <w:r>
              <w:rPr>
                <w:noProof/>
              </w:rPr>
              <w:t>376</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B71E9C" w14:textId="77777777" w:rsidR="00A345F4" w:rsidRDefault="005E2D4E">
            <w:pPr>
              <w:pStyle w:val="P68B1DB1-Normal14"/>
              <w:spacing w:after="0" w:line="240" w:lineRule="auto"/>
              <w:jc w:val="both"/>
              <w:rPr>
                <w:noProof/>
              </w:rPr>
            </w:pPr>
            <w:r>
              <w:rPr>
                <w:noProof/>
              </w:rPr>
              <w:t xml:space="preserve">Investissement 2. Infrastructures hospitalières publiques </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21E2409" w14:textId="77777777" w:rsidR="00A345F4" w:rsidRDefault="005E2D4E">
            <w:pPr>
              <w:pStyle w:val="P68B1DB1-Normal14"/>
              <w:spacing w:after="0" w:line="240" w:lineRule="auto"/>
              <w:jc w:val="both"/>
              <w:rPr>
                <w:noProof/>
              </w:rPr>
            </w:pPr>
            <w:r>
              <w:rPr>
                <w:noProof/>
              </w:rPr>
              <w:t>Objectif</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9592D2F" w14:textId="77777777" w:rsidR="00A345F4" w:rsidRDefault="005E2D4E">
            <w:pPr>
              <w:pStyle w:val="P68B1DB1-Normal14"/>
              <w:spacing w:after="0" w:line="240" w:lineRule="auto"/>
              <w:jc w:val="both"/>
              <w:rPr>
                <w:noProof/>
              </w:rPr>
            </w:pPr>
            <w:r>
              <w:rPr>
                <w:noProof/>
              </w:rPr>
              <w:t xml:space="preserve">Investissements dans les unités de soins intensifs pour nouveau-nés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273B97" w14:textId="77777777" w:rsidR="00A345F4" w:rsidRDefault="00A345F4">
            <w:pPr>
              <w:spacing w:after="0" w:line="240" w:lineRule="auto"/>
              <w:jc w:val="both"/>
              <w:rPr>
                <w:rFonts w:ascii="Times New Roman" w:hAnsi="Times New Roman" w:cs="Times New Roman"/>
                <w:noProof/>
                <w:sz w:val="20"/>
                <w:szCs w:val="20"/>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525EFB0" w14:textId="77777777" w:rsidR="00A345F4" w:rsidRDefault="005E2D4E">
            <w:pPr>
              <w:pStyle w:val="P68B1DB1-Normal14"/>
              <w:spacing w:after="0" w:line="240" w:lineRule="auto"/>
              <w:jc w:val="both"/>
              <w:rPr>
                <w:noProof/>
              </w:rPr>
            </w:pPr>
            <w:r>
              <w:rPr>
                <w:noProof/>
              </w:rPr>
              <w:t>Numéro</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B6918FD" w14:textId="77777777" w:rsidR="00A345F4" w:rsidRDefault="005E2D4E">
            <w:pPr>
              <w:pStyle w:val="P68B1DB1-Normal14"/>
              <w:spacing w:after="0" w:line="240" w:lineRule="auto"/>
              <w:jc w:val="both"/>
              <w:rPr>
                <w:noProof/>
              </w:rPr>
            </w:pPr>
            <w:r>
              <w:rPr>
                <w:noProof/>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9F08AE2" w14:textId="77777777" w:rsidR="00A345F4" w:rsidRDefault="005E2D4E">
            <w:pPr>
              <w:pStyle w:val="P68B1DB1-Normal14"/>
              <w:spacing w:after="0" w:line="240" w:lineRule="auto"/>
              <w:jc w:val="both"/>
              <w:rPr>
                <w:noProof/>
              </w:rPr>
            </w:pPr>
            <w:r>
              <w:rPr>
                <w:noProof/>
              </w:rPr>
              <w:t>25</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C0CEC4C"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6D2048A" w14:textId="77777777" w:rsidR="00A345F4" w:rsidRDefault="005E2D4E">
            <w:pPr>
              <w:pStyle w:val="P68B1DB1-Normal14"/>
              <w:spacing w:after="0" w:line="240" w:lineRule="auto"/>
              <w:jc w:val="both"/>
              <w:rPr>
                <w:noProof/>
              </w:rPr>
            </w:pPr>
            <w:r>
              <w:rPr>
                <w:noProof/>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204EF4F" w14:textId="77777777" w:rsidR="00A345F4" w:rsidRDefault="005E2D4E">
            <w:pPr>
              <w:pStyle w:val="P68B1DB1-Normal14"/>
              <w:spacing w:after="0" w:line="240" w:lineRule="auto"/>
              <w:jc w:val="both"/>
              <w:rPr>
                <w:noProof/>
              </w:rPr>
            </w:pPr>
            <w:r>
              <w:rPr>
                <w:noProof/>
              </w:rPr>
              <w:t xml:space="preserve">25 unités de soins intensifs reçoivent des investissements dans des infrastructures néonatales critiques pour le diagnostic précoce, le traitement prénatal/néonatal et postnatal. </w:t>
            </w:r>
          </w:p>
          <w:p w14:paraId="725D86FB" w14:textId="77777777" w:rsidR="00A345F4" w:rsidRDefault="005E2D4E">
            <w:pPr>
              <w:pStyle w:val="P68B1DB1-Normal14"/>
              <w:spacing w:after="0" w:line="240" w:lineRule="auto"/>
              <w:jc w:val="both"/>
              <w:rPr>
                <w:noProof/>
              </w:rPr>
            </w:pPr>
            <w:r>
              <w:rPr>
                <w:noProof/>
              </w:rPr>
              <w:t>L'investissement consiste en:</w:t>
            </w:r>
          </w:p>
          <w:p w14:paraId="091050DC" w14:textId="77777777" w:rsidR="00A345F4" w:rsidRDefault="005E2D4E">
            <w:pPr>
              <w:pStyle w:val="P68B1DB1-Normal14"/>
              <w:spacing w:after="0" w:line="240" w:lineRule="auto"/>
              <w:jc w:val="both"/>
              <w:rPr>
                <w:noProof/>
              </w:rPr>
            </w:pPr>
            <w:r>
              <w:rPr>
                <w:noProof/>
              </w:rPr>
              <w:t>- l’extension de la capacité des infrastructures hospitalières dédiées aux patients néonatals critiques par l’installation et l’équipement de 65 lits supplémentaires en équipements médicaux et par l’équipement de 200 lits existants en équipements médicaux.</w:t>
            </w:r>
          </w:p>
          <w:p w14:paraId="51FABD32" w14:textId="77777777" w:rsidR="00A345F4" w:rsidRDefault="005E2D4E">
            <w:pPr>
              <w:pStyle w:val="P68B1DB1-Normal14"/>
              <w:spacing w:after="0" w:line="240" w:lineRule="auto"/>
              <w:jc w:val="both"/>
              <w:rPr>
                <w:noProof/>
              </w:rPr>
            </w:pPr>
            <w:r>
              <w:rPr>
                <w:noProof/>
              </w:rPr>
              <w:t>- équiper l'infrastructure existante pour le dépistage d'équipements médicaux;</w:t>
            </w:r>
          </w:p>
          <w:p w14:paraId="1B3906A0" w14:textId="77777777" w:rsidR="00A345F4" w:rsidRDefault="005E2D4E">
            <w:pPr>
              <w:pStyle w:val="P68B1DB1-Normal14"/>
              <w:spacing w:after="0" w:line="240" w:lineRule="auto"/>
              <w:jc w:val="both"/>
              <w:rPr>
                <w:noProof/>
              </w:rPr>
            </w:pPr>
            <w:r>
              <w:rPr>
                <w:noProof/>
              </w:rPr>
              <w:t xml:space="preserve">- l'équipement de huit centres régionaux de formation du personnel médical prévus pour traiter les patients néonatals gravement malades. </w:t>
            </w:r>
          </w:p>
        </w:tc>
      </w:tr>
      <w:tr w:rsidR="00A345F4" w14:paraId="5EE95C9C"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EB41975" w14:textId="77777777" w:rsidR="00A345F4" w:rsidRDefault="005E2D4E">
            <w:pPr>
              <w:pStyle w:val="P68B1DB1-Normal14"/>
              <w:spacing w:after="0" w:line="240" w:lineRule="auto"/>
              <w:jc w:val="center"/>
              <w:rPr>
                <w:noProof/>
              </w:rPr>
            </w:pPr>
            <w:r>
              <w:rPr>
                <w:noProof/>
              </w:rPr>
              <w:t>377</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4187D4" w14:textId="77777777" w:rsidR="00A345F4" w:rsidRDefault="005E2D4E">
            <w:pPr>
              <w:pStyle w:val="P68B1DB1-Normal14"/>
              <w:spacing w:after="0" w:line="240" w:lineRule="auto"/>
              <w:jc w:val="both"/>
              <w:rPr>
                <w:noProof/>
              </w:rPr>
            </w:pPr>
            <w:r>
              <w:rPr>
                <w:noProof/>
              </w:rPr>
              <w:t xml:space="preserve">Investissement 2. Infrastructures hospitalières publiques </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304A030" w14:textId="77777777" w:rsidR="00A345F4" w:rsidRDefault="005E2D4E">
            <w:pPr>
              <w:pStyle w:val="P68B1DB1-Normal14"/>
              <w:spacing w:after="0" w:line="240" w:lineRule="auto"/>
              <w:jc w:val="both"/>
              <w:rPr>
                <w:noProof/>
              </w:rPr>
            </w:pPr>
            <w:r>
              <w:rPr>
                <w:noProof/>
              </w:rPr>
              <w:t>Objectif</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8238EB" w14:textId="77777777" w:rsidR="00A345F4" w:rsidRDefault="005E2D4E">
            <w:pPr>
              <w:pStyle w:val="P68B1DB1-Normal14"/>
              <w:spacing w:after="0" w:line="240" w:lineRule="auto"/>
              <w:jc w:val="both"/>
              <w:rPr>
                <w:noProof/>
              </w:rPr>
            </w:pPr>
            <w:r>
              <w:rPr>
                <w:noProof/>
              </w:rPr>
              <w:t xml:space="preserve">Construction et/ou équipement de nouvelles unités/hôpitaux de santé publique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5CE3D02" w14:textId="77777777" w:rsidR="00A345F4" w:rsidRDefault="00A345F4">
            <w:pPr>
              <w:spacing w:after="0" w:line="240" w:lineRule="auto"/>
              <w:jc w:val="both"/>
              <w:rPr>
                <w:rFonts w:ascii="Times New Roman" w:hAnsi="Times New Roman" w:cs="Times New Roman"/>
                <w:noProof/>
                <w:sz w:val="20"/>
                <w:szCs w:val="20"/>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071A97" w14:textId="77777777" w:rsidR="00A345F4" w:rsidRDefault="005E2D4E">
            <w:pPr>
              <w:pStyle w:val="P68B1DB1-Normal14"/>
              <w:spacing w:after="0" w:line="240" w:lineRule="auto"/>
              <w:jc w:val="both"/>
              <w:rPr>
                <w:noProof/>
              </w:rPr>
            </w:pPr>
            <w:r>
              <w:rPr>
                <w:noProof/>
              </w:rPr>
              <w:t>Numéro</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F93FAC8" w14:textId="77777777" w:rsidR="00A345F4" w:rsidRDefault="005E2D4E">
            <w:pPr>
              <w:pStyle w:val="P68B1DB1-Normal14"/>
              <w:spacing w:after="0" w:line="240" w:lineRule="auto"/>
              <w:jc w:val="both"/>
              <w:rPr>
                <w:noProof/>
              </w:rPr>
            </w:pPr>
            <w:r>
              <w:rPr>
                <w:noProof/>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B08A205" w14:textId="77777777" w:rsidR="00A345F4" w:rsidRDefault="005E2D4E">
            <w:pPr>
              <w:pStyle w:val="P68B1DB1-Normal14"/>
              <w:spacing w:after="0" w:line="240" w:lineRule="auto"/>
              <w:jc w:val="both"/>
              <w:rPr>
                <w:noProof/>
              </w:rPr>
            </w:pPr>
            <w:r>
              <w:rPr>
                <w:noProof/>
              </w:rPr>
              <w:t>5</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53C9213"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FBCD133" w14:textId="77777777" w:rsidR="00A345F4" w:rsidRDefault="005E2D4E">
            <w:pPr>
              <w:pStyle w:val="P68B1DB1-Normal14"/>
              <w:spacing w:after="0" w:line="240" w:lineRule="auto"/>
              <w:jc w:val="both"/>
              <w:rPr>
                <w:noProof/>
              </w:rPr>
            </w:pPr>
            <w:r>
              <w:rPr>
                <w:noProof/>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9B25363" w14:textId="77777777" w:rsidR="00A345F4" w:rsidRDefault="005E2D4E">
            <w:pPr>
              <w:pStyle w:val="P68B1DB1-Normal14"/>
              <w:spacing w:after="0" w:line="240" w:lineRule="auto"/>
              <w:jc w:val="both"/>
              <w:rPr>
                <w:noProof/>
              </w:rPr>
            </w:pPr>
            <w:r>
              <w:rPr>
                <w:noProof/>
              </w:rPr>
              <w:t>Les unités/hôpitaux de santé publique suivants sont construits et équipés:</w:t>
            </w:r>
          </w:p>
          <w:p w14:paraId="4935F034" w14:textId="77777777" w:rsidR="00A345F4" w:rsidRDefault="005E2D4E">
            <w:pPr>
              <w:pStyle w:val="P68B1DB1-Normal14"/>
              <w:numPr>
                <w:ilvl w:val="0"/>
                <w:numId w:val="57"/>
              </w:numPr>
              <w:spacing w:line="259" w:lineRule="auto"/>
              <w:ind w:left="395" w:hanging="284"/>
              <w:contextualSpacing/>
              <w:rPr>
                <w:noProof/>
              </w:rPr>
            </w:pPr>
            <w:r>
              <w:rPr>
                <w:noProof/>
              </w:rPr>
              <w:t>Hôpital «Prof. Dr. Agrippa lonescu», Balotești;</w:t>
            </w:r>
          </w:p>
          <w:p w14:paraId="354CE2D1" w14:textId="77777777" w:rsidR="00A345F4" w:rsidRDefault="005E2D4E">
            <w:pPr>
              <w:pStyle w:val="P68B1DB1-Normal14"/>
              <w:numPr>
                <w:ilvl w:val="0"/>
                <w:numId w:val="57"/>
              </w:numPr>
              <w:spacing w:after="0" w:line="240" w:lineRule="auto"/>
              <w:ind w:left="395" w:hanging="284"/>
              <w:contextualSpacing/>
              <w:jc w:val="both"/>
              <w:rPr>
                <w:noProof/>
              </w:rPr>
            </w:pPr>
            <w:r>
              <w:rPr>
                <w:noProof/>
              </w:rPr>
              <w:t>Hôpital départemental d’urgence de Bistrița;</w:t>
            </w:r>
          </w:p>
          <w:p w14:paraId="61A6434A" w14:textId="77777777" w:rsidR="00A345F4" w:rsidRDefault="005E2D4E">
            <w:pPr>
              <w:pStyle w:val="P68B1DB1-Normal14"/>
              <w:numPr>
                <w:ilvl w:val="0"/>
                <w:numId w:val="57"/>
              </w:numPr>
              <w:spacing w:line="259" w:lineRule="auto"/>
              <w:ind w:left="395" w:hanging="284"/>
              <w:contextualSpacing/>
              <w:rPr>
                <w:noProof/>
              </w:rPr>
            </w:pPr>
            <w:r>
              <w:rPr>
                <w:noProof/>
              </w:rPr>
              <w:t>Hôpital de la Clinique du Comté, Cluj;</w:t>
            </w:r>
          </w:p>
          <w:p w14:paraId="42706625" w14:textId="77777777" w:rsidR="00A345F4" w:rsidRDefault="005E2D4E">
            <w:pPr>
              <w:pStyle w:val="P68B1DB1-Normal14"/>
              <w:numPr>
                <w:ilvl w:val="0"/>
                <w:numId w:val="57"/>
              </w:numPr>
              <w:spacing w:after="0" w:line="240" w:lineRule="auto"/>
              <w:ind w:left="395" w:hanging="284"/>
              <w:contextualSpacing/>
              <w:jc w:val="both"/>
              <w:rPr>
                <w:noProof/>
              </w:rPr>
            </w:pPr>
            <w:r>
              <w:rPr>
                <w:noProof/>
              </w:rPr>
              <w:t>Nouveau pavillon multitraumatismes, Craiova;</w:t>
            </w:r>
          </w:p>
          <w:p w14:paraId="6D0B615F" w14:textId="77777777" w:rsidR="00A345F4" w:rsidRDefault="005E2D4E">
            <w:pPr>
              <w:pStyle w:val="P68B1DB1-Normal14"/>
              <w:numPr>
                <w:ilvl w:val="0"/>
                <w:numId w:val="57"/>
              </w:numPr>
              <w:spacing w:after="0" w:line="240" w:lineRule="auto"/>
              <w:ind w:left="395" w:hanging="284"/>
              <w:contextualSpacing/>
              <w:jc w:val="both"/>
              <w:rPr>
                <w:noProof/>
              </w:rPr>
            </w:pPr>
            <w:r>
              <w:rPr>
                <w:noProof/>
              </w:rPr>
              <w:t>Nouveau pavillon multitraumatiques, Sibiu.</w:t>
            </w:r>
          </w:p>
          <w:p w14:paraId="68A361BC" w14:textId="77777777" w:rsidR="00A345F4" w:rsidRDefault="005E2D4E">
            <w:pPr>
              <w:pStyle w:val="P68B1DB1-Normal14"/>
              <w:spacing w:after="0" w:line="240" w:lineRule="auto"/>
              <w:jc w:val="both"/>
              <w:rPr>
                <w:noProof/>
              </w:rPr>
            </w:pPr>
            <w:r>
              <w:rPr>
                <w:noProof/>
              </w:rPr>
              <w:t xml:space="preserve">Au moins 91 millions d’EUR sont versés pour la construction de bâtiments dont la demande d’énergie primaire (DEP) est inférieure d’au moins 20 % à celle du bâtiment dont la consommation d’énergie est quasi nulle (NZEB), conformément aux lignes directrices nationales, qui doivent être confirmées au moyen de certificats de performance énergétique. </w:t>
            </w:r>
          </w:p>
        </w:tc>
      </w:tr>
      <w:tr w:rsidR="00A345F4" w14:paraId="2081ADAA" w14:textId="77777777" w:rsidTr="000D606E">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3992BB6B" w14:textId="77777777" w:rsidR="00A345F4" w:rsidRDefault="005E2D4E">
            <w:pPr>
              <w:pStyle w:val="P68B1DB1-Normal14"/>
              <w:spacing w:after="0" w:line="240" w:lineRule="auto"/>
              <w:jc w:val="center"/>
              <w:rPr>
                <w:noProof/>
              </w:rPr>
            </w:pPr>
            <w:r>
              <w:rPr>
                <w:noProof/>
              </w:rPr>
              <w:t>534</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2CBD2E" w14:textId="77777777" w:rsidR="00A345F4" w:rsidRDefault="005E2D4E">
            <w:pPr>
              <w:pStyle w:val="P68B1DB1-Normal14"/>
              <w:spacing w:after="0" w:line="240" w:lineRule="auto"/>
              <w:jc w:val="both"/>
              <w:rPr>
                <w:noProof/>
              </w:rPr>
            </w:pPr>
            <w:r>
              <w:rPr>
                <w:noProof/>
              </w:rPr>
              <w:t>Investissement 4. Modernisation des soins de santé d'urgence</w:t>
            </w:r>
          </w:p>
        </w:tc>
        <w:tc>
          <w:tcPr>
            <w:tcW w:w="129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626839" w14:textId="77777777" w:rsidR="00A345F4" w:rsidRDefault="005E2D4E">
            <w:pPr>
              <w:pStyle w:val="P68B1DB1-Normal14"/>
              <w:spacing w:after="0" w:line="240" w:lineRule="auto"/>
              <w:jc w:val="both"/>
              <w:rPr>
                <w:noProof/>
              </w:rPr>
            </w:pPr>
            <w:r>
              <w:rPr>
                <w:noProof/>
              </w:rPr>
              <w:t>Objectif</w:t>
            </w:r>
          </w:p>
        </w:tc>
        <w:tc>
          <w:tcPr>
            <w:tcW w:w="1819"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2453CBC" w14:textId="77777777" w:rsidR="00A345F4" w:rsidRDefault="005E2D4E">
            <w:pPr>
              <w:pStyle w:val="P68B1DB1-Normal14"/>
              <w:spacing w:after="0" w:line="240" w:lineRule="auto"/>
              <w:jc w:val="both"/>
              <w:rPr>
                <w:noProof/>
              </w:rPr>
            </w:pPr>
            <w:r>
              <w:rPr>
                <w:noProof/>
              </w:rPr>
              <w:t>Achat de nouvelles ambulances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537AC99" w14:textId="77777777" w:rsidR="00A345F4" w:rsidRDefault="00A345F4">
            <w:pPr>
              <w:spacing w:after="0" w:line="240" w:lineRule="auto"/>
              <w:jc w:val="both"/>
              <w:rPr>
                <w:rFonts w:ascii="Times New Roman" w:hAnsi="Times New Roman" w:cs="Times New Roman"/>
                <w:noProof/>
                <w:sz w:val="20"/>
                <w:szCs w:val="20"/>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3E53B2F" w14:textId="77777777" w:rsidR="00A345F4" w:rsidRDefault="005E2D4E">
            <w:pPr>
              <w:pStyle w:val="P68B1DB1-Normal14"/>
              <w:spacing w:after="0" w:line="240" w:lineRule="auto"/>
              <w:jc w:val="both"/>
              <w:rPr>
                <w:noProof/>
              </w:rPr>
            </w:pPr>
            <w:r>
              <w:rPr>
                <w:noProof/>
              </w:rPr>
              <w:t>Numéro</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C1C3D22" w14:textId="77777777" w:rsidR="00A345F4" w:rsidRDefault="005E2D4E">
            <w:pPr>
              <w:pStyle w:val="P68B1DB1-Normal14"/>
              <w:spacing w:after="0" w:line="240" w:lineRule="auto"/>
              <w:jc w:val="both"/>
              <w:rPr>
                <w:noProof/>
              </w:rPr>
            </w:pPr>
            <w:r>
              <w:rPr>
                <w:noProof/>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26230FE" w14:textId="41295437" w:rsidR="00A345F4" w:rsidRDefault="005E2D4E">
            <w:pPr>
              <w:pStyle w:val="P68B1DB1-Normal14"/>
              <w:spacing w:after="0" w:line="240" w:lineRule="auto"/>
              <w:jc w:val="both"/>
              <w:rPr>
                <w:noProof/>
              </w:rPr>
            </w:pPr>
            <w:r>
              <w:rPr>
                <w:noProof/>
              </w:rPr>
              <w:t>1 200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BFE72FC"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B8E3146" w14:textId="77777777" w:rsidR="00A345F4" w:rsidRDefault="005E2D4E">
            <w:pPr>
              <w:pStyle w:val="P68B1DB1-Normal14"/>
              <w:spacing w:after="0" w:line="240" w:lineRule="auto"/>
              <w:jc w:val="both"/>
              <w:rPr>
                <w:noProof/>
              </w:rPr>
            </w:pPr>
            <w:r>
              <w:rPr>
                <w:noProof/>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9050A7E" w14:textId="6D40673E" w:rsidR="00A345F4" w:rsidRDefault="005E2D4E">
            <w:pPr>
              <w:pStyle w:val="P68B1DB1-Normal14"/>
              <w:spacing w:after="0" w:line="240" w:lineRule="auto"/>
              <w:jc w:val="both"/>
              <w:rPr>
                <w:noProof/>
              </w:rPr>
            </w:pPr>
            <w:r>
              <w:rPr>
                <w:noProof/>
              </w:rPr>
              <w:t>1 200 nouvelles ambulances seront achetées. Parmi ceux-ci, 1 000 seront des ambulances de type B 4x4 et 200 des ambulances de type C. Des certificats d'accueil doivent être délivrés pour démontrer que les ambulances ont été achetées.</w:t>
            </w:r>
          </w:p>
          <w:p w14:paraId="1170693B" w14:textId="77777777" w:rsidR="00A345F4" w:rsidRDefault="005E2D4E">
            <w:pPr>
              <w:pStyle w:val="P68B1DB1-Normal14"/>
              <w:spacing w:after="0" w:line="240" w:lineRule="auto"/>
              <w:jc w:val="both"/>
              <w:rPr>
                <w:noProof/>
              </w:rPr>
            </w:pPr>
            <w:r>
              <w:rPr>
                <w:noProof/>
              </w:rPr>
              <w:t>Les ambulances achetées constituent la meilleure technologie disponible du point de vue environnemental, afin de garantir le respect des orientations techniques DNSH (2021/C58/01).</w:t>
            </w:r>
          </w:p>
        </w:tc>
      </w:tr>
    </w:tbl>
    <w:p w14:paraId="29F01333" w14:textId="77777777" w:rsidR="00A345F4" w:rsidRDefault="00A345F4">
      <w:pPr>
        <w:spacing w:before="120" w:after="120" w:line="240" w:lineRule="auto"/>
        <w:jc w:val="both"/>
        <w:rPr>
          <w:rFonts w:ascii="Times New Roman" w:eastAsia="Arial" w:hAnsi="Times New Roman" w:cs="Times New Roman"/>
          <w:noProof/>
          <w:sz w:val="20"/>
          <w:szCs w:val="20"/>
        </w:rPr>
      </w:pPr>
    </w:p>
    <w:p w14:paraId="7A1D4718" w14:textId="77777777" w:rsidR="00A345F4" w:rsidRDefault="00A345F4">
      <w:pPr>
        <w:spacing w:before="120" w:after="120" w:line="240" w:lineRule="auto"/>
        <w:jc w:val="both"/>
        <w:rPr>
          <w:rFonts w:ascii="Times New Roman" w:eastAsia="Arial" w:hAnsi="Times New Roman" w:cs="Times New Roman"/>
          <w:noProof/>
          <w:sz w:val="20"/>
          <w:szCs w:val="20"/>
        </w:rPr>
        <w:sectPr w:rsidR="00A345F4" w:rsidSect="00823693">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503D4D11" w14:textId="77777777" w:rsidR="00A345F4" w:rsidRDefault="005E2D4E">
      <w:pPr>
        <w:pStyle w:val="P68B1DB1-Normal4"/>
        <w:keepNext/>
        <w:spacing w:before="120" w:after="120" w:line="240" w:lineRule="auto"/>
        <w:ind w:left="851"/>
        <w:jc w:val="both"/>
        <w:outlineLvl w:val="1"/>
        <w:rPr>
          <w:rFonts w:eastAsiaTheme="majorEastAsia"/>
          <w:b/>
          <w:bCs/>
          <w:noProof/>
        </w:rPr>
      </w:pPr>
      <w:r>
        <w:rPr>
          <w:b/>
          <w:noProof/>
        </w:rPr>
        <w:t xml:space="preserve">L.3. </w:t>
      </w:r>
      <w:r>
        <w:rPr>
          <w:noProof/>
        </w:rPr>
        <w:t xml:space="preserve"> </w:t>
      </w:r>
      <w:r>
        <w:rPr>
          <w:b/>
          <w:noProof/>
        </w:rPr>
        <w:t>Description des réformes et des investissements pour le prêt</w:t>
      </w:r>
    </w:p>
    <w:p w14:paraId="5AC26E00" w14:textId="77777777" w:rsidR="00A345F4" w:rsidRDefault="00A345F4">
      <w:pPr>
        <w:suppressAutoHyphens/>
        <w:autoSpaceDN w:val="0"/>
        <w:spacing w:after="240" w:line="240" w:lineRule="auto"/>
        <w:textAlignment w:val="baseline"/>
        <w:rPr>
          <w:rFonts w:ascii="Times New Roman" w:eastAsia="NSimSun" w:hAnsi="Times New Roman" w:cs="Times New Roman"/>
          <w:noProof/>
          <w:kern w:val="3"/>
          <w:u w:val="single"/>
        </w:rPr>
      </w:pPr>
    </w:p>
    <w:p w14:paraId="7002D442" w14:textId="77777777" w:rsidR="00A345F4" w:rsidRDefault="005E2D4E">
      <w:pPr>
        <w:pStyle w:val="P68B1DB1-Normal12"/>
        <w:suppressAutoHyphens/>
        <w:autoSpaceDN w:val="0"/>
        <w:spacing w:after="240" w:line="240" w:lineRule="auto"/>
        <w:textAlignment w:val="baseline"/>
        <w:rPr>
          <w:rFonts w:eastAsiaTheme="majorEastAsia"/>
          <w:noProof/>
        </w:rPr>
      </w:pPr>
      <w:r>
        <w:rPr>
          <w:noProof/>
        </w:rPr>
        <w:t xml:space="preserve">Investissement 3. Hôpitaux publics </w:t>
      </w:r>
    </w:p>
    <w:p w14:paraId="3795D526" w14:textId="77777777" w:rsidR="00A345F4" w:rsidRDefault="005E2D4E">
      <w:pPr>
        <w:pStyle w:val="P68B1DB1-Normal20"/>
        <w:suppressAutoHyphens/>
        <w:autoSpaceDN w:val="0"/>
        <w:spacing w:after="0" w:line="240" w:lineRule="auto"/>
        <w:jc w:val="both"/>
        <w:textAlignment w:val="baseline"/>
        <w:rPr>
          <w:noProof/>
        </w:rPr>
      </w:pPr>
      <w:r>
        <w:rPr>
          <w:noProof/>
        </w:rPr>
        <w:t xml:space="preserve">L'objectif de cet investissement est de construire et d'équiper des unités hospitalières publiques. </w:t>
      </w:r>
    </w:p>
    <w:p w14:paraId="7F493D0F" w14:textId="77777777" w:rsidR="00A345F4" w:rsidRDefault="00A345F4">
      <w:pPr>
        <w:suppressAutoHyphens/>
        <w:autoSpaceDN w:val="0"/>
        <w:spacing w:after="0" w:line="240" w:lineRule="auto"/>
        <w:jc w:val="both"/>
        <w:textAlignment w:val="baseline"/>
        <w:rPr>
          <w:rFonts w:ascii="Times New Roman" w:eastAsia="NSimSun" w:hAnsi="Times New Roman" w:cs="Times New Roman"/>
          <w:noProof/>
          <w:kern w:val="3"/>
        </w:rPr>
      </w:pPr>
    </w:p>
    <w:p w14:paraId="0A1EDF4F" w14:textId="77777777" w:rsidR="00A345F4" w:rsidRDefault="005E2D4E">
      <w:pPr>
        <w:pStyle w:val="P68B1DB1-Normal20"/>
        <w:suppressAutoHyphens/>
        <w:autoSpaceDN w:val="0"/>
        <w:spacing w:after="0" w:line="240" w:lineRule="auto"/>
        <w:jc w:val="both"/>
        <w:textAlignment w:val="baseline"/>
        <w:rPr>
          <w:noProof/>
          <w:kern w:val="3"/>
        </w:rPr>
      </w:pPr>
      <w:r>
        <w:rPr>
          <w:noProof/>
          <w:kern w:val="3"/>
        </w:rPr>
        <w:t xml:space="preserve">L'investissement consiste en la construction et l'équipement de </w:t>
      </w:r>
      <w:r>
        <w:rPr>
          <w:noProof/>
        </w:rPr>
        <w:t xml:space="preserve">deux </w:t>
      </w:r>
      <w:r>
        <w:rPr>
          <w:noProof/>
          <w:kern w:val="3"/>
        </w:rPr>
        <w:t>nouvelles unités hospitalières publiques.</w:t>
      </w:r>
    </w:p>
    <w:p w14:paraId="5D699EA2" w14:textId="77777777" w:rsidR="00A345F4" w:rsidRDefault="00A345F4">
      <w:pPr>
        <w:suppressAutoHyphens/>
        <w:autoSpaceDN w:val="0"/>
        <w:spacing w:after="0" w:line="240" w:lineRule="auto"/>
        <w:jc w:val="both"/>
        <w:textAlignment w:val="baseline"/>
        <w:rPr>
          <w:rFonts w:ascii="Times New Roman" w:eastAsia="NSimSun" w:hAnsi="Times New Roman" w:cs="Times New Roman"/>
          <w:noProof/>
          <w:kern w:val="3"/>
        </w:rPr>
      </w:pPr>
    </w:p>
    <w:p w14:paraId="37F78AE3" w14:textId="47CE5D88" w:rsidR="00A345F4" w:rsidRDefault="005E2D4E">
      <w:pPr>
        <w:pStyle w:val="P68B1DB1-Normal21"/>
        <w:suppressAutoHyphens/>
        <w:autoSpaceDN w:val="0"/>
        <w:spacing w:after="0" w:line="240" w:lineRule="auto"/>
        <w:jc w:val="both"/>
        <w:textAlignment w:val="baseline"/>
        <w:rPr>
          <w:noProof/>
        </w:rPr>
        <w:sectPr w:rsidR="00A345F4" w:rsidSect="00823693">
          <w:headerReference w:type="default" r:id="rId294"/>
          <w:footerReference w:type="default" r:id="rId295"/>
          <w:pgSz w:w="11906" w:h="16838"/>
          <w:pgMar w:top="1440" w:right="1440" w:bottom="1440" w:left="1440" w:header="708" w:footer="708" w:gutter="0"/>
          <w:cols w:space="708"/>
          <w:docGrid w:linePitch="360"/>
        </w:sectPr>
      </w:pPr>
      <w:r>
        <w:rPr>
          <w:noProof/>
        </w:rPr>
        <w:br w:type="page"/>
      </w:r>
    </w:p>
    <w:p w14:paraId="2E97FEBB" w14:textId="77777777" w:rsidR="00A345F4" w:rsidRDefault="005E2D4E">
      <w:pPr>
        <w:pStyle w:val="P68B1DB1-Normal5"/>
        <w:keepNext/>
        <w:spacing w:before="120" w:after="120" w:line="240" w:lineRule="auto"/>
        <w:ind w:left="851"/>
        <w:jc w:val="both"/>
        <w:outlineLvl w:val="1"/>
        <w:rPr>
          <w:rFonts w:eastAsiaTheme="majorEastAsia"/>
          <w:bCs/>
          <w:noProof/>
        </w:rPr>
      </w:pPr>
      <w:r>
        <w:rPr>
          <w:noProof/>
        </w:rPr>
        <w:t xml:space="preserve">L.4. </w:t>
      </w:r>
      <w:r>
        <w:rPr>
          <w:noProof/>
        </w:rPr>
        <w:tab/>
        <w:t>Étapes, objectifs, indicateurs et calendrier du suivi et de la mise en œuvre du prêt</w:t>
      </w:r>
    </w:p>
    <w:tbl>
      <w:tblPr>
        <w:tblW w:w="15876" w:type="dxa"/>
        <w:jc w:val="center"/>
        <w:tblLayout w:type="fixed"/>
        <w:tblCellMar>
          <w:left w:w="28" w:type="dxa"/>
          <w:right w:w="28" w:type="dxa"/>
        </w:tblCellMar>
        <w:tblLook w:val="04A0" w:firstRow="1" w:lastRow="0" w:firstColumn="1" w:lastColumn="0" w:noHBand="0" w:noVBand="1"/>
      </w:tblPr>
      <w:tblGrid>
        <w:gridCol w:w="729"/>
        <w:gridCol w:w="1656"/>
        <w:gridCol w:w="1123"/>
        <w:gridCol w:w="1992"/>
        <w:gridCol w:w="2104"/>
        <w:gridCol w:w="1180"/>
        <w:gridCol w:w="992"/>
        <w:gridCol w:w="797"/>
        <w:gridCol w:w="982"/>
        <w:gridCol w:w="773"/>
        <w:gridCol w:w="3548"/>
      </w:tblGrid>
      <w:tr w:rsidR="00A345F4" w14:paraId="51047FE5" w14:textId="77777777">
        <w:trPr>
          <w:trHeight w:val="927"/>
          <w:tblHeader/>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1424BA" w14:textId="77777777" w:rsidR="00A345F4" w:rsidRDefault="005E2D4E">
            <w:pPr>
              <w:pStyle w:val="P68B1DB1-Normal13"/>
              <w:spacing w:after="0" w:line="240" w:lineRule="auto"/>
              <w:jc w:val="center"/>
              <w:rPr>
                <w:bCs/>
                <w:noProof/>
              </w:rPr>
            </w:pPr>
            <w:r>
              <w:rPr>
                <w:noProof/>
              </w:rPr>
              <w:t>Seq. Num.</w:t>
            </w:r>
          </w:p>
        </w:tc>
        <w:tc>
          <w:tcPr>
            <w:tcW w:w="16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D1B069" w14:textId="77777777" w:rsidR="00A345F4" w:rsidRDefault="005E2D4E">
            <w:pPr>
              <w:pStyle w:val="P68B1DB1-Normal13"/>
              <w:spacing w:after="0" w:line="240" w:lineRule="auto"/>
              <w:jc w:val="center"/>
              <w:rPr>
                <w:bCs/>
                <w:noProof/>
              </w:rPr>
            </w:pPr>
            <w:r>
              <w:rPr>
                <w:noProof/>
              </w:rPr>
              <w:t>Mesure connexe (réforme ou investissement)</w:t>
            </w:r>
          </w:p>
        </w:tc>
        <w:tc>
          <w:tcPr>
            <w:tcW w:w="11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26998DE" w14:textId="77777777" w:rsidR="00A345F4" w:rsidRDefault="005E2D4E">
            <w:pPr>
              <w:pStyle w:val="P68B1DB1-Normal13"/>
              <w:spacing w:after="0" w:line="240" w:lineRule="auto"/>
              <w:jc w:val="center"/>
              <w:rPr>
                <w:bCs/>
                <w:noProof/>
              </w:rPr>
            </w:pPr>
            <w:r>
              <w:rPr>
                <w:noProof/>
              </w:rPr>
              <w:t>Étape/cible</w:t>
            </w:r>
          </w:p>
        </w:tc>
        <w:tc>
          <w:tcPr>
            <w:tcW w:w="1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1A45A1" w14:textId="77777777" w:rsidR="00A345F4" w:rsidRDefault="005E2D4E">
            <w:pPr>
              <w:pStyle w:val="P68B1DB1-Normal13"/>
              <w:spacing w:after="0" w:line="240" w:lineRule="auto"/>
              <w:jc w:val="center"/>
              <w:rPr>
                <w:bCs/>
                <w:noProof/>
              </w:rPr>
            </w:pPr>
            <w:r>
              <w:rPr>
                <w:noProof/>
              </w:rPr>
              <w:t>Nom</w:t>
            </w:r>
          </w:p>
        </w:tc>
        <w:tc>
          <w:tcPr>
            <w:tcW w:w="21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BCAC9E" w14:textId="79B08E1C" w:rsidR="00A345F4" w:rsidRDefault="005E2D4E">
            <w:pPr>
              <w:pStyle w:val="P68B1DB1-Normal14"/>
              <w:spacing w:after="0" w:line="240" w:lineRule="auto"/>
              <w:jc w:val="center"/>
              <w:rPr>
                <w:b/>
                <w:bCs/>
                <w:noProof/>
              </w:rPr>
            </w:pPr>
            <w:r>
              <w:rPr>
                <w:b/>
                <w:noProof/>
              </w:rPr>
              <w:t>Indicateurs qualitatifs</w:t>
            </w:r>
            <w:r>
              <w:rPr>
                <w:noProof/>
              </w:rPr>
              <w:t xml:space="preserve"> </w:t>
            </w:r>
            <w:r>
              <w:rPr>
                <w:noProof/>
              </w:rPr>
              <w:br/>
            </w:r>
            <w:r>
              <w:rPr>
                <w:b/>
                <w:noProof/>
              </w:rPr>
              <w:t>(pour les jalons)</w:t>
            </w:r>
          </w:p>
        </w:tc>
        <w:tc>
          <w:tcPr>
            <w:tcW w:w="296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63EBCE" w14:textId="3B76BC1E" w:rsidR="00A345F4" w:rsidRDefault="005E2D4E">
            <w:pPr>
              <w:pStyle w:val="P68B1DB1-Normal14"/>
              <w:spacing w:after="0" w:line="240" w:lineRule="auto"/>
              <w:jc w:val="center"/>
              <w:rPr>
                <w:b/>
                <w:bCs/>
                <w:noProof/>
              </w:rPr>
            </w:pPr>
            <w:r>
              <w:rPr>
                <w:b/>
                <w:noProof/>
              </w:rPr>
              <w:t>Indicateurs quantitatifs</w:t>
            </w:r>
            <w:r>
              <w:rPr>
                <w:noProof/>
              </w:rPr>
              <w:br/>
            </w:r>
            <w:r>
              <w:rPr>
                <w:b/>
                <w:noProof/>
              </w:rPr>
              <w:t>(pour les objectifs)</w:t>
            </w:r>
          </w:p>
        </w:tc>
        <w:tc>
          <w:tcPr>
            <w:tcW w:w="1755" w:type="dxa"/>
            <w:gridSpan w:val="2"/>
            <w:tcBorders>
              <w:top w:val="single" w:sz="4" w:space="0" w:color="auto"/>
              <w:left w:val="nil"/>
              <w:bottom w:val="single" w:sz="4" w:space="0" w:color="auto"/>
              <w:right w:val="single" w:sz="4" w:space="0" w:color="auto"/>
            </w:tcBorders>
            <w:shd w:val="clear" w:color="auto" w:fill="BDD7EE"/>
            <w:vAlign w:val="center"/>
            <w:hideMark/>
          </w:tcPr>
          <w:p w14:paraId="5959E4A6" w14:textId="77777777" w:rsidR="00A345F4" w:rsidRDefault="005E2D4E">
            <w:pPr>
              <w:pStyle w:val="P68B1DB1-Normal13"/>
              <w:spacing w:after="0" w:line="240" w:lineRule="auto"/>
              <w:jc w:val="center"/>
              <w:rPr>
                <w:bCs/>
                <w:noProof/>
              </w:rPr>
            </w:pPr>
            <w:r>
              <w:rPr>
                <w:noProof/>
              </w:rPr>
              <w:t>Calendrier indicatif</w:t>
            </w:r>
          </w:p>
          <w:p w14:paraId="68A59197" w14:textId="77777777" w:rsidR="00A345F4" w:rsidRDefault="005E2D4E">
            <w:pPr>
              <w:pStyle w:val="P68B1DB1-Normal13"/>
              <w:spacing w:after="0" w:line="240" w:lineRule="auto"/>
              <w:jc w:val="center"/>
              <w:rPr>
                <w:bCs/>
                <w:noProof/>
              </w:rPr>
            </w:pPr>
            <w:r>
              <w:rPr>
                <w:noProof/>
              </w:rPr>
              <w:t>pour achèvement</w:t>
            </w:r>
          </w:p>
        </w:tc>
        <w:tc>
          <w:tcPr>
            <w:tcW w:w="35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CF2D2A" w14:textId="77777777" w:rsidR="00A345F4" w:rsidRDefault="005E2D4E">
            <w:pPr>
              <w:pStyle w:val="P68B1DB1-Normal13"/>
              <w:spacing w:after="0" w:line="240" w:lineRule="auto"/>
              <w:jc w:val="center"/>
              <w:rPr>
                <w:bCs/>
                <w:noProof/>
              </w:rPr>
            </w:pPr>
            <w:r>
              <w:rPr>
                <w:noProof/>
              </w:rPr>
              <w:t>Description de chaque jalon et cible</w:t>
            </w:r>
          </w:p>
        </w:tc>
      </w:tr>
      <w:tr w:rsidR="00A345F4" w14:paraId="4CF4A0DE" w14:textId="77777777">
        <w:trPr>
          <w:trHeight w:val="624"/>
          <w:tblHeader/>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14:paraId="34AB53A7" w14:textId="77777777" w:rsidR="00A345F4" w:rsidRDefault="00A345F4">
            <w:pPr>
              <w:spacing w:after="0" w:line="240" w:lineRule="auto"/>
              <w:jc w:val="both"/>
              <w:rPr>
                <w:rFonts w:ascii="Times New Roman" w:hAnsi="Times New Roman" w:cs="Times New Roman"/>
                <w:b/>
                <w:noProof/>
                <w:sz w:val="20"/>
                <w:szCs w:val="20"/>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2BB4F0E1" w14:textId="77777777" w:rsidR="00A345F4" w:rsidRDefault="00A345F4">
            <w:pPr>
              <w:spacing w:after="0" w:line="240" w:lineRule="auto"/>
              <w:jc w:val="both"/>
              <w:rPr>
                <w:rFonts w:ascii="Times New Roman" w:hAnsi="Times New Roman" w:cs="Times New Roman"/>
                <w:b/>
                <w:noProof/>
                <w:sz w:val="20"/>
                <w:szCs w:val="20"/>
              </w:rPr>
            </w:pPr>
          </w:p>
        </w:tc>
        <w:tc>
          <w:tcPr>
            <w:tcW w:w="1123" w:type="dxa"/>
            <w:vMerge/>
            <w:tcBorders>
              <w:top w:val="single" w:sz="4" w:space="0" w:color="auto"/>
              <w:left w:val="single" w:sz="4" w:space="0" w:color="auto"/>
              <w:bottom w:val="single" w:sz="4" w:space="0" w:color="auto"/>
              <w:right w:val="single" w:sz="4" w:space="0" w:color="auto"/>
            </w:tcBorders>
            <w:vAlign w:val="center"/>
            <w:hideMark/>
          </w:tcPr>
          <w:p w14:paraId="5789BEF4" w14:textId="77777777" w:rsidR="00A345F4" w:rsidRDefault="00A345F4">
            <w:pPr>
              <w:spacing w:after="0" w:line="240" w:lineRule="auto"/>
              <w:jc w:val="both"/>
              <w:rPr>
                <w:rFonts w:ascii="Times New Roman" w:hAnsi="Times New Roman" w:cs="Times New Roman"/>
                <w:b/>
                <w:noProof/>
                <w:sz w:val="20"/>
                <w:szCs w:val="20"/>
              </w:rPr>
            </w:pPr>
          </w:p>
        </w:tc>
        <w:tc>
          <w:tcPr>
            <w:tcW w:w="1992" w:type="dxa"/>
            <w:vMerge/>
            <w:tcBorders>
              <w:top w:val="single" w:sz="4" w:space="0" w:color="auto"/>
              <w:left w:val="single" w:sz="4" w:space="0" w:color="auto"/>
              <w:bottom w:val="single" w:sz="4" w:space="0" w:color="auto"/>
              <w:right w:val="single" w:sz="4" w:space="0" w:color="auto"/>
            </w:tcBorders>
            <w:vAlign w:val="center"/>
            <w:hideMark/>
          </w:tcPr>
          <w:p w14:paraId="5A6F80F6" w14:textId="77777777" w:rsidR="00A345F4" w:rsidRDefault="00A345F4">
            <w:pPr>
              <w:spacing w:after="0" w:line="240" w:lineRule="auto"/>
              <w:jc w:val="both"/>
              <w:rPr>
                <w:rFonts w:ascii="Times New Roman" w:hAnsi="Times New Roman" w:cs="Times New Roman"/>
                <w:b/>
                <w:noProof/>
                <w:sz w:val="20"/>
                <w:szCs w:val="20"/>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14:paraId="02B353E8" w14:textId="77777777" w:rsidR="00A345F4" w:rsidRDefault="00A345F4">
            <w:pPr>
              <w:spacing w:after="0" w:line="240" w:lineRule="auto"/>
              <w:jc w:val="both"/>
              <w:rPr>
                <w:rFonts w:ascii="Times New Roman" w:hAnsi="Times New Roman" w:cs="Times New Roman"/>
                <w:b/>
                <w:noProof/>
                <w:sz w:val="20"/>
                <w:szCs w:val="20"/>
              </w:rPr>
            </w:pPr>
          </w:p>
        </w:tc>
        <w:tc>
          <w:tcPr>
            <w:tcW w:w="1180" w:type="dxa"/>
            <w:tcBorders>
              <w:top w:val="nil"/>
              <w:left w:val="single" w:sz="4" w:space="0" w:color="auto"/>
              <w:bottom w:val="single" w:sz="4" w:space="0" w:color="auto"/>
              <w:right w:val="single" w:sz="4" w:space="0" w:color="auto"/>
            </w:tcBorders>
            <w:shd w:val="clear" w:color="auto" w:fill="BDD7EE"/>
            <w:vAlign w:val="center"/>
            <w:hideMark/>
          </w:tcPr>
          <w:p w14:paraId="52A9CC4C" w14:textId="498F4B81" w:rsidR="00A345F4" w:rsidRDefault="005E2D4E">
            <w:pPr>
              <w:pStyle w:val="P68B1DB1-Normal13"/>
              <w:spacing w:after="0" w:line="240" w:lineRule="auto"/>
              <w:jc w:val="center"/>
              <w:rPr>
                <w:bCs/>
                <w:noProof/>
              </w:rPr>
            </w:pPr>
            <w:r>
              <w:rPr>
                <w:noProof/>
              </w:rPr>
              <w:t>Unité de mesure</w:t>
            </w:r>
          </w:p>
        </w:tc>
        <w:tc>
          <w:tcPr>
            <w:tcW w:w="992" w:type="dxa"/>
            <w:tcBorders>
              <w:top w:val="nil"/>
              <w:left w:val="nil"/>
              <w:bottom w:val="single" w:sz="4" w:space="0" w:color="auto"/>
              <w:right w:val="single" w:sz="4" w:space="0" w:color="auto"/>
            </w:tcBorders>
            <w:shd w:val="clear" w:color="auto" w:fill="BDD7EE"/>
            <w:vAlign w:val="center"/>
            <w:hideMark/>
          </w:tcPr>
          <w:p w14:paraId="570F62BD" w14:textId="77777777" w:rsidR="00A345F4" w:rsidRDefault="005E2D4E">
            <w:pPr>
              <w:pStyle w:val="P68B1DB1-Normal13"/>
              <w:spacing w:after="0" w:line="240" w:lineRule="auto"/>
              <w:jc w:val="center"/>
              <w:rPr>
                <w:bCs/>
                <w:noProof/>
              </w:rPr>
            </w:pPr>
            <w:r>
              <w:rPr>
                <w:noProof/>
              </w:rPr>
              <w:t>Données de référence</w:t>
            </w:r>
          </w:p>
        </w:tc>
        <w:tc>
          <w:tcPr>
            <w:tcW w:w="797" w:type="dxa"/>
            <w:tcBorders>
              <w:top w:val="nil"/>
              <w:left w:val="nil"/>
              <w:bottom w:val="single" w:sz="4" w:space="0" w:color="auto"/>
              <w:right w:val="single" w:sz="4" w:space="0" w:color="auto"/>
            </w:tcBorders>
            <w:shd w:val="clear" w:color="auto" w:fill="BDD7EE"/>
            <w:vAlign w:val="center"/>
            <w:hideMark/>
          </w:tcPr>
          <w:p w14:paraId="044BD26B" w14:textId="77777777" w:rsidR="00A345F4" w:rsidRDefault="005E2D4E">
            <w:pPr>
              <w:pStyle w:val="P68B1DB1-Normal13"/>
              <w:spacing w:after="0" w:line="240" w:lineRule="auto"/>
              <w:jc w:val="center"/>
              <w:rPr>
                <w:bCs/>
                <w:noProof/>
              </w:rPr>
            </w:pPr>
            <w:r>
              <w:rPr>
                <w:noProof/>
              </w:rPr>
              <w:t>Objectif</w:t>
            </w:r>
          </w:p>
        </w:tc>
        <w:tc>
          <w:tcPr>
            <w:tcW w:w="982" w:type="dxa"/>
            <w:tcBorders>
              <w:top w:val="nil"/>
              <w:left w:val="nil"/>
              <w:bottom w:val="single" w:sz="4" w:space="0" w:color="auto"/>
              <w:right w:val="single" w:sz="4" w:space="0" w:color="auto"/>
            </w:tcBorders>
            <w:shd w:val="clear" w:color="auto" w:fill="BDD7EE"/>
            <w:vAlign w:val="center"/>
            <w:hideMark/>
          </w:tcPr>
          <w:p w14:paraId="6BD3F99B" w14:textId="77777777" w:rsidR="00A345F4" w:rsidRDefault="005E2D4E">
            <w:pPr>
              <w:pStyle w:val="P68B1DB1-Normal13"/>
              <w:spacing w:after="0" w:line="240" w:lineRule="auto"/>
              <w:jc w:val="center"/>
              <w:rPr>
                <w:bCs/>
                <w:noProof/>
              </w:rPr>
            </w:pPr>
            <w:r>
              <w:rPr>
                <w:noProof/>
              </w:rPr>
              <w:t>Trimestre</w:t>
            </w:r>
          </w:p>
        </w:tc>
        <w:tc>
          <w:tcPr>
            <w:tcW w:w="773" w:type="dxa"/>
            <w:tcBorders>
              <w:top w:val="nil"/>
              <w:left w:val="nil"/>
              <w:bottom w:val="single" w:sz="4" w:space="0" w:color="auto"/>
              <w:right w:val="single" w:sz="4" w:space="0" w:color="auto"/>
            </w:tcBorders>
            <w:shd w:val="clear" w:color="auto" w:fill="BDD7EE"/>
            <w:vAlign w:val="center"/>
            <w:hideMark/>
          </w:tcPr>
          <w:p w14:paraId="3E1BABFD" w14:textId="77777777" w:rsidR="00A345F4" w:rsidRDefault="005E2D4E">
            <w:pPr>
              <w:pStyle w:val="P68B1DB1-Normal13"/>
              <w:spacing w:after="0" w:line="240" w:lineRule="auto"/>
              <w:jc w:val="center"/>
              <w:rPr>
                <w:bCs/>
                <w:noProof/>
              </w:rPr>
            </w:pPr>
            <w:r>
              <w:rPr>
                <w:noProof/>
              </w:rPr>
              <w:t>Année</w:t>
            </w:r>
          </w:p>
        </w:tc>
        <w:tc>
          <w:tcPr>
            <w:tcW w:w="3548" w:type="dxa"/>
            <w:vMerge/>
            <w:tcBorders>
              <w:top w:val="single" w:sz="4" w:space="0" w:color="auto"/>
              <w:bottom w:val="single" w:sz="4" w:space="0" w:color="auto"/>
              <w:right w:val="single" w:sz="4" w:space="0" w:color="auto"/>
            </w:tcBorders>
            <w:vAlign w:val="center"/>
            <w:hideMark/>
          </w:tcPr>
          <w:p w14:paraId="46A1EC57" w14:textId="77777777" w:rsidR="00A345F4" w:rsidRDefault="00A345F4">
            <w:pPr>
              <w:spacing w:after="0" w:line="240" w:lineRule="auto"/>
              <w:jc w:val="both"/>
              <w:rPr>
                <w:rFonts w:ascii="Times New Roman" w:hAnsi="Times New Roman" w:cs="Times New Roman"/>
                <w:b/>
                <w:noProof/>
                <w:sz w:val="20"/>
                <w:szCs w:val="20"/>
              </w:rPr>
            </w:pPr>
          </w:p>
        </w:tc>
      </w:tr>
      <w:tr w:rsidR="00A345F4" w14:paraId="38C84CD5" w14:textId="77777777">
        <w:trPr>
          <w:trHeight w:val="309"/>
          <w:jc w:val="center"/>
        </w:trPr>
        <w:tc>
          <w:tcPr>
            <w:tcW w:w="729" w:type="dxa"/>
            <w:tcBorders>
              <w:top w:val="single" w:sz="4" w:space="0" w:color="auto"/>
              <w:left w:val="single" w:sz="4" w:space="0" w:color="000000" w:themeColor="text1"/>
              <w:bottom w:val="single" w:sz="4" w:space="0" w:color="auto"/>
              <w:right w:val="single" w:sz="4" w:space="0" w:color="000000" w:themeColor="text1"/>
            </w:tcBorders>
            <w:shd w:val="clear" w:color="auto" w:fill="C6EFCE"/>
            <w:noWrap/>
          </w:tcPr>
          <w:p w14:paraId="5FCC47A1" w14:textId="77777777" w:rsidR="00A345F4" w:rsidRDefault="005E2D4E">
            <w:pPr>
              <w:pStyle w:val="P68B1DB1-Normal14"/>
              <w:spacing w:after="0" w:line="240" w:lineRule="auto"/>
              <w:jc w:val="center"/>
              <w:rPr>
                <w:noProof/>
              </w:rPr>
            </w:pPr>
            <w:r>
              <w:rPr>
                <w:noProof/>
              </w:rPr>
              <w:t>531</w:t>
            </w:r>
          </w:p>
        </w:tc>
        <w:tc>
          <w:tcPr>
            <w:tcW w:w="1656" w:type="dxa"/>
            <w:tcBorders>
              <w:top w:val="single" w:sz="4" w:space="0" w:color="auto"/>
              <w:left w:val="nil"/>
              <w:bottom w:val="single" w:sz="4" w:space="0" w:color="auto"/>
              <w:right w:val="single" w:sz="4" w:space="0" w:color="000000" w:themeColor="text1"/>
            </w:tcBorders>
            <w:shd w:val="clear" w:color="auto" w:fill="C6EFCE"/>
            <w:noWrap/>
          </w:tcPr>
          <w:p w14:paraId="3AE4C34E" w14:textId="77777777" w:rsidR="00A345F4" w:rsidRDefault="005E2D4E">
            <w:pPr>
              <w:pStyle w:val="P68B1DB1-Normal14"/>
              <w:spacing w:after="0" w:line="240" w:lineRule="auto"/>
              <w:jc w:val="both"/>
              <w:rPr>
                <w:noProof/>
              </w:rPr>
            </w:pPr>
            <w:r>
              <w:rPr>
                <w:noProof/>
              </w:rPr>
              <w:t>Investissement 3. Hôpitaux publics</w:t>
            </w:r>
          </w:p>
        </w:tc>
        <w:tc>
          <w:tcPr>
            <w:tcW w:w="1123" w:type="dxa"/>
            <w:tcBorders>
              <w:top w:val="single" w:sz="4" w:space="0" w:color="auto"/>
              <w:left w:val="nil"/>
              <w:bottom w:val="single" w:sz="4" w:space="0" w:color="auto"/>
              <w:right w:val="single" w:sz="4" w:space="0" w:color="000000" w:themeColor="text1"/>
            </w:tcBorders>
            <w:shd w:val="clear" w:color="auto" w:fill="C6EFCE"/>
            <w:noWrap/>
          </w:tcPr>
          <w:p w14:paraId="75255CAD" w14:textId="77777777" w:rsidR="00A345F4" w:rsidRDefault="005E2D4E">
            <w:pPr>
              <w:pStyle w:val="P68B1DB1-Normal14"/>
              <w:spacing w:after="0" w:line="240" w:lineRule="auto"/>
              <w:jc w:val="both"/>
              <w:rPr>
                <w:noProof/>
              </w:rPr>
            </w:pPr>
            <w:r>
              <w:rPr>
                <w:noProof/>
              </w:rPr>
              <w:t>Étape</w:t>
            </w:r>
          </w:p>
        </w:tc>
        <w:tc>
          <w:tcPr>
            <w:tcW w:w="1992" w:type="dxa"/>
            <w:tcBorders>
              <w:top w:val="single" w:sz="4" w:space="0" w:color="auto"/>
              <w:left w:val="nil"/>
              <w:bottom w:val="single" w:sz="4" w:space="0" w:color="auto"/>
              <w:right w:val="single" w:sz="4" w:space="0" w:color="000000" w:themeColor="text1"/>
            </w:tcBorders>
            <w:shd w:val="clear" w:color="auto" w:fill="C6EFCE"/>
            <w:noWrap/>
          </w:tcPr>
          <w:p w14:paraId="356154C8" w14:textId="77777777" w:rsidR="00A345F4" w:rsidRDefault="005E2D4E">
            <w:pPr>
              <w:pStyle w:val="P68B1DB1-Normal14"/>
              <w:spacing w:after="0" w:line="240" w:lineRule="auto"/>
              <w:jc w:val="both"/>
              <w:rPr>
                <w:noProof/>
              </w:rPr>
            </w:pPr>
            <w:r>
              <w:rPr>
                <w:noProof/>
              </w:rPr>
              <w:t>Construction et équipement du Centre de diagnostic et de traitement de la tuberculose de Zerlendi Bucarest</w:t>
            </w:r>
          </w:p>
        </w:tc>
        <w:tc>
          <w:tcPr>
            <w:tcW w:w="2104" w:type="dxa"/>
            <w:tcBorders>
              <w:top w:val="single" w:sz="4" w:space="0" w:color="auto"/>
              <w:left w:val="nil"/>
              <w:bottom w:val="single" w:sz="4" w:space="0" w:color="auto"/>
              <w:right w:val="single" w:sz="4" w:space="0" w:color="auto"/>
            </w:tcBorders>
            <w:shd w:val="clear" w:color="auto" w:fill="C6EFCE"/>
            <w:noWrap/>
          </w:tcPr>
          <w:p w14:paraId="71FE40EA" w14:textId="77777777" w:rsidR="00A345F4" w:rsidRDefault="005E2D4E">
            <w:pPr>
              <w:pStyle w:val="P68B1DB1-Normal14"/>
              <w:spacing w:after="0" w:line="240" w:lineRule="auto"/>
              <w:jc w:val="both"/>
              <w:rPr>
                <w:noProof/>
              </w:rPr>
            </w:pPr>
            <w:r>
              <w:rPr>
                <w:noProof/>
              </w:rPr>
              <w:t>Construction et équipement d'une nouvelle unité hospitalière</w:t>
            </w:r>
          </w:p>
        </w:tc>
        <w:tc>
          <w:tcPr>
            <w:tcW w:w="1180" w:type="dxa"/>
            <w:tcBorders>
              <w:top w:val="single" w:sz="4" w:space="0" w:color="auto"/>
              <w:left w:val="single" w:sz="4" w:space="0" w:color="auto"/>
              <w:bottom w:val="single" w:sz="4" w:space="0" w:color="auto"/>
              <w:right w:val="single" w:sz="4" w:space="0" w:color="auto"/>
            </w:tcBorders>
            <w:shd w:val="clear" w:color="auto" w:fill="C6EFCE"/>
            <w:noWrap/>
          </w:tcPr>
          <w:p w14:paraId="420D3D0E"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0EC193B" w14:textId="77777777" w:rsidR="00A345F4" w:rsidRDefault="00A345F4">
            <w:pPr>
              <w:spacing w:after="0" w:line="240" w:lineRule="auto"/>
              <w:jc w:val="both"/>
              <w:rPr>
                <w:rFonts w:ascii="Times New Roman" w:hAnsi="Times New Roman" w:cs="Times New Roman"/>
                <w:noProof/>
                <w:sz w:val="20"/>
                <w:szCs w:val="20"/>
              </w:rPr>
            </w:pP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4C90A96D"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single" w:sz="4" w:space="0" w:color="auto"/>
              <w:left w:val="single" w:sz="4" w:space="0" w:color="auto"/>
              <w:bottom w:val="single" w:sz="4" w:space="0" w:color="auto"/>
              <w:right w:val="single" w:sz="4" w:space="0" w:color="auto"/>
            </w:tcBorders>
            <w:shd w:val="clear" w:color="auto" w:fill="C6EFCE"/>
            <w:noWrap/>
          </w:tcPr>
          <w:p w14:paraId="64C08EE4"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4A36A7EE" w14:textId="77777777" w:rsidR="00A345F4" w:rsidRDefault="005E2D4E">
            <w:pPr>
              <w:pStyle w:val="P68B1DB1-Normal14"/>
              <w:spacing w:after="0" w:line="240" w:lineRule="auto"/>
              <w:jc w:val="both"/>
              <w:rPr>
                <w:noProof/>
              </w:rPr>
            </w:pPr>
            <w:r>
              <w:rPr>
                <w:noProof/>
              </w:rPr>
              <w:t>2026</w:t>
            </w:r>
          </w:p>
        </w:tc>
        <w:tc>
          <w:tcPr>
            <w:tcW w:w="3548" w:type="dxa"/>
            <w:tcBorders>
              <w:top w:val="single" w:sz="4" w:space="0" w:color="auto"/>
              <w:left w:val="single" w:sz="4" w:space="0" w:color="auto"/>
              <w:bottom w:val="single" w:sz="4" w:space="0" w:color="auto"/>
              <w:right w:val="single" w:sz="4" w:space="0" w:color="000000" w:themeColor="text1"/>
            </w:tcBorders>
            <w:shd w:val="clear" w:color="auto" w:fill="C6EFCE"/>
            <w:noWrap/>
          </w:tcPr>
          <w:p w14:paraId="2DD52CE7" w14:textId="77777777" w:rsidR="00A345F4" w:rsidRDefault="005E2D4E">
            <w:pPr>
              <w:pStyle w:val="P68B1DB1-Normal14"/>
              <w:spacing w:after="0" w:line="240" w:lineRule="exact"/>
              <w:jc w:val="both"/>
              <w:rPr>
                <w:noProof/>
              </w:rPr>
            </w:pPr>
            <w:r>
              <w:rPr>
                <w:noProof/>
              </w:rPr>
              <w:t>Construction et équipement du centre de diagnostic et de traitement de la tuberculose de Zerlendi à Bucarest.</w:t>
            </w:r>
          </w:p>
          <w:p w14:paraId="662872C8" w14:textId="77777777" w:rsidR="00A345F4" w:rsidRDefault="005E2D4E">
            <w:pPr>
              <w:pStyle w:val="P68B1DB1-Normal14"/>
              <w:spacing w:after="0" w:line="240" w:lineRule="exact"/>
              <w:jc w:val="both"/>
              <w:rPr>
                <w:noProof/>
              </w:rPr>
            </w:pPr>
            <w:r>
              <w:rPr>
                <w:noProof/>
              </w:rPr>
              <w:t>Le bâtiment respecte l’objectif d’atteindre une demande d’énergie primaire (DEP) inférieure d’au moins 20 % à l’exigence d’un bâtiment dont la consommation d’énergie est quasi nulle (NZEB) conformément aux lignes directrices nationales, qui doivent être confirmées au moyen de certificats de performance énergétique.</w:t>
            </w:r>
          </w:p>
        </w:tc>
      </w:tr>
      <w:tr w:rsidR="00A345F4" w14:paraId="419C99DB" w14:textId="77777777">
        <w:trPr>
          <w:trHeight w:val="309"/>
          <w:jc w:val="center"/>
        </w:trPr>
        <w:tc>
          <w:tcPr>
            <w:tcW w:w="729" w:type="dxa"/>
            <w:tcBorders>
              <w:top w:val="single" w:sz="4" w:space="0" w:color="auto"/>
              <w:left w:val="single" w:sz="4" w:space="0" w:color="000000" w:themeColor="text1"/>
              <w:bottom w:val="single" w:sz="4" w:space="0" w:color="auto"/>
              <w:right w:val="single" w:sz="4" w:space="0" w:color="000000" w:themeColor="text1"/>
            </w:tcBorders>
            <w:shd w:val="clear" w:color="auto" w:fill="C6EFCE"/>
            <w:noWrap/>
          </w:tcPr>
          <w:p w14:paraId="7738499D" w14:textId="77777777" w:rsidR="00A345F4" w:rsidRDefault="005E2D4E">
            <w:pPr>
              <w:pStyle w:val="P68B1DB1-Normal14"/>
              <w:spacing w:after="0" w:line="240" w:lineRule="auto"/>
              <w:jc w:val="center"/>
              <w:rPr>
                <w:noProof/>
              </w:rPr>
            </w:pPr>
            <w:r>
              <w:rPr>
                <w:noProof/>
              </w:rPr>
              <w:t>532</w:t>
            </w:r>
          </w:p>
        </w:tc>
        <w:tc>
          <w:tcPr>
            <w:tcW w:w="1656" w:type="dxa"/>
            <w:tcBorders>
              <w:top w:val="single" w:sz="4" w:space="0" w:color="auto"/>
              <w:left w:val="nil"/>
              <w:bottom w:val="single" w:sz="4" w:space="0" w:color="auto"/>
              <w:right w:val="single" w:sz="4" w:space="0" w:color="000000" w:themeColor="text1"/>
            </w:tcBorders>
            <w:shd w:val="clear" w:color="auto" w:fill="C6EFCE"/>
            <w:noWrap/>
          </w:tcPr>
          <w:p w14:paraId="456CFBC1" w14:textId="77777777" w:rsidR="00A345F4" w:rsidRDefault="005E2D4E">
            <w:pPr>
              <w:pStyle w:val="P68B1DB1-Normal14"/>
              <w:spacing w:after="0" w:line="240" w:lineRule="auto"/>
              <w:jc w:val="both"/>
              <w:rPr>
                <w:noProof/>
              </w:rPr>
            </w:pPr>
            <w:r>
              <w:rPr>
                <w:noProof/>
              </w:rPr>
              <w:t xml:space="preserve">Investissement 3. Hôpitaux publics </w:t>
            </w:r>
          </w:p>
        </w:tc>
        <w:tc>
          <w:tcPr>
            <w:tcW w:w="1123" w:type="dxa"/>
            <w:tcBorders>
              <w:top w:val="single" w:sz="4" w:space="0" w:color="auto"/>
              <w:left w:val="nil"/>
              <w:bottom w:val="single" w:sz="4" w:space="0" w:color="auto"/>
              <w:right w:val="single" w:sz="4" w:space="0" w:color="000000" w:themeColor="text1"/>
            </w:tcBorders>
            <w:shd w:val="clear" w:color="auto" w:fill="C6EFCE"/>
            <w:noWrap/>
          </w:tcPr>
          <w:p w14:paraId="0102EE5D" w14:textId="77777777" w:rsidR="00A345F4" w:rsidRDefault="005E2D4E">
            <w:pPr>
              <w:pStyle w:val="P68B1DB1-Normal14"/>
              <w:spacing w:after="0" w:line="240" w:lineRule="auto"/>
              <w:jc w:val="both"/>
              <w:rPr>
                <w:noProof/>
              </w:rPr>
            </w:pPr>
            <w:r>
              <w:rPr>
                <w:noProof/>
              </w:rPr>
              <w:t>Étape</w:t>
            </w:r>
          </w:p>
        </w:tc>
        <w:tc>
          <w:tcPr>
            <w:tcW w:w="1992" w:type="dxa"/>
            <w:tcBorders>
              <w:top w:val="single" w:sz="4" w:space="0" w:color="auto"/>
              <w:left w:val="nil"/>
              <w:bottom w:val="single" w:sz="4" w:space="0" w:color="auto"/>
              <w:right w:val="single" w:sz="4" w:space="0" w:color="000000" w:themeColor="text1"/>
            </w:tcBorders>
            <w:shd w:val="clear" w:color="auto" w:fill="C6EFCE"/>
            <w:noWrap/>
          </w:tcPr>
          <w:p w14:paraId="687F11B1" w14:textId="77777777" w:rsidR="00A345F4" w:rsidRDefault="005E2D4E">
            <w:pPr>
              <w:pStyle w:val="P68B1DB1-Normal14"/>
              <w:spacing w:after="0" w:line="240" w:lineRule="auto"/>
              <w:jc w:val="both"/>
              <w:rPr>
                <w:noProof/>
              </w:rPr>
            </w:pPr>
            <w:r>
              <w:rPr>
                <w:noProof/>
              </w:rPr>
              <w:t>Construction et équipement de l'Institut d'urgence pour les maladies cardiovasculaires et la transplantation de Târgu Mures</w:t>
            </w:r>
          </w:p>
        </w:tc>
        <w:tc>
          <w:tcPr>
            <w:tcW w:w="2104" w:type="dxa"/>
            <w:tcBorders>
              <w:top w:val="single" w:sz="4" w:space="0" w:color="auto"/>
              <w:left w:val="nil"/>
              <w:bottom w:val="single" w:sz="4" w:space="0" w:color="auto"/>
              <w:right w:val="single" w:sz="4" w:space="0" w:color="auto"/>
            </w:tcBorders>
            <w:shd w:val="clear" w:color="auto" w:fill="C6EFCE"/>
            <w:noWrap/>
          </w:tcPr>
          <w:p w14:paraId="6DD69E13" w14:textId="77777777" w:rsidR="00A345F4" w:rsidRDefault="005E2D4E">
            <w:pPr>
              <w:pStyle w:val="P68B1DB1-Normal14"/>
              <w:spacing w:after="0" w:line="240" w:lineRule="auto"/>
              <w:jc w:val="both"/>
              <w:rPr>
                <w:noProof/>
              </w:rPr>
            </w:pPr>
            <w:r>
              <w:rPr>
                <w:noProof/>
              </w:rPr>
              <w:t>Construction et équipement d'une nouvelle unité hospitalière</w:t>
            </w:r>
          </w:p>
        </w:tc>
        <w:tc>
          <w:tcPr>
            <w:tcW w:w="1180" w:type="dxa"/>
            <w:tcBorders>
              <w:top w:val="single" w:sz="4" w:space="0" w:color="auto"/>
              <w:left w:val="single" w:sz="4" w:space="0" w:color="auto"/>
              <w:bottom w:val="single" w:sz="4" w:space="0" w:color="auto"/>
              <w:right w:val="single" w:sz="4" w:space="0" w:color="auto"/>
            </w:tcBorders>
            <w:shd w:val="clear" w:color="auto" w:fill="C6EFCE"/>
            <w:noWrap/>
          </w:tcPr>
          <w:p w14:paraId="5D7B1DFC"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3A39B7" w14:textId="77777777" w:rsidR="00A345F4" w:rsidRDefault="00A345F4">
            <w:pPr>
              <w:spacing w:after="0" w:line="240" w:lineRule="auto"/>
              <w:jc w:val="both"/>
              <w:rPr>
                <w:rFonts w:ascii="Times New Roman" w:hAnsi="Times New Roman" w:cs="Times New Roman"/>
                <w:noProof/>
                <w:sz w:val="20"/>
                <w:szCs w:val="20"/>
              </w:rPr>
            </w:pP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6FC51445" w14:textId="77777777" w:rsidR="00A345F4" w:rsidRDefault="00A345F4">
            <w:pPr>
              <w:spacing w:after="0" w:line="240" w:lineRule="auto"/>
              <w:jc w:val="both"/>
              <w:rPr>
                <w:rFonts w:ascii="Times New Roman" w:hAnsi="Times New Roman" w:cs="Times New Roman"/>
                <w:noProof/>
                <w:sz w:val="20"/>
                <w:szCs w:val="20"/>
              </w:rPr>
            </w:pPr>
          </w:p>
        </w:tc>
        <w:tc>
          <w:tcPr>
            <w:tcW w:w="982" w:type="dxa"/>
            <w:tcBorders>
              <w:top w:val="single" w:sz="4" w:space="0" w:color="auto"/>
              <w:left w:val="single" w:sz="4" w:space="0" w:color="auto"/>
              <w:bottom w:val="single" w:sz="4" w:space="0" w:color="auto"/>
              <w:right w:val="single" w:sz="4" w:space="0" w:color="auto"/>
            </w:tcBorders>
            <w:shd w:val="clear" w:color="auto" w:fill="C6EFCE"/>
            <w:noWrap/>
          </w:tcPr>
          <w:p w14:paraId="76A77F64" w14:textId="77777777" w:rsidR="00A345F4" w:rsidRDefault="005E2D4E">
            <w:pPr>
              <w:pStyle w:val="P68B1DB1-Normal14"/>
              <w:spacing w:after="0" w:line="240" w:lineRule="auto"/>
              <w:jc w:val="both"/>
              <w:rPr>
                <w:noProof/>
              </w:rPr>
            </w:pPr>
            <w:r>
              <w:rPr>
                <w:noProof/>
              </w:rPr>
              <w:t>T2</w:t>
            </w: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12CF27ED" w14:textId="77777777" w:rsidR="00A345F4" w:rsidRDefault="005E2D4E">
            <w:pPr>
              <w:pStyle w:val="P68B1DB1-Normal14"/>
              <w:spacing w:after="0" w:line="240" w:lineRule="auto"/>
              <w:jc w:val="both"/>
              <w:rPr>
                <w:noProof/>
              </w:rPr>
            </w:pPr>
            <w:r>
              <w:rPr>
                <w:noProof/>
              </w:rPr>
              <w:t>2026</w:t>
            </w:r>
          </w:p>
        </w:tc>
        <w:tc>
          <w:tcPr>
            <w:tcW w:w="3548" w:type="dxa"/>
            <w:tcBorders>
              <w:top w:val="single" w:sz="4" w:space="0" w:color="auto"/>
              <w:left w:val="single" w:sz="4" w:space="0" w:color="auto"/>
              <w:bottom w:val="single" w:sz="4" w:space="0" w:color="auto"/>
              <w:right w:val="single" w:sz="4" w:space="0" w:color="000000" w:themeColor="text1"/>
            </w:tcBorders>
            <w:shd w:val="clear" w:color="auto" w:fill="C6EFCE"/>
            <w:noWrap/>
          </w:tcPr>
          <w:p w14:paraId="303B67AB" w14:textId="77777777" w:rsidR="00A345F4" w:rsidRDefault="005E2D4E">
            <w:pPr>
              <w:pStyle w:val="P68B1DB1-Normal14"/>
              <w:spacing w:after="0" w:line="240" w:lineRule="exact"/>
              <w:jc w:val="both"/>
              <w:rPr>
                <w:noProof/>
              </w:rPr>
            </w:pPr>
            <w:r>
              <w:rPr>
                <w:noProof/>
              </w:rPr>
              <w:t>Construction et équipement de l'Institut d'urgence pour les maladies cardiovasculaires et la transplantation de Târgu Mures.</w:t>
            </w:r>
          </w:p>
          <w:p w14:paraId="7204EA47" w14:textId="77777777" w:rsidR="00A345F4" w:rsidRDefault="005E2D4E">
            <w:pPr>
              <w:pStyle w:val="P68B1DB1-Normal14"/>
              <w:spacing w:after="0" w:line="240" w:lineRule="exact"/>
              <w:jc w:val="both"/>
              <w:rPr>
                <w:noProof/>
              </w:rPr>
            </w:pPr>
            <w:r>
              <w:rPr>
                <w:noProof/>
              </w:rPr>
              <w:t>Le bâtiment respecte l’objectif d’atteindre une demande d’énergie primaire (DEP) inférieure d’au moins 20 % à l’exigence d’un bâtiment dont la consommation d’énergie est quasi nulle (NZEB) conformément aux lignes directrices nationales, qui doivent être confirmées au moyen de certificats de performance énergétique.</w:t>
            </w:r>
          </w:p>
        </w:tc>
      </w:tr>
    </w:tbl>
    <w:p w14:paraId="3C2BD8CC" w14:textId="77777777" w:rsidR="00A345F4" w:rsidRDefault="005E2D4E">
      <w:pPr>
        <w:pStyle w:val="P68B1DB1-Normal21"/>
        <w:suppressAutoHyphens/>
        <w:autoSpaceDN w:val="0"/>
        <w:spacing w:after="0" w:line="240" w:lineRule="auto"/>
        <w:jc w:val="both"/>
        <w:textAlignment w:val="baseline"/>
        <w:rPr>
          <w:noProof/>
        </w:rPr>
      </w:pPr>
      <w:r>
        <w:rPr>
          <w:noProof/>
        </w:rPr>
        <w:br w:type="page"/>
      </w:r>
    </w:p>
    <w:p w14:paraId="5370F7D1" w14:textId="77777777" w:rsidR="00A345F4" w:rsidRDefault="00A345F4">
      <w:pPr>
        <w:suppressAutoHyphens/>
        <w:autoSpaceDN w:val="0"/>
        <w:spacing w:after="0" w:line="240" w:lineRule="auto"/>
        <w:jc w:val="both"/>
        <w:textAlignment w:val="baseline"/>
        <w:rPr>
          <w:rFonts w:ascii="Times New Roman" w:eastAsia="NSimSun" w:hAnsi="Times New Roman" w:cs="Times New Roman"/>
          <w:noProof/>
          <w:kern w:val="3"/>
        </w:rPr>
        <w:sectPr w:rsidR="00A345F4" w:rsidSect="00E2787E">
          <w:headerReference w:type="default" r:id="rId296"/>
          <w:footerReference w:type="default" r:id="rId297"/>
          <w:pgSz w:w="16838" w:h="11906" w:orient="landscape"/>
          <w:pgMar w:top="1440" w:right="1440" w:bottom="1440" w:left="1440" w:header="708" w:footer="708" w:gutter="0"/>
          <w:cols w:space="708"/>
          <w:docGrid w:linePitch="360"/>
        </w:sectPr>
      </w:pPr>
    </w:p>
    <w:p w14:paraId="0C866A88" w14:textId="77777777" w:rsidR="00A345F4" w:rsidRDefault="005E2D4E">
      <w:pPr>
        <w:pStyle w:val="P68B1DB1-Normal1"/>
        <w:keepNext/>
        <w:numPr>
          <w:ilvl w:val="0"/>
          <w:numId w:val="55"/>
        </w:numPr>
        <w:tabs>
          <w:tab w:val="left" w:pos="850"/>
        </w:tabs>
        <w:spacing w:before="360" w:after="120" w:line="240" w:lineRule="auto"/>
        <w:jc w:val="both"/>
        <w:outlineLvl w:val="0"/>
        <w:rPr>
          <w:bCs/>
          <w:noProof/>
        </w:rPr>
      </w:pPr>
      <w:r>
        <w:rPr>
          <w:noProof/>
        </w:rPr>
        <w:t>Élément 13: Réformes sociales</w:t>
      </w:r>
    </w:p>
    <w:p w14:paraId="1BB1A964" w14:textId="77777777" w:rsidR="00A345F4" w:rsidRDefault="005E2D4E">
      <w:pPr>
        <w:pStyle w:val="P68B1DB1-Normal4"/>
        <w:spacing w:before="120" w:after="120" w:line="240" w:lineRule="auto"/>
        <w:jc w:val="both"/>
        <w:rPr>
          <w:noProof/>
        </w:rPr>
      </w:pPr>
      <w:r>
        <w:rPr>
          <w:noProof/>
        </w:rPr>
        <w:t xml:space="preserve">Ce volet comprend un ensemble de réformes et d’investissements visant à consolider la sécurité sociale en Roumanie. </w:t>
      </w:r>
    </w:p>
    <w:p w14:paraId="09BC2DD5" w14:textId="77777777" w:rsidR="00A345F4" w:rsidRDefault="005E2D4E">
      <w:pPr>
        <w:pStyle w:val="P68B1DB1-Normal4"/>
        <w:spacing w:before="120" w:after="120" w:line="240" w:lineRule="auto"/>
        <w:jc w:val="both"/>
        <w:rPr>
          <w:noProof/>
        </w:rPr>
      </w:pPr>
      <w:r>
        <w:rPr>
          <w:noProof/>
        </w:rPr>
        <w:t xml:space="preserve">L’objectif de ce volet est de soutenir les plus vulnérables, notamment les travailleurs, les enfants, les personnes handicapées, les personnes inactives et les personnes âgées, en améliorant l’accès aux services sociaux. Les réformes soutenant les investissements comprennent des modifications réglementaires visant à empêcher la séparation des enfants de leur famille, à remédier au processus de désinstitutionnalisation des personnes handicapées, à entamer la fourniture du revenu minimum d’inclusion, à réduire le travail non déclaré et à permettre aux personnes inactives de trouver un emploi. Les mesures soutiennent également la réforme des services de soins de longue durée pour les personnes âgées ainsi que la mise en place d’un mécanisme objectif de fixation du salaire minimum. Les investissements complémentaires concernent la création d’un réseau de centres de jour pour les enfants exposés au risque de séparation, la réhabilitation et la rénovation des services sociaux des personnes handicapées, la création d’une plateforme numérique pour mettre en œuvre le système de chèques pour les travailleurs domestiques et la création de centres de jour et de réadaptation pour les personnes âgées. </w:t>
      </w:r>
    </w:p>
    <w:p w14:paraId="13370951" w14:textId="77777777" w:rsidR="00A345F4" w:rsidRDefault="005E2D4E">
      <w:pPr>
        <w:pStyle w:val="P68B1DB1-Normal4"/>
        <w:spacing w:before="120" w:after="120" w:line="240" w:lineRule="auto"/>
        <w:jc w:val="both"/>
        <w:rPr>
          <w:noProof/>
        </w:rPr>
      </w:pPr>
      <w:r>
        <w:rPr>
          <w:noProof/>
        </w:rPr>
        <w:t xml:space="preserve">Ces investissements et réformes contribueront à donner suite aux recommandations par pays formulées par la Roumanie au cours des deux dernières années, à savoir «accroître la couverture et la qualité des services sociaux et achever la réforme du revenu minimum d’inclusion» (recommandation par pays no 3, 2019), «garantir la fixation du salaire minimum sur la base de critères objectifs, compatibles avec la création d’emplois et la compétitivité» (recommandation par pays no 3, 2019) et «étendre les mesures de protection sociale et l’accès aux services essentiels pour tous» (recommandation par pays no 2, 2020). </w:t>
      </w:r>
    </w:p>
    <w:p w14:paraId="416D2019" w14:textId="77777777" w:rsidR="00A345F4" w:rsidRDefault="005E2D4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275375A"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M.1. </w:t>
      </w:r>
      <w:r>
        <w:rPr>
          <w:noProof/>
        </w:rPr>
        <w:t xml:space="preserve"> </w:t>
      </w:r>
      <w:r>
        <w:rPr>
          <w:b/>
          <w:noProof/>
        </w:rPr>
        <w:t>Description des réformes et des investissements pour le soutien financier non remboursable</w:t>
      </w:r>
    </w:p>
    <w:p w14:paraId="35D92A1F"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 xml:space="preserve">Réforme 1. Créer un nouveau cadre juridique pour empêcher la séparation des enfants de leur famille </w:t>
      </w:r>
    </w:p>
    <w:p w14:paraId="6731CA77" w14:textId="77777777" w:rsidR="00A345F4" w:rsidRDefault="005E2D4E">
      <w:pPr>
        <w:pStyle w:val="P68B1DB1-Normal4"/>
        <w:spacing w:before="120" w:after="120" w:line="240" w:lineRule="auto"/>
        <w:jc w:val="both"/>
        <w:rPr>
          <w:noProof/>
        </w:rPr>
      </w:pPr>
      <w:r>
        <w:rPr>
          <w:noProof/>
        </w:rPr>
        <w:t xml:space="preserve">L'objectif de cette réforme est d'empêcher la séparation des enfants de leur famille. </w:t>
      </w:r>
    </w:p>
    <w:p w14:paraId="7C3123F3" w14:textId="77777777" w:rsidR="00A345F4" w:rsidRDefault="005E2D4E">
      <w:pPr>
        <w:pStyle w:val="P68B1DB1-Normal4"/>
        <w:spacing w:before="120" w:after="120" w:line="240" w:lineRule="auto"/>
        <w:jc w:val="both"/>
        <w:rPr>
          <w:noProof/>
        </w:rPr>
      </w:pPr>
      <w:r>
        <w:rPr>
          <w:noProof/>
        </w:rPr>
        <w:t xml:space="preserve">Cette mesure consiste en l'adoption d'actes juridiques visant à empêcher la séparation de l'enfant de la famille. </w:t>
      </w:r>
    </w:p>
    <w:p w14:paraId="043D10A0"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Réforme 2. Réforme du système de protection des adultes handicapés</w:t>
      </w:r>
    </w:p>
    <w:p w14:paraId="35B37A9B" w14:textId="77777777" w:rsidR="00A345F4" w:rsidRDefault="005E2D4E">
      <w:pPr>
        <w:pStyle w:val="P68B1DB1-Normal4"/>
        <w:spacing w:before="120" w:after="120" w:line="240" w:lineRule="auto"/>
        <w:jc w:val="both"/>
        <w:rPr>
          <w:noProof/>
        </w:rPr>
      </w:pPr>
      <w:r>
        <w:rPr>
          <w:noProof/>
        </w:rPr>
        <w:t xml:space="preserve">L’objectif de cette réforme est d’accélérer le processus de désinstitutionnalisation des personnes handicapées et d’empêcher leur institutionnalisation. </w:t>
      </w:r>
    </w:p>
    <w:p w14:paraId="417353CA" w14:textId="77777777" w:rsidR="00A345F4" w:rsidRDefault="005E2D4E">
      <w:pPr>
        <w:pStyle w:val="P68B1DB1-Normal4"/>
        <w:spacing w:after="0" w:line="240" w:lineRule="auto"/>
        <w:jc w:val="both"/>
        <w:rPr>
          <w:noProof/>
        </w:rPr>
      </w:pPr>
      <w:r>
        <w:rPr>
          <w:noProof/>
        </w:rPr>
        <w:t xml:space="preserve">Cette mesure consiste en l’adoption d’actes juridiques visant à accélérer le processus de désinstitutionnalisation de toutes les personnes handicapées actuellement placées en institution et à prévenir cette institutionnalisation. </w:t>
      </w:r>
    </w:p>
    <w:p w14:paraId="0062512A"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Réforme 3. Fourniture du revenu minimum d'inclusion (VMI)</w:t>
      </w:r>
    </w:p>
    <w:p w14:paraId="56D0777F" w14:textId="77777777" w:rsidR="00A345F4" w:rsidRDefault="005E2D4E">
      <w:pPr>
        <w:pStyle w:val="P68B1DB1-Normal4"/>
        <w:spacing w:before="120" w:after="120" w:line="240" w:lineRule="auto"/>
        <w:jc w:val="both"/>
        <w:rPr>
          <w:noProof/>
        </w:rPr>
      </w:pPr>
      <w:r>
        <w:rPr>
          <w:noProof/>
        </w:rPr>
        <w:t>L’objectif de cette réforme est d’accroître l’aide sociale et de réduire la pauvreté, tout en réduisant la charge administrative pesant sur l’administration publique et les bénéficiaires.</w:t>
      </w:r>
    </w:p>
    <w:p w14:paraId="168528AB" w14:textId="77777777" w:rsidR="00A345F4" w:rsidRDefault="005E2D4E">
      <w:pPr>
        <w:pStyle w:val="P68B1DB1-Normal4"/>
        <w:spacing w:before="120" w:after="120" w:line="240" w:lineRule="auto"/>
        <w:jc w:val="both"/>
        <w:rPr>
          <w:noProof/>
        </w:rPr>
      </w:pPr>
      <w:r>
        <w:rPr>
          <w:noProof/>
        </w:rPr>
        <w:t>Cette mesure consiste en l’adoption d’actes juridiques fixant les règles méthodologiques de mise en œuvre de l’IMV. La mise en place de la plateforme numérique à l’appui de cette réforme figure dans le volet 7. Transformation numérique.</w:t>
      </w:r>
    </w:p>
    <w:p w14:paraId="0D75EEB5" w14:textId="77777777" w:rsidR="00A345F4" w:rsidRDefault="00A345F4">
      <w:pPr>
        <w:spacing w:before="120" w:after="120" w:line="240" w:lineRule="auto"/>
        <w:jc w:val="both"/>
        <w:rPr>
          <w:rFonts w:ascii="Times New Roman" w:hAnsi="Times New Roman" w:cs="Times New Roman"/>
          <w:noProof/>
        </w:rPr>
      </w:pPr>
    </w:p>
    <w:p w14:paraId="00534D48" w14:textId="77777777" w:rsidR="00A345F4" w:rsidRDefault="00A345F4">
      <w:pPr>
        <w:spacing w:before="120" w:after="120" w:line="240" w:lineRule="auto"/>
        <w:jc w:val="both"/>
        <w:rPr>
          <w:rFonts w:ascii="Times New Roman" w:hAnsi="Times New Roman" w:cs="Times New Roman"/>
          <w:noProof/>
        </w:rPr>
      </w:pPr>
    </w:p>
    <w:p w14:paraId="16C86720" w14:textId="77777777" w:rsidR="00A345F4" w:rsidRDefault="005E2D4E">
      <w:pPr>
        <w:pStyle w:val="P68B1DB1-Normal12"/>
        <w:suppressAutoHyphens/>
        <w:autoSpaceDN w:val="0"/>
        <w:spacing w:before="240" w:after="0" w:line="240" w:lineRule="auto"/>
        <w:jc w:val="both"/>
        <w:textAlignment w:val="baseline"/>
        <w:rPr>
          <w:noProof/>
        </w:rPr>
      </w:pPr>
      <w:r>
        <w:rPr>
          <w:noProof/>
        </w:rPr>
        <w:t>Réforme 4. Introduction des cartes de travail et formalisation du travail domestique</w:t>
      </w:r>
    </w:p>
    <w:p w14:paraId="2128F14C" w14:textId="77777777" w:rsidR="00A345F4" w:rsidRDefault="005E2D4E">
      <w:pPr>
        <w:pStyle w:val="P68B1DB1-Normal4"/>
        <w:suppressAutoHyphens/>
        <w:autoSpaceDN w:val="0"/>
        <w:spacing w:before="240" w:after="0" w:line="240" w:lineRule="auto"/>
        <w:jc w:val="both"/>
        <w:textAlignment w:val="baseline"/>
        <w:rPr>
          <w:noProof/>
        </w:rPr>
      </w:pPr>
      <w:r>
        <w:rPr>
          <w:noProof/>
        </w:rPr>
        <w:t>L'objectif de cette réforme est de réduire le travail non déclaré et de permettre aux personnes inactives de trouver un emploi.</w:t>
      </w:r>
    </w:p>
    <w:p w14:paraId="3ABDBB12" w14:textId="77777777" w:rsidR="00A345F4" w:rsidRDefault="005E2D4E">
      <w:pPr>
        <w:pStyle w:val="P68B1DB1-Normal4"/>
        <w:spacing w:before="120" w:after="120" w:line="240" w:lineRule="auto"/>
        <w:jc w:val="both"/>
        <w:rPr>
          <w:noProof/>
        </w:rPr>
      </w:pPr>
      <w:r>
        <w:rPr>
          <w:noProof/>
        </w:rPr>
        <w:t>Cette mesure consiste en l'adoption d'actes juridiques visant à mettre en place le système de chèques-travail et à créer des emplois formels pour les prestataires domestiques qui sont actuellement enregistrés comme chômeurs ou inactifs et à les intégrer dans le système de sécurité sociale et d'assurance maladie.</w:t>
      </w:r>
    </w:p>
    <w:p w14:paraId="1BBE7204" w14:textId="77777777" w:rsidR="00A345F4" w:rsidRDefault="005E2D4E">
      <w:pPr>
        <w:pStyle w:val="P68B1DB1-Normal12"/>
        <w:suppressAutoHyphens/>
        <w:autoSpaceDN w:val="0"/>
        <w:spacing w:before="240" w:after="0" w:line="240" w:lineRule="auto"/>
        <w:jc w:val="both"/>
        <w:textAlignment w:val="baseline"/>
        <w:rPr>
          <w:rFonts w:eastAsiaTheme="majorEastAsia"/>
          <w:bCs/>
          <w:noProof/>
        </w:rPr>
      </w:pPr>
      <w:r>
        <w:rPr>
          <w:noProof/>
        </w:rPr>
        <w:t>Réforme 5. Garantir la fixation d’un salaire minimum</w:t>
      </w:r>
    </w:p>
    <w:p w14:paraId="7428BA13" w14:textId="77777777" w:rsidR="00A345F4" w:rsidRDefault="005E2D4E">
      <w:pPr>
        <w:pStyle w:val="P68B1DB1-Normal4"/>
        <w:spacing w:before="120" w:after="120" w:line="240" w:lineRule="auto"/>
        <w:jc w:val="both"/>
        <w:rPr>
          <w:noProof/>
        </w:rPr>
      </w:pPr>
      <w:r>
        <w:rPr>
          <w:noProof/>
        </w:rPr>
        <w:t>L’objectif de la réforme est de mettre en place un mécanisme de fixation du salaire minimum fondé sur des critères objectifs et compatible avec la création d’emplois et la compétitivité du pays.</w:t>
      </w:r>
    </w:p>
    <w:p w14:paraId="597754B3" w14:textId="77777777" w:rsidR="00A345F4" w:rsidRDefault="005E2D4E">
      <w:pPr>
        <w:pStyle w:val="P68B1DB1-Normal4"/>
        <w:spacing w:before="120" w:after="120" w:line="240" w:lineRule="auto"/>
        <w:jc w:val="both"/>
        <w:rPr>
          <w:noProof/>
        </w:rPr>
      </w:pPr>
      <w:r>
        <w:rPr>
          <w:noProof/>
        </w:rPr>
        <w:t xml:space="preserve">Cette mesure consiste en l’adoption d’actes juridiques qui prévoient la création d’un nouveau mécanisme et d’une formule permettant de fixer objectivement le niveau du salaire minimum. </w:t>
      </w:r>
    </w:p>
    <w:p w14:paraId="51F94326" w14:textId="77777777" w:rsidR="00A345F4" w:rsidRDefault="005E2D4E">
      <w:pPr>
        <w:pStyle w:val="P68B1DB1-Normal12"/>
        <w:suppressAutoHyphens/>
        <w:autoSpaceDN w:val="0"/>
        <w:spacing w:before="240" w:after="0" w:line="240" w:lineRule="auto"/>
        <w:jc w:val="both"/>
        <w:textAlignment w:val="baseline"/>
        <w:rPr>
          <w:rFonts w:eastAsiaTheme="majorEastAsia"/>
          <w:bCs/>
          <w:i/>
          <w:noProof/>
        </w:rPr>
      </w:pPr>
      <w:r>
        <w:rPr>
          <w:noProof/>
        </w:rPr>
        <w:t xml:space="preserve">Investissement 1. Création d'un réseau de centres de jour pour les enfants menacés de séparation </w:t>
      </w:r>
    </w:p>
    <w:p w14:paraId="6291E6C3" w14:textId="77777777" w:rsidR="00A345F4" w:rsidRDefault="005E2D4E">
      <w:pPr>
        <w:pStyle w:val="P68B1DB1-Normal4"/>
        <w:spacing w:before="120" w:after="120" w:line="240" w:lineRule="auto"/>
        <w:jc w:val="both"/>
        <w:rPr>
          <w:noProof/>
        </w:rPr>
      </w:pPr>
      <w:r>
        <w:rPr>
          <w:noProof/>
        </w:rPr>
        <w:t xml:space="preserve">L'objectif de cet investissement est d'empêcher la séparation des enfants de leur famille. </w:t>
      </w:r>
    </w:p>
    <w:p w14:paraId="124EBE81" w14:textId="7E243622" w:rsidR="00A345F4" w:rsidRDefault="005E2D4E">
      <w:pPr>
        <w:pStyle w:val="P68B1DB1-Normal4"/>
        <w:spacing w:before="120" w:after="120" w:line="240" w:lineRule="auto"/>
        <w:jc w:val="both"/>
        <w:rPr>
          <w:noProof/>
        </w:rPr>
      </w:pPr>
      <w:r>
        <w:rPr>
          <w:noProof/>
        </w:rPr>
        <w:t xml:space="preserve">Cette mesure consiste à accorder des licences à un réseau de centres de services de jour pour empêcher la séparation des enfants de leur famille. </w:t>
      </w:r>
    </w:p>
    <w:p w14:paraId="71EF1169" w14:textId="77777777" w:rsidR="00A345F4" w:rsidRDefault="005E2D4E">
      <w:pPr>
        <w:pStyle w:val="P68B1DB1-Normal18"/>
        <w:suppressAutoHyphens/>
        <w:autoSpaceDN w:val="0"/>
        <w:spacing w:before="240" w:after="0" w:line="240" w:lineRule="auto"/>
        <w:jc w:val="both"/>
        <w:textAlignment w:val="baseline"/>
        <w:rPr>
          <w:rFonts w:eastAsiaTheme="majorEastAsia"/>
          <w:noProof/>
          <w:kern w:val="3"/>
        </w:rPr>
      </w:pPr>
      <w:r>
        <w:rPr>
          <w:noProof/>
          <w:kern w:val="3"/>
        </w:rPr>
        <w:t xml:space="preserve">Investissement 2. </w:t>
      </w:r>
      <w:r>
        <w:rPr>
          <w:noProof/>
        </w:rPr>
        <w:t>Octroi de licences et modernisation des infrastructures sociales pour les personnes handicapées</w:t>
      </w:r>
    </w:p>
    <w:p w14:paraId="7B7BCBF9" w14:textId="77777777" w:rsidR="00A345F4" w:rsidRDefault="005E2D4E">
      <w:pPr>
        <w:pStyle w:val="P68B1DB1-Normal4"/>
        <w:spacing w:before="120" w:after="120" w:line="240" w:lineRule="auto"/>
        <w:jc w:val="both"/>
        <w:rPr>
          <w:noProof/>
        </w:rPr>
      </w:pPr>
      <w:r>
        <w:rPr>
          <w:noProof/>
        </w:rPr>
        <w:t xml:space="preserve">L’objectif de cet investissement est de moderniser et d’augmenter le nombre de services sociaux fournis aux personnes handicapées afin de soutenir leur désinstitutionnalisation. </w:t>
      </w:r>
    </w:p>
    <w:p w14:paraId="574CFFC6" w14:textId="77777777" w:rsidR="00A345F4" w:rsidRDefault="005E2D4E">
      <w:pPr>
        <w:pStyle w:val="P68B1DB1-Normal4"/>
        <w:spacing w:before="120" w:after="120" w:line="240" w:lineRule="auto"/>
        <w:jc w:val="both"/>
        <w:rPr>
          <w:noProof/>
        </w:rPr>
      </w:pPr>
      <w:r>
        <w:rPr>
          <w:noProof/>
        </w:rPr>
        <w:t>Cette mesure consiste à autoriser de nouveaux services communautaires pour les personnes handicapées et à moderniser d'autres centres communautaires pour les personnes handicapées .</w:t>
      </w:r>
    </w:p>
    <w:p w14:paraId="3FFD338F" w14:textId="77777777" w:rsidR="00A345F4" w:rsidRDefault="005E2D4E">
      <w:pPr>
        <w:pStyle w:val="P68B1DB1-Normal12"/>
        <w:suppressAutoHyphens/>
        <w:autoSpaceDN w:val="0"/>
        <w:spacing w:before="240" w:after="0" w:line="240" w:lineRule="auto"/>
        <w:jc w:val="both"/>
        <w:textAlignment w:val="baseline"/>
        <w:rPr>
          <w:rFonts w:eastAsiaTheme="majorEastAsia"/>
          <w:noProof/>
        </w:rPr>
      </w:pPr>
      <w:r>
        <w:rPr>
          <w:noProof/>
        </w:rPr>
        <w:t xml:space="preserve">Investissement 3. Mise en place du système de bons de travail pour les prestataires nationaux et les bénéficiaires de services </w:t>
      </w:r>
    </w:p>
    <w:p w14:paraId="6FAFCC9D" w14:textId="30BC5578" w:rsidR="00A345F4" w:rsidRDefault="005E2D4E">
      <w:pPr>
        <w:pStyle w:val="P68B1DB1-Normal4"/>
        <w:spacing w:before="120" w:after="120" w:line="240" w:lineRule="auto"/>
        <w:jc w:val="both"/>
        <w:rPr>
          <w:noProof/>
        </w:rPr>
      </w:pPr>
      <w:r>
        <w:rPr>
          <w:noProof/>
        </w:rPr>
        <w:t>L’objectif de cet investissement est de mettre le système de bons de travail à la disposition des prestataires nationaux et des bénéficiaires de services.</w:t>
      </w:r>
    </w:p>
    <w:p w14:paraId="464990CE" w14:textId="77777777" w:rsidR="00A345F4" w:rsidRDefault="005E2D4E">
      <w:pPr>
        <w:pStyle w:val="P68B1DB1-Normal4"/>
        <w:spacing w:before="120" w:after="120" w:line="240" w:lineRule="auto"/>
        <w:jc w:val="both"/>
        <w:rPr>
          <w:noProof/>
        </w:rPr>
      </w:pPr>
      <w:r>
        <w:rPr>
          <w:noProof/>
        </w:rPr>
        <w:t xml:space="preserve">Cette mesure consiste en la mise à disposition d’une plateforme numérique pour l’utilisation de bons de travail par les prestataires nationaux et les bénéficiaires de services. </w:t>
      </w:r>
    </w:p>
    <w:p w14:paraId="0F450CB9" w14:textId="77777777" w:rsidR="00A345F4" w:rsidRDefault="005E2D4E">
      <w:pPr>
        <w:pStyle w:val="P68B1DB1-Standard55"/>
        <w:spacing w:before="240"/>
        <w:jc w:val="both"/>
        <w:rPr>
          <w:rFonts w:eastAsiaTheme="majorEastAsia"/>
          <w:noProof/>
        </w:rPr>
      </w:pPr>
      <w:r>
        <w:rPr>
          <w:noProof/>
        </w:rPr>
        <w:t xml:space="preserve">Investissement 4. Création d'un réseau de garderies et de centres de réadaptation pour personnes âgées </w:t>
      </w:r>
    </w:p>
    <w:p w14:paraId="6705DF89" w14:textId="77777777" w:rsidR="00A345F4" w:rsidRDefault="005E2D4E">
      <w:pPr>
        <w:pStyle w:val="P68B1DB1-Normal4"/>
        <w:spacing w:before="120" w:after="120" w:line="240" w:lineRule="auto"/>
        <w:jc w:val="both"/>
        <w:rPr>
          <w:noProof/>
        </w:rPr>
      </w:pPr>
      <w:r>
        <w:rPr>
          <w:noProof/>
        </w:rPr>
        <w:t>L’objectif de l’investissement est de donner accès à des services de soins de longue durée de qualité pour les personnes âgées.</w:t>
      </w:r>
    </w:p>
    <w:p w14:paraId="675D6BCD" w14:textId="77777777" w:rsidR="00A345F4" w:rsidRDefault="005E2D4E">
      <w:pPr>
        <w:pStyle w:val="P68B1DB1-Normal4"/>
        <w:spacing w:before="120" w:after="120" w:line="240" w:lineRule="auto"/>
        <w:jc w:val="both"/>
        <w:rPr>
          <w:noProof/>
        </w:rPr>
      </w:pPr>
      <w:r>
        <w:rPr>
          <w:noProof/>
        </w:rPr>
        <w:t>Cette mesure consiste à délivrer des licences aux centres de services de jour.</w:t>
      </w:r>
    </w:p>
    <w:p w14:paraId="05FD79EF" w14:textId="77777777" w:rsidR="00A345F4" w:rsidRDefault="00A345F4">
      <w:pPr>
        <w:spacing w:before="120" w:after="120" w:line="240" w:lineRule="auto"/>
        <w:jc w:val="both"/>
        <w:rPr>
          <w:rFonts w:ascii="Times New Roman" w:hAnsi="Times New Roman" w:cs="Times New Roman"/>
          <w:noProof/>
        </w:rPr>
        <w:sectPr w:rsidR="00A345F4" w:rsidSect="00852517">
          <w:headerReference w:type="even" r:id="rId298"/>
          <w:headerReference w:type="default" r:id="rId299"/>
          <w:footerReference w:type="even" r:id="rId300"/>
          <w:footerReference w:type="default" r:id="rId301"/>
          <w:headerReference w:type="first" r:id="rId302"/>
          <w:footerReference w:type="first" r:id="rId303"/>
          <w:pgSz w:w="11907" w:h="16839"/>
          <w:pgMar w:top="1134" w:right="1134" w:bottom="1134" w:left="1134" w:header="567" w:footer="567" w:gutter="0"/>
          <w:cols w:space="720"/>
          <w:docGrid w:linePitch="360"/>
        </w:sectPr>
      </w:pPr>
    </w:p>
    <w:p w14:paraId="683B6CDC"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M.2. </w:t>
      </w:r>
      <w:r>
        <w:rPr>
          <w:noProof/>
        </w:rPr>
        <w:t xml:space="preserve"> </w:t>
      </w:r>
      <w:r>
        <w:rPr>
          <w:b/>
          <w:noProof/>
        </w:rPr>
        <w:t>Étapes, cibles, indicateurs et calendrier pour le suivi et la mise en œuvre du soutien financier non remboursable</w:t>
      </w:r>
    </w:p>
    <w:tbl>
      <w:tblPr>
        <w:tblW w:w="15387" w:type="dxa"/>
        <w:jc w:val="center"/>
        <w:tblLayout w:type="fixed"/>
        <w:tblLook w:val="04A0" w:firstRow="1" w:lastRow="0" w:firstColumn="1" w:lastColumn="0" w:noHBand="0" w:noVBand="1"/>
      </w:tblPr>
      <w:tblGrid>
        <w:gridCol w:w="988"/>
        <w:gridCol w:w="1875"/>
        <w:gridCol w:w="1183"/>
        <w:gridCol w:w="1478"/>
        <w:gridCol w:w="1842"/>
        <w:gridCol w:w="1265"/>
        <w:gridCol w:w="1145"/>
        <w:gridCol w:w="992"/>
        <w:gridCol w:w="1101"/>
        <w:gridCol w:w="825"/>
        <w:gridCol w:w="2693"/>
      </w:tblGrid>
      <w:tr w:rsidR="00A345F4" w14:paraId="77B6B05A" w14:textId="77777777" w:rsidTr="000D606E">
        <w:trPr>
          <w:trHeight w:val="774"/>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CC261D" w14:textId="77777777" w:rsidR="00A345F4" w:rsidRDefault="005E2D4E">
            <w:pPr>
              <w:pStyle w:val="P68B1DB1-Normal13"/>
              <w:spacing w:after="0" w:line="240" w:lineRule="auto"/>
              <w:jc w:val="center"/>
              <w:rPr>
                <w:rFonts w:eastAsia="Times New Roman"/>
                <w:noProof/>
              </w:rPr>
            </w:pPr>
            <w:r>
              <w:rPr>
                <w:noProof/>
              </w:rPr>
              <w:t>Seq. Num.</w:t>
            </w:r>
          </w:p>
        </w:tc>
        <w:tc>
          <w:tcPr>
            <w:tcW w:w="18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DEF97C"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1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15C072" w14:textId="77777777" w:rsidR="00A345F4" w:rsidRDefault="005E2D4E">
            <w:pPr>
              <w:pStyle w:val="P68B1DB1-Normal13"/>
              <w:spacing w:after="0" w:line="240" w:lineRule="auto"/>
              <w:jc w:val="center"/>
              <w:rPr>
                <w:rFonts w:eastAsia="Times New Roman"/>
                <w:noProof/>
              </w:rPr>
            </w:pPr>
            <w:r>
              <w:rPr>
                <w:noProof/>
              </w:rPr>
              <w:t>Étape/cible</w:t>
            </w:r>
          </w:p>
        </w:tc>
        <w:tc>
          <w:tcPr>
            <w:tcW w:w="14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84AA4E" w14:textId="77777777" w:rsidR="00A345F4" w:rsidRDefault="005E2D4E">
            <w:pPr>
              <w:pStyle w:val="P68B1DB1-Normal13"/>
              <w:spacing w:after="0" w:line="240" w:lineRule="auto"/>
              <w:jc w:val="center"/>
              <w:rPr>
                <w:rFonts w:eastAsia="Times New Roman"/>
                <w:noProof/>
              </w:rPr>
            </w:pPr>
            <w:r>
              <w:rPr>
                <w:noProof/>
              </w:rPr>
              <w:t>Nom</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866AD3"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4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DBCD720"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26" w:type="dxa"/>
            <w:gridSpan w:val="2"/>
            <w:tcBorders>
              <w:top w:val="single" w:sz="4" w:space="0" w:color="auto"/>
              <w:left w:val="nil"/>
              <w:bottom w:val="single" w:sz="4" w:space="0" w:color="auto"/>
              <w:right w:val="single" w:sz="4" w:space="0" w:color="auto"/>
            </w:tcBorders>
            <w:shd w:val="clear" w:color="auto" w:fill="BDD7EE"/>
            <w:vAlign w:val="center"/>
            <w:hideMark/>
          </w:tcPr>
          <w:p w14:paraId="1095C27E" w14:textId="77777777" w:rsidR="00A345F4" w:rsidRDefault="005E2D4E">
            <w:pPr>
              <w:pStyle w:val="P68B1DB1-Normal13"/>
              <w:spacing w:after="0" w:line="240" w:lineRule="auto"/>
              <w:jc w:val="center"/>
              <w:rPr>
                <w:rFonts w:eastAsia="Times New Roman"/>
                <w:noProof/>
              </w:rPr>
            </w:pPr>
            <w:r>
              <w:rPr>
                <w:noProof/>
              </w:rPr>
              <w:t>Calendrier indicatif d'achèvement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30369"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6E9C211F" w14:textId="77777777" w:rsidTr="000D606E">
        <w:trPr>
          <w:trHeight w:val="404"/>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6986B66"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875" w:type="dxa"/>
            <w:vMerge/>
            <w:tcBorders>
              <w:top w:val="single" w:sz="4" w:space="0" w:color="auto"/>
              <w:left w:val="single" w:sz="4" w:space="0" w:color="auto"/>
              <w:bottom w:val="single" w:sz="4" w:space="0" w:color="auto"/>
              <w:right w:val="single" w:sz="4" w:space="0" w:color="auto"/>
            </w:tcBorders>
            <w:vAlign w:val="center"/>
            <w:hideMark/>
          </w:tcPr>
          <w:p w14:paraId="105D07E4"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183" w:type="dxa"/>
            <w:vMerge/>
            <w:tcBorders>
              <w:top w:val="single" w:sz="4" w:space="0" w:color="auto"/>
              <w:left w:val="single" w:sz="4" w:space="0" w:color="auto"/>
              <w:bottom w:val="single" w:sz="4" w:space="0" w:color="auto"/>
              <w:right w:val="single" w:sz="4" w:space="0" w:color="auto"/>
            </w:tcBorders>
            <w:vAlign w:val="center"/>
            <w:hideMark/>
          </w:tcPr>
          <w:p w14:paraId="5C047584"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478" w:type="dxa"/>
            <w:vMerge/>
            <w:tcBorders>
              <w:top w:val="single" w:sz="4" w:space="0" w:color="auto"/>
              <w:left w:val="single" w:sz="4" w:space="0" w:color="auto"/>
              <w:bottom w:val="single" w:sz="4" w:space="0" w:color="auto"/>
              <w:right w:val="single" w:sz="4" w:space="0" w:color="auto"/>
            </w:tcBorders>
            <w:vAlign w:val="center"/>
            <w:hideMark/>
          </w:tcPr>
          <w:p w14:paraId="321D31EE"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5113D4C"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65" w:type="dxa"/>
            <w:tcBorders>
              <w:top w:val="nil"/>
              <w:left w:val="single" w:sz="4" w:space="0" w:color="auto"/>
              <w:bottom w:val="single" w:sz="4" w:space="0" w:color="auto"/>
              <w:right w:val="single" w:sz="4" w:space="0" w:color="auto"/>
            </w:tcBorders>
            <w:shd w:val="clear" w:color="auto" w:fill="BDD7EE"/>
            <w:vAlign w:val="center"/>
            <w:hideMark/>
          </w:tcPr>
          <w:p w14:paraId="21694B2D" w14:textId="77777777" w:rsidR="00A345F4" w:rsidRDefault="005E2D4E">
            <w:pPr>
              <w:pStyle w:val="P68B1DB1-Normal13"/>
              <w:spacing w:after="0" w:line="240" w:lineRule="auto"/>
              <w:jc w:val="center"/>
              <w:rPr>
                <w:rFonts w:eastAsia="Times New Roman"/>
                <w:noProof/>
              </w:rPr>
            </w:pPr>
            <w:r>
              <w:rPr>
                <w:noProof/>
              </w:rPr>
              <w:t>Unité de mesure</w:t>
            </w:r>
          </w:p>
        </w:tc>
        <w:tc>
          <w:tcPr>
            <w:tcW w:w="1145" w:type="dxa"/>
            <w:tcBorders>
              <w:top w:val="nil"/>
              <w:left w:val="nil"/>
              <w:bottom w:val="single" w:sz="4" w:space="0" w:color="auto"/>
              <w:right w:val="single" w:sz="4" w:space="0" w:color="auto"/>
            </w:tcBorders>
            <w:shd w:val="clear" w:color="auto" w:fill="BDD7EE"/>
            <w:vAlign w:val="center"/>
            <w:hideMark/>
          </w:tcPr>
          <w:p w14:paraId="5F75CA86" w14:textId="77777777" w:rsidR="00A345F4" w:rsidRDefault="005E2D4E">
            <w:pPr>
              <w:pStyle w:val="P68B1DB1-Normal13"/>
              <w:spacing w:after="0" w:line="240" w:lineRule="auto"/>
              <w:jc w:val="both"/>
              <w:rPr>
                <w:rFonts w:eastAsia="Times New Roman"/>
                <w:noProof/>
              </w:rPr>
            </w:pPr>
            <w:r>
              <w:rPr>
                <w:noProof/>
              </w:rPr>
              <w:t xml:space="preserve">Données de référence </w:t>
            </w:r>
          </w:p>
        </w:tc>
        <w:tc>
          <w:tcPr>
            <w:tcW w:w="992" w:type="dxa"/>
            <w:tcBorders>
              <w:top w:val="nil"/>
              <w:left w:val="nil"/>
              <w:bottom w:val="single" w:sz="4" w:space="0" w:color="auto"/>
              <w:right w:val="single" w:sz="4" w:space="0" w:color="auto"/>
            </w:tcBorders>
            <w:shd w:val="clear" w:color="auto" w:fill="BDD7EE"/>
            <w:vAlign w:val="center"/>
            <w:hideMark/>
          </w:tcPr>
          <w:p w14:paraId="44E753F7" w14:textId="77777777" w:rsidR="00A345F4" w:rsidRDefault="005E2D4E">
            <w:pPr>
              <w:pStyle w:val="P68B1DB1-Normal13"/>
              <w:spacing w:after="0" w:line="240" w:lineRule="auto"/>
              <w:jc w:val="center"/>
              <w:rPr>
                <w:rFonts w:eastAsia="Times New Roman"/>
                <w:noProof/>
              </w:rPr>
            </w:pPr>
            <w:r>
              <w:rPr>
                <w:noProof/>
              </w:rPr>
              <w:t>Objectif</w:t>
            </w:r>
          </w:p>
        </w:tc>
        <w:tc>
          <w:tcPr>
            <w:tcW w:w="1101" w:type="dxa"/>
            <w:tcBorders>
              <w:top w:val="nil"/>
              <w:left w:val="nil"/>
              <w:bottom w:val="single" w:sz="4" w:space="0" w:color="auto"/>
              <w:right w:val="single" w:sz="4" w:space="0" w:color="auto"/>
            </w:tcBorders>
            <w:shd w:val="clear" w:color="auto" w:fill="BDD7EE"/>
            <w:vAlign w:val="center"/>
            <w:hideMark/>
          </w:tcPr>
          <w:p w14:paraId="798D0A09" w14:textId="77777777" w:rsidR="00A345F4" w:rsidRDefault="005E2D4E">
            <w:pPr>
              <w:pStyle w:val="P68B1DB1-Normal13"/>
              <w:spacing w:after="0" w:line="240" w:lineRule="auto"/>
              <w:jc w:val="both"/>
              <w:rPr>
                <w:rFonts w:eastAsia="Times New Roman"/>
                <w:noProof/>
              </w:rPr>
            </w:pPr>
            <w:r>
              <w:rPr>
                <w:noProof/>
              </w:rPr>
              <w:t>Trimestre</w:t>
            </w:r>
          </w:p>
        </w:tc>
        <w:tc>
          <w:tcPr>
            <w:tcW w:w="825" w:type="dxa"/>
            <w:tcBorders>
              <w:top w:val="nil"/>
              <w:left w:val="nil"/>
              <w:bottom w:val="single" w:sz="4" w:space="0" w:color="auto"/>
              <w:right w:val="single" w:sz="4" w:space="0" w:color="auto"/>
            </w:tcBorders>
            <w:shd w:val="clear" w:color="auto" w:fill="BDD7EE"/>
            <w:vAlign w:val="center"/>
            <w:hideMark/>
          </w:tcPr>
          <w:p w14:paraId="32C6FD45" w14:textId="77777777" w:rsidR="00A345F4" w:rsidRDefault="005E2D4E">
            <w:pPr>
              <w:pStyle w:val="P68B1DB1-Normal13"/>
              <w:spacing w:after="0" w:line="240" w:lineRule="auto"/>
              <w:jc w:val="both"/>
              <w:rPr>
                <w:rFonts w:eastAsia="Times New Roman"/>
                <w:noProof/>
              </w:rPr>
            </w:pPr>
            <w:r>
              <w:rPr>
                <w:noProof/>
              </w:rPr>
              <w:t>Année</w:t>
            </w:r>
          </w:p>
        </w:tc>
        <w:tc>
          <w:tcPr>
            <w:tcW w:w="2693" w:type="dxa"/>
            <w:vMerge/>
            <w:tcBorders>
              <w:top w:val="single" w:sz="4" w:space="0" w:color="auto"/>
              <w:bottom w:val="single" w:sz="4" w:space="0" w:color="auto"/>
              <w:right w:val="single" w:sz="4" w:space="0" w:color="auto"/>
            </w:tcBorders>
            <w:vAlign w:val="center"/>
            <w:hideMark/>
          </w:tcPr>
          <w:p w14:paraId="16EF1F9A"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5C9BC24E" w14:textId="77777777" w:rsidTr="000D606E">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6AF9BB8" w14:textId="77777777" w:rsidR="00A345F4" w:rsidRDefault="005E2D4E">
            <w:pPr>
              <w:pStyle w:val="P68B1DB1-Normal14"/>
              <w:spacing w:after="0" w:line="240" w:lineRule="auto"/>
              <w:jc w:val="center"/>
              <w:rPr>
                <w:rFonts w:eastAsia="Times New Roman"/>
                <w:noProof/>
              </w:rPr>
            </w:pPr>
            <w:r>
              <w:rPr>
                <w:noProof/>
              </w:rPr>
              <w:t>378</w:t>
            </w:r>
          </w:p>
        </w:tc>
        <w:tc>
          <w:tcPr>
            <w:tcW w:w="1875" w:type="dxa"/>
            <w:tcBorders>
              <w:top w:val="single" w:sz="4" w:space="0" w:color="auto"/>
              <w:left w:val="nil"/>
              <w:bottom w:val="single" w:sz="4" w:space="0" w:color="auto"/>
              <w:right w:val="single" w:sz="4" w:space="0" w:color="auto"/>
            </w:tcBorders>
            <w:shd w:val="clear" w:color="auto" w:fill="C6EFCE"/>
            <w:noWrap/>
            <w:hideMark/>
          </w:tcPr>
          <w:p w14:paraId="49F5CC9E" w14:textId="77777777" w:rsidR="00A345F4" w:rsidRDefault="005E2D4E">
            <w:pPr>
              <w:pStyle w:val="P68B1DB1-Normal14"/>
              <w:spacing w:after="0" w:line="240" w:lineRule="auto"/>
              <w:jc w:val="both"/>
              <w:rPr>
                <w:rFonts w:eastAsia="Times New Roman"/>
                <w:noProof/>
              </w:rPr>
            </w:pPr>
            <w:r>
              <w:rPr>
                <w:noProof/>
              </w:rPr>
              <w:t>Réforme 1. Créer un nouveau cadre juridique pour empêcher la séparation des enfants de leur famille</w:t>
            </w:r>
          </w:p>
        </w:tc>
        <w:tc>
          <w:tcPr>
            <w:tcW w:w="1183" w:type="dxa"/>
            <w:tcBorders>
              <w:top w:val="single" w:sz="4" w:space="0" w:color="auto"/>
              <w:left w:val="nil"/>
              <w:bottom w:val="single" w:sz="4" w:space="0" w:color="auto"/>
              <w:right w:val="single" w:sz="4" w:space="0" w:color="auto"/>
            </w:tcBorders>
            <w:shd w:val="clear" w:color="auto" w:fill="C6EFCE"/>
            <w:noWrap/>
            <w:hideMark/>
          </w:tcPr>
          <w:p w14:paraId="75B79D17" w14:textId="77777777" w:rsidR="00A345F4" w:rsidRDefault="005E2D4E">
            <w:pPr>
              <w:pStyle w:val="P68B1DB1-Normal14"/>
              <w:spacing w:after="0" w:line="240" w:lineRule="auto"/>
              <w:jc w:val="both"/>
              <w:rPr>
                <w:rFonts w:eastAsia="Times New Roman"/>
                <w:noProof/>
              </w:rPr>
            </w:pPr>
            <w:r>
              <w:rPr>
                <w:noProof/>
              </w:rPr>
              <w:t>Étape</w:t>
            </w:r>
          </w:p>
        </w:tc>
        <w:tc>
          <w:tcPr>
            <w:tcW w:w="1478" w:type="dxa"/>
            <w:tcBorders>
              <w:top w:val="single" w:sz="4" w:space="0" w:color="auto"/>
              <w:left w:val="nil"/>
              <w:bottom w:val="single" w:sz="4" w:space="0" w:color="auto"/>
              <w:right w:val="single" w:sz="4" w:space="0" w:color="auto"/>
            </w:tcBorders>
            <w:shd w:val="clear" w:color="auto" w:fill="C6EFCE"/>
            <w:noWrap/>
            <w:hideMark/>
          </w:tcPr>
          <w:p w14:paraId="20127770" w14:textId="77777777" w:rsidR="00A345F4" w:rsidRDefault="005E2D4E">
            <w:pPr>
              <w:pStyle w:val="P68B1DB1-Normal14"/>
              <w:spacing w:after="0" w:line="240" w:lineRule="auto"/>
              <w:jc w:val="both"/>
              <w:rPr>
                <w:rFonts w:eastAsia="Times New Roman"/>
                <w:noProof/>
              </w:rPr>
            </w:pPr>
            <w:r>
              <w:rPr>
                <w:noProof/>
              </w:rPr>
              <w:t>Entrée en vigueur d'un acte législatif nécessaire pour empêcher la séparation des enfants de la famille et le soutien aux familles vulnérables</w:t>
            </w:r>
          </w:p>
        </w:tc>
        <w:tc>
          <w:tcPr>
            <w:tcW w:w="1842" w:type="dxa"/>
            <w:tcBorders>
              <w:top w:val="single" w:sz="4" w:space="0" w:color="auto"/>
              <w:left w:val="nil"/>
              <w:bottom w:val="single" w:sz="4" w:space="0" w:color="auto"/>
              <w:right w:val="single" w:sz="4" w:space="0" w:color="auto"/>
            </w:tcBorders>
            <w:shd w:val="clear" w:color="auto" w:fill="C6EFCE"/>
            <w:noWrap/>
            <w:hideMark/>
          </w:tcPr>
          <w:p w14:paraId="7F7CD5BB"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l'acte législatif nécessaire pour empêcher la séparation des enfants de la famille et le soutien aux familles vulnérables</w:t>
            </w:r>
          </w:p>
        </w:tc>
        <w:tc>
          <w:tcPr>
            <w:tcW w:w="1265" w:type="dxa"/>
            <w:tcBorders>
              <w:top w:val="nil"/>
              <w:left w:val="nil"/>
              <w:bottom w:val="single" w:sz="4" w:space="0" w:color="auto"/>
              <w:right w:val="single" w:sz="4" w:space="0" w:color="auto"/>
            </w:tcBorders>
            <w:shd w:val="clear" w:color="auto" w:fill="C6EFCE"/>
            <w:noWrap/>
            <w:hideMark/>
          </w:tcPr>
          <w:p w14:paraId="73206329" w14:textId="77777777" w:rsidR="00A345F4" w:rsidRDefault="005E2D4E">
            <w:pPr>
              <w:pStyle w:val="P68B1DB1-Normal14"/>
              <w:spacing w:after="0" w:line="240" w:lineRule="auto"/>
              <w:jc w:val="both"/>
              <w:rPr>
                <w:rFonts w:eastAsia="Times New Roman"/>
                <w:noProof/>
              </w:rPr>
            </w:pPr>
            <w:r>
              <w:rPr>
                <w:noProof/>
              </w:rPr>
              <w:t xml:space="preserve"> </w:t>
            </w:r>
          </w:p>
        </w:tc>
        <w:tc>
          <w:tcPr>
            <w:tcW w:w="1145" w:type="dxa"/>
            <w:tcBorders>
              <w:top w:val="nil"/>
              <w:left w:val="nil"/>
              <w:bottom w:val="single" w:sz="4" w:space="0" w:color="auto"/>
              <w:right w:val="single" w:sz="4" w:space="0" w:color="auto"/>
            </w:tcBorders>
            <w:shd w:val="clear" w:color="auto" w:fill="C6EFCE"/>
            <w:noWrap/>
            <w:hideMark/>
          </w:tcPr>
          <w:p w14:paraId="3C892264" w14:textId="77777777" w:rsidR="00A345F4" w:rsidRDefault="005E2D4E">
            <w:pPr>
              <w:pStyle w:val="P68B1DB1-Normal14"/>
              <w:spacing w:after="0" w:line="240" w:lineRule="auto"/>
              <w:jc w:val="both"/>
              <w:rPr>
                <w:rFonts w:eastAsia="Times New Roman"/>
                <w:noProof/>
              </w:rPr>
            </w:pPr>
            <w:r>
              <w:rPr>
                <w:noProof/>
              </w:rPr>
              <w:t xml:space="preserve"> </w:t>
            </w:r>
          </w:p>
        </w:tc>
        <w:tc>
          <w:tcPr>
            <w:tcW w:w="992" w:type="dxa"/>
            <w:tcBorders>
              <w:top w:val="nil"/>
              <w:left w:val="nil"/>
              <w:bottom w:val="single" w:sz="4" w:space="0" w:color="auto"/>
              <w:right w:val="single" w:sz="4" w:space="0" w:color="auto"/>
            </w:tcBorders>
            <w:shd w:val="clear" w:color="auto" w:fill="C6EFCE"/>
            <w:noWrap/>
            <w:hideMark/>
          </w:tcPr>
          <w:p w14:paraId="73F931F6" w14:textId="77777777" w:rsidR="00A345F4" w:rsidRDefault="005E2D4E">
            <w:pPr>
              <w:pStyle w:val="P68B1DB1-Normal14"/>
              <w:spacing w:after="0" w:line="240" w:lineRule="auto"/>
              <w:jc w:val="both"/>
              <w:rPr>
                <w:rFonts w:eastAsia="Times New Roman"/>
                <w:noProof/>
              </w:rPr>
            </w:pPr>
            <w:r>
              <w:rPr>
                <w:noProof/>
              </w:rPr>
              <w:t xml:space="preserve"> </w:t>
            </w:r>
          </w:p>
        </w:tc>
        <w:tc>
          <w:tcPr>
            <w:tcW w:w="1101" w:type="dxa"/>
            <w:tcBorders>
              <w:top w:val="nil"/>
              <w:left w:val="nil"/>
              <w:bottom w:val="single" w:sz="4" w:space="0" w:color="auto"/>
              <w:right w:val="single" w:sz="4" w:space="0" w:color="auto"/>
            </w:tcBorders>
            <w:shd w:val="clear" w:color="auto" w:fill="C6EFCE"/>
            <w:noWrap/>
            <w:hideMark/>
          </w:tcPr>
          <w:p w14:paraId="39FEB031" w14:textId="77777777" w:rsidR="00A345F4" w:rsidRDefault="005E2D4E">
            <w:pPr>
              <w:pStyle w:val="P68B1DB1-Normal14"/>
              <w:spacing w:after="0" w:line="240" w:lineRule="auto"/>
              <w:jc w:val="both"/>
              <w:rPr>
                <w:rFonts w:eastAsia="Times New Roman"/>
                <w:noProof/>
              </w:rPr>
            </w:pPr>
            <w:r>
              <w:rPr>
                <w:noProof/>
              </w:rPr>
              <w:t>T4</w:t>
            </w:r>
          </w:p>
        </w:tc>
        <w:tc>
          <w:tcPr>
            <w:tcW w:w="825" w:type="dxa"/>
            <w:tcBorders>
              <w:top w:val="nil"/>
              <w:left w:val="nil"/>
              <w:bottom w:val="single" w:sz="4" w:space="0" w:color="auto"/>
              <w:right w:val="single" w:sz="4" w:space="0" w:color="auto"/>
            </w:tcBorders>
            <w:shd w:val="clear" w:color="auto" w:fill="C6EFCE"/>
            <w:noWrap/>
            <w:hideMark/>
          </w:tcPr>
          <w:p w14:paraId="7ABA0B28" w14:textId="77777777" w:rsidR="00A345F4" w:rsidRDefault="005E2D4E">
            <w:pPr>
              <w:pStyle w:val="P68B1DB1-Normal14"/>
              <w:spacing w:after="0" w:line="240" w:lineRule="auto"/>
              <w:jc w:val="both"/>
              <w:rPr>
                <w:rFonts w:eastAsia="Times New Roman"/>
                <w:noProof/>
              </w:rPr>
            </w:pPr>
            <w:r>
              <w:rPr>
                <w:noProof/>
              </w:rPr>
              <w:t>2022</w:t>
            </w:r>
          </w:p>
        </w:tc>
        <w:tc>
          <w:tcPr>
            <w:tcW w:w="2693" w:type="dxa"/>
            <w:tcBorders>
              <w:top w:val="single" w:sz="4" w:space="0" w:color="auto"/>
              <w:left w:val="nil"/>
              <w:bottom w:val="single" w:sz="4" w:space="0" w:color="auto"/>
              <w:right w:val="single" w:sz="4" w:space="0" w:color="auto"/>
            </w:tcBorders>
            <w:shd w:val="clear" w:color="auto" w:fill="C6EFCE"/>
            <w:noWrap/>
            <w:hideMark/>
          </w:tcPr>
          <w:p w14:paraId="4E4B090C" w14:textId="77777777" w:rsidR="00A345F4" w:rsidRDefault="005E2D4E">
            <w:pPr>
              <w:pStyle w:val="P68B1DB1-Normal14"/>
              <w:spacing w:after="0" w:line="240" w:lineRule="auto"/>
              <w:jc w:val="both"/>
              <w:rPr>
                <w:noProof/>
              </w:rPr>
            </w:pPr>
            <w:r>
              <w:rPr>
                <w:noProof/>
              </w:rPr>
              <w:t xml:space="preserve">La nouvelle loi doit créer un cadre pour mettre en œuvre des mesures (y compris, par exemple, des conseils et un soutien aux parents et aux enfants, des centres de jour pour les enfants risquant de se séparer de leurs parents, des centres de jour pour les enfants handicapés) afin de prévenir efficacement la séparation de l’enfant de la famille et d’aider la famille à élever et à prendre soin de l’enfant risquant de se séparer. L'acte législatif comporte: </w:t>
            </w:r>
          </w:p>
          <w:p w14:paraId="2FA6F397" w14:textId="77777777" w:rsidR="00A345F4" w:rsidRDefault="005E2D4E">
            <w:pPr>
              <w:pStyle w:val="P68B1DB1-Normal14"/>
              <w:numPr>
                <w:ilvl w:val="0"/>
                <w:numId w:val="58"/>
              </w:numPr>
              <w:spacing w:before="120" w:after="0" w:line="240" w:lineRule="auto"/>
              <w:ind w:left="230" w:hanging="218"/>
              <w:contextualSpacing/>
              <w:jc w:val="both"/>
              <w:rPr>
                <w:rFonts w:eastAsia="Times New Roman"/>
                <w:noProof/>
              </w:rPr>
            </w:pPr>
            <w:r>
              <w:rPr>
                <w:noProof/>
              </w:rPr>
              <w:t xml:space="preserve">une source stable de financement identifiée pour les mesures </w:t>
            </w:r>
          </w:p>
          <w:p w14:paraId="32DBC6B7" w14:textId="77777777" w:rsidR="00A345F4" w:rsidRDefault="005E2D4E">
            <w:pPr>
              <w:pStyle w:val="P68B1DB1-Normal14"/>
              <w:numPr>
                <w:ilvl w:val="0"/>
                <w:numId w:val="58"/>
              </w:numPr>
              <w:spacing w:before="120" w:after="0" w:line="240" w:lineRule="auto"/>
              <w:ind w:left="230" w:hanging="218"/>
              <w:contextualSpacing/>
              <w:jc w:val="both"/>
              <w:rPr>
                <w:noProof/>
              </w:rPr>
            </w:pPr>
            <w:r>
              <w:rPr>
                <w:noProof/>
              </w:rPr>
              <w:t>un mécanisme de gouvernance avec des responsabilités claires attribuées aux autorités publiques aux niveaux national et local;</w:t>
            </w:r>
          </w:p>
          <w:p w14:paraId="346332AC" w14:textId="77777777" w:rsidR="00A345F4" w:rsidRDefault="005E2D4E">
            <w:pPr>
              <w:pStyle w:val="P68B1DB1-Normal14"/>
              <w:numPr>
                <w:ilvl w:val="0"/>
                <w:numId w:val="58"/>
              </w:numPr>
              <w:spacing w:before="120" w:after="0" w:line="240" w:lineRule="auto"/>
              <w:ind w:left="230" w:hanging="218"/>
              <w:contextualSpacing/>
              <w:jc w:val="both"/>
              <w:rPr>
                <w:rFonts w:eastAsia="Times New Roman"/>
                <w:noProof/>
              </w:rPr>
            </w:pPr>
            <w:r>
              <w:rPr>
                <w:noProof/>
              </w:rPr>
              <w:t>un mécanisme de décaissement du financement subordonné à la réalisation des indicateurs de performance clés associés aux objectifs stratégiques.</w:t>
            </w:r>
          </w:p>
        </w:tc>
      </w:tr>
      <w:tr w:rsidR="00A345F4" w14:paraId="363E21F7"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5E7A11A9" w14:textId="77777777" w:rsidR="00A345F4" w:rsidRDefault="005E2D4E">
            <w:pPr>
              <w:pStyle w:val="P68B1DB1-Normal14"/>
              <w:spacing w:after="0" w:line="240" w:lineRule="auto"/>
              <w:jc w:val="center"/>
              <w:rPr>
                <w:rFonts w:eastAsia="Times New Roman"/>
                <w:noProof/>
              </w:rPr>
            </w:pPr>
            <w:r>
              <w:rPr>
                <w:noProof/>
              </w:rPr>
              <w:t>379</w:t>
            </w:r>
          </w:p>
        </w:tc>
        <w:tc>
          <w:tcPr>
            <w:tcW w:w="1875" w:type="dxa"/>
            <w:tcBorders>
              <w:top w:val="nil"/>
              <w:left w:val="nil"/>
              <w:bottom w:val="single" w:sz="4" w:space="0" w:color="auto"/>
              <w:right w:val="single" w:sz="4" w:space="0" w:color="auto"/>
            </w:tcBorders>
            <w:shd w:val="clear" w:color="auto" w:fill="C6EFCE"/>
            <w:noWrap/>
            <w:hideMark/>
          </w:tcPr>
          <w:p w14:paraId="0C046CBF" w14:textId="77777777" w:rsidR="00A345F4" w:rsidRDefault="005E2D4E">
            <w:pPr>
              <w:pStyle w:val="P68B1DB1-Normal14"/>
              <w:spacing w:after="0" w:line="240" w:lineRule="auto"/>
              <w:jc w:val="both"/>
              <w:rPr>
                <w:rFonts w:eastAsia="Times New Roman"/>
                <w:noProof/>
              </w:rPr>
            </w:pPr>
            <w:r>
              <w:rPr>
                <w:noProof/>
              </w:rPr>
              <w:t>Réforme 1. Créer un nouveau cadre juridique pour empêcher la séparation des enfants de leur famille</w:t>
            </w:r>
          </w:p>
        </w:tc>
        <w:tc>
          <w:tcPr>
            <w:tcW w:w="1183" w:type="dxa"/>
            <w:tcBorders>
              <w:top w:val="nil"/>
              <w:left w:val="nil"/>
              <w:bottom w:val="single" w:sz="4" w:space="0" w:color="auto"/>
              <w:right w:val="single" w:sz="4" w:space="0" w:color="auto"/>
            </w:tcBorders>
            <w:shd w:val="clear" w:color="auto" w:fill="C6EFCE"/>
            <w:noWrap/>
            <w:hideMark/>
          </w:tcPr>
          <w:p w14:paraId="20CC8187" w14:textId="77777777" w:rsidR="00A345F4" w:rsidRDefault="005E2D4E">
            <w:pPr>
              <w:pStyle w:val="P68B1DB1-Normal14"/>
              <w:spacing w:after="0" w:line="240" w:lineRule="auto"/>
              <w:jc w:val="both"/>
              <w:rPr>
                <w:rFonts w:eastAsia="Times New Roman"/>
                <w:noProof/>
              </w:rPr>
            </w:pPr>
            <w:r>
              <w:rPr>
                <w:noProof/>
              </w:rPr>
              <w:t>Objectif</w:t>
            </w:r>
          </w:p>
        </w:tc>
        <w:tc>
          <w:tcPr>
            <w:tcW w:w="1478" w:type="dxa"/>
            <w:tcBorders>
              <w:top w:val="nil"/>
              <w:left w:val="nil"/>
              <w:bottom w:val="single" w:sz="4" w:space="0" w:color="auto"/>
              <w:right w:val="single" w:sz="4" w:space="0" w:color="auto"/>
            </w:tcBorders>
            <w:shd w:val="clear" w:color="auto" w:fill="C6EFCE"/>
            <w:noWrap/>
            <w:hideMark/>
          </w:tcPr>
          <w:p w14:paraId="6091DCFA" w14:textId="77777777" w:rsidR="00A345F4" w:rsidRDefault="005E2D4E">
            <w:pPr>
              <w:pStyle w:val="P68B1DB1-Normal14"/>
              <w:spacing w:after="0" w:line="240" w:lineRule="auto"/>
              <w:jc w:val="both"/>
              <w:rPr>
                <w:rFonts w:eastAsia="Times New Roman"/>
                <w:noProof/>
              </w:rPr>
            </w:pPr>
            <w:r>
              <w:rPr>
                <w:noProof/>
              </w:rPr>
              <w:t xml:space="preserve">Réduction du nombre d'enfants entrant dans le système de protection sociale </w:t>
            </w:r>
          </w:p>
        </w:tc>
        <w:tc>
          <w:tcPr>
            <w:tcW w:w="1842" w:type="dxa"/>
            <w:tcBorders>
              <w:top w:val="nil"/>
              <w:left w:val="nil"/>
              <w:bottom w:val="single" w:sz="4" w:space="0" w:color="auto"/>
              <w:right w:val="single" w:sz="4" w:space="0" w:color="auto"/>
            </w:tcBorders>
            <w:shd w:val="clear" w:color="auto" w:fill="C6EFCE"/>
            <w:noWrap/>
            <w:hideMark/>
          </w:tcPr>
          <w:p w14:paraId="56D740DB"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65" w:type="dxa"/>
            <w:tcBorders>
              <w:top w:val="nil"/>
              <w:left w:val="nil"/>
              <w:bottom w:val="single" w:sz="4" w:space="0" w:color="auto"/>
              <w:right w:val="single" w:sz="4" w:space="0" w:color="auto"/>
            </w:tcBorders>
            <w:shd w:val="clear" w:color="auto" w:fill="C6EFCE"/>
            <w:noWrap/>
            <w:hideMark/>
          </w:tcPr>
          <w:p w14:paraId="1ADFE9D4" w14:textId="77777777" w:rsidR="00A345F4" w:rsidRDefault="005E2D4E">
            <w:pPr>
              <w:pStyle w:val="P68B1DB1-Normal14"/>
              <w:spacing w:after="0" w:line="240" w:lineRule="auto"/>
              <w:jc w:val="both"/>
              <w:rPr>
                <w:rFonts w:eastAsia="Times New Roman"/>
                <w:noProof/>
              </w:rPr>
            </w:pPr>
            <w:r>
              <w:rPr>
                <w:noProof/>
              </w:rPr>
              <w:t>Numéro</w:t>
            </w:r>
          </w:p>
        </w:tc>
        <w:tc>
          <w:tcPr>
            <w:tcW w:w="1145" w:type="dxa"/>
            <w:tcBorders>
              <w:top w:val="nil"/>
              <w:left w:val="nil"/>
              <w:bottom w:val="single" w:sz="4" w:space="0" w:color="auto"/>
              <w:right w:val="single" w:sz="4" w:space="0" w:color="auto"/>
            </w:tcBorders>
            <w:shd w:val="clear" w:color="auto" w:fill="C6EFCE"/>
            <w:noWrap/>
            <w:hideMark/>
          </w:tcPr>
          <w:p w14:paraId="1B1A1C72" w14:textId="69A942A1" w:rsidR="00A345F4" w:rsidRDefault="005E2D4E">
            <w:pPr>
              <w:pStyle w:val="P68B1DB1-Normal14"/>
              <w:spacing w:after="0" w:line="240" w:lineRule="auto"/>
              <w:jc w:val="both"/>
              <w:rPr>
                <w:rFonts w:eastAsia="Times New Roman"/>
                <w:noProof/>
              </w:rPr>
            </w:pPr>
            <w:r>
              <w:rPr>
                <w:noProof/>
              </w:rPr>
              <w:t>12 139</w:t>
            </w:r>
          </w:p>
        </w:tc>
        <w:tc>
          <w:tcPr>
            <w:tcW w:w="992" w:type="dxa"/>
            <w:tcBorders>
              <w:top w:val="nil"/>
              <w:left w:val="nil"/>
              <w:bottom w:val="single" w:sz="4" w:space="0" w:color="auto"/>
              <w:right w:val="single" w:sz="4" w:space="0" w:color="auto"/>
            </w:tcBorders>
            <w:shd w:val="clear" w:color="auto" w:fill="C6EFCE"/>
            <w:noWrap/>
            <w:hideMark/>
          </w:tcPr>
          <w:p w14:paraId="53C1FE41" w14:textId="20AD1062" w:rsidR="00A345F4" w:rsidRDefault="005E2D4E">
            <w:pPr>
              <w:pStyle w:val="P68B1DB1-Normal14"/>
              <w:spacing w:after="0" w:line="240" w:lineRule="auto"/>
              <w:jc w:val="both"/>
              <w:rPr>
                <w:rFonts w:eastAsia="Times New Roman"/>
                <w:noProof/>
              </w:rPr>
            </w:pPr>
            <w:r>
              <w:rPr>
                <w:noProof/>
              </w:rPr>
              <w:t xml:space="preserve">6 100 </w:t>
            </w:r>
          </w:p>
        </w:tc>
        <w:tc>
          <w:tcPr>
            <w:tcW w:w="1101" w:type="dxa"/>
            <w:tcBorders>
              <w:top w:val="nil"/>
              <w:left w:val="nil"/>
              <w:bottom w:val="single" w:sz="4" w:space="0" w:color="auto"/>
              <w:right w:val="single" w:sz="4" w:space="0" w:color="auto"/>
            </w:tcBorders>
            <w:shd w:val="clear" w:color="auto" w:fill="C6EFCE"/>
            <w:noWrap/>
            <w:hideMark/>
          </w:tcPr>
          <w:p w14:paraId="5443F055" w14:textId="77777777" w:rsidR="00A345F4" w:rsidRDefault="005E2D4E">
            <w:pPr>
              <w:pStyle w:val="P68B1DB1-Normal14"/>
              <w:spacing w:after="0" w:line="240" w:lineRule="auto"/>
              <w:jc w:val="both"/>
              <w:rPr>
                <w:noProof/>
              </w:rPr>
            </w:pPr>
            <w:r>
              <w:rPr>
                <w:noProof/>
              </w:rPr>
              <w:t>T1</w:t>
            </w:r>
          </w:p>
        </w:tc>
        <w:tc>
          <w:tcPr>
            <w:tcW w:w="825" w:type="dxa"/>
            <w:tcBorders>
              <w:top w:val="nil"/>
              <w:left w:val="nil"/>
              <w:bottom w:val="single" w:sz="4" w:space="0" w:color="auto"/>
              <w:right w:val="single" w:sz="4" w:space="0" w:color="auto"/>
            </w:tcBorders>
            <w:shd w:val="clear" w:color="auto" w:fill="C6EFCE"/>
            <w:noWrap/>
            <w:hideMark/>
          </w:tcPr>
          <w:p w14:paraId="4D67DC39" w14:textId="77777777" w:rsidR="00A345F4" w:rsidRDefault="005E2D4E">
            <w:pPr>
              <w:pStyle w:val="P68B1DB1-Normal14"/>
              <w:spacing w:after="0" w:line="240" w:lineRule="auto"/>
              <w:jc w:val="both"/>
              <w:rPr>
                <w:rFonts w:eastAsia="Times New Roman"/>
                <w:noProof/>
              </w:rPr>
            </w:pPr>
            <w:r>
              <w:rPr>
                <w:noProof/>
              </w:rPr>
              <w:t>2026</w:t>
            </w:r>
          </w:p>
        </w:tc>
        <w:tc>
          <w:tcPr>
            <w:tcW w:w="2693" w:type="dxa"/>
            <w:tcBorders>
              <w:top w:val="nil"/>
              <w:left w:val="nil"/>
              <w:bottom w:val="single" w:sz="4" w:space="0" w:color="auto"/>
              <w:right w:val="single" w:sz="4" w:space="0" w:color="auto"/>
            </w:tcBorders>
            <w:shd w:val="clear" w:color="auto" w:fill="C6EFCE"/>
            <w:noWrap/>
            <w:hideMark/>
          </w:tcPr>
          <w:p w14:paraId="24784D67" w14:textId="6687FCD5" w:rsidR="00A345F4" w:rsidRDefault="005E2D4E">
            <w:pPr>
              <w:pStyle w:val="P68B1DB1-Normal19"/>
              <w:spacing w:after="0" w:line="240" w:lineRule="auto"/>
              <w:jc w:val="both"/>
              <w:rPr>
                <w:noProof/>
              </w:rPr>
            </w:pPr>
            <w:r>
              <w:rPr>
                <w:noProof/>
              </w:rPr>
              <w:t>Le nombre d’enfants entrant dans le système de protection sociale a diminué de 6 039 par rapport au 31.12.2020, selon les données fournies par les autorités locales et vérifiées par l’Autorité nationale de protection des droits de l’enfant et de l’adoption (ANPDCA).</w:t>
            </w:r>
          </w:p>
        </w:tc>
      </w:tr>
      <w:tr w:rsidR="00A345F4" w14:paraId="799F547C"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8A9C764" w14:textId="77777777" w:rsidR="00A345F4" w:rsidRDefault="005E2D4E">
            <w:pPr>
              <w:pStyle w:val="P68B1DB1-Normal14"/>
              <w:spacing w:after="0" w:line="240" w:lineRule="auto"/>
              <w:jc w:val="center"/>
              <w:rPr>
                <w:rFonts w:eastAsia="Times New Roman"/>
                <w:noProof/>
              </w:rPr>
            </w:pPr>
            <w:r>
              <w:rPr>
                <w:noProof/>
              </w:rPr>
              <w:t>380</w:t>
            </w:r>
          </w:p>
        </w:tc>
        <w:tc>
          <w:tcPr>
            <w:tcW w:w="1875" w:type="dxa"/>
            <w:tcBorders>
              <w:top w:val="nil"/>
              <w:left w:val="nil"/>
              <w:bottom w:val="single" w:sz="4" w:space="0" w:color="auto"/>
              <w:right w:val="single" w:sz="4" w:space="0" w:color="auto"/>
            </w:tcBorders>
            <w:shd w:val="clear" w:color="auto" w:fill="C6EFCE"/>
            <w:noWrap/>
          </w:tcPr>
          <w:p w14:paraId="745305D1" w14:textId="77777777" w:rsidR="00A345F4" w:rsidRDefault="005E2D4E">
            <w:pPr>
              <w:pStyle w:val="P68B1DB1-Normal14"/>
              <w:spacing w:after="0" w:line="240" w:lineRule="auto"/>
              <w:jc w:val="both"/>
              <w:rPr>
                <w:noProof/>
              </w:rPr>
            </w:pPr>
            <w:r>
              <w:rPr>
                <w:noProof/>
              </w:rPr>
              <w:t xml:space="preserve">Réforme 2. Réforme du système de protection des adultes handicapés </w:t>
            </w:r>
          </w:p>
        </w:tc>
        <w:tc>
          <w:tcPr>
            <w:tcW w:w="1183" w:type="dxa"/>
            <w:tcBorders>
              <w:top w:val="nil"/>
              <w:left w:val="nil"/>
              <w:bottom w:val="single" w:sz="4" w:space="0" w:color="auto"/>
              <w:right w:val="single" w:sz="4" w:space="0" w:color="auto"/>
            </w:tcBorders>
            <w:shd w:val="clear" w:color="auto" w:fill="C6EFCE"/>
            <w:noWrap/>
          </w:tcPr>
          <w:p w14:paraId="30130F80" w14:textId="77777777" w:rsidR="00A345F4" w:rsidRDefault="005E2D4E">
            <w:pPr>
              <w:pStyle w:val="P68B1DB1-Normal14"/>
              <w:spacing w:after="0" w:line="240" w:lineRule="auto"/>
              <w:jc w:val="both"/>
              <w:rPr>
                <w:noProof/>
              </w:rPr>
            </w:pPr>
            <w:r>
              <w:rPr>
                <w:noProof/>
              </w:rPr>
              <w:t>Étape</w:t>
            </w:r>
          </w:p>
        </w:tc>
        <w:tc>
          <w:tcPr>
            <w:tcW w:w="1478" w:type="dxa"/>
            <w:tcBorders>
              <w:top w:val="nil"/>
              <w:left w:val="nil"/>
              <w:bottom w:val="single" w:sz="4" w:space="0" w:color="auto"/>
              <w:right w:val="single" w:sz="4" w:space="0" w:color="auto"/>
            </w:tcBorders>
            <w:shd w:val="clear" w:color="auto" w:fill="C6EFCE"/>
            <w:noWrap/>
          </w:tcPr>
          <w:p w14:paraId="66465C9E" w14:textId="77777777" w:rsidR="00A345F4" w:rsidRDefault="005E2D4E">
            <w:pPr>
              <w:pStyle w:val="P68B1DB1-Normal14"/>
              <w:spacing w:after="0" w:line="240" w:lineRule="auto"/>
              <w:jc w:val="both"/>
              <w:rPr>
                <w:noProof/>
              </w:rPr>
            </w:pPr>
            <w:r>
              <w:rPr>
                <w:noProof/>
              </w:rPr>
              <w:t xml:space="preserve">Entrée en vigueur de la loi relative à la mise en œuvre et à l’opérationnalisation du guide pour l’accélération du processus de désinstitutionnalisation </w:t>
            </w:r>
          </w:p>
        </w:tc>
        <w:tc>
          <w:tcPr>
            <w:tcW w:w="1842" w:type="dxa"/>
            <w:tcBorders>
              <w:top w:val="nil"/>
              <w:left w:val="nil"/>
              <w:bottom w:val="single" w:sz="4" w:space="0" w:color="auto"/>
              <w:right w:val="single" w:sz="4" w:space="0" w:color="auto"/>
            </w:tcBorders>
            <w:shd w:val="clear" w:color="auto" w:fill="C6EFCE"/>
            <w:noWrap/>
          </w:tcPr>
          <w:p w14:paraId="345BFF4D" w14:textId="77777777" w:rsidR="00A345F4" w:rsidRDefault="005E2D4E">
            <w:pPr>
              <w:pStyle w:val="P68B1DB1-Normal14"/>
              <w:spacing w:after="0" w:line="240" w:lineRule="auto"/>
              <w:jc w:val="both"/>
              <w:rPr>
                <w:rFonts w:eastAsia="Times New Roman"/>
                <w:noProof/>
              </w:rPr>
            </w:pPr>
            <w:r>
              <w:rPr>
                <w:noProof/>
              </w:rPr>
              <w:t xml:space="preserve">Disposition de la loi indiquant l’entrée en vigueur de l’acte législatif </w:t>
            </w:r>
          </w:p>
        </w:tc>
        <w:tc>
          <w:tcPr>
            <w:tcW w:w="1265" w:type="dxa"/>
            <w:tcBorders>
              <w:top w:val="nil"/>
              <w:left w:val="nil"/>
              <w:bottom w:val="single" w:sz="4" w:space="0" w:color="auto"/>
              <w:right w:val="single" w:sz="4" w:space="0" w:color="auto"/>
            </w:tcBorders>
            <w:shd w:val="clear" w:color="auto" w:fill="C6EFCE"/>
            <w:noWrap/>
          </w:tcPr>
          <w:p w14:paraId="485E0803" w14:textId="77777777" w:rsidR="00A345F4" w:rsidRDefault="005E2D4E">
            <w:pPr>
              <w:pStyle w:val="P68B1DB1-Normal14"/>
              <w:spacing w:after="0" w:line="240" w:lineRule="auto"/>
              <w:jc w:val="both"/>
              <w:rPr>
                <w:noProof/>
              </w:rPr>
            </w:pPr>
            <w:r>
              <w:rPr>
                <w:noProof/>
              </w:rPr>
              <w:t xml:space="preserve"> </w:t>
            </w:r>
          </w:p>
        </w:tc>
        <w:tc>
          <w:tcPr>
            <w:tcW w:w="1145" w:type="dxa"/>
            <w:tcBorders>
              <w:top w:val="nil"/>
              <w:left w:val="nil"/>
              <w:bottom w:val="single" w:sz="4" w:space="0" w:color="auto"/>
              <w:right w:val="single" w:sz="4" w:space="0" w:color="auto"/>
            </w:tcBorders>
            <w:shd w:val="clear" w:color="auto" w:fill="C6EFCE"/>
            <w:noWrap/>
          </w:tcPr>
          <w:p w14:paraId="5A66292A" w14:textId="77777777" w:rsidR="00A345F4" w:rsidRDefault="005E2D4E">
            <w:pPr>
              <w:pStyle w:val="P68B1DB1-Normal14"/>
              <w:spacing w:after="0" w:line="240" w:lineRule="auto"/>
              <w:jc w:val="both"/>
              <w:rPr>
                <w:noProof/>
              </w:rPr>
            </w:pPr>
            <w:r>
              <w:rPr>
                <w:noProof/>
              </w:rPr>
              <w:t xml:space="preserve"> </w:t>
            </w:r>
          </w:p>
        </w:tc>
        <w:tc>
          <w:tcPr>
            <w:tcW w:w="992" w:type="dxa"/>
            <w:tcBorders>
              <w:top w:val="nil"/>
              <w:left w:val="nil"/>
              <w:bottom w:val="single" w:sz="4" w:space="0" w:color="auto"/>
              <w:right w:val="single" w:sz="4" w:space="0" w:color="auto"/>
            </w:tcBorders>
            <w:shd w:val="clear" w:color="auto" w:fill="C6EFCE"/>
            <w:noWrap/>
          </w:tcPr>
          <w:p w14:paraId="1C461470" w14:textId="77777777" w:rsidR="00A345F4" w:rsidRDefault="005E2D4E">
            <w:pPr>
              <w:pStyle w:val="P68B1DB1-Normal14"/>
              <w:spacing w:after="0" w:line="240" w:lineRule="auto"/>
              <w:jc w:val="both"/>
              <w:rPr>
                <w:noProof/>
              </w:rPr>
            </w:pPr>
            <w:r>
              <w:rPr>
                <w:noProof/>
              </w:rPr>
              <w:t xml:space="preserve"> </w:t>
            </w:r>
          </w:p>
        </w:tc>
        <w:tc>
          <w:tcPr>
            <w:tcW w:w="1101" w:type="dxa"/>
            <w:tcBorders>
              <w:top w:val="nil"/>
              <w:left w:val="nil"/>
              <w:bottom w:val="single" w:sz="4" w:space="0" w:color="auto"/>
              <w:right w:val="single" w:sz="4" w:space="0" w:color="auto"/>
            </w:tcBorders>
            <w:shd w:val="clear" w:color="auto" w:fill="C6EFCE"/>
            <w:noWrap/>
          </w:tcPr>
          <w:p w14:paraId="478AE0E8" w14:textId="77777777" w:rsidR="00A345F4" w:rsidRDefault="005E2D4E">
            <w:pPr>
              <w:pStyle w:val="P68B1DB1-Normal14"/>
              <w:spacing w:after="0" w:line="240" w:lineRule="auto"/>
              <w:jc w:val="both"/>
              <w:rPr>
                <w:noProof/>
              </w:rPr>
            </w:pPr>
            <w:r>
              <w:rPr>
                <w:noProof/>
              </w:rPr>
              <w:t>T4</w:t>
            </w:r>
          </w:p>
        </w:tc>
        <w:tc>
          <w:tcPr>
            <w:tcW w:w="825" w:type="dxa"/>
            <w:tcBorders>
              <w:top w:val="nil"/>
              <w:left w:val="nil"/>
              <w:bottom w:val="single" w:sz="4" w:space="0" w:color="auto"/>
              <w:right w:val="single" w:sz="4" w:space="0" w:color="auto"/>
            </w:tcBorders>
            <w:shd w:val="clear" w:color="auto" w:fill="C6EFCE"/>
            <w:noWrap/>
          </w:tcPr>
          <w:p w14:paraId="35E3046A" w14:textId="77777777" w:rsidR="00A345F4" w:rsidRDefault="005E2D4E">
            <w:pPr>
              <w:pStyle w:val="P68B1DB1-Normal14"/>
              <w:spacing w:after="0" w:line="240" w:lineRule="auto"/>
              <w:jc w:val="both"/>
              <w:rPr>
                <w:noProof/>
              </w:rPr>
            </w:pPr>
            <w:r>
              <w:rPr>
                <w:noProof/>
              </w:rPr>
              <w:t>2022</w:t>
            </w:r>
          </w:p>
        </w:tc>
        <w:tc>
          <w:tcPr>
            <w:tcW w:w="2693" w:type="dxa"/>
            <w:tcBorders>
              <w:top w:val="nil"/>
              <w:left w:val="nil"/>
              <w:bottom w:val="single" w:sz="4" w:space="0" w:color="auto"/>
              <w:right w:val="single" w:sz="4" w:space="0" w:color="auto"/>
            </w:tcBorders>
            <w:shd w:val="clear" w:color="auto" w:fill="C6EFCE"/>
            <w:noWrap/>
          </w:tcPr>
          <w:p w14:paraId="612D3212" w14:textId="77777777" w:rsidR="00A345F4" w:rsidRDefault="005E2D4E">
            <w:pPr>
              <w:pStyle w:val="P68B1DB1-Normal14"/>
              <w:spacing w:after="0" w:line="240" w:lineRule="auto"/>
              <w:jc w:val="both"/>
              <w:rPr>
                <w:noProof/>
              </w:rPr>
            </w:pPr>
            <w:r>
              <w:rPr>
                <w:noProof/>
              </w:rPr>
              <w:t>Entrée en vigueur de la loi relative à la mise en œuvre et à l’opérationnalisation du guide pour l’accélération du processus de désinstitutionnalisation, de toutes les personnes handicapées actuellement institutionnalisées de manière à ce qu’un «chemin de vie indépendant» soit défini pour chaque personne et fondé sur une approche de gestion des cas. Le guide visant à accélérer le processus de désinstitutionnalisation sera annexé à la stratégie nationale, les deux étant approuvés par une décision du gouvernement.</w:t>
            </w:r>
          </w:p>
          <w:p w14:paraId="1DE6B508" w14:textId="77777777" w:rsidR="00A345F4" w:rsidRDefault="005E2D4E">
            <w:pPr>
              <w:pStyle w:val="P68B1DB1-Normal14"/>
              <w:spacing w:after="0" w:line="240" w:lineRule="auto"/>
              <w:jc w:val="both"/>
              <w:rPr>
                <w:noProof/>
              </w:rPr>
            </w:pPr>
            <w:r>
              <w:rPr>
                <w:noProof/>
              </w:rPr>
              <w:t xml:space="preserve">L'acte législatif comporte également: </w:t>
            </w:r>
          </w:p>
          <w:p w14:paraId="36BBBB3D" w14:textId="77777777" w:rsidR="00A345F4" w:rsidRDefault="005E2D4E">
            <w:pPr>
              <w:pStyle w:val="P68B1DB1-Normal14"/>
              <w:numPr>
                <w:ilvl w:val="0"/>
                <w:numId w:val="58"/>
              </w:numPr>
              <w:spacing w:before="120" w:after="0" w:line="240" w:lineRule="auto"/>
              <w:ind w:left="230" w:hanging="218"/>
              <w:contextualSpacing/>
              <w:jc w:val="both"/>
              <w:rPr>
                <w:rFonts w:eastAsia="Times New Roman"/>
                <w:noProof/>
              </w:rPr>
            </w:pPr>
            <w:r>
              <w:rPr>
                <w:noProof/>
              </w:rPr>
              <w:t xml:space="preserve">une source stable de financement identifiée pour les mesures prévues dans la ligne directrice; </w:t>
            </w:r>
          </w:p>
          <w:p w14:paraId="5B0AEA00" w14:textId="77777777" w:rsidR="00A345F4" w:rsidRDefault="005E2D4E">
            <w:pPr>
              <w:pStyle w:val="P68B1DB1-Normal14"/>
              <w:numPr>
                <w:ilvl w:val="0"/>
                <w:numId w:val="58"/>
              </w:numPr>
              <w:spacing w:before="120" w:after="0" w:line="240" w:lineRule="auto"/>
              <w:ind w:left="230" w:hanging="218"/>
              <w:contextualSpacing/>
              <w:jc w:val="both"/>
              <w:rPr>
                <w:noProof/>
              </w:rPr>
            </w:pPr>
            <w:r>
              <w:rPr>
                <w:noProof/>
              </w:rPr>
              <w:t>un mécanisme de gouvernance avec des responsabilités claires attribuées aux autorités publiques aux niveaux national et local;</w:t>
            </w:r>
          </w:p>
          <w:p w14:paraId="4CBFEFD8" w14:textId="77777777" w:rsidR="00A345F4" w:rsidRDefault="005E2D4E">
            <w:pPr>
              <w:pStyle w:val="P68B1DB1-Normal14"/>
              <w:numPr>
                <w:ilvl w:val="0"/>
                <w:numId w:val="58"/>
              </w:numPr>
              <w:spacing w:before="120" w:after="0" w:line="240" w:lineRule="auto"/>
              <w:ind w:left="230" w:hanging="218"/>
              <w:contextualSpacing/>
              <w:jc w:val="both"/>
              <w:rPr>
                <w:rFonts w:eastAsia="Times New Roman"/>
                <w:noProof/>
              </w:rPr>
            </w:pPr>
            <w:r>
              <w:rPr>
                <w:noProof/>
              </w:rPr>
              <w:t xml:space="preserve">un mécanisme de décaissement du financement subordonné à la réalisation d’indicateurs de performance clés associés aux objectifs stratégiques. </w:t>
            </w:r>
          </w:p>
          <w:p w14:paraId="7A61163E" w14:textId="77777777" w:rsidR="00A345F4" w:rsidRDefault="005E2D4E">
            <w:pPr>
              <w:pStyle w:val="P68B1DB1-Normal14"/>
              <w:spacing w:after="0" w:line="240" w:lineRule="auto"/>
              <w:jc w:val="both"/>
              <w:rPr>
                <w:noProof/>
              </w:rPr>
            </w:pPr>
            <w:r>
              <w:rPr>
                <w:noProof/>
              </w:rPr>
              <w:t>L'acte législatif est fondé sur une cartographie complète de la situation individuelle de toutes les personnes handicapées actuellement placées en institution en Roumanie.</w:t>
            </w:r>
          </w:p>
        </w:tc>
      </w:tr>
      <w:tr w:rsidR="00A345F4" w14:paraId="7ABFBE0C"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707924EF" w14:textId="77777777" w:rsidR="00A345F4" w:rsidRDefault="005E2D4E">
            <w:pPr>
              <w:pStyle w:val="P68B1DB1-Normal14"/>
              <w:spacing w:after="0" w:line="240" w:lineRule="auto"/>
              <w:jc w:val="center"/>
              <w:rPr>
                <w:noProof/>
              </w:rPr>
            </w:pPr>
            <w:r>
              <w:rPr>
                <w:noProof/>
              </w:rPr>
              <w:t>381</w:t>
            </w:r>
          </w:p>
        </w:tc>
        <w:tc>
          <w:tcPr>
            <w:tcW w:w="1875" w:type="dxa"/>
            <w:tcBorders>
              <w:top w:val="nil"/>
              <w:left w:val="nil"/>
              <w:bottom w:val="single" w:sz="4" w:space="0" w:color="auto"/>
              <w:right w:val="single" w:sz="4" w:space="0" w:color="auto"/>
            </w:tcBorders>
            <w:shd w:val="clear" w:color="auto" w:fill="C6EFCE"/>
            <w:noWrap/>
          </w:tcPr>
          <w:p w14:paraId="728AE9D2" w14:textId="77777777" w:rsidR="00A345F4" w:rsidRDefault="005E2D4E">
            <w:pPr>
              <w:pStyle w:val="P68B1DB1-Normal14"/>
              <w:spacing w:after="0" w:line="240" w:lineRule="auto"/>
              <w:jc w:val="both"/>
              <w:rPr>
                <w:noProof/>
              </w:rPr>
            </w:pPr>
            <w:r>
              <w:rPr>
                <w:noProof/>
              </w:rPr>
              <w:t xml:space="preserve">Réforme 2. Réforme du système de protection des adultes handicapés </w:t>
            </w:r>
          </w:p>
        </w:tc>
        <w:tc>
          <w:tcPr>
            <w:tcW w:w="1183" w:type="dxa"/>
            <w:tcBorders>
              <w:top w:val="nil"/>
              <w:left w:val="nil"/>
              <w:bottom w:val="single" w:sz="4" w:space="0" w:color="auto"/>
              <w:right w:val="single" w:sz="4" w:space="0" w:color="auto"/>
            </w:tcBorders>
            <w:shd w:val="clear" w:color="auto" w:fill="C6EFCE"/>
            <w:noWrap/>
          </w:tcPr>
          <w:p w14:paraId="56390703" w14:textId="77777777" w:rsidR="00A345F4" w:rsidRDefault="005E2D4E">
            <w:pPr>
              <w:pStyle w:val="P68B1DB1-Normal14"/>
              <w:spacing w:after="0" w:line="240" w:lineRule="auto"/>
              <w:jc w:val="both"/>
              <w:rPr>
                <w:noProof/>
              </w:rPr>
            </w:pPr>
            <w:r>
              <w:rPr>
                <w:noProof/>
              </w:rPr>
              <w:t>Étape</w:t>
            </w:r>
          </w:p>
        </w:tc>
        <w:tc>
          <w:tcPr>
            <w:tcW w:w="1478" w:type="dxa"/>
            <w:tcBorders>
              <w:top w:val="nil"/>
              <w:left w:val="nil"/>
              <w:bottom w:val="single" w:sz="4" w:space="0" w:color="auto"/>
              <w:right w:val="single" w:sz="4" w:space="0" w:color="auto"/>
            </w:tcBorders>
            <w:shd w:val="clear" w:color="auto" w:fill="C6EFCE"/>
            <w:noWrap/>
          </w:tcPr>
          <w:p w14:paraId="64CEE351" w14:textId="77777777" w:rsidR="00A345F4" w:rsidRDefault="005E2D4E">
            <w:pPr>
              <w:pStyle w:val="P68B1DB1-Normal14"/>
              <w:spacing w:after="0" w:line="240" w:lineRule="auto"/>
              <w:jc w:val="both"/>
              <w:rPr>
                <w:noProof/>
              </w:rPr>
            </w:pPr>
            <w:r>
              <w:rPr>
                <w:noProof/>
              </w:rPr>
              <w:t xml:space="preserve">Entrée en vigueur de la loi visant à soutenir la mise en œuvre de la stratégie nationale adoptée pour la prévention de l'institutionnalisation </w:t>
            </w:r>
          </w:p>
        </w:tc>
        <w:tc>
          <w:tcPr>
            <w:tcW w:w="1842" w:type="dxa"/>
            <w:tcBorders>
              <w:top w:val="nil"/>
              <w:left w:val="nil"/>
              <w:bottom w:val="single" w:sz="4" w:space="0" w:color="auto"/>
              <w:right w:val="single" w:sz="4" w:space="0" w:color="auto"/>
            </w:tcBorders>
            <w:shd w:val="clear" w:color="auto" w:fill="C6EFCE"/>
            <w:noWrap/>
          </w:tcPr>
          <w:p w14:paraId="6FF38379" w14:textId="77777777" w:rsidR="00A345F4" w:rsidRDefault="005E2D4E">
            <w:pPr>
              <w:pStyle w:val="P68B1DB1-Normal14"/>
              <w:spacing w:after="0" w:line="240" w:lineRule="auto"/>
              <w:jc w:val="both"/>
              <w:rPr>
                <w:noProof/>
              </w:rPr>
            </w:pPr>
            <w:r>
              <w:rPr>
                <w:noProof/>
              </w:rPr>
              <w:t>Disposition de la loi indiquant l’entrée en vigueur de l’acte législatif visant à soutenir la mise en œuvre de la stratégie nationale de prévention de l’institutionnalisation adoptée</w:t>
            </w:r>
          </w:p>
        </w:tc>
        <w:tc>
          <w:tcPr>
            <w:tcW w:w="1265" w:type="dxa"/>
            <w:tcBorders>
              <w:top w:val="nil"/>
              <w:left w:val="nil"/>
              <w:bottom w:val="single" w:sz="4" w:space="0" w:color="auto"/>
              <w:right w:val="single" w:sz="4" w:space="0" w:color="auto"/>
            </w:tcBorders>
            <w:shd w:val="clear" w:color="auto" w:fill="C6EFCE"/>
            <w:noWrap/>
          </w:tcPr>
          <w:p w14:paraId="6C07AC1F" w14:textId="77777777" w:rsidR="00A345F4" w:rsidRDefault="005E2D4E">
            <w:pPr>
              <w:pStyle w:val="P68B1DB1-Normal14"/>
              <w:spacing w:after="0" w:line="240" w:lineRule="auto"/>
              <w:jc w:val="both"/>
              <w:rPr>
                <w:noProof/>
              </w:rPr>
            </w:pPr>
            <w:r>
              <w:rPr>
                <w:noProof/>
              </w:rPr>
              <w:t xml:space="preserve"> </w:t>
            </w:r>
          </w:p>
        </w:tc>
        <w:tc>
          <w:tcPr>
            <w:tcW w:w="1145" w:type="dxa"/>
            <w:tcBorders>
              <w:top w:val="nil"/>
              <w:left w:val="nil"/>
              <w:bottom w:val="single" w:sz="4" w:space="0" w:color="auto"/>
              <w:right w:val="single" w:sz="4" w:space="0" w:color="auto"/>
            </w:tcBorders>
            <w:shd w:val="clear" w:color="auto" w:fill="C6EFCE"/>
            <w:noWrap/>
          </w:tcPr>
          <w:p w14:paraId="7D630224" w14:textId="77777777" w:rsidR="00A345F4" w:rsidRDefault="005E2D4E">
            <w:pPr>
              <w:pStyle w:val="P68B1DB1-Normal14"/>
              <w:spacing w:after="0" w:line="240" w:lineRule="auto"/>
              <w:jc w:val="both"/>
              <w:rPr>
                <w:noProof/>
              </w:rPr>
            </w:pPr>
            <w:r>
              <w:rPr>
                <w:noProof/>
              </w:rPr>
              <w:t xml:space="preserve"> </w:t>
            </w:r>
          </w:p>
        </w:tc>
        <w:tc>
          <w:tcPr>
            <w:tcW w:w="992" w:type="dxa"/>
            <w:tcBorders>
              <w:top w:val="nil"/>
              <w:left w:val="nil"/>
              <w:bottom w:val="single" w:sz="4" w:space="0" w:color="auto"/>
              <w:right w:val="single" w:sz="4" w:space="0" w:color="auto"/>
            </w:tcBorders>
            <w:shd w:val="clear" w:color="auto" w:fill="C6EFCE"/>
            <w:noWrap/>
          </w:tcPr>
          <w:p w14:paraId="5A561A09" w14:textId="77777777" w:rsidR="00A345F4" w:rsidRDefault="005E2D4E">
            <w:pPr>
              <w:pStyle w:val="P68B1DB1-Normal14"/>
              <w:spacing w:after="0" w:line="240" w:lineRule="auto"/>
              <w:jc w:val="both"/>
              <w:rPr>
                <w:noProof/>
              </w:rPr>
            </w:pPr>
            <w:r>
              <w:rPr>
                <w:noProof/>
              </w:rPr>
              <w:t xml:space="preserve"> </w:t>
            </w:r>
          </w:p>
        </w:tc>
        <w:tc>
          <w:tcPr>
            <w:tcW w:w="1101" w:type="dxa"/>
            <w:tcBorders>
              <w:top w:val="nil"/>
              <w:left w:val="nil"/>
              <w:bottom w:val="single" w:sz="4" w:space="0" w:color="auto"/>
              <w:right w:val="single" w:sz="4" w:space="0" w:color="auto"/>
            </w:tcBorders>
            <w:shd w:val="clear" w:color="auto" w:fill="C6EFCE"/>
            <w:noWrap/>
          </w:tcPr>
          <w:p w14:paraId="3431A7F5" w14:textId="77777777" w:rsidR="00A345F4" w:rsidRDefault="005E2D4E">
            <w:pPr>
              <w:pStyle w:val="P68B1DB1-Normal14"/>
              <w:spacing w:after="0" w:line="240" w:lineRule="auto"/>
              <w:jc w:val="both"/>
              <w:rPr>
                <w:noProof/>
              </w:rPr>
            </w:pPr>
            <w:r>
              <w:rPr>
                <w:noProof/>
              </w:rPr>
              <w:t>T4</w:t>
            </w:r>
          </w:p>
        </w:tc>
        <w:tc>
          <w:tcPr>
            <w:tcW w:w="825" w:type="dxa"/>
            <w:tcBorders>
              <w:top w:val="nil"/>
              <w:left w:val="nil"/>
              <w:bottom w:val="single" w:sz="4" w:space="0" w:color="auto"/>
              <w:right w:val="single" w:sz="4" w:space="0" w:color="auto"/>
            </w:tcBorders>
            <w:shd w:val="clear" w:color="auto" w:fill="C6EFCE"/>
            <w:noWrap/>
          </w:tcPr>
          <w:p w14:paraId="70052FED" w14:textId="77777777" w:rsidR="00A345F4" w:rsidRDefault="005E2D4E">
            <w:pPr>
              <w:pStyle w:val="P68B1DB1-Normal14"/>
              <w:spacing w:after="0" w:line="240" w:lineRule="auto"/>
              <w:jc w:val="both"/>
              <w:rPr>
                <w:noProof/>
              </w:rPr>
            </w:pPr>
            <w:r>
              <w:rPr>
                <w:noProof/>
              </w:rPr>
              <w:t>2022</w:t>
            </w:r>
          </w:p>
        </w:tc>
        <w:tc>
          <w:tcPr>
            <w:tcW w:w="2693" w:type="dxa"/>
            <w:tcBorders>
              <w:top w:val="nil"/>
              <w:left w:val="nil"/>
              <w:bottom w:val="single" w:sz="4" w:space="0" w:color="auto"/>
              <w:right w:val="single" w:sz="4" w:space="0" w:color="auto"/>
            </w:tcBorders>
            <w:shd w:val="clear" w:color="auto" w:fill="C6EFCE"/>
            <w:noWrap/>
          </w:tcPr>
          <w:p w14:paraId="120C93B5" w14:textId="77777777" w:rsidR="00A345F4" w:rsidRDefault="005E2D4E">
            <w:pPr>
              <w:pStyle w:val="P68B1DB1-Normal14"/>
              <w:spacing w:after="0" w:line="240" w:lineRule="auto"/>
              <w:jc w:val="both"/>
              <w:rPr>
                <w:noProof/>
              </w:rPr>
            </w:pPr>
            <w:r>
              <w:rPr>
                <w:noProof/>
              </w:rPr>
              <w:t xml:space="preserve">Entrée en vigueur de la loi visant à soutenir la mise en œuvre de la stratégie nationale de prévention de l’institutionnalisation adoptée, qui prévoit des mesures en faveur d’un «chemin de vie indépendant» pour la majorité des personnes handicapées et actuellement institutionnalisées. L'acte législatif comporte: </w:t>
            </w:r>
          </w:p>
          <w:p w14:paraId="078B3CEE" w14:textId="77777777" w:rsidR="00A345F4" w:rsidRDefault="005E2D4E">
            <w:pPr>
              <w:pStyle w:val="P68B1DB1-Normal14"/>
              <w:numPr>
                <w:ilvl w:val="0"/>
                <w:numId w:val="58"/>
              </w:numPr>
              <w:spacing w:before="120" w:after="0" w:line="240" w:lineRule="auto"/>
              <w:ind w:left="230" w:hanging="218"/>
              <w:contextualSpacing/>
              <w:jc w:val="both"/>
              <w:rPr>
                <w:noProof/>
              </w:rPr>
            </w:pPr>
            <w:r>
              <w:rPr>
                <w:noProof/>
              </w:rPr>
              <w:t>une source stable de financement identifiée pour les mesures prévues;</w:t>
            </w:r>
          </w:p>
          <w:p w14:paraId="03AD3674" w14:textId="77777777" w:rsidR="00A345F4" w:rsidRDefault="005E2D4E">
            <w:pPr>
              <w:pStyle w:val="P68B1DB1-Normal14"/>
              <w:numPr>
                <w:ilvl w:val="0"/>
                <w:numId w:val="58"/>
              </w:numPr>
              <w:spacing w:before="120" w:after="0" w:line="240" w:lineRule="auto"/>
              <w:ind w:left="230" w:hanging="218"/>
              <w:contextualSpacing/>
              <w:jc w:val="both"/>
              <w:rPr>
                <w:noProof/>
              </w:rPr>
            </w:pPr>
            <w:r>
              <w:rPr>
                <w:noProof/>
              </w:rPr>
              <w:t>un mécanisme de gouvernance avec des responsabilités claires attribuées aux autorités publiques aux niveaux national et local;</w:t>
            </w:r>
          </w:p>
          <w:p w14:paraId="270EB844" w14:textId="77777777" w:rsidR="00A345F4" w:rsidRDefault="005E2D4E">
            <w:pPr>
              <w:pStyle w:val="P68B1DB1-Normal14"/>
              <w:numPr>
                <w:ilvl w:val="0"/>
                <w:numId w:val="58"/>
              </w:numPr>
              <w:spacing w:before="120" w:after="0" w:line="240" w:lineRule="auto"/>
              <w:ind w:left="230" w:hanging="218"/>
              <w:contextualSpacing/>
              <w:jc w:val="both"/>
              <w:rPr>
                <w:noProof/>
              </w:rPr>
            </w:pPr>
            <w:r>
              <w:rPr>
                <w:noProof/>
              </w:rPr>
              <w:t>un mécanisme de décaissement du financement subordonné à la réalisation d’indicateurs de performance clés associés aux objectifs stratégiques.</w:t>
            </w:r>
          </w:p>
        </w:tc>
      </w:tr>
      <w:tr w:rsidR="00A345F4" w14:paraId="5303EB60"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8EADF27" w14:textId="77777777" w:rsidR="00A345F4" w:rsidRDefault="005E2D4E">
            <w:pPr>
              <w:pStyle w:val="P68B1DB1-Normal14"/>
              <w:spacing w:after="0" w:line="240" w:lineRule="auto"/>
              <w:jc w:val="center"/>
              <w:rPr>
                <w:noProof/>
              </w:rPr>
            </w:pPr>
            <w:r>
              <w:rPr>
                <w:noProof/>
              </w:rPr>
              <w:t>383</w:t>
            </w:r>
          </w:p>
        </w:tc>
        <w:tc>
          <w:tcPr>
            <w:tcW w:w="1875" w:type="dxa"/>
            <w:tcBorders>
              <w:top w:val="nil"/>
              <w:left w:val="nil"/>
              <w:bottom w:val="single" w:sz="4" w:space="0" w:color="auto"/>
              <w:right w:val="single" w:sz="4" w:space="0" w:color="auto"/>
            </w:tcBorders>
            <w:shd w:val="clear" w:color="auto" w:fill="C6EFCE"/>
            <w:noWrap/>
          </w:tcPr>
          <w:p w14:paraId="557F9A55" w14:textId="77777777" w:rsidR="00A345F4" w:rsidRDefault="005E2D4E">
            <w:pPr>
              <w:pStyle w:val="P68B1DB1-Normal14"/>
              <w:spacing w:after="0" w:line="240" w:lineRule="auto"/>
              <w:jc w:val="both"/>
              <w:rPr>
                <w:noProof/>
              </w:rPr>
            </w:pPr>
            <w:r>
              <w:rPr>
                <w:noProof/>
              </w:rPr>
              <w:t xml:space="preserve">Réforme 2. Réforme du système de protection des adultes handicapés </w:t>
            </w:r>
          </w:p>
        </w:tc>
        <w:tc>
          <w:tcPr>
            <w:tcW w:w="1183" w:type="dxa"/>
            <w:tcBorders>
              <w:top w:val="nil"/>
              <w:left w:val="nil"/>
              <w:bottom w:val="single" w:sz="4" w:space="0" w:color="auto"/>
              <w:right w:val="single" w:sz="4" w:space="0" w:color="auto"/>
            </w:tcBorders>
            <w:shd w:val="clear" w:color="auto" w:fill="C6EFCE"/>
            <w:noWrap/>
          </w:tcPr>
          <w:p w14:paraId="1B508D71" w14:textId="77777777" w:rsidR="00A345F4" w:rsidRDefault="005E2D4E">
            <w:pPr>
              <w:pStyle w:val="P68B1DB1-Normal14"/>
              <w:spacing w:after="0" w:line="240" w:lineRule="auto"/>
              <w:jc w:val="both"/>
              <w:rPr>
                <w:noProof/>
              </w:rPr>
            </w:pPr>
            <w:r>
              <w:rPr>
                <w:noProof/>
              </w:rPr>
              <w:t>Objectif</w:t>
            </w:r>
          </w:p>
        </w:tc>
        <w:tc>
          <w:tcPr>
            <w:tcW w:w="1478" w:type="dxa"/>
            <w:tcBorders>
              <w:top w:val="nil"/>
              <w:left w:val="nil"/>
              <w:bottom w:val="single" w:sz="4" w:space="0" w:color="auto"/>
              <w:right w:val="single" w:sz="4" w:space="0" w:color="auto"/>
            </w:tcBorders>
            <w:shd w:val="clear" w:color="auto" w:fill="C6EFCE"/>
            <w:noWrap/>
          </w:tcPr>
          <w:p w14:paraId="7C4EE45D" w14:textId="0E3DC235" w:rsidR="00A345F4" w:rsidRDefault="005E2D4E">
            <w:pPr>
              <w:pStyle w:val="P68B1DB1-Normal14"/>
              <w:spacing w:after="0" w:line="240" w:lineRule="auto"/>
              <w:jc w:val="both"/>
              <w:rPr>
                <w:noProof/>
              </w:rPr>
            </w:pPr>
            <w:r>
              <w:rPr>
                <w:noProof/>
              </w:rPr>
              <w:t>Personnes handicapées désinstitutionnalisées</w:t>
            </w:r>
          </w:p>
        </w:tc>
        <w:tc>
          <w:tcPr>
            <w:tcW w:w="1842" w:type="dxa"/>
            <w:tcBorders>
              <w:top w:val="nil"/>
              <w:left w:val="nil"/>
              <w:bottom w:val="single" w:sz="4" w:space="0" w:color="auto"/>
              <w:right w:val="single" w:sz="4" w:space="0" w:color="auto"/>
            </w:tcBorders>
            <w:shd w:val="clear" w:color="auto" w:fill="C6EFCE"/>
            <w:noWrap/>
          </w:tcPr>
          <w:p w14:paraId="799BCC73" w14:textId="77777777" w:rsidR="00A345F4" w:rsidRDefault="005E2D4E">
            <w:pPr>
              <w:pStyle w:val="P68B1DB1-Normal14"/>
              <w:spacing w:after="0" w:line="240" w:lineRule="auto"/>
              <w:jc w:val="both"/>
              <w:rPr>
                <w:noProof/>
              </w:rPr>
            </w:pPr>
            <w:r>
              <w:rPr>
                <w:noProof/>
              </w:rPr>
              <w:t xml:space="preserve"> </w:t>
            </w:r>
          </w:p>
        </w:tc>
        <w:tc>
          <w:tcPr>
            <w:tcW w:w="1265" w:type="dxa"/>
            <w:tcBorders>
              <w:top w:val="nil"/>
              <w:left w:val="nil"/>
              <w:bottom w:val="single" w:sz="4" w:space="0" w:color="auto"/>
              <w:right w:val="single" w:sz="4" w:space="0" w:color="auto"/>
            </w:tcBorders>
            <w:shd w:val="clear" w:color="auto" w:fill="C6EFCE"/>
            <w:noWrap/>
          </w:tcPr>
          <w:p w14:paraId="68FF63F7" w14:textId="77777777" w:rsidR="00A345F4" w:rsidRDefault="005E2D4E">
            <w:pPr>
              <w:pStyle w:val="P68B1DB1-Normal14"/>
              <w:spacing w:after="0" w:line="240" w:lineRule="auto"/>
              <w:jc w:val="both"/>
              <w:rPr>
                <w:noProof/>
              </w:rPr>
            </w:pPr>
            <w:r>
              <w:rPr>
                <w:noProof/>
              </w:rPr>
              <w:t>Numéro</w:t>
            </w:r>
          </w:p>
        </w:tc>
        <w:tc>
          <w:tcPr>
            <w:tcW w:w="1145" w:type="dxa"/>
            <w:tcBorders>
              <w:top w:val="nil"/>
              <w:left w:val="nil"/>
              <w:bottom w:val="single" w:sz="4" w:space="0" w:color="auto"/>
              <w:right w:val="single" w:sz="4" w:space="0" w:color="auto"/>
            </w:tcBorders>
            <w:shd w:val="clear" w:color="auto" w:fill="C6EFCE"/>
            <w:noWrap/>
          </w:tcPr>
          <w:p w14:paraId="28AAF53D" w14:textId="77777777" w:rsidR="00A345F4" w:rsidRDefault="005E2D4E">
            <w:pPr>
              <w:pStyle w:val="P68B1DB1-Normal14"/>
              <w:spacing w:after="0" w:line="240" w:lineRule="auto"/>
              <w:jc w:val="both"/>
              <w:rPr>
                <w:noProof/>
              </w:rPr>
            </w:pPr>
            <w:r>
              <w:rPr>
                <w:noProof/>
              </w:rPr>
              <w:t xml:space="preserve"> 0</w:t>
            </w:r>
          </w:p>
        </w:tc>
        <w:tc>
          <w:tcPr>
            <w:tcW w:w="992" w:type="dxa"/>
            <w:tcBorders>
              <w:top w:val="nil"/>
              <w:left w:val="nil"/>
              <w:bottom w:val="single" w:sz="4" w:space="0" w:color="auto"/>
              <w:right w:val="single" w:sz="4" w:space="0" w:color="auto"/>
            </w:tcBorders>
            <w:shd w:val="clear" w:color="auto" w:fill="C6EFCE"/>
            <w:noWrap/>
          </w:tcPr>
          <w:p w14:paraId="418EFE53" w14:textId="0E8F07A9" w:rsidR="00A345F4" w:rsidRDefault="005E2D4E">
            <w:pPr>
              <w:pStyle w:val="P68B1DB1-Normal14"/>
              <w:spacing w:after="0" w:line="240" w:lineRule="auto"/>
              <w:jc w:val="both"/>
              <w:rPr>
                <w:noProof/>
                <w:highlight w:val="yellow"/>
              </w:rPr>
            </w:pPr>
            <w:r>
              <w:rPr>
                <w:noProof/>
              </w:rPr>
              <w:t>4 000</w:t>
            </w:r>
          </w:p>
        </w:tc>
        <w:tc>
          <w:tcPr>
            <w:tcW w:w="1101" w:type="dxa"/>
            <w:tcBorders>
              <w:top w:val="nil"/>
              <w:left w:val="nil"/>
              <w:bottom w:val="single" w:sz="4" w:space="0" w:color="auto"/>
              <w:right w:val="single" w:sz="4" w:space="0" w:color="auto"/>
            </w:tcBorders>
            <w:shd w:val="clear" w:color="auto" w:fill="C6EFCE"/>
            <w:noWrap/>
          </w:tcPr>
          <w:p w14:paraId="25BF95D6" w14:textId="77777777" w:rsidR="00A345F4" w:rsidRDefault="005E2D4E">
            <w:pPr>
              <w:pStyle w:val="P68B1DB1-Normal14"/>
              <w:spacing w:after="0" w:line="240" w:lineRule="auto"/>
              <w:jc w:val="both"/>
              <w:rPr>
                <w:noProof/>
              </w:rPr>
            </w:pPr>
            <w:r>
              <w:rPr>
                <w:noProof/>
              </w:rPr>
              <w:t>T2</w:t>
            </w:r>
          </w:p>
        </w:tc>
        <w:tc>
          <w:tcPr>
            <w:tcW w:w="825" w:type="dxa"/>
            <w:tcBorders>
              <w:top w:val="nil"/>
              <w:left w:val="nil"/>
              <w:bottom w:val="single" w:sz="4" w:space="0" w:color="auto"/>
              <w:right w:val="single" w:sz="4" w:space="0" w:color="auto"/>
            </w:tcBorders>
            <w:shd w:val="clear" w:color="auto" w:fill="C6EFCE"/>
            <w:noWrap/>
          </w:tcPr>
          <w:p w14:paraId="41E40ADC" w14:textId="77777777" w:rsidR="00A345F4" w:rsidRDefault="005E2D4E">
            <w:pPr>
              <w:pStyle w:val="P68B1DB1-Normal14"/>
              <w:spacing w:after="0" w:line="240" w:lineRule="auto"/>
              <w:jc w:val="both"/>
              <w:rPr>
                <w:noProof/>
              </w:rPr>
            </w:pPr>
            <w:r>
              <w:rPr>
                <w:noProof/>
              </w:rPr>
              <w:t>2026</w:t>
            </w:r>
          </w:p>
        </w:tc>
        <w:tc>
          <w:tcPr>
            <w:tcW w:w="2693" w:type="dxa"/>
            <w:tcBorders>
              <w:top w:val="nil"/>
              <w:left w:val="nil"/>
              <w:bottom w:val="single" w:sz="4" w:space="0" w:color="auto"/>
              <w:right w:val="single" w:sz="4" w:space="0" w:color="auto"/>
            </w:tcBorders>
            <w:shd w:val="clear" w:color="auto" w:fill="C6EFCE"/>
            <w:noWrap/>
          </w:tcPr>
          <w:p w14:paraId="648164C6" w14:textId="202585A9" w:rsidR="00A345F4" w:rsidRDefault="005E2D4E">
            <w:pPr>
              <w:pStyle w:val="P68B1DB1-Normal40"/>
              <w:spacing w:after="0" w:line="240" w:lineRule="auto"/>
              <w:jc w:val="both"/>
              <w:rPr>
                <w:rFonts w:ascii="Times New Roman" w:hAnsi="Times New Roman" w:cs="Times New Roman"/>
                <w:noProof/>
              </w:rPr>
            </w:pPr>
            <w:r>
              <w:rPr>
                <w:rFonts w:ascii="Times New Roman" w:hAnsi="Times New Roman" w:cs="Times New Roman"/>
                <w:noProof/>
              </w:rPr>
              <w:t xml:space="preserve">4 000 personnes handicapées désinstitutionnalisées par rapport au 31.12.2020, </w:t>
            </w:r>
            <w:r>
              <w:rPr>
                <w:rFonts w:ascii="Times New Roman" w:eastAsia="Times New Roman" w:hAnsi="Times New Roman" w:cs="Times New Roman"/>
                <w:noProof/>
                <w:color w:val="242424"/>
              </w:rPr>
              <w:t>selon les données fournies par les autorités locales et vérifiées par l’Autorité nationale de protection des droits des personnes handicapées (ANPDPD).</w:t>
            </w:r>
          </w:p>
        </w:tc>
      </w:tr>
      <w:tr w:rsidR="00A345F4" w14:paraId="7C42D893"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869ADD8" w14:textId="77777777" w:rsidR="00A345F4" w:rsidRDefault="005E2D4E">
            <w:pPr>
              <w:pStyle w:val="P68B1DB1-Normal14"/>
              <w:spacing w:after="0" w:line="240" w:lineRule="auto"/>
              <w:jc w:val="center"/>
              <w:rPr>
                <w:noProof/>
              </w:rPr>
            </w:pPr>
            <w:r>
              <w:rPr>
                <w:noProof/>
              </w:rPr>
              <w:t>384</w:t>
            </w:r>
          </w:p>
        </w:tc>
        <w:tc>
          <w:tcPr>
            <w:tcW w:w="1875" w:type="dxa"/>
            <w:tcBorders>
              <w:top w:val="nil"/>
              <w:left w:val="nil"/>
              <w:bottom w:val="single" w:sz="4" w:space="0" w:color="auto"/>
              <w:right w:val="single" w:sz="4" w:space="0" w:color="auto"/>
            </w:tcBorders>
            <w:shd w:val="clear" w:color="auto" w:fill="C6EFCE"/>
            <w:noWrap/>
          </w:tcPr>
          <w:p w14:paraId="693F2DDA" w14:textId="77777777" w:rsidR="00A345F4" w:rsidRDefault="005E2D4E">
            <w:pPr>
              <w:pStyle w:val="P68B1DB1-Normal14"/>
              <w:spacing w:after="0" w:line="240" w:lineRule="auto"/>
              <w:jc w:val="both"/>
              <w:rPr>
                <w:noProof/>
              </w:rPr>
            </w:pPr>
            <w:r>
              <w:rPr>
                <w:noProof/>
              </w:rPr>
              <w:t>Réforme 3. Fourniture du revenu minimum d'inclusion (VMI)</w:t>
            </w:r>
          </w:p>
        </w:tc>
        <w:tc>
          <w:tcPr>
            <w:tcW w:w="1183" w:type="dxa"/>
            <w:tcBorders>
              <w:top w:val="nil"/>
              <w:left w:val="nil"/>
              <w:bottom w:val="single" w:sz="4" w:space="0" w:color="auto"/>
              <w:right w:val="single" w:sz="4" w:space="0" w:color="auto"/>
            </w:tcBorders>
            <w:shd w:val="clear" w:color="auto" w:fill="C6EFCE"/>
            <w:noWrap/>
          </w:tcPr>
          <w:p w14:paraId="37CF0419" w14:textId="77777777" w:rsidR="00A345F4" w:rsidRDefault="005E2D4E">
            <w:pPr>
              <w:pStyle w:val="P68B1DB1-Normal14"/>
              <w:spacing w:after="0" w:line="240" w:lineRule="auto"/>
              <w:jc w:val="both"/>
              <w:rPr>
                <w:noProof/>
              </w:rPr>
            </w:pPr>
            <w:r>
              <w:rPr>
                <w:noProof/>
              </w:rPr>
              <w:t>Étape</w:t>
            </w:r>
          </w:p>
        </w:tc>
        <w:tc>
          <w:tcPr>
            <w:tcW w:w="1478" w:type="dxa"/>
            <w:tcBorders>
              <w:top w:val="nil"/>
              <w:left w:val="nil"/>
              <w:bottom w:val="single" w:sz="4" w:space="0" w:color="auto"/>
              <w:right w:val="single" w:sz="4" w:space="0" w:color="auto"/>
            </w:tcBorders>
            <w:shd w:val="clear" w:color="auto" w:fill="C6EFCE"/>
            <w:noWrap/>
          </w:tcPr>
          <w:p w14:paraId="1BDD0F3F" w14:textId="77777777" w:rsidR="00A345F4" w:rsidRDefault="005E2D4E">
            <w:pPr>
              <w:pStyle w:val="P68B1DB1-Normal14"/>
              <w:spacing w:after="0" w:line="240" w:lineRule="auto"/>
              <w:jc w:val="both"/>
              <w:rPr>
                <w:noProof/>
              </w:rPr>
            </w:pPr>
            <w:r>
              <w:rPr>
                <w:noProof/>
              </w:rPr>
              <w:t xml:space="preserve">Entrée en vigueur de la législation portant approbation des modalités d'application de l'IMV </w:t>
            </w:r>
          </w:p>
        </w:tc>
        <w:tc>
          <w:tcPr>
            <w:tcW w:w="1842" w:type="dxa"/>
            <w:tcBorders>
              <w:top w:val="nil"/>
              <w:left w:val="nil"/>
              <w:bottom w:val="single" w:sz="4" w:space="0" w:color="auto"/>
              <w:right w:val="single" w:sz="4" w:space="0" w:color="auto"/>
            </w:tcBorders>
            <w:shd w:val="clear" w:color="auto" w:fill="C6EFCE"/>
            <w:noWrap/>
          </w:tcPr>
          <w:p w14:paraId="0A9EA767" w14:textId="77777777" w:rsidR="00A345F4" w:rsidRDefault="005E2D4E">
            <w:pPr>
              <w:pStyle w:val="P68B1DB1-Normal14"/>
              <w:spacing w:after="0" w:line="240" w:lineRule="auto"/>
              <w:jc w:val="both"/>
              <w:rPr>
                <w:noProof/>
              </w:rPr>
            </w:pPr>
            <w:r>
              <w:rPr>
                <w:noProof/>
              </w:rPr>
              <w:t>Disposition de la législation indiquant les modalités d’application de l’IMV</w:t>
            </w:r>
          </w:p>
        </w:tc>
        <w:tc>
          <w:tcPr>
            <w:tcW w:w="1265" w:type="dxa"/>
            <w:tcBorders>
              <w:top w:val="nil"/>
              <w:left w:val="nil"/>
              <w:bottom w:val="single" w:sz="4" w:space="0" w:color="auto"/>
              <w:right w:val="single" w:sz="4" w:space="0" w:color="auto"/>
            </w:tcBorders>
            <w:shd w:val="clear" w:color="auto" w:fill="C6EFCE"/>
            <w:noWrap/>
          </w:tcPr>
          <w:p w14:paraId="0388C0C9" w14:textId="77777777" w:rsidR="00A345F4" w:rsidRDefault="005E2D4E">
            <w:pPr>
              <w:pStyle w:val="P68B1DB1-Normal14"/>
              <w:spacing w:after="0" w:line="240" w:lineRule="auto"/>
              <w:jc w:val="both"/>
              <w:rPr>
                <w:noProof/>
              </w:rPr>
            </w:pPr>
            <w:r>
              <w:rPr>
                <w:noProof/>
              </w:rPr>
              <w:t xml:space="preserve"> </w:t>
            </w:r>
          </w:p>
        </w:tc>
        <w:tc>
          <w:tcPr>
            <w:tcW w:w="1145" w:type="dxa"/>
            <w:tcBorders>
              <w:top w:val="nil"/>
              <w:left w:val="nil"/>
              <w:bottom w:val="single" w:sz="4" w:space="0" w:color="auto"/>
              <w:right w:val="single" w:sz="4" w:space="0" w:color="auto"/>
            </w:tcBorders>
            <w:shd w:val="clear" w:color="auto" w:fill="C6EFCE"/>
            <w:noWrap/>
          </w:tcPr>
          <w:p w14:paraId="3058927F" w14:textId="77777777" w:rsidR="00A345F4" w:rsidRDefault="005E2D4E">
            <w:pPr>
              <w:pStyle w:val="P68B1DB1-Normal14"/>
              <w:spacing w:after="0" w:line="240" w:lineRule="auto"/>
              <w:jc w:val="both"/>
              <w:rPr>
                <w:noProof/>
              </w:rPr>
            </w:pPr>
            <w:r>
              <w:rPr>
                <w:noProof/>
              </w:rPr>
              <w:t xml:space="preserve"> </w:t>
            </w:r>
          </w:p>
        </w:tc>
        <w:tc>
          <w:tcPr>
            <w:tcW w:w="992" w:type="dxa"/>
            <w:tcBorders>
              <w:top w:val="nil"/>
              <w:left w:val="nil"/>
              <w:bottom w:val="single" w:sz="4" w:space="0" w:color="auto"/>
              <w:right w:val="single" w:sz="4" w:space="0" w:color="auto"/>
            </w:tcBorders>
            <w:shd w:val="clear" w:color="auto" w:fill="C6EFCE"/>
            <w:noWrap/>
          </w:tcPr>
          <w:p w14:paraId="50F8E3CF" w14:textId="77777777" w:rsidR="00A345F4" w:rsidRDefault="005E2D4E">
            <w:pPr>
              <w:pStyle w:val="P68B1DB1-Normal14"/>
              <w:spacing w:after="0" w:line="240" w:lineRule="auto"/>
              <w:jc w:val="both"/>
              <w:rPr>
                <w:noProof/>
              </w:rPr>
            </w:pPr>
            <w:r>
              <w:rPr>
                <w:noProof/>
              </w:rPr>
              <w:t xml:space="preserve"> </w:t>
            </w:r>
          </w:p>
        </w:tc>
        <w:tc>
          <w:tcPr>
            <w:tcW w:w="1101" w:type="dxa"/>
            <w:tcBorders>
              <w:top w:val="nil"/>
              <w:left w:val="nil"/>
              <w:bottom w:val="single" w:sz="4" w:space="0" w:color="auto"/>
              <w:right w:val="single" w:sz="4" w:space="0" w:color="auto"/>
            </w:tcBorders>
            <w:shd w:val="clear" w:color="auto" w:fill="C6EFCE"/>
            <w:noWrap/>
          </w:tcPr>
          <w:p w14:paraId="77485596" w14:textId="77777777" w:rsidR="00A345F4" w:rsidRDefault="005E2D4E">
            <w:pPr>
              <w:pStyle w:val="P68B1DB1-Normal14"/>
              <w:spacing w:after="0" w:line="240" w:lineRule="auto"/>
              <w:jc w:val="both"/>
              <w:rPr>
                <w:noProof/>
              </w:rPr>
            </w:pPr>
            <w:r>
              <w:rPr>
                <w:noProof/>
              </w:rPr>
              <w:t>T3</w:t>
            </w:r>
          </w:p>
        </w:tc>
        <w:tc>
          <w:tcPr>
            <w:tcW w:w="825" w:type="dxa"/>
            <w:tcBorders>
              <w:top w:val="nil"/>
              <w:left w:val="nil"/>
              <w:bottom w:val="single" w:sz="4" w:space="0" w:color="auto"/>
              <w:right w:val="single" w:sz="4" w:space="0" w:color="auto"/>
            </w:tcBorders>
            <w:shd w:val="clear" w:color="auto" w:fill="C6EFCE"/>
            <w:noWrap/>
          </w:tcPr>
          <w:p w14:paraId="2D085015" w14:textId="77777777" w:rsidR="00A345F4" w:rsidRDefault="005E2D4E">
            <w:pPr>
              <w:pStyle w:val="P68B1DB1-Normal14"/>
              <w:spacing w:after="0" w:line="240" w:lineRule="auto"/>
              <w:jc w:val="both"/>
              <w:rPr>
                <w:noProof/>
              </w:rPr>
            </w:pPr>
            <w:r>
              <w:rPr>
                <w:noProof/>
              </w:rPr>
              <w:t>2022</w:t>
            </w:r>
          </w:p>
        </w:tc>
        <w:tc>
          <w:tcPr>
            <w:tcW w:w="2693" w:type="dxa"/>
            <w:tcBorders>
              <w:top w:val="nil"/>
              <w:left w:val="nil"/>
              <w:bottom w:val="single" w:sz="4" w:space="0" w:color="auto"/>
              <w:right w:val="single" w:sz="4" w:space="0" w:color="auto"/>
            </w:tcBorders>
            <w:shd w:val="clear" w:color="auto" w:fill="C6EFCE"/>
            <w:noWrap/>
          </w:tcPr>
          <w:p w14:paraId="32F50162" w14:textId="77777777" w:rsidR="00A345F4" w:rsidRDefault="005E2D4E">
            <w:pPr>
              <w:pStyle w:val="P68B1DB1-Normal14"/>
              <w:spacing w:after="0" w:line="240" w:lineRule="auto"/>
              <w:jc w:val="both"/>
              <w:rPr>
                <w:noProof/>
              </w:rPr>
            </w:pPr>
            <w:r>
              <w:rPr>
                <w:noProof/>
              </w:rPr>
              <w:t xml:space="preserve">La législation définit les règles méthodologiques pour la mise en œuvre de la loi sur l’IMV tout en maintenant au moins le même niveau d’adéquation pour les prestations et les conditions d’admissibilité que celui prévu par la loi actuelle (loi 196/2016) dans le but de réduire la pauvreté, de stimuler l’emploi par des mesures d’activation et d’accroître le niveau d’éducation. </w:t>
            </w:r>
          </w:p>
        </w:tc>
      </w:tr>
      <w:tr w:rsidR="00A345F4" w14:paraId="209DBFA0"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B7B86A6" w14:textId="77777777" w:rsidR="00A345F4" w:rsidRDefault="005E2D4E">
            <w:pPr>
              <w:pStyle w:val="P68B1DB1-Normal14"/>
              <w:spacing w:after="0" w:line="240" w:lineRule="auto"/>
              <w:jc w:val="center"/>
              <w:rPr>
                <w:noProof/>
              </w:rPr>
            </w:pPr>
            <w:r>
              <w:rPr>
                <w:noProof/>
              </w:rPr>
              <w:t>386</w:t>
            </w:r>
          </w:p>
        </w:tc>
        <w:tc>
          <w:tcPr>
            <w:tcW w:w="1875" w:type="dxa"/>
            <w:tcBorders>
              <w:top w:val="nil"/>
              <w:left w:val="nil"/>
              <w:bottom w:val="single" w:sz="4" w:space="0" w:color="auto"/>
              <w:right w:val="single" w:sz="4" w:space="0" w:color="auto"/>
            </w:tcBorders>
            <w:shd w:val="clear" w:color="auto" w:fill="C6EFCE"/>
            <w:noWrap/>
          </w:tcPr>
          <w:p w14:paraId="3CE962E6" w14:textId="77777777" w:rsidR="00A345F4" w:rsidRDefault="005E2D4E">
            <w:pPr>
              <w:pStyle w:val="P68B1DB1-Normal14"/>
              <w:spacing w:after="0" w:line="240" w:lineRule="auto"/>
              <w:jc w:val="both"/>
              <w:rPr>
                <w:noProof/>
              </w:rPr>
            </w:pPr>
            <w:r>
              <w:rPr>
                <w:noProof/>
              </w:rPr>
              <w:t>Réforme 3. Fourniture du revenu minimum d'inclusion (VMI)</w:t>
            </w:r>
          </w:p>
        </w:tc>
        <w:tc>
          <w:tcPr>
            <w:tcW w:w="1183" w:type="dxa"/>
            <w:tcBorders>
              <w:top w:val="nil"/>
              <w:left w:val="nil"/>
              <w:bottom w:val="single" w:sz="4" w:space="0" w:color="auto"/>
              <w:right w:val="single" w:sz="4" w:space="0" w:color="auto"/>
            </w:tcBorders>
            <w:shd w:val="clear" w:color="auto" w:fill="C6EFCE"/>
            <w:noWrap/>
          </w:tcPr>
          <w:p w14:paraId="6083EE2A" w14:textId="77777777" w:rsidR="00A345F4" w:rsidRDefault="005E2D4E">
            <w:pPr>
              <w:pStyle w:val="P68B1DB1-Normal14"/>
              <w:spacing w:after="0" w:line="240" w:lineRule="auto"/>
              <w:jc w:val="both"/>
              <w:rPr>
                <w:noProof/>
              </w:rPr>
            </w:pPr>
            <w:r>
              <w:rPr>
                <w:noProof/>
              </w:rPr>
              <w:t>Objectif</w:t>
            </w:r>
          </w:p>
        </w:tc>
        <w:tc>
          <w:tcPr>
            <w:tcW w:w="1478" w:type="dxa"/>
            <w:tcBorders>
              <w:top w:val="nil"/>
              <w:left w:val="nil"/>
              <w:bottom w:val="single" w:sz="4" w:space="0" w:color="auto"/>
              <w:right w:val="single" w:sz="4" w:space="0" w:color="auto"/>
            </w:tcBorders>
            <w:shd w:val="clear" w:color="auto" w:fill="C6EFCE"/>
            <w:noWrap/>
          </w:tcPr>
          <w:p w14:paraId="4054AE94" w14:textId="77777777" w:rsidR="00A345F4" w:rsidRDefault="005E2D4E">
            <w:pPr>
              <w:pStyle w:val="P68B1DB1-Normal14"/>
              <w:spacing w:after="0" w:line="240" w:lineRule="auto"/>
              <w:jc w:val="both"/>
              <w:rPr>
                <w:noProof/>
              </w:rPr>
            </w:pPr>
            <w:r>
              <w:rPr>
                <w:noProof/>
              </w:rPr>
              <w:t xml:space="preserve">Mesures d'activation reçues </w:t>
            </w:r>
          </w:p>
        </w:tc>
        <w:tc>
          <w:tcPr>
            <w:tcW w:w="1842" w:type="dxa"/>
            <w:tcBorders>
              <w:top w:val="nil"/>
              <w:left w:val="nil"/>
              <w:bottom w:val="single" w:sz="4" w:space="0" w:color="auto"/>
              <w:right w:val="single" w:sz="4" w:space="0" w:color="auto"/>
            </w:tcBorders>
            <w:shd w:val="clear" w:color="auto" w:fill="C6EFCE"/>
            <w:noWrap/>
          </w:tcPr>
          <w:p w14:paraId="0BBA3E22" w14:textId="77777777" w:rsidR="00A345F4" w:rsidRDefault="00A345F4">
            <w:pPr>
              <w:spacing w:after="0" w:line="240" w:lineRule="auto"/>
              <w:jc w:val="both"/>
              <w:rPr>
                <w:rFonts w:ascii="Times New Roman" w:hAnsi="Times New Roman" w:cs="Times New Roman"/>
                <w:noProof/>
                <w:sz w:val="20"/>
                <w:szCs w:val="20"/>
              </w:rPr>
            </w:pPr>
          </w:p>
        </w:tc>
        <w:tc>
          <w:tcPr>
            <w:tcW w:w="1265" w:type="dxa"/>
            <w:tcBorders>
              <w:top w:val="nil"/>
              <w:left w:val="nil"/>
              <w:bottom w:val="single" w:sz="4" w:space="0" w:color="auto"/>
              <w:right w:val="single" w:sz="4" w:space="0" w:color="auto"/>
            </w:tcBorders>
            <w:shd w:val="clear" w:color="auto" w:fill="C6EFCE"/>
            <w:noWrap/>
          </w:tcPr>
          <w:p w14:paraId="02EE5414" w14:textId="77777777" w:rsidR="00A345F4" w:rsidRDefault="005E2D4E">
            <w:pPr>
              <w:pStyle w:val="P68B1DB1-Normal14"/>
              <w:spacing w:after="0" w:line="240" w:lineRule="auto"/>
              <w:jc w:val="both"/>
              <w:rPr>
                <w:rFonts w:eastAsia="Times New Roman"/>
                <w:noProof/>
              </w:rPr>
            </w:pPr>
            <w:r>
              <w:rPr>
                <w:noProof/>
              </w:rPr>
              <w:t>% (pourcentage)</w:t>
            </w:r>
          </w:p>
          <w:p w14:paraId="0C1C3FD0" w14:textId="77777777" w:rsidR="00A345F4" w:rsidRDefault="00A345F4">
            <w:pPr>
              <w:spacing w:after="0" w:line="240" w:lineRule="auto"/>
              <w:jc w:val="both"/>
              <w:rPr>
                <w:rFonts w:ascii="Times New Roman" w:hAnsi="Times New Roman" w:cs="Times New Roman"/>
                <w:noProof/>
                <w:sz w:val="20"/>
                <w:szCs w:val="20"/>
              </w:rPr>
            </w:pPr>
          </w:p>
        </w:tc>
        <w:tc>
          <w:tcPr>
            <w:tcW w:w="1145" w:type="dxa"/>
            <w:tcBorders>
              <w:top w:val="nil"/>
              <w:left w:val="nil"/>
              <w:bottom w:val="single" w:sz="4" w:space="0" w:color="auto"/>
              <w:right w:val="single" w:sz="4" w:space="0" w:color="auto"/>
            </w:tcBorders>
            <w:shd w:val="clear" w:color="auto" w:fill="C6EFCE"/>
            <w:noWrap/>
          </w:tcPr>
          <w:p w14:paraId="32C8B90D" w14:textId="77777777" w:rsidR="00A345F4" w:rsidRDefault="005E2D4E">
            <w:pPr>
              <w:pStyle w:val="P68B1DB1-Normal14"/>
              <w:spacing w:after="0" w:line="240" w:lineRule="auto"/>
              <w:jc w:val="both"/>
              <w:rPr>
                <w:noProof/>
              </w:rPr>
            </w:pPr>
            <w:r>
              <w:rPr>
                <w:noProof/>
              </w:rPr>
              <w:t>0</w:t>
            </w:r>
          </w:p>
        </w:tc>
        <w:tc>
          <w:tcPr>
            <w:tcW w:w="992" w:type="dxa"/>
            <w:tcBorders>
              <w:top w:val="nil"/>
              <w:left w:val="nil"/>
              <w:bottom w:val="single" w:sz="4" w:space="0" w:color="auto"/>
              <w:right w:val="single" w:sz="4" w:space="0" w:color="auto"/>
            </w:tcBorders>
            <w:shd w:val="clear" w:color="auto" w:fill="C6EFCE"/>
            <w:noWrap/>
          </w:tcPr>
          <w:p w14:paraId="596FF1D1" w14:textId="77777777" w:rsidR="00A345F4" w:rsidRDefault="005E2D4E">
            <w:pPr>
              <w:pStyle w:val="P68B1DB1-Normal14"/>
              <w:spacing w:after="0" w:line="240" w:lineRule="auto"/>
              <w:jc w:val="both"/>
              <w:rPr>
                <w:noProof/>
              </w:rPr>
            </w:pPr>
            <w:r>
              <w:rPr>
                <w:noProof/>
              </w:rPr>
              <w:t>60%</w:t>
            </w:r>
          </w:p>
        </w:tc>
        <w:tc>
          <w:tcPr>
            <w:tcW w:w="1101" w:type="dxa"/>
            <w:tcBorders>
              <w:top w:val="nil"/>
              <w:left w:val="nil"/>
              <w:bottom w:val="single" w:sz="4" w:space="0" w:color="auto"/>
              <w:right w:val="single" w:sz="4" w:space="0" w:color="auto"/>
            </w:tcBorders>
            <w:shd w:val="clear" w:color="auto" w:fill="C6EFCE"/>
            <w:noWrap/>
          </w:tcPr>
          <w:p w14:paraId="369CC22B" w14:textId="77777777" w:rsidR="00A345F4" w:rsidRDefault="005E2D4E">
            <w:pPr>
              <w:pStyle w:val="P68B1DB1-Normal14"/>
              <w:spacing w:after="0" w:line="240" w:lineRule="auto"/>
              <w:jc w:val="both"/>
              <w:rPr>
                <w:noProof/>
              </w:rPr>
            </w:pPr>
            <w:r>
              <w:rPr>
                <w:noProof/>
              </w:rPr>
              <w:t>T2</w:t>
            </w:r>
          </w:p>
        </w:tc>
        <w:tc>
          <w:tcPr>
            <w:tcW w:w="825" w:type="dxa"/>
            <w:tcBorders>
              <w:top w:val="nil"/>
              <w:left w:val="nil"/>
              <w:bottom w:val="single" w:sz="4" w:space="0" w:color="auto"/>
              <w:right w:val="single" w:sz="4" w:space="0" w:color="auto"/>
            </w:tcBorders>
            <w:shd w:val="clear" w:color="auto" w:fill="C6EFCE"/>
            <w:noWrap/>
          </w:tcPr>
          <w:p w14:paraId="36D1C8AF" w14:textId="77777777" w:rsidR="00A345F4" w:rsidRDefault="005E2D4E">
            <w:pPr>
              <w:pStyle w:val="P68B1DB1-Normal14"/>
              <w:spacing w:after="0" w:line="240" w:lineRule="auto"/>
              <w:jc w:val="both"/>
              <w:rPr>
                <w:noProof/>
              </w:rPr>
            </w:pPr>
            <w:r>
              <w:rPr>
                <w:noProof/>
              </w:rPr>
              <w:t>2025</w:t>
            </w:r>
          </w:p>
        </w:tc>
        <w:tc>
          <w:tcPr>
            <w:tcW w:w="2693" w:type="dxa"/>
            <w:tcBorders>
              <w:top w:val="nil"/>
              <w:left w:val="nil"/>
              <w:bottom w:val="single" w:sz="4" w:space="0" w:color="auto"/>
              <w:right w:val="single" w:sz="4" w:space="0" w:color="auto"/>
            </w:tcBorders>
            <w:shd w:val="clear" w:color="auto" w:fill="C6EFCE"/>
            <w:noWrap/>
          </w:tcPr>
          <w:p w14:paraId="290CABFB" w14:textId="77777777" w:rsidR="00A345F4" w:rsidRDefault="005E2D4E">
            <w:pPr>
              <w:pStyle w:val="P68B1DB1-Normal14"/>
              <w:spacing w:after="0" w:line="240" w:lineRule="auto"/>
              <w:jc w:val="both"/>
              <w:rPr>
                <w:noProof/>
              </w:rPr>
            </w:pPr>
            <w:bookmarkStart w:id="24" w:name="_Hlk210215943"/>
            <w:r>
              <w:rPr>
                <w:noProof/>
              </w:rPr>
              <w:t xml:space="preserve">Au moins 60 % des bénéficiaires du revenu minimal d’inclusion qui sont en mesure de travailler depuis 2023 ont bénéficié d’au moins l’une des mesures d’activation suivantes: </w:t>
            </w:r>
          </w:p>
          <w:bookmarkEnd w:id="24"/>
          <w:p w14:paraId="662E7DD2" w14:textId="77777777" w:rsidR="00A345F4" w:rsidRDefault="005E2D4E">
            <w:pPr>
              <w:pStyle w:val="P68B1DB1-Normal19"/>
              <w:spacing w:after="0" w:line="240" w:lineRule="auto"/>
              <w:jc w:val="both"/>
              <w:rPr>
                <w:noProof/>
              </w:rPr>
            </w:pPr>
            <w:r>
              <w:rPr>
                <w:noProof/>
              </w:rPr>
              <w:t>les services de formation ou de recyclage, l’information et l’orientation professionnelle, la médiation en matière d’emploi et les propositions d’emploi, les conseils et l’aide à la création d’une activité indépendante ou d’entreprise, le renforcement de la mobilité de la main-d’œuvre, ainsi que l’inscription à des programmes d’éducation de la «seconde chance».</w:t>
            </w:r>
          </w:p>
        </w:tc>
      </w:tr>
      <w:tr w:rsidR="00A345F4" w14:paraId="1D9488E1"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ECD2AE6" w14:textId="77777777" w:rsidR="00A345F4" w:rsidRDefault="005E2D4E">
            <w:pPr>
              <w:pStyle w:val="P68B1DB1-Normal14"/>
              <w:spacing w:after="0" w:line="240" w:lineRule="auto"/>
              <w:jc w:val="center"/>
              <w:rPr>
                <w:noProof/>
              </w:rPr>
            </w:pPr>
            <w:r>
              <w:rPr>
                <w:noProof/>
              </w:rPr>
              <w:t>387</w:t>
            </w:r>
          </w:p>
        </w:tc>
        <w:tc>
          <w:tcPr>
            <w:tcW w:w="1875" w:type="dxa"/>
            <w:tcBorders>
              <w:top w:val="nil"/>
              <w:left w:val="nil"/>
              <w:bottom w:val="single" w:sz="4" w:space="0" w:color="auto"/>
              <w:right w:val="single" w:sz="4" w:space="0" w:color="auto"/>
            </w:tcBorders>
            <w:shd w:val="clear" w:color="auto" w:fill="C6EFCE"/>
            <w:noWrap/>
          </w:tcPr>
          <w:p w14:paraId="7FF3A838" w14:textId="77777777" w:rsidR="00A345F4" w:rsidRDefault="005E2D4E">
            <w:pPr>
              <w:pStyle w:val="P68B1DB1-Normal14"/>
              <w:spacing w:after="0" w:line="240" w:lineRule="auto"/>
              <w:jc w:val="both"/>
              <w:rPr>
                <w:noProof/>
              </w:rPr>
            </w:pPr>
            <w:r>
              <w:rPr>
                <w:noProof/>
              </w:rPr>
              <w:t>Réforme 4. Introduction des cartes de travail et formalisation du travail domestique</w:t>
            </w:r>
          </w:p>
        </w:tc>
        <w:tc>
          <w:tcPr>
            <w:tcW w:w="1183" w:type="dxa"/>
            <w:tcBorders>
              <w:top w:val="nil"/>
              <w:left w:val="nil"/>
              <w:bottom w:val="single" w:sz="4" w:space="0" w:color="auto"/>
              <w:right w:val="single" w:sz="4" w:space="0" w:color="auto"/>
            </w:tcBorders>
            <w:shd w:val="clear" w:color="auto" w:fill="C6EFCE"/>
            <w:noWrap/>
          </w:tcPr>
          <w:p w14:paraId="41897769" w14:textId="77777777" w:rsidR="00A345F4" w:rsidRDefault="005E2D4E">
            <w:pPr>
              <w:pStyle w:val="P68B1DB1-Normal14"/>
              <w:spacing w:after="0" w:line="240" w:lineRule="auto"/>
              <w:jc w:val="both"/>
              <w:rPr>
                <w:noProof/>
              </w:rPr>
            </w:pPr>
            <w:r>
              <w:rPr>
                <w:noProof/>
              </w:rPr>
              <w:t>Étape</w:t>
            </w:r>
          </w:p>
        </w:tc>
        <w:tc>
          <w:tcPr>
            <w:tcW w:w="1478" w:type="dxa"/>
            <w:tcBorders>
              <w:top w:val="nil"/>
              <w:left w:val="nil"/>
              <w:bottom w:val="single" w:sz="4" w:space="0" w:color="auto"/>
              <w:right w:val="single" w:sz="4" w:space="0" w:color="auto"/>
            </w:tcBorders>
            <w:shd w:val="clear" w:color="auto" w:fill="C6EFCE"/>
            <w:noWrap/>
          </w:tcPr>
          <w:p w14:paraId="51B6D5C7" w14:textId="77777777" w:rsidR="00A345F4" w:rsidRDefault="005E2D4E">
            <w:pPr>
              <w:pStyle w:val="P68B1DB1-Normal14"/>
              <w:spacing w:after="0" w:line="240" w:lineRule="auto"/>
              <w:jc w:val="both"/>
              <w:rPr>
                <w:noProof/>
              </w:rPr>
            </w:pPr>
            <w:r>
              <w:rPr>
                <w:noProof/>
              </w:rPr>
              <w:t xml:space="preserve">Entrée en vigueur de la législation et de ses modalités d'application pour le système de chèques-travailleurs domestiques </w:t>
            </w:r>
          </w:p>
        </w:tc>
        <w:tc>
          <w:tcPr>
            <w:tcW w:w="1842" w:type="dxa"/>
            <w:tcBorders>
              <w:top w:val="nil"/>
              <w:left w:val="nil"/>
              <w:bottom w:val="single" w:sz="4" w:space="0" w:color="auto"/>
              <w:right w:val="single" w:sz="4" w:space="0" w:color="auto"/>
            </w:tcBorders>
            <w:shd w:val="clear" w:color="auto" w:fill="C6EFCE"/>
            <w:noWrap/>
          </w:tcPr>
          <w:p w14:paraId="6E341CF0" w14:textId="77777777" w:rsidR="00A345F4" w:rsidRDefault="005E2D4E">
            <w:pPr>
              <w:pStyle w:val="P68B1DB1-Normal14"/>
              <w:spacing w:after="0" w:line="240" w:lineRule="auto"/>
              <w:jc w:val="both"/>
              <w:rPr>
                <w:noProof/>
              </w:rPr>
            </w:pPr>
            <w:r>
              <w:rPr>
                <w:noProof/>
              </w:rPr>
              <w:t>Disposition de la loi indiquant l’entrée en vigueur de la loi relative à la mise en œuvre du système de chèques de travail</w:t>
            </w:r>
          </w:p>
        </w:tc>
        <w:tc>
          <w:tcPr>
            <w:tcW w:w="1265" w:type="dxa"/>
            <w:tcBorders>
              <w:top w:val="nil"/>
              <w:left w:val="nil"/>
              <w:bottom w:val="single" w:sz="4" w:space="0" w:color="auto"/>
              <w:right w:val="single" w:sz="4" w:space="0" w:color="auto"/>
            </w:tcBorders>
            <w:shd w:val="clear" w:color="auto" w:fill="C6EFCE"/>
            <w:noWrap/>
          </w:tcPr>
          <w:p w14:paraId="604727BC" w14:textId="77777777" w:rsidR="00A345F4" w:rsidRDefault="005E2D4E">
            <w:pPr>
              <w:pStyle w:val="P68B1DB1-Normal14"/>
              <w:spacing w:after="0" w:line="240" w:lineRule="auto"/>
              <w:jc w:val="both"/>
              <w:rPr>
                <w:noProof/>
              </w:rPr>
            </w:pPr>
            <w:r>
              <w:rPr>
                <w:noProof/>
              </w:rPr>
              <w:t xml:space="preserve"> </w:t>
            </w:r>
          </w:p>
        </w:tc>
        <w:tc>
          <w:tcPr>
            <w:tcW w:w="1145" w:type="dxa"/>
            <w:tcBorders>
              <w:top w:val="nil"/>
              <w:left w:val="nil"/>
              <w:bottom w:val="single" w:sz="4" w:space="0" w:color="auto"/>
              <w:right w:val="single" w:sz="4" w:space="0" w:color="auto"/>
            </w:tcBorders>
            <w:shd w:val="clear" w:color="auto" w:fill="C6EFCE"/>
            <w:noWrap/>
          </w:tcPr>
          <w:p w14:paraId="24CC3D93"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4A6307EB" w14:textId="77777777" w:rsidR="00A345F4" w:rsidRDefault="00A345F4">
            <w:pPr>
              <w:spacing w:after="0" w:line="240" w:lineRule="auto"/>
              <w:jc w:val="both"/>
              <w:rPr>
                <w:rFonts w:ascii="Times New Roman" w:hAnsi="Times New Roman" w:cs="Times New Roman"/>
                <w:noProof/>
                <w:sz w:val="20"/>
                <w:szCs w:val="20"/>
              </w:rPr>
            </w:pPr>
          </w:p>
        </w:tc>
        <w:tc>
          <w:tcPr>
            <w:tcW w:w="1101" w:type="dxa"/>
            <w:tcBorders>
              <w:top w:val="nil"/>
              <w:left w:val="nil"/>
              <w:bottom w:val="single" w:sz="4" w:space="0" w:color="auto"/>
              <w:right w:val="single" w:sz="4" w:space="0" w:color="auto"/>
            </w:tcBorders>
            <w:shd w:val="clear" w:color="auto" w:fill="C6EFCE"/>
            <w:noWrap/>
          </w:tcPr>
          <w:p w14:paraId="5433A234" w14:textId="77777777" w:rsidR="00A345F4" w:rsidRDefault="005E2D4E">
            <w:pPr>
              <w:pStyle w:val="P68B1DB1-Normal14"/>
              <w:spacing w:after="0" w:line="240" w:lineRule="auto"/>
              <w:jc w:val="both"/>
              <w:rPr>
                <w:noProof/>
              </w:rPr>
            </w:pPr>
            <w:r>
              <w:rPr>
                <w:noProof/>
              </w:rPr>
              <w:t>T1</w:t>
            </w:r>
          </w:p>
        </w:tc>
        <w:tc>
          <w:tcPr>
            <w:tcW w:w="825" w:type="dxa"/>
            <w:tcBorders>
              <w:top w:val="nil"/>
              <w:left w:val="nil"/>
              <w:bottom w:val="single" w:sz="4" w:space="0" w:color="auto"/>
              <w:right w:val="single" w:sz="4" w:space="0" w:color="auto"/>
            </w:tcBorders>
            <w:shd w:val="clear" w:color="auto" w:fill="C6EFCE"/>
            <w:noWrap/>
          </w:tcPr>
          <w:p w14:paraId="5BE28AF1" w14:textId="77777777" w:rsidR="00A345F4" w:rsidRDefault="005E2D4E">
            <w:pPr>
              <w:pStyle w:val="P68B1DB1-Normal14"/>
              <w:spacing w:after="0" w:line="240" w:lineRule="auto"/>
              <w:jc w:val="both"/>
              <w:rPr>
                <w:noProof/>
              </w:rPr>
            </w:pPr>
            <w:r>
              <w:rPr>
                <w:noProof/>
              </w:rPr>
              <w:t>2022</w:t>
            </w:r>
          </w:p>
        </w:tc>
        <w:tc>
          <w:tcPr>
            <w:tcW w:w="2693" w:type="dxa"/>
            <w:tcBorders>
              <w:top w:val="nil"/>
              <w:left w:val="nil"/>
              <w:bottom w:val="single" w:sz="4" w:space="0" w:color="auto"/>
              <w:right w:val="single" w:sz="4" w:space="0" w:color="auto"/>
            </w:tcBorders>
            <w:shd w:val="clear" w:color="auto" w:fill="C6EFCE"/>
            <w:noWrap/>
          </w:tcPr>
          <w:p w14:paraId="1CF92887" w14:textId="77777777" w:rsidR="00A345F4" w:rsidRDefault="005E2D4E">
            <w:pPr>
              <w:pStyle w:val="P68B1DB1-Normal14"/>
              <w:spacing w:after="0" w:line="240" w:lineRule="auto"/>
              <w:jc w:val="both"/>
              <w:rPr>
                <w:noProof/>
              </w:rPr>
            </w:pPr>
            <w:r>
              <w:rPr>
                <w:noProof/>
              </w:rPr>
              <w:t>Entrée en vigueur de la loi relative à la mise en place du système de bons de travail pour stimuler l'emploi formel des travailleurs domestiques actuellement enregistrés comme chômeurs ou inactifs.</w:t>
            </w:r>
          </w:p>
        </w:tc>
      </w:tr>
      <w:tr w:rsidR="00A345F4" w14:paraId="29AE6C26"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6653DE4D" w14:textId="77777777" w:rsidR="00A345F4" w:rsidRDefault="005E2D4E">
            <w:pPr>
              <w:pStyle w:val="P68B1DB1-Normal14"/>
              <w:spacing w:after="0" w:line="240" w:lineRule="auto"/>
              <w:jc w:val="center"/>
              <w:rPr>
                <w:noProof/>
              </w:rPr>
            </w:pPr>
            <w:r>
              <w:rPr>
                <w:noProof/>
              </w:rPr>
              <w:t>392</w:t>
            </w:r>
          </w:p>
        </w:tc>
        <w:tc>
          <w:tcPr>
            <w:tcW w:w="1875" w:type="dxa"/>
            <w:tcBorders>
              <w:top w:val="nil"/>
              <w:left w:val="nil"/>
              <w:bottom w:val="single" w:sz="4" w:space="0" w:color="auto"/>
              <w:right w:val="single" w:sz="4" w:space="0" w:color="auto"/>
            </w:tcBorders>
            <w:shd w:val="clear" w:color="auto" w:fill="C6EFCE"/>
            <w:noWrap/>
          </w:tcPr>
          <w:p w14:paraId="3A842383" w14:textId="77777777" w:rsidR="00A345F4" w:rsidRDefault="005E2D4E">
            <w:pPr>
              <w:pStyle w:val="P68B1DB1-Normal14"/>
              <w:spacing w:after="0" w:line="240" w:lineRule="auto"/>
              <w:jc w:val="both"/>
              <w:rPr>
                <w:noProof/>
              </w:rPr>
            </w:pPr>
            <w:r>
              <w:rPr>
                <w:noProof/>
              </w:rPr>
              <w:t xml:space="preserve">Réforme 5. Garantir la fixation d’un salaire minimum </w:t>
            </w:r>
          </w:p>
        </w:tc>
        <w:tc>
          <w:tcPr>
            <w:tcW w:w="1183" w:type="dxa"/>
            <w:tcBorders>
              <w:top w:val="nil"/>
              <w:left w:val="nil"/>
              <w:bottom w:val="single" w:sz="4" w:space="0" w:color="auto"/>
              <w:right w:val="single" w:sz="4" w:space="0" w:color="auto"/>
            </w:tcBorders>
            <w:shd w:val="clear" w:color="auto" w:fill="C6EFCE"/>
            <w:noWrap/>
          </w:tcPr>
          <w:p w14:paraId="7A5335DF" w14:textId="77777777" w:rsidR="00A345F4" w:rsidRDefault="005E2D4E">
            <w:pPr>
              <w:pStyle w:val="P68B1DB1-Normal14"/>
              <w:spacing w:after="0" w:line="240" w:lineRule="auto"/>
              <w:jc w:val="both"/>
              <w:rPr>
                <w:noProof/>
              </w:rPr>
            </w:pPr>
            <w:r>
              <w:rPr>
                <w:noProof/>
              </w:rPr>
              <w:t>Étape</w:t>
            </w:r>
          </w:p>
        </w:tc>
        <w:tc>
          <w:tcPr>
            <w:tcW w:w="1478" w:type="dxa"/>
            <w:tcBorders>
              <w:top w:val="nil"/>
              <w:left w:val="nil"/>
              <w:bottom w:val="single" w:sz="4" w:space="0" w:color="auto"/>
              <w:right w:val="single" w:sz="4" w:space="0" w:color="auto"/>
            </w:tcBorders>
            <w:shd w:val="clear" w:color="auto" w:fill="C6EFCE"/>
            <w:noWrap/>
          </w:tcPr>
          <w:p w14:paraId="6546B1AF" w14:textId="77777777" w:rsidR="00A345F4" w:rsidRDefault="005E2D4E">
            <w:pPr>
              <w:pStyle w:val="P68B1DB1-Normal14"/>
              <w:spacing w:after="0" w:line="240" w:lineRule="auto"/>
              <w:jc w:val="both"/>
              <w:rPr>
                <w:noProof/>
              </w:rPr>
            </w:pPr>
            <w:r>
              <w:rPr>
                <w:noProof/>
              </w:rPr>
              <w:t>Entrée en vigueur des actes juridiques régissant le nouveau système de fixation du salaire minimum</w:t>
            </w:r>
          </w:p>
        </w:tc>
        <w:tc>
          <w:tcPr>
            <w:tcW w:w="1842" w:type="dxa"/>
            <w:tcBorders>
              <w:top w:val="nil"/>
              <w:left w:val="nil"/>
              <w:bottom w:val="single" w:sz="4" w:space="0" w:color="auto"/>
              <w:right w:val="single" w:sz="4" w:space="0" w:color="auto"/>
            </w:tcBorders>
            <w:shd w:val="clear" w:color="auto" w:fill="C6EFCE"/>
            <w:noWrap/>
          </w:tcPr>
          <w:p w14:paraId="641B6236" w14:textId="77777777" w:rsidR="00A345F4" w:rsidRDefault="005E2D4E">
            <w:pPr>
              <w:pStyle w:val="P68B1DB1-Normal14"/>
              <w:spacing w:after="0" w:line="240" w:lineRule="auto"/>
              <w:jc w:val="both"/>
              <w:rPr>
                <w:noProof/>
              </w:rPr>
            </w:pPr>
            <w:r>
              <w:rPr>
                <w:noProof/>
              </w:rPr>
              <w:t xml:space="preserve">Disposition des actes juridiques indiquant leur entrée en vigueur </w:t>
            </w:r>
          </w:p>
        </w:tc>
        <w:tc>
          <w:tcPr>
            <w:tcW w:w="1265" w:type="dxa"/>
            <w:tcBorders>
              <w:top w:val="nil"/>
              <w:left w:val="nil"/>
              <w:bottom w:val="single" w:sz="4" w:space="0" w:color="auto"/>
              <w:right w:val="single" w:sz="4" w:space="0" w:color="auto"/>
            </w:tcBorders>
            <w:shd w:val="clear" w:color="auto" w:fill="C6EFCE"/>
            <w:noWrap/>
          </w:tcPr>
          <w:p w14:paraId="09939114" w14:textId="77777777" w:rsidR="00A345F4" w:rsidRDefault="00A345F4">
            <w:pPr>
              <w:spacing w:after="0" w:line="240" w:lineRule="auto"/>
              <w:jc w:val="both"/>
              <w:rPr>
                <w:rFonts w:ascii="Times New Roman" w:hAnsi="Times New Roman" w:cs="Times New Roman"/>
                <w:noProof/>
                <w:sz w:val="20"/>
                <w:szCs w:val="20"/>
              </w:rPr>
            </w:pPr>
          </w:p>
        </w:tc>
        <w:tc>
          <w:tcPr>
            <w:tcW w:w="1145" w:type="dxa"/>
            <w:tcBorders>
              <w:top w:val="nil"/>
              <w:left w:val="nil"/>
              <w:bottom w:val="single" w:sz="4" w:space="0" w:color="auto"/>
              <w:right w:val="single" w:sz="4" w:space="0" w:color="auto"/>
            </w:tcBorders>
            <w:shd w:val="clear" w:color="auto" w:fill="C6EFCE"/>
            <w:noWrap/>
          </w:tcPr>
          <w:p w14:paraId="7D316F79" w14:textId="77777777" w:rsidR="00A345F4" w:rsidRDefault="00A345F4">
            <w:pPr>
              <w:spacing w:after="0" w:line="240" w:lineRule="auto"/>
              <w:jc w:val="both"/>
              <w:rPr>
                <w:rFonts w:ascii="Times New Roman" w:hAnsi="Times New Roman" w:cs="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6C8E7289" w14:textId="77777777" w:rsidR="00A345F4" w:rsidRDefault="00A345F4">
            <w:pPr>
              <w:spacing w:after="0" w:line="240" w:lineRule="auto"/>
              <w:jc w:val="both"/>
              <w:rPr>
                <w:rFonts w:ascii="Times New Roman" w:hAnsi="Times New Roman" w:cs="Times New Roman"/>
                <w:noProof/>
                <w:sz w:val="20"/>
                <w:szCs w:val="20"/>
              </w:rPr>
            </w:pPr>
          </w:p>
        </w:tc>
        <w:tc>
          <w:tcPr>
            <w:tcW w:w="1101" w:type="dxa"/>
            <w:tcBorders>
              <w:top w:val="nil"/>
              <w:left w:val="nil"/>
              <w:bottom w:val="single" w:sz="4" w:space="0" w:color="auto"/>
              <w:right w:val="single" w:sz="4" w:space="0" w:color="auto"/>
            </w:tcBorders>
            <w:shd w:val="clear" w:color="auto" w:fill="C6EFCE"/>
            <w:noWrap/>
          </w:tcPr>
          <w:p w14:paraId="2FCCDC18" w14:textId="77777777" w:rsidR="00A345F4" w:rsidRDefault="005E2D4E">
            <w:pPr>
              <w:pStyle w:val="P68B1DB1-Normal14"/>
              <w:spacing w:after="0" w:line="240" w:lineRule="auto"/>
              <w:jc w:val="both"/>
              <w:rPr>
                <w:noProof/>
              </w:rPr>
            </w:pPr>
            <w:r>
              <w:rPr>
                <w:noProof/>
              </w:rPr>
              <w:t>T1</w:t>
            </w:r>
          </w:p>
        </w:tc>
        <w:tc>
          <w:tcPr>
            <w:tcW w:w="825" w:type="dxa"/>
            <w:tcBorders>
              <w:top w:val="nil"/>
              <w:left w:val="nil"/>
              <w:bottom w:val="single" w:sz="4" w:space="0" w:color="auto"/>
              <w:right w:val="single" w:sz="4" w:space="0" w:color="auto"/>
            </w:tcBorders>
            <w:shd w:val="clear" w:color="auto" w:fill="C6EFCE"/>
            <w:noWrap/>
          </w:tcPr>
          <w:p w14:paraId="612454F7" w14:textId="77777777" w:rsidR="00A345F4" w:rsidRDefault="005E2D4E">
            <w:pPr>
              <w:pStyle w:val="P68B1DB1-Normal14"/>
              <w:spacing w:after="0" w:line="240" w:lineRule="auto"/>
              <w:jc w:val="both"/>
              <w:rPr>
                <w:noProof/>
              </w:rPr>
            </w:pPr>
            <w:r>
              <w:rPr>
                <w:noProof/>
              </w:rPr>
              <w:t>2024</w:t>
            </w:r>
          </w:p>
        </w:tc>
        <w:tc>
          <w:tcPr>
            <w:tcW w:w="2693" w:type="dxa"/>
            <w:tcBorders>
              <w:top w:val="nil"/>
              <w:left w:val="nil"/>
              <w:bottom w:val="single" w:sz="4" w:space="0" w:color="auto"/>
              <w:right w:val="single" w:sz="4" w:space="0" w:color="auto"/>
            </w:tcBorders>
            <w:shd w:val="clear" w:color="auto" w:fill="C6EFCE"/>
            <w:noWrap/>
          </w:tcPr>
          <w:p w14:paraId="49DC762D" w14:textId="77777777" w:rsidR="00A345F4" w:rsidRDefault="005E2D4E">
            <w:pPr>
              <w:pStyle w:val="P68B1DB1-Normal14"/>
              <w:spacing w:after="0" w:line="240" w:lineRule="auto"/>
              <w:jc w:val="both"/>
              <w:rPr>
                <w:noProof/>
              </w:rPr>
            </w:pPr>
            <w:r>
              <w:rPr>
                <w:noProof/>
              </w:rPr>
              <w:t>Les actes juridiques établissent un nouveau mécanisme et une formule pour fixer objectivement le niveau du salaire minimum de manière systématique, en consultation avec les partenaires sociaux et en tenant compte des actions de l’Union.</w:t>
            </w:r>
          </w:p>
        </w:tc>
      </w:tr>
      <w:tr w:rsidR="00A345F4" w14:paraId="77DF3965"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2377B271" w14:textId="77777777" w:rsidR="00A345F4" w:rsidRDefault="005E2D4E">
            <w:pPr>
              <w:pStyle w:val="P68B1DB1-Normal14"/>
              <w:spacing w:after="0" w:line="240" w:lineRule="auto"/>
              <w:jc w:val="center"/>
              <w:rPr>
                <w:rFonts w:eastAsia="Times New Roman"/>
                <w:noProof/>
              </w:rPr>
            </w:pPr>
            <w:r>
              <w:rPr>
                <w:noProof/>
              </w:rPr>
              <w:t>394</w:t>
            </w:r>
          </w:p>
        </w:tc>
        <w:tc>
          <w:tcPr>
            <w:tcW w:w="1875" w:type="dxa"/>
            <w:tcBorders>
              <w:top w:val="nil"/>
              <w:left w:val="nil"/>
              <w:bottom w:val="single" w:sz="4" w:space="0" w:color="auto"/>
              <w:right w:val="single" w:sz="4" w:space="0" w:color="auto"/>
            </w:tcBorders>
            <w:shd w:val="clear" w:color="auto" w:fill="C6EFCE"/>
            <w:noWrap/>
            <w:hideMark/>
          </w:tcPr>
          <w:p w14:paraId="42055B36" w14:textId="77777777" w:rsidR="00A345F4" w:rsidRDefault="005E2D4E">
            <w:pPr>
              <w:pStyle w:val="P68B1DB1-Normal14"/>
              <w:spacing w:after="0" w:line="240" w:lineRule="auto"/>
              <w:jc w:val="both"/>
              <w:rPr>
                <w:noProof/>
              </w:rPr>
            </w:pPr>
            <w:r>
              <w:rPr>
                <w:noProof/>
              </w:rPr>
              <w:t>Investissement 1. Création d'un réseau de centres de jour pour les enfants menacés de séparation</w:t>
            </w:r>
          </w:p>
          <w:p w14:paraId="62890F5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83" w:type="dxa"/>
            <w:tcBorders>
              <w:top w:val="nil"/>
              <w:left w:val="nil"/>
              <w:bottom w:val="single" w:sz="4" w:space="0" w:color="auto"/>
              <w:right w:val="single" w:sz="4" w:space="0" w:color="auto"/>
            </w:tcBorders>
            <w:shd w:val="clear" w:color="auto" w:fill="C6EFCE"/>
            <w:noWrap/>
            <w:hideMark/>
          </w:tcPr>
          <w:p w14:paraId="3F1F6071" w14:textId="77777777" w:rsidR="00A345F4" w:rsidRDefault="005E2D4E">
            <w:pPr>
              <w:pStyle w:val="P68B1DB1-Normal14"/>
              <w:spacing w:after="0" w:line="240" w:lineRule="auto"/>
              <w:jc w:val="both"/>
              <w:rPr>
                <w:rFonts w:eastAsia="Times New Roman"/>
                <w:noProof/>
              </w:rPr>
            </w:pPr>
            <w:r>
              <w:rPr>
                <w:noProof/>
              </w:rPr>
              <w:t>Objectif</w:t>
            </w:r>
          </w:p>
        </w:tc>
        <w:tc>
          <w:tcPr>
            <w:tcW w:w="1478" w:type="dxa"/>
            <w:tcBorders>
              <w:top w:val="nil"/>
              <w:left w:val="nil"/>
              <w:bottom w:val="single" w:sz="4" w:space="0" w:color="auto"/>
              <w:right w:val="single" w:sz="4" w:space="0" w:color="auto"/>
            </w:tcBorders>
            <w:shd w:val="clear" w:color="auto" w:fill="C6EFCE"/>
            <w:noWrap/>
            <w:hideMark/>
          </w:tcPr>
          <w:p w14:paraId="31C399FB" w14:textId="77777777" w:rsidR="00A345F4" w:rsidRDefault="005E2D4E">
            <w:pPr>
              <w:pStyle w:val="P68B1DB1-Normal14"/>
              <w:spacing w:after="0" w:line="240" w:lineRule="auto"/>
              <w:jc w:val="both"/>
              <w:rPr>
                <w:rFonts w:eastAsia="Times New Roman"/>
                <w:noProof/>
              </w:rPr>
            </w:pPr>
            <w:r>
              <w:rPr>
                <w:noProof/>
              </w:rPr>
              <w:t>Centres de jour pour empêcher la séparation des enfants de la famille</w:t>
            </w:r>
          </w:p>
        </w:tc>
        <w:tc>
          <w:tcPr>
            <w:tcW w:w="1842" w:type="dxa"/>
            <w:tcBorders>
              <w:top w:val="nil"/>
              <w:left w:val="nil"/>
              <w:bottom w:val="single" w:sz="4" w:space="0" w:color="auto"/>
              <w:right w:val="single" w:sz="4" w:space="0" w:color="auto"/>
            </w:tcBorders>
            <w:shd w:val="clear" w:color="auto" w:fill="C6EFCE"/>
            <w:noWrap/>
            <w:hideMark/>
          </w:tcPr>
          <w:p w14:paraId="37F6FE3D" w14:textId="77777777" w:rsidR="00A345F4" w:rsidRDefault="005E2D4E">
            <w:pPr>
              <w:pStyle w:val="P68B1DB1-Normal14"/>
              <w:spacing w:after="0" w:line="240" w:lineRule="auto"/>
              <w:jc w:val="both"/>
              <w:rPr>
                <w:rFonts w:eastAsia="Times New Roman"/>
                <w:noProof/>
              </w:rPr>
            </w:pPr>
            <w:r>
              <w:rPr>
                <w:noProof/>
              </w:rPr>
              <w:t xml:space="preserve"> </w:t>
            </w:r>
          </w:p>
        </w:tc>
        <w:tc>
          <w:tcPr>
            <w:tcW w:w="1265" w:type="dxa"/>
            <w:tcBorders>
              <w:top w:val="nil"/>
              <w:left w:val="nil"/>
              <w:bottom w:val="single" w:sz="4" w:space="0" w:color="auto"/>
              <w:right w:val="single" w:sz="4" w:space="0" w:color="auto"/>
            </w:tcBorders>
            <w:shd w:val="clear" w:color="auto" w:fill="C6EFCE"/>
            <w:noWrap/>
            <w:hideMark/>
          </w:tcPr>
          <w:p w14:paraId="19842BA6" w14:textId="77777777" w:rsidR="00A345F4" w:rsidRDefault="005E2D4E">
            <w:pPr>
              <w:pStyle w:val="P68B1DB1-Normal14"/>
              <w:spacing w:after="0" w:line="240" w:lineRule="auto"/>
              <w:jc w:val="both"/>
              <w:rPr>
                <w:rFonts w:eastAsia="Times New Roman"/>
                <w:noProof/>
              </w:rPr>
            </w:pPr>
            <w:r>
              <w:rPr>
                <w:noProof/>
              </w:rPr>
              <w:t>Numéro</w:t>
            </w:r>
          </w:p>
        </w:tc>
        <w:tc>
          <w:tcPr>
            <w:tcW w:w="1145" w:type="dxa"/>
            <w:tcBorders>
              <w:top w:val="nil"/>
              <w:left w:val="nil"/>
              <w:bottom w:val="single" w:sz="4" w:space="0" w:color="auto"/>
              <w:right w:val="single" w:sz="4" w:space="0" w:color="auto"/>
            </w:tcBorders>
            <w:shd w:val="clear" w:color="auto" w:fill="C6EFCE"/>
            <w:noWrap/>
            <w:hideMark/>
          </w:tcPr>
          <w:p w14:paraId="7E8B4FB3" w14:textId="77777777" w:rsidR="00A345F4" w:rsidRDefault="005E2D4E">
            <w:pPr>
              <w:pStyle w:val="P68B1DB1-Normal14"/>
              <w:spacing w:after="0" w:line="240" w:lineRule="auto"/>
              <w:jc w:val="both"/>
              <w:rPr>
                <w:rFonts w:eastAsia="Times New Roman"/>
                <w:noProof/>
              </w:rPr>
            </w:pPr>
            <w:r>
              <w:rPr>
                <w:noProof/>
              </w:rPr>
              <w:t>0</w:t>
            </w:r>
          </w:p>
        </w:tc>
        <w:tc>
          <w:tcPr>
            <w:tcW w:w="992" w:type="dxa"/>
            <w:tcBorders>
              <w:top w:val="nil"/>
              <w:left w:val="nil"/>
              <w:bottom w:val="single" w:sz="4" w:space="0" w:color="auto"/>
              <w:right w:val="single" w:sz="4" w:space="0" w:color="auto"/>
            </w:tcBorders>
            <w:shd w:val="clear" w:color="auto" w:fill="C6EFCE"/>
            <w:noWrap/>
            <w:hideMark/>
          </w:tcPr>
          <w:p w14:paraId="417D8269" w14:textId="77777777" w:rsidR="00A345F4" w:rsidRDefault="005E2D4E">
            <w:pPr>
              <w:pStyle w:val="P68B1DB1-Normal14"/>
              <w:spacing w:after="0" w:line="240" w:lineRule="auto"/>
              <w:jc w:val="both"/>
              <w:rPr>
                <w:rFonts w:eastAsia="Times New Roman"/>
                <w:noProof/>
              </w:rPr>
            </w:pPr>
            <w:r>
              <w:rPr>
                <w:noProof/>
              </w:rPr>
              <w:t>124</w:t>
            </w:r>
          </w:p>
        </w:tc>
        <w:tc>
          <w:tcPr>
            <w:tcW w:w="1101" w:type="dxa"/>
            <w:tcBorders>
              <w:top w:val="nil"/>
              <w:left w:val="nil"/>
              <w:bottom w:val="single" w:sz="4" w:space="0" w:color="auto"/>
              <w:right w:val="single" w:sz="4" w:space="0" w:color="auto"/>
            </w:tcBorders>
            <w:shd w:val="clear" w:color="auto" w:fill="C6EFCE"/>
            <w:noWrap/>
            <w:hideMark/>
          </w:tcPr>
          <w:p w14:paraId="0700BDB4" w14:textId="77777777" w:rsidR="00A345F4" w:rsidRDefault="005E2D4E">
            <w:pPr>
              <w:pStyle w:val="P68B1DB1-Normal14"/>
              <w:spacing w:after="0" w:line="240" w:lineRule="auto"/>
              <w:jc w:val="both"/>
              <w:rPr>
                <w:rFonts w:eastAsia="Times New Roman"/>
                <w:noProof/>
              </w:rPr>
            </w:pPr>
            <w:r>
              <w:rPr>
                <w:noProof/>
              </w:rPr>
              <w:t>T2</w:t>
            </w:r>
          </w:p>
        </w:tc>
        <w:tc>
          <w:tcPr>
            <w:tcW w:w="825" w:type="dxa"/>
            <w:tcBorders>
              <w:top w:val="nil"/>
              <w:left w:val="nil"/>
              <w:bottom w:val="single" w:sz="4" w:space="0" w:color="auto"/>
              <w:right w:val="single" w:sz="4" w:space="0" w:color="auto"/>
            </w:tcBorders>
            <w:shd w:val="clear" w:color="auto" w:fill="C6EFCE"/>
            <w:noWrap/>
            <w:hideMark/>
          </w:tcPr>
          <w:p w14:paraId="427A67C6" w14:textId="77777777" w:rsidR="00A345F4" w:rsidRDefault="005E2D4E">
            <w:pPr>
              <w:pStyle w:val="P68B1DB1-Normal14"/>
              <w:spacing w:after="0" w:line="240" w:lineRule="auto"/>
              <w:jc w:val="both"/>
              <w:rPr>
                <w:noProof/>
              </w:rPr>
            </w:pPr>
            <w:r>
              <w:rPr>
                <w:noProof/>
              </w:rPr>
              <w:t xml:space="preserve"> 2026</w:t>
            </w:r>
          </w:p>
        </w:tc>
        <w:tc>
          <w:tcPr>
            <w:tcW w:w="2693" w:type="dxa"/>
            <w:tcBorders>
              <w:top w:val="nil"/>
              <w:left w:val="nil"/>
              <w:bottom w:val="single" w:sz="4" w:space="0" w:color="auto"/>
              <w:right w:val="single" w:sz="4" w:space="0" w:color="auto"/>
            </w:tcBorders>
            <w:shd w:val="clear" w:color="auto" w:fill="C6EFCE"/>
            <w:noWrap/>
            <w:hideMark/>
          </w:tcPr>
          <w:p w14:paraId="6CEBF869" w14:textId="0C51D8CE" w:rsidR="00A345F4" w:rsidRDefault="005E2D4E">
            <w:pPr>
              <w:pStyle w:val="P68B1DB1-Normal14"/>
              <w:spacing w:after="0" w:line="240" w:lineRule="auto"/>
              <w:jc w:val="both"/>
              <w:rPr>
                <w:noProof/>
              </w:rPr>
            </w:pPr>
            <w:r>
              <w:rPr>
                <w:noProof/>
              </w:rPr>
              <w:t xml:space="preserve">124 centres de jour pour empêcher la séparation des enfants des familles doivent être agréés. </w:t>
            </w:r>
          </w:p>
          <w:p w14:paraId="33A5BA0C" w14:textId="77777777" w:rsidR="00A345F4" w:rsidRDefault="005E2D4E">
            <w:pPr>
              <w:pStyle w:val="P68B1DB1-Normal14"/>
              <w:spacing w:after="0" w:line="240" w:lineRule="auto"/>
              <w:jc w:val="both"/>
              <w:rPr>
                <w:noProof/>
              </w:rPr>
            </w:pPr>
            <w:r>
              <w:rPr>
                <w:noProof/>
              </w:rPr>
              <w:t>120 centres de jour respectent l’exigence d’un bâtiment à consommation d’énergie quasi nulle (NZEB) conformément aux lignes directrices nationales. Les centres de quatre jours respectent l’objectif consistant à atteindre une demande d’énergie primaire (DEP) inférieure d’au moins 20 % à l’exigence d’un bâtiment dont la consommation d’énergie est quasi nulle (NZEB) conformément aux lignes directrices nationales, ce qui est confirmé au moyen de certificats de performance énergétique. La répartition spatiale des centres de jour est fondée sur une cartographie identifiant les besoins en services et infrastructures pour les enfants exposés au risque de séparation d’avec leur famille.</w:t>
            </w:r>
          </w:p>
        </w:tc>
      </w:tr>
      <w:tr w:rsidR="00A345F4" w14:paraId="66DDB95F"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49A9CC21" w14:textId="77777777" w:rsidR="00A345F4" w:rsidRDefault="005E2D4E">
            <w:pPr>
              <w:pStyle w:val="P68B1DB1-Normal14"/>
              <w:spacing w:after="0" w:line="240" w:lineRule="auto"/>
              <w:jc w:val="center"/>
              <w:rPr>
                <w:noProof/>
              </w:rPr>
            </w:pPr>
            <w:r>
              <w:rPr>
                <w:noProof/>
              </w:rPr>
              <w:t>395</w:t>
            </w:r>
          </w:p>
        </w:tc>
        <w:tc>
          <w:tcPr>
            <w:tcW w:w="1875" w:type="dxa"/>
            <w:tcBorders>
              <w:top w:val="nil"/>
              <w:left w:val="nil"/>
              <w:bottom w:val="single" w:sz="4" w:space="0" w:color="auto"/>
              <w:right w:val="single" w:sz="4" w:space="0" w:color="auto"/>
            </w:tcBorders>
            <w:shd w:val="clear" w:color="auto" w:fill="C6EFCE"/>
            <w:noWrap/>
          </w:tcPr>
          <w:p w14:paraId="1208F252" w14:textId="77777777" w:rsidR="00A345F4" w:rsidRDefault="005E2D4E">
            <w:pPr>
              <w:pStyle w:val="P68B1DB1-Normal14"/>
              <w:spacing w:after="0" w:line="240" w:lineRule="auto"/>
              <w:jc w:val="both"/>
              <w:rPr>
                <w:noProof/>
              </w:rPr>
            </w:pPr>
            <w:r>
              <w:rPr>
                <w:noProof/>
              </w:rPr>
              <w:t xml:space="preserve">Investissement 2. Octroi de licences et modernisation des infrastructures sociales pour les personnes handicapées </w:t>
            </w:r>
          </w:p>
        </w:tc>
        <w:tc>
          <w:tcPr>
            <w:tcW w:w="1183" w:type="dxa"/>
            <w:tcBorders>
              <w:top w:val="nil"/>
              <w:left w:val="nil"/>
              <w:bottom w:val="single" w:sz="4" w:space="0" w:color="auto"/>
              <w:right w:val="single" w:sz="4" w:space="0" w:color="auto"/>
            </w:tcBorders>
            <w:shd w:val="clear" w:color="auto" w:fill="C6EFCE"/>
            <w:noWrap/>
          </w:tcPr>
          <w:p w14:paraId="7C44EF94" w14:textId="77777777" w:rsidR="00A345F4" w:rsidRDefault="005E2D4E">
            <w:pPr>
              <w:pStyle w:val="P68B1DB1-Normal14"/>
              <w:spacing w:after="0" w:line="240" w:lineRule="auto"/>
              <w:jc w:val="both"/>
              <w:rPr>
                <w:noProof/>
              </w:rPr>
            </w:pPr>
            <w:r>
              <w:rPr>
                <w:noProof/>
              </w:rPr>
              <w:t>Objectif</w:t>
            </w:r>
          </w:p>
        </w:tc>
        <w:tc>
          <w:tcPr>
            <w:tcW w:w="1478" w:type="dxa"/>
            <w:tcBorders>
              <w:top w:val="nil"/>
              <w:left w:val="nil"/>
              <w:bottom w:val="single" w:sz="4" w:space="0" w:color="auto"/>
              <w:right w:val="single" w:sz="4" w:space="0" w:color="auto"/>
            </w:tcBorders>
            <w:shd w:val="clear" w:color="auto" w:fill="C6EFCE"/>
            <w:noWrap/>
          </w:tcPr>
          <w:p w14:paraId="7BA7FF04" w14:textId="77777777" w:rsidR="00A345F4" w:rsidRDefault="005E2D4E">
            <w:pPr>
              <w:pStyle w:val="P68B1DB1-Normal14"/>
              <w:spacing w:after="0" w:line="240" w:lineRule="auto"/>
              <w:jc w:val="both"/>
              <w:rPr>
                <w:noProof/>
              </w:rPr>
            </w:pPr>
            <w:r>
              <w:rPr>
                <w:noProof/>
              </w:rPr>
              <w:t xml:space="preserve">Modernisation des services communautaires pour les personnes handicapées </w:t>
            </w:r>
          </w:p>
        </w:tc>
        <w:tc>
          <w:tcPr>
            <w:tcW w:w="1842" w:type="dxa"/>
            <w:tcBorders>
              <w:top w:val="nil"/>
              <w:left w:val="nil"/>
              <w:bottom w:val="single" w:sz="4" w:space="0" w:color="auto"/>
              <w:right w:val="single" w:sz="4" w:space="0" w:color="auto"/>
            </w:tcBorders>
            <w:shd w:val="clear" w:color="auto" w:fill="C6EFCE"/>
            <w:noWrap/>
          </w:tcPr>
          <w:p w14:paraId="76EF3F33" w14:textId="77777777" w:rsidR="00A345F4" w:rsidRDefault="005E2D4E">
            <w:pPr>
              <w:pStyle w:val="P68B1DB1-Normal14"/>
              <w:spacing w:after="0" w:line="240" w:lineRule="auto"/>
              <w:jc w:val="both"/>
              <w:rPr>
                <w:noProof/>
              </w:rPr>
            </w:pPr>
            <w:r>
              <w:rPr>
                <w:noProof/>
              </w:rPr>
              <w:t xml:space="preserve"> </w:t>
            </w:r>
          </w:p>
        </w:tc>
        <w:tc>
          <w:tcPr>
            <w:tcW w:w="1265" w:type="dxa"/>
            <w:tcBorders>
              <w:top w:val="nil"/>
              <w:left w:val="nil"/>
              <w:bottom w:val="single" w:sz="4" w:space="0" w:color="auto"/>
              <w:right w:val="single" w:sz="4" w:space="0" w:color="auto"/>
            </w:tcBorders>
            <w:shd w:val="clear" w:color="auto" w:fill="C6EFCE"/>
            <w:noWrap/>
          </w:tcPr>
          <w:p w14:paraId="53588661" w14:textId="77777777" w:rsidR="00A345F4" w:rsidRDefault="005E2D4E">
            <w:pPr>
              <w:pStyle w:val="P68B1DB1-Normal14"/>
              <w:spacing w:after="0" w:line="240" w:lineRule="auto"/>
              <w:jc w:val="both"/>
              <w:rPr>
                <w:noProof/>
              </w:rPr>
            </w:pPr>
            <w:r>
              <w:rPr>
                <w:noProof/>
              </w:rPr>
              <w:t>Numéro</w:t>
            </w:r>
          </w:p>
        </w:tc>
        <w:tc>
          <w:tcPr>
            <w:tcW w:w="1145" w:type="dxa"/>
            <w:tcBorders>
              <w:top w:val="nil"/>
              <w:left w:val="nil"/>
              <w:bottom w:val="single" w:sz="4" w:space="0" w:color="auto"/>
              <w:right w:val="single" w:sz="4" w:space="0" w:color="auto"/>
            </w:tcBorders>
            <w:shd w:val="clear" w:color="auto" w:fill="C6EFCE"/>
            <w:noWrap/>
          </w:tcPr>
          <w:p w14:paraId="06282503" w14:textId="77777777" w:rsidR="00A345F4" w:rsidRDefault="005E2D4E">
            <w:pPr>
              <w:pStyle w:val="P68B1DB1-Normal14"/>
              <w:spacing w:after="0" w:line="240" w:lineRule="auto"/>
              <w:ind w:left="-102"/>
              <w:contextualSpacing/>
              <w:jc w:val="both"/>
              <w:rPr>
                <w:noProof/>
              </w:rPr>
            </w:pPr>
            <w:r>
              <w:rPr>
                <w:noProof/>
              </w:rPr>
              <w:t>0</w:t>
            </w:r>
          </w:p>
        </w:tc>
        <w:tc>
          <w:tcPr>
            <w:tcW w:w="992" w:type="dxa"/>
            <w:tcBorders>
              <w:top w:val="nil"/>
              <w:left w:val="nil"/>
              <w:bottom w:val="single" w:sz="4" w:space="0" w:color="auto"/>
              <w:right w:val="single" w:sz="4" w:space="0" w:color="auto"/>
            </w:tcBorders>
            <w:shd w:val="clear" w:color="auto" w:fill="C6EFCE"/>
            <w:noWrap/>
          </w:tcPr>
          <w:p w14:paraId="4D209B89" w14:textId="77777777" w:rsidR="00A345F4" w:rsidRDefault="005E2D4E">
            <w:pPr>
              <w:pStyle w:val="P68B1DB1-Normal14"/>
              <w:spacing w:after="0" w:line="240" w:lineRule="auto"/>
              <w:jc w:val="both"/>
              <w:rPr>
                <w:noProof/>
              </w:rPr>
            </w:pPr>
            <w:r>
              <w:rPr>
                <w:noProof/>
              </w:rPr>
              <w:t>50</w:t>
            </w:r>
          </w:p>
        </w:tc>
        <w:tc>
          <w:tcPr>
            <w:tcW w:w="1101" w:type="dxa"/>
            <w:tcBorders>
              <w:top w:val="nil"/>
              <w:left w:val="nil"/>
              <w:bottom w:val="single" w:sz="4" w:space="0" w:color="auto"/>
              <w:right w:val="single" w:sz="4" w:space="0" w:color="auto"/>
            </w:tcBorders>
            <w:shd w:val="clear" w:color="auto" w:fill="C6EFCE"/>
            <w:noWrap/>
          </w:tcPr>
          <w:p w14:paraId="76FBC07E" w14:textId="77777777" w:rsidR="00A345F4" w:rsidRDefault="005E2D4E">
            <w:pPr>
              <w:pStyle w:val="P68B1DB1-Normal14"/>
              <w:spacing w:after="0" w:line="240" w:lineRule="auto"/>
              <w:jc w:val="both"/>
              <w:rPr>
                <w:noProof/>
              </w:rPr>
            </w:pPr>
            <w:r>
              <w:rPr>
                <w:noProof/>
              </w:rPr>
              <w:t>T4</w:t>
            </w:r>
          </w:p>
        </w:tc>
        <w:tc>
          <w:tcPr>
            <w:tcW w:w="825" w:type="dxa"/>
            <w:tcBorders>
              <w:top w:val="nil"/>
              <w:left w:val="nil"/>
              <w:bottom w:val="single" w:sz="4" w:space="0" w:color="auto"/>
              <w:right w:val="single" w:sz="4" w:space="0" w:color="auto"/>
            </w:tcBorders>
            <w:shd w:val="clear" w:color="auto" w:fill="C6EFCE"/>
            <w:noWrap/>
          </w:tcPr>
          <w:p w14:paraId="331486EE" w14:textId="77777777" w:rsidR="00A345F4" w:rsidRDefault="005E2D4E">
            <w:pPr>
              <w:pStyle w:val="P68B1DB1-Normal14"/>
              <w:spacing w:after="0" w:line="240" w:lineRule="auto"/>
              <w:jc w:val="both"/>
              <w:rPr>
                <w:noProof/>
              </w:rPr>
            </w:pPr>
            <w:r>
              <w:rPr>
                <w:noProof/>
              </w:rPr>
              <w:t>2024</w:t>
            </w:r>
          </w:p>
        </w:tc>
        <w:tc>
          <w:tcPr>
            <w:tcW w:w="2693" w:type="dxa"/>
            <w:tcBorders>
              <w:top w:val="nil"/>
              <w:left w:val="nil"/>
              <w:bottom w:val="single" w:sz="4" w:space="0" w:color="auto"/>
              <w:right w:val="single" w:sz="4" w:space="0" w:color="auto"/>
            </w:tcBorders>
            <w:shd w:val="clear" w:color="auto" w:fill="C6EFCE"/>
            <w:noWrap/>
          </w:tcPr>
          <w:p w14:paraId="35891454" w14:textId="77777777" w:rsidR="00A345F4" w:rsidRDefault="005E2D4E">
            <w:pPr>
              <w:pStyle w:val="P68B1DB1-Normal14"/>
              <w:spacing w:after="0" w:line="240" w:lineRule="auto"/>
              <w:jc w:val="both"/>
              <w:rPr>
                <w:noProof/>
              </w:rPr>
            </w:pPr>
            <w:r>
              <w:rPr>
                <w:noProof/>
              </w:rPr>
              <w:t>50 services communautaires modernisés (25 centres de jour et 25 centres de réadaptation neuromotrice pour personnes handicapées) par la réhabilitation, la rénovation ou l’équipement. Les centres communautaires modernisés sont sélectionnés parmi les services sociaux existants (licenciés au moment de la sélection) et fournissent des services à au moins huit bénéficiaires par jour, conformément à leur licence.</w:t>
            </w:r>
          </w:p>
        </w:tc>
      </w:tr>
      <w:tr w:rsidR="00A345F4" w14:paraId="43A4B07D" w14:textId="77777777" w:rsidTr="000D606E">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631D7010" w14:textId="77777777" w:rsidR="00A345F4" w:rsidRDefault="005E2D4E">
            <w:pPr>
              <w:pStyle w:val="P68B1DB1-Normal14"/>
              <w:spacing w:after="0" w:line="240" w:lineRule="auto"/>
              <w:jc w:val="center"/>
              <w:rPr>
                <w:noProof/>
              </w:rPr>
            </w:pPr>
            <w:r>
              <w:rPr>
                <w:noProof/>
              </w:rPr>
              <w:t>396</w:t>
            </w:r>
          </w:p>
        </w:tc>
        <w:tc>
          <w:tcPr>
            <w:tcW w:w="1875" w:type="dxa"/>
            <w:tcBorders>
              <w:top w:val="nil"/>
              <w:left w:val="nil"/>
              <w:bottom w:val="single" w:sz="4" w:space="0" w:color="auto"/>
              <w:right w:val="single" w:sz="4" w:space="0" w:color="auto"/>
            </w:tcBorders>
            <w:shd w:val="clear" w:color="auto" w:fill="C6EFCE"/>
            <w:noWrap/>
          </w:tcPr>
          <w:p w14:paraId="7B610DFF" w14:textId="77777777" w:rsidR="00A345F4" w:rsidRDefault="005E2D4E">
            <w:pPr>
              <w:pStyle w:val="P68B1DB1-Normal14"/>
              <w:spacing w:after="0" w:line="240" w:lineRule="auto"/>
              <w:jc w:val="both"/>
              <w:rPr>
                <w:noProof/>
              </w:rPr>
            </w:pPr>
            <w:r>
              <w:rPr>
                <w:noProof/>
              </w:rPr>
              <w:t>Investissement 2. Octroi de licences et modernisation des infrastructures sociales pour les personnes handicapées</w:t>
            </w:r>
          </w:p>
        </w:tc>
        <w:tc>
          <w:tcPr>
            <w:tcW w:w="1183" w:type="dxa"/>
            <w:tcBorders>
              <w:top w:val="nil"/>
              <w:left w:val="nil"/>
              <w:bottom w:val="single" w:sz="4" w:space="0" w:color="auto"/>
              <w:right w:val="single" w:sz="4" w:space="0" w:color="auto"/>
            </w:tcBorders>
            <w:shd w:val="clear" w:color="auto" w:fill="C6EFCE"/>
            <w:noWrap/>
          </w:tcPr>
          <w:p w14:paraId="5562D6F6" w14:textId="77777777" w:rsidR="00A345F4" w:rsidRDefault="005E2D4E">
            <w:pPr>
              <w:pStyle w:val="P68B1DB1-Normal14"/>
              <w:spacing w:after="0" w:line="240" w:lineRule="auto"/>
              <w:jc w:val="both"/>
              <w:rPr>
                <w:noProof/>
              </w:rPr>
            </w:pPr>
            <w:r>
              <w:rPr>
                <w:noProof/>
              </w:rPr>
              <w:t>Objectif</w:t>
            </w:r>
          </w:p>
        </w:tc>
        <w:tc>
          <w:tcPr>
            <w:tcW w:w="1478" w:type="dxa"/>
            <w:tcBorders>
              <w:top w:val="nil"/>
              <w:left w:val="nil"/>
              <w:bottom w:val="single" w:sz="4" w:space="0" w:color="auto"/>
              <w:right w:val="single" w:sz="4" w:space="0" w:color="auto"/>
            </w:tcBorders>
            <w:shd w:val="clear" w:color="auto" w:fill="C6EFCE"/>
            <w:noWrap/>
          </w:tcPr>
          <w:p w14:paraId="4BDD87CA" w14:textId="77777777" w:rsidR="00A345F4" w:rsidRDefault="005E2D4E">
            <w:pPr>
              <w:pStyle w:val="P68B1DB1-Normal14"/>
              <w:spacing w:after="0" w:line="240" w:lineRule="auto"/>
              <w:jc w:val="both"/>
              <w:rPr>
                <w:noProof/>
              </w:rPr>
            </w:pPr>
            <w:r>
              <w:rPr>
                <w:noProof/>
              </w:rPr>
              <w:t>Nouveaux services communautaires pour les personnes handicapées</w:t>
            </w:r>
          </w:p>
        </w:tc>
        <w:tc>
          <w:tcPr>
            <w:tcW w:w="1842" w:type="dxa"/>
            <w:tcBorders>
              <w:top w:val="nil"/>
              <w:left w:val="nil"/>
              <w:bottom w:val="single" w:sz="4" w:space="0" w:color="auto"/>
              <w:right w:val="single" w:sz="4" w:space="0" w:color="auto"/>
            </w:tcBorders>
            <w:shd w:val="clear" w:color="auto" w:fill="C6EFCE"/>
            <w:noWrap/>
          </w:tcPr>
          <w:p w14:paraId="0CAF23DB" w14:textId="77777777" w:rsidR="00A345F4" w:rsidRDefault="005E2D4E">
            <w:pPr>
              <w:pStyle w:val="P68B1DB1-Normal14"/>
              <w:spacing w:after="0" w:line="240" w:lineRule="auto"/>
              <w:jc w:val="both"/>
              <w:rPr>
                <w:noProof/>
              </w:rPr>
            </w:pPr>
            <w:r>
              <w:rPr>
                <w:noProof/>
              </w:rPr>
              <w:t xml:space="preserve"> </w:t>
            </w:r>
          </w:p>
        </w:tc>
        <w:tc>
          <w:tcPr>
            <w:tcW w:w="1265" w:type="dxa"/>
            <w:tcBorders>
              <w:top w:val="nil"/>
              <w:left w:val="nil"/>
              <w:bottom w:val="single" w:sz="4" w:space="0" w:color="auto"/>
              <w:right w:val="single" w:sz="4" w:space="0" w:color="auto"/>
            </w:tcBorders>
            <w:shd w:val="clear" w:color="auto" w:fill="C6EFCE"/>
            <w:noWrap/>
          </w:tcPr>
          <w:p w14:paraId="35FF495F" w14:textId="77777777" w:rsidR="00A345F4" w:rsidRDefault="005E2D4E">
            <w:pPr>
              <w:pStyle w:val="P68B1DB1-Normal14"/>
              <w:spacing w:after="0" w:line="240" w:lineRule="auto"/>
              <w:jc w:val="both"/>
              <w:rPr>
                <w:noProof/>
              </w:rPr>
            </w:pPr>
            <w:r>
              <w:rPr>
                <w:noProof/>
              </w:rPr>
              <w:t>Numéro</w:t>
            </w:r>
          </w:p>
        </w:tc>
        <w:tc>
          <w:tcPr>
            <w:tcW w:w="1145" w:type="dxa"/>
            <w:tcBorders>
              <w:top w:val="nil"/>
              <w:left w:val="nil"/>
              <w:bottom w:val="single" w:sz="4" w:space="0" w:color="auto"/>
              <w:right w:val="single" w:sz="4" w:space="0" w:color="auto"/>
            </w:tcBorders>
            <w:shd w:val="clear" w:color="auto" w:fill="C6EFCE"/>
            <w:noWrap/>
          </w:tcPr>
          <w:p w14:paraId="1DAE9FEC" w14:textId="77777777" w:rsidR="00A345F4" w:rsidRDefault="005E2D4E">
            <w:pPr>
              <w:pStyle w:val="P68B1DB1-Normal14"/>
              <w:spacing w:after="0" w:line="240" w:lineRule="auto"/>
              <w:ind w:left="-102"/>
              <w:contextualSpacing/>
              <w:jc w:val="both"/>
              <w:rPr>
                <w:noProof/>
              </w:rPr>
            </w:pPr>
            <w:r>
              <w:rPr>
                <w:noProof/>
              </w:rPr>
              <w:t>0</w:t>
            </w:r>
          </w:p>
        </w:tc>
        <w:tc>
          <w:tcPr>
            <w:tcW w:w="992" w:type="dxa"/>
            <w:tcBorders>
              <w:top w:val="nil"/>
              <w:left w:val="nil"/>
              <w:bottom w:val="single" w:sz="4" w:space="0" w:color="auto"/>
              <w:right w:val="single" w:sz="4" w:space="0" w:color="auto"/>
            </w:tcBorders>
            <w:shd w:val="clear" w:color="auto" w:fill="C6EFCE"/>
            <w:noWrap/>
          </w:tcPr>
          <w:p w14:paraId="4F39F57A" w14:textId="77777777" w:rsidR="00A345F4" w:rsidRDefault="005E2D4E">
            <w:pPr>
              <w:pStyle w:val="P68B1DB1-Normal14"/>
              <w:spacing w:after="0" w:line="240" w:lineRule="auto"/>
              <w:jc w:val="both"/>
              <w:rPr>
                <w:noProof/>
                <w:highlight w:val="yellow"/>
              </w:rPr>
            </w:pPr>
            <w:r>
              <w:rPr>
                <w:noProof/>
              </w:rPr>
              <w:t>28</w:t>
            </w:r>
          </w:p>
        </w:tc>
        <w:tc>
          <w:tcPr>
            <w:tcW w:w="1101" w:type="dxa"/>
            <w:tcBorders>
              <w:top w:val="nil"/>
              <w:left w:val="nil"/>
              <w:bottom w:val="single" w:sz="4" w:space="0" w:color="auto"/>
              <w:right w:val="single" w:sz="4" w:space="0" w:color="auto"/>
            </w:tcBorders>
            <w:shd w:val="clear" w:color="auto" w:fill="C6EFCE"/>
            <w:noWrap/>
          </w:tcPr>
          <w:p w14:paraId="7D8B33DD" w14:textId="77777777" w:rsidR="00A345F4" w:rsidRDefault="005E2D4E">
            <w:pPr>
              <w:pStyle w:val="P68B1DB1-Normal14"/>
              <w:spacing w:after="0" w:line="240" w:lineRule="auto"/>
              <w:jc w:val="both"/>
              <w:rPr>
                <w:noProof/>
              </w:rPr>
            </w:pPr>
            <w:r>
              <w:rPr>
                <w:noProof/>
              </w:rPr>
              <w:t xml:space="preserve"> T2</w:t>
            </w:r>
          </w:p>
        </w:tc>
        <w:tc>
          <w:tcPr>
            <w:tcW w:w="825" w:type="dxa"/>
            <w:tcBorders>
              <w:top w:val="nil"/>
              <w:left w:val="nil"/>
              <w:bottom w:val="single" w:sz="4" w:space="0" w:color="auto"/>
              <w:right w:val="single" w:sz="4" w:space="0" w:color="auto"/>
            </w:tcBorders>
            <w:shd w:val="clear" w:color="auto" w:fill="C6EFCE"/>
            <w:noWrap/>
          </w:tcPr>
          <w:p w14:paraId="6051B0BA" w14:textId="77777777" w:rsidR="00A345F4" w:rsidRDefault="005E2D4E">
            <w:pPr>
              <w:pStyle w:val="P68B1DB1-Normal14"/>
              <w:spacing w:after="0" w:line="240" w:lineRule="auto"/>
              <w:jc w:val="both"/>
              <w:rPr>
                <w:noProof/>
              </w:rPr>
            </w:pPr>
            <w:r>
              <w:rPr>
                <w:noProof/>
              </w:rPr>
              <w:t xml:space="preserve"> 2026</w:t>
            </w:r>
          </w:p>
        </w:tc>
        <w:tc>
          <w:tcPr>
            <w:tcW w:w="2693" w:type="dxa"/>
            <w:tcBorders>
              <w:top w:val="nil"/>
              <w:left w:val="nil"/>
              <w:bottom w:val="single" w:sz="4" w:space="0" w:color="auto"/>
              <w:right w:val="single" w:sz="4" w:space="0" w:color="auto"/>
            </w:tcBorders>
            <w:shd w:val="clear" w:color="auto" w:fill="C6EFCE"/>
            <w:noWrap/>
          </w:tcPr>
          <w:p w14:paraId="38F5AAC2" w14:textId="77777777" w:rsidR="00A345F4" w:rsidRDefault="005E2D4E">
            <w:pPr>
              <w:pStyle w:val="P68B1DB1-Normal14"/>
              <w:spacing w:after="0" w:line="240" w:lineRule="auto"/>
              <w:jc w:val="both"/>
              <w:rPr>
                <w:noProof/>
              </w:rPr>
            </w:pPr>
            <w:bookmarkStart w:id="25" w:name="_Hlk210219337"/>
            <w:r>
              <w:rPr>
                <w:noProof/>
              </w:rPr>
              <w:t>28 nouveaux services communautaires (22 nouveaux bâtiments dont la consommation d’énergie est quasi nulle et six bâtiments dont la consommation d’énergie est quasi nulle +) pour les personnes handicapées doivent être agréés (par exemple, centres de jour, services d’assistance et de soutien ou centres de services de rétablissement neuromoteur pour patients). Chacun fournit des services à au moins huit bénéficiaires par jour, conformément à leur licence.</w:t>
            </w:r>
            <w:bookmarkEnd w:id="25"/>
            <w:r>
              <w:rPr>
                <w:noProof/>
              </w:rPr>
              <w:t xml:space="preserve"> </w:t>
            </w:r>
          </w:p>
        </w:tc>
      </w:tr>
      <w:tr w:rsidR="00A345F4" w14:paraId="236EE8BB" w14:textId="77777777" w:rsidTr="000D606E">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20138759" w14:textId="77777777" w:rsidR="00A345F4" w:rsidRDefault="005E2D4E">
            <w:pPr>
              <w:pStyle w:val="P68B1DB1-Normal14"/>
              <w:spacing w:after="0" w:line="240" w:lineRule="auto"/>
              <w:jc w:val="center"/>
              <w:rPr>
                <w:noProof/>
              </w:rPr>
            </w:pPr>
            <w:bookmarkStart w:id="26" w:name="_Hlk210216956"/>
            <w:r>
              <w:rPr>
                <w:noProof/>
              </w:rPr>
              <w:t>397</w:t>
            </w:r>
          </w:p>
        </w:tc>
        <w:tc>
          <w:tcPr>
            <w:tcW w:w="1875" w:type="dxa"/>
            <w:tcBorders>
              <w:top w:val="single" w:sz="4" w:space="0" w:color="auto"/>
              <w:left w:val="single" w:sz="4" w:space="0" w:color="auto"/>
              <w:bottom w:val="single" w:sz="4" w:space="0" w:color="auto"/>
              <w:right w:val="single" w:sz="4" w:space="0" w:color="auto"/>
            </w:tcBorders>
            <w:shd w:val="clear" w:color="auto" w:fill="C6EFCE"/>
            <w:noWrap/>
          </w:tcPr>
          <w:p w14:paraId="283C364D" w14:textId="77777777" w:rsidR="00A345F4" w:rsidRDefault="005E2D4E">
            <w:pPr>
              <w:pStyle w:val="P68B1DB1-Normal14"/>
              <w:spacing w:after="0" w:line="240" w:lineRule="auto"/>
              <w:jc w:val="both"/>
              <w:rPr>
                <w:noProof/>
              </w:rPr>
            </w:pPr>
            <w:bookmarkStart w:id="27" w:name="_Hlk210216772"/>
            <w:r>
              <w:rPr>
                <w:noProof/>
              </w:rPr>
              <w:t>Investissement 3. Mise en place du système de bons de travail pour les prestataires nationaux et les bénéficiaires de services</w:t>
            </w:r>
            <w:bookmarkEnd w:id="27"/>
          </w:p>
        </w:tc>
        <w:tc>
          <w:tcPr>
            <w:tcW w:w="1183" w:type="dxa"/>
            <w:tcBorders>
              <w:top w:val="single" w:sz="4" w:space="0" w:color="auto"/>
              <w:left w:val="single" w:sz="4" w:space="0" w:color="auto"/>
              <w:bottom w:val="single" w:sz="4" w:space="0" w:color="auto"/>
              <w:right w:val="single" w:sz="4" w:space="0" w:color="auto"/>
            </w:tcBorders>
            <w:shd w:val="clear" w:color="auto" w:fill="C6EFCE"/>
            <w:noWrap/>
          </w:tcPr>
          <w:p w14:paraId="28FC0110" w14:textId="77777777" w:rsidR="00A345F4" w:rsidRDefault="005E2D4E">
            <w:pPr>
              <w:pStyle w:val="P68B1DB1-Normal14"/>
              <w:spacing w:after="0" w:line="240" w:lineRule="auto"/>
              <w:jc w:val="both"/>
              <w:rPr>
                <w:noProof/>
              </w:rPr>
            </w:pPr>
            <w:r>
              <w:rPr>
                <w:noProof/>
              </w:rPr>
              <w:t>Étape</w:t>
            </w:r>
          </w:p>
        </w:tc>
        <w:tc>
          <w:tcPr>
            <w:tcW w:w="1478" w:type="dxa"/>
            <w:tcBorders>
              <w:top w:val="single" w:sz="4" w:space="0" w:color="auto"/>
              <w:left w:val="single" w:sz="4" w:space="0" w:color="auto"/>
              <w:bottom w:val="single" w:sz="4" w:space="0" w:color="auto"/>
              <w:right w:val="single" w:sz="4" w:space="0" w:color="auto"/>
            </w:tcBorders>
            <w:shd w:val="clear" w:color="auto" w:fill="C6EFCE"/>
            <w:noWrap/>
          </w:tcPr>
          <w:p w14:paraId="66C19B87" w14:textId="77777777" w:rsidR="00A345F4" w:rsidRDefault="005E2D4E">
            <w:pPr>
              <w:pStyle w:val="P68B1DB1-Normal14"/>
              <w:spacing w:after="0" w:line="240" w:lineRule="auto"/>
              <w:jc w:val="both"/>
              <w:rPr>
                <w:noProof/>
              </w:rPr>
            </w:pPr>
            <w:r>
              <w:rPr>
                <w:noProof/>
              </w:rPr>
              <w:t>Plateforme numérique pour l’utilisation des bons de travail par les prestataires nationaux et les bénéficiaires de services</w:t>
            </w:r>
          </w:p>
        </w:tc>
        <w:tc>
          <w:tcPr>
            <w:tcW w:w="1842" w:type="dxa"/>
            <w:tcBorders>
              <w:top w:val="single" w:sz="4" w:space="0" w:color="auto"/>
              <w:left w:val="single" w:sz="4" w:space="0" w:color="auto"/>
              <w:bottom w:val="single" w:sz="4" w:space="0" w:color="auto"/>
              <w:right w:val="single" w:sz="4" w:space="0" w:color="auto"/>
            </w:tcBorders>
            <w:shd w:val="clear" w:color="auto" w:fill="C6EFCE"/>
            <w:noWrap/>
          </w:tcPr>
          <w:p w14:paraId="2C786648" w14:textId="77777777" w:rsidR="00A345F4" w:rsidRDefault="005E2D4E">
            <w:pPr>
              <w:pStyle w:val="P68B1DB1-Normal14"/>
              <w:spacing w:after="0" w:line="240" w:lineRule="auto"/>
              <w:jc w:val="both"/>
              <w:rPr>
                <w:noProof/>
              </w:rPr>
            </w:pPr>
            <w:r>
              <w:rPr>
                <w:noProof/>
              </w:rPr>
              <w:t xml:space="preserve">Plateforme numérique accessible en ligne </w:t>
            </w:r>
          </w:p>
        </w:tc>
        <w:tc>
          <w:tcPr>
            <w:tcW w:w="1265" w:type="dxa"/>
            <w:tcBorders>
              <w:top w:val="single" w:sz="4" w:space="0" w:color="auto"/>
              <w:left w:val="single" w:sz="4" w:space="0" w:color="auto"/>
              <w:bottom w:val="single" w:sz="4" w:space="0" w:color="auto"/>
              <w:right w:val="single" w:sz="4" w:space="0" w:color="auto"/>
            </w:tcBorders>
            <w:shd w:val="clear" w:color="auto" w:fill="C6EFCE"/>
            <w:noWrap/>
          </w:tcPr>
          <w:p w14:paraId="21F8A2A3" w14:textId="77777777" w:rsidR="00A345F4" w:rsidRDefault="005E2D4E">
            <w:pPr>
              <w:pStyle w:val="P68B1DB1-Normal14"/>
              <w:spacing w:after="0" w:line="240" w:lineRule="auto"/>
              <w:jc w:val="both"/>
              <w:rPr>
                <w:noProof/>
              </w:rPr>
            </w:pPr>
            <w:r>
              <w:rPr>
                <w:noProof/>
              </w:rPr>
              <w:t xml:space="preserve"> </w:t>
            </w:r>
          </w:p>
        </w:tc>
        <w:tc>
          <w:tcPr>
            <w:tcW w:w="1145" w:type="dxa"/>
            <w:tcBorders>
              <w:top w:val="single" w:sz="4" w:space="0" w:color="auto"/>
              <w:left w:val="single" w:sz="4" w:space="0" w:color="auto"/>
              <w:bottom w:val="single" w:sz="4" w:space="0" w:color="auto"/>
              <w:right w:val="single" w:sz="4" w:space="0" w:color="auto"/>
            </w:tcBorders>
            <w:shd w:val="clear" w:color="auto" w:fill="C6EFCE"/>
            <w:noWrap/>
          </w:tcPr>
          <w:p w14:paraId="5A840FD2" w14:textId="77777777" w:rsidR="00A345F4" w:rsidRDefault="005E2D4E">
            <w:pPr>
              <w:pStyle w:val="P68B1DB1-Normal14"/>
              <w:spacing w:after="0" w:line="240" w:lineRule="auto"/>
              <w:ind w:left="720"/>
              <w:contextualSpacing/>
              <w:jc w:val="both"/>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75FC581" w14:textId="77777777" w:rsidR="00A345F4" w:rsidRDefault="005E2D4E">
            <w:pPr>
              <w:pStyle w:val="P68B1DB1-Normal14"/>
              <w:spacing w:after="0" w:line="240" w:lineRule="auto"/>
              <w:jc w:val="both"/>
              <w:rPr>
                <w:noProof/>
              </w:rPr>
            </w:pPr>
            <w:r>
              <w:rPr>
                <w:noProof/>
              </w:rPr>
              <w:t xml:space="preserve"> </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5028B403" w14:textId="77777777" w:rsidR="00A345F4" w:rsidRDefault="005E2D4E">
            <w:pPr>
              <w:pStyle w:val="P68B1DB1-Normal14"/>
              <w:spacing w:after="0" w:line="240" w:lineRule="auto"/>
              <w:jc w:val="both"/>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448EC23D" w14:textId="77777777" w:rsidR="00A345F4" w:rsidRDefault="005E2D4E">
            <w:pPr>
              <w:pStyle w:val="P68B1DB1-Normal14"/>
              <w:spacing w:after="0" w:line="240" w:lineRule="auto"/>
              <w:jc w:val="both"/>
              <w:rPr>
                <w:noProof/>
              </w:rPr>
            </w:pPr>
            <w:r>
              <w:rPr>
                <w:noProof/>
              </w:rPr>
              <w:t>2023</w:t>
            </w:r>
          </w:p>
        </w:tc>
        <w:tc>
          <w:tcPr>
            <w:tcW w:w="2693" w:type="dxa"/>
            <w:tcBorders>
              <w:top w:val="single" w:sz="4" w:space="0" w:color="auto"/>
              <w:left w:val="single" w:sz="4" w:space="0" w:color="auto"/>
              <w:bottom w:val="single" w:sz="4" w:space="0" w:color="auto"/>
              <w:right w:val="single" w:sz="4" w:space="0" w:color="auto"/>
            </w:tcBorders>
            <w:shd w:val="clear" w:color="auto" w:fill="C6EFCE"/>
            <w:noWrap/>
          </w:tcPr>
          <w:p w14:paraId="33BE6E42" w14:textId="77777777" w:rsidR="00A345F4" w:rsidRDefault="005E2D4E">
            <w:pPr>
              <w:pStyle w:val="P68B1DB1-Normal14"/>
              <w:spacing w:after="0" w:line="240" w:lineRule="auto"/>
              <w:jc w:val="both"/>
              <w:rPr>
                <w:noProof/>
              </w:rPr>
            </w:pPr>
            <w:r>
              <w:rPr>
                <w:noProof/>
              </w:rPr>
              <w:t>La plateforme numérique est accessible en ligne et permet l’enregistrement des prestataires nationaux, précédemment enregistrés comme chômeurs ou inactifs, en tant que prestataires de services et l’enregistrement des bénéficiaires de services en tant qu’utilisateurs de services nationaux. La plateforme permet:</w:t>
            </w:r>
          </w:p>
          <w:p w14:paraId="2B98BA7C" w14:textId="77777777" w:rsidR="00A345F4" w:rsidRDefault="005E2D4E">
            <w:pPr>
              <w:pStyle w:val="P68B1DB1-Normal14"/>
              <w:numPr>
                <w:ilvl w:val="0"/>
                <w:numId w:val="59"/>
              </w:numPr>
              <w:spacing w:before="120" w:after="0" w:line="240" w:lineRule="auto"/>
              <w:ind w:left="230" w:hanging="218"/>
              <w:contextualSpacing/>
              <w:jc w:val="both"/>
              <w:rPr>
                <w:noProof/>
              </w:rPr>
            </w:pPr>
            <w:r>
              <w:rPr>
                <w:noProof/>
              </w:rPr>
              <w:t>Effectuer des transactions liées aux bons (par exemple, l'achat de bons, l'encodage des heures de travail) numériquement</w:t>
            </w:r>
          </w:p>
          <w:p w14:paraId="1D36FF17" w14:textId="77777777" w:rsidR="00A345F4" w:rsidRDefault="005E2D4E">
            <w:pPr>
              <w:pStyle w:val="P68B1DB1-Normal14"/>
              <w:numPr>
                <w:ilvl w:val="0"/>
                <w:numId w:val="59"/>
              </w:numPr>
              <w:spacing w:before="120" w:after="0" w:line="240" w:lineRule="auto"/>
              <w:ind w:left="230" w:hanging="218"/>
              <w:contextualSpacing/>
              <w:jc w:val="both"/>
              <w:rPr>
                <w:noProof/>
              </w:rPr>
            </w:pPr>
            <w:r>
              <w:rPr>
                <w:noProof/>
              </w:rPr>
              <w:t xml:space="preserve">Codage des détails de l'activité des travailleurs domestiques (par exemple, nombre d'heures, type d'activité domestique exercée) </w:t>
            </w:r>
          </w:p>
          <w:p w14:paraId="61E4D93D" w14:textId="77777777" w:rsidR="00A345F4" w:rsidRDefault="005E2D4E">
            <w:pPr>
              <w:pStyle w:val="P68B1DB1-Normal14"/>
              <w:numPr>
                <w:ilvl w:val="0"/>
                <w:numId w:val="59"/>
              </w:numPr>
              <w:spacing w:before="120" w:after="0" w:line="240" w:lineRule="auto"/>
              <w:ind w:left="230" w:hanging="218"/>
              <w:contextualSpacing/>
              <w:jc w:val="both"/>
              <w:rPr>
                <w:noProof/>
              </w:rPr>
            </w:pPr>
            <w:r>
              <w:rPr>
                <w:noProof/>
              </w:rPr>
              <w:t xml:space="preserve">Interopérabilité numérique avec d'autres bases de données nationales </w:t>
            </w:r>
          </w:p>
        </w:tc>
      </w:tr>
      <w:tr w:rsidR="00A345F4" w14:paraId="55920116" w14:textId="77777777" w:rsidTr="000D606E">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0E3132A" w14:textId="77777777" w:rsidR="00A345F4" w:rsidRDefault="005E2D4E">
            <w:pPr>
              <w:pStyle w:val="P68B1DB1-Normal14"/>
              <w:spacing w:after="0" w:line="240" w:lineRule="auto"/>
              <w:jc w:val="center"/>
              <w:rPr>
                <w:noProof/>
              </w:rPr>
            </w:pPr>
            <w:r>
              <w:rPr>
                <w:noProof/>
              </w:rPr>
              <w:t>400</w:t>
            </w:r>
          </w:p>
        </w:tc>
        <w:tc>
          <w:tcPr>
            <w:tcW w:w="1875" w:type="dxa"/>
            <w:tcBorders>
              <w:top w:val="single" w:sz="4" w:space="0" w:color="auto"/>
              <w:left w:val="nil"/>
              <w:bottom w:val="single" w:sz="4" w:space="0" w:color="auto"/>
              <w:right w:val="single" w:sz="4" w:space="0" w:color="auto"/>
            </w:tcBorders>
            <w:shd w:val="clear" w:color="auto" w:fill="C6EFCE"/>
            <w:noWrap/>
          </w:tcPr>
          <w:p w14:paraId="52632C2A" w14:textId="77777777" w:rsidR="00A345F4" w:rsidRDefault="005E2D4E">
            <w:pPr>
              <w:pStyle w:val="P68B1DB1-Normal14"/>
              <w:spacing w:after="0" w:line="240" w:lineRule="auto"/>
              <w:jc w:val="both"/>
              <w:rPr>
                <w:noProof/>
              </w:rPr>
            </w:pPr>
            <w:r>
              <w:rPr>
                <w:noProof/>
              </w:rPr>
              <w:t xml:space="preserve">Investissement 4. Création d'un réseau de garderies et de centres de réadaptation pour personnes âgées </w:t>
            </w:r>
          </w:p>
        </w:tc>
        <w:tc>
          <w:tcPr>
            <w:tcW w:w="1183" w:type="dxa"/>
            <w:tcBorders>
              <w:top w:val="single" w:sz="4" w:space="0" w:color="auto"/>
              <w:left w:val="nil"/>
              <w:bottom w:val="single" w:sz="4" w:space="0" w:color="auto"/>
              <w:right w:val="single" w:sz="4" w:space="0" w:color="auto"/>
            </w:tcBorders>
            <w:shd w:val="clear" w:color="auto" w:fill="C6EFCE"/>
            <w:noWrap/>
          </w:tcPr>
          <w:p w14:paraId="41A2357A" w14:textId="77777777" w:rsidR="00A345F4" w:rsidRDefault="005E2D4E">
            <w:pPr>
              <w:pStyle w:val="P68B1DB1-Normal14"/>
              <w:spacing w:after="0" w:line="240" w:lineRule="auto"/>
              <w:jc w:val="both"/>
              <w:rPr>
                <w:noProof/>
              </w:rPr>
            </w:pPr>
            <w:r>
              <w:rPr>
                <w:noProof/>
              </w:rPr>
              <w:t>Objectif</w:t>
            </w:r>
          </w:p>
        </w:tc>
        <w:tc>
          <w:tcPr>
            <w:tcW w:w="1478" w:type="dxa"/>
            <w:tcBorders>
              <w:top w:val="single" w:sz="4" w:space="0" w:color="auto"/>
              <w:left w:val="nil"/>
              <w:bottom w:val="single" w:sz="4" w:space="0" w:color="auto"/>
              <w:right w:val="single" w:sz="4" w:space="0" w:color="auto"/>
            </w:tcBorders>
            <w:shd w:val="clear" w:color="auto" w:fill="C6EFCE"/>
            <w:noWrap/>
          </w:tcPr>
          <w:p w14:paraId="06EA6A95" w14:textId="77777777" w:rsidR="00A345F4" w:rsidRDefault="005E2D4E">
            <w:pPr>
              <w:pStyle w:val="P68B1DB1-Normal14"/>
              <w:spacing w:after="0" w:line="240" w:lineRule="auto"/>
              <w:jc w:val="both"/>
              <w:rPr>
                <w:noProof/>
              </w:rPr>
            </w:pPr>
            <w:r>
              <w:rPr>
                <w:noProof/>
              </w:rPr>
              <w:t>Garderies agréées et centres de réadaptation pour personnes âgées</w:t>
            </w:r>
          </w:p>
        </w:tc>
        <w:tc>
          <w:tcPr>
            <w:tcW w:w="1842" w:type="dxa"/>
            <w:tcBorders>
              <w:top w:val="single" w:sz="4" w:space="0" w:color="auto"/>
              <w:left w:val="nil"/>
              <w:bottom w:val="single" w:sz="4" w:space="0" w:color="auto"/>
              <w:right w:val="single" w:sz="4" w:space="0" w:color="auto"/>
            </w:tcBorders>
            <w:shd w:val="clear" w:color="auto" w:fill="C6EFCE"/>
            <w:noWrap/>
          </w:tcPr>
          <w:p w14:paraId="6A0780C3" w14:textId="77777777" w:rsidR="00A345F4" w:rsidRDefault="005E2D4E">
            <w:pPr>
              <w:pStyle w:val="P68B1DB1-Normal14"/>
              <w:spacing w:after="0" w:line="240" w:lineRule="auto"/>
              <w:jc w:val="both"/>
              <w:rPr>
                <w:noProof/>
              </w:rPr>
            </w:pPr>
            <w:r>
              <w:rPr>
                <w:noProof/>
              </w:rPr>
              <w:t xml:space="preserve"> </w:t>
            </w:r>
          </w:p>
        </w:tc>
        <w:tc>
          <w:tcPr>
            <w:tcW w:w="1265" w:type="dxa"/>
            <w:tcBorders>
              <w:top w:val="single" w:sz="4" w:space="0" w:color="auto"/>
              <w:left w:val="nil"/>
              <w:bottom w:val="single" w:sz="4" w:space="0" w:color="auto"/>
              <w:right w:val="single" w:sz="4" w:space="0" w:color="auto"/>
            </w:tcBorders>
            <w:shd w:val="clear" w:color="auto" w:fill="C6EFCE"/>
            <w:noWrap/>
          </w:tcPr>
          <w:p w14:paraId="3CE3A03E" w14:textId="77777777" w:rsidR="00A345F4" w:rsidRDefault="005E2D4E">
            <w:pPr>
              <w:pStyle w:val="P68B1DB1-Normal14"/>
              <w:spacing w:after="0" w:line="240" w:lineRule="auto"/>
              <w:jc w:val="both"/>
              <w:rPr>
                <w:noProof/>
              </w:rPr>
            </w:pPr>
            <w:r>
              <w:rPr>
                <w:noProof/>
              </w:rPr>
              <w:t>Numéro</w:t>
            </w:r>
          </w:p>
        </w:tc>
        <w:tc>
          <w:tcPr>
            <w:tcW w:w="1145" w:type="dxa"/>
            <w:tcBorders>
              <w:top w:val="single" w:sz="4" w:space="0" w:color="auto"/>
              <w:left w:val="nil"/>
              <w:bottom w:val="single" w:sz="4" w:space="0" w:color="auto"/>
              <w:right w:val="single" w:sz="4" w:space="0" w:color="auto"/>
            </w:tcBorders>
            <w:shd w:val="clear" w:color="auto" w:fill="C6EFCE"/>
            <w:noWrap/>
          </w:tcPr>
          <w:p w14:paraId="0387377B" w14:textId="77777777" w:rsidR="00A345F4" w:rsidRDefault="005E2D4E">
            <w:pPr>
              <w:pStyle w:val="P68B1DB1-Normal14"/>
              <w:spacing w:after="0" w:line="240" w:lineRule="auto"/>
              <w:ind w:left="720"/>
              <w:contextualSpacing/>
              <w:jc w:val="both"/>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75680BB3" w14:textId="77777777" w:rsidR="00A345F4" w:rsidRDefault="005E2D4E">
            <w:pPr>
              <w:pStyle w:val="P68B1DB1-Normal14"/>
              <w:spacing w:after="0" w:line="240" w:lineRule="auto"/>
              <w:jc w:val="both"/>
              <w:rPr>
                <w:noProof/>
              </w:rPr>
            </w:pPr>
            <w:r>
              <w:rPr>
                <w:noProof/>
              </w:rPr>
              <w:t>41</w:t>
            </w:r>
          </w:p>
        </w:tc>
        <w:tc>
          <w:tcPr>
            <w:tcW w:w="1101" w:type="dxa"/>
            <w:tcBorders>
              <w:top w:val="single" w:sz="4" w:space="0" w:color="auto"/>
              <w:left w:val="nil"/>
              <w:bottom w:val="single" w:sz="4" w:space="0" w:color="auto"/>
              <w:right w:val="single" w:sz="4" w:space="0" w:color="auto"/>
            </w:tcBorders>
            <w:shd w:val="clear" w:color="auto" w:fill="C6EFCE"/>
            <w:noWrap/>
          </w:tcPr>
          <w:p w14:paraId="3395BDB3" w14:textId="77777777" w:rsidR="00A345F4" w:rsidRDefault="005E2D4E">
            <w:pPr>
              <w:pStyle w:val="P68B1DB1-Normal14"/>
              <w:spacing w:after="0" w:line="240" w:lineRule="auto"/>
              <w:jc w:val="both"/>
              <w:rPr>
                <w:noProof/>
              </w:rPr>
            </w:pPr>
            <w:r>
              <w:rPr>
                <w:noProof/>
              </w:rPr>
              <w:t>T2</w:t>
            </w:r>
          </w:p>
        </w:tc>
        <w:tc>
          <w:tcPr>
            <w:tcW w:w="825" w:type="dxa"/>
            <w:tcBorders>
              <w:top w:val="single" w:sz="4" w:space="0" w:color="auto"/>
              <w:left w:val="nil"/>
              <w:bottom w:val="single" w:sz="4" w:space="0" w:color="auto"/>
              <w:right w:val="single" w:sz="4" w:space="0" w:color="auto"/>
            </w:tcBorders>
            <w:shd w:val="clear" w:color="auto" w:fill="C6EFCE"/>
            <w:noWrap/>
          </w:tcPr>
          <w:p w14:paraId="129B569E" w14:textId="77777777" w:rsidR="00A345F4" w:rsidRDefault="005E2D4E">
            <w:pPr>
              <w:pStyle w:val="P68B1DB1-Normal14"/>
              <w:spacing w:after="0" w:line="240" w:lineRule="auto"/>
              <w:jc w:val="both"/>
              <w:rPr>
                <w:noProof/>
              </w:rPr>
            </w:pPr>
            <w:r>
              <w:rPr>
                <w:noProof/>
              </w:rPr>
              <w:t>2026</w:t>
            </w:r>
          </w:p>
        </w:tc>
        <w:tc>
          <w:tcPr>
            <w:tcW w:w="2693" w:type="dxa"/>
            <w:tcBorders>
              <w:top w:val="single" w:sz="4" w:space="0" w:color="auto"/>
              <w:left w:val="nil"/>
              <w:bottom w:val="single" w:sz="4" w:space="0" w:color="auto"/>
              <w:right w:val="single" w:sz="4" w:space="0" w:color="auto"/>
            </w:tcBorders>
            <w:shd w:val="clear" w:color="auto" w:fill="C6EFCE"/>
            <w:noWrap/>
          </w:tcPr>
          <w:p w14:paraId="6C56B606" w14:textId="77777777" w:rsidR="00A345F4" w:rsidRDefault="005E2D4E">
            <w:pPr>
              <w:pStyle w:val="P68B1DB1-Normal14"/>
              <w:spacing w:after="0" w:line="240" w:lineRule="auto"/>
              <w:jc w:val="both"/>
              <w:rPr>
                <w:noProof/>
              </w:rPr>
            </w:pPr>
            <w:r>
              <w:rPr>
                <w:noProof/>
              </w:rPr>
              <w:t>41 centres de soins de jour et de réadaptation doivent être agréés. Les centres fournissent des services d’assistance sociale et de réadaptation, et chacun d’entre eux dispose d’au moins une équipe mobile de prestataires de services pour les personnes âgées qui ne sont pas en mesure de se rendre au centre. La répartition spatiale des centres de services de jour est fondée sur la cartographie réalisée conformément au jalon 399.</w:t>
            </w:r>
          </w:p>
        </w:tc>
      </w:tr>
      <w:bookmarkEnd w:id="26"/>
    </w:tbl>
    <w:p w14:paraId="5D407B0A" w14:textId="77777777" w:rsidR="00A345F4" w:rsidRDefault="00A345F4">
      <w:pPr>
        <w:spacing w:before="120" w:after="120" w:line="240" w:lineRule="auto"/>
        <w:ind w:left="709"/>
        <w:jc w:val="both"/>
        <w:rPr>
          <w:rFonts w:ascii="Times New Roman" w:hAnsi="Times New Roman" w:cs="Times New Roman"/>
          <w:noProof/>
        </w:rPr>
      </w:pPr>
    </w:p>
    <w:p w14:paraId="0DBD0481" w14:textId="77777777" w:rsidR="00A345F4" w:rsidRDefault="00A345F4">
      <w:pPr>
        <w:spacing w:before="120" w:after="120" w:line="240" w:lineRule="auto"/>
        <w:ind w:left="709"/>
        <w:jc w:val="both"/>
        <w:rPr>
          <w:rFonts w:ascii="Times New Roman" w:hAnsi="Times New Roman" w:cs="Times New Roman"/>
          <w:noProof/>
        </w:rPr>
        <w:sectPr w:rsidR="00A345F4" w:rsidSect="00852517">
          <w:headerReference w:type="even" r:id="rId304"/>
          <w:headerReference w:type="default" r:id="rId305"/>
          <w:footerReference w:type="even" r:id="rId306"/>
          <w:footerReference w:type="default" r:id="rId307"/>
          <w:headerReference w:type="first" r:id="rId308"/>
          <w:footerReference w:type="first" r:id="rId309"/>
          <w:pgSz w:w="16839" w:h="11907" w:orient="landscape"/>
          <w:pgMar w:top="1134" w:right="1134" w:bottom="1134" w:left="1134" w:header="567" w:footer="567" w:gutter="0"/>
          <w:cols w:space="720"/>
          <w:docGrid w:linePitch="360"/>
        </w:sectPr>
      </w:pPr>
    </w:p>
    <w:p w14:paraId="2762827C"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M.3. </w:t>
      </w:r>
      <w:r>
        <w:rPr>
          <w:noProof/>
        </w:rPr>
        <w:t xml:space="preserve"> </w:t>
      </w:r>
      <w:r>
        <w:rPr>
          <w:b/>
          <w:noProof/>
        </w:rPr>
        <w:t xml:space="preserve">Description des réformes du prêt </w:t>
      </w:r>
    </w:p>
    <w:p w14:paraId="09349CAD" w14:textId="77777777" w:rsidR="00A345F4" w:rsidRDefault="005E2D4E">
      <w:pPr>
        <w:pStyle w:val="P68B1DB1-Standard55"/>
        <w:spacing w:before="240"/>
        <w:jc w:val="both"/>
        <w:rPr>
          <w:rFonts w:eastAsiaTheme="majorEastAsia"/>
          <w:bCs/>
          <w:noProof/>
        </w:rPr>
      </w:pPr>
      <w:r>
        <w:rPr>
          <w:noProof/>
        </w:rPr>
        <w:t xml:space="preserve">Réforme 6. Amélioration de la législation relative à l’économie sociale </w:t>
      </w:r>
    </w:p>
    <w:p w14:paraId="426B5338" w14:textId="77777777" w:rsidR="00A345F4" w:rsidRDefault="005E2D4E">
      <w:pPr>
        <w:pStyle w:val="P68B1DB1-Normal4"/>
        <w:spacing w:before="120" w:after="120" w:line="240" w:lineRule="auto"/>
        <w:jc w:val="both"/>
        <w:rPr>
          <w:noProof/>
        </w:rPr>
      </w:pPr>
      <w:r>
        <w:rPr>
          <w:noProof/>
        </w:rPr>
        <w:t xml:space="preserve">L’objectif de cette réforme est de mieux exploiter le potentiel des entreprises de l’économie sociale pour innover et contribuer aux défis sociaux et environnementaux. </w:t>
      </w:r>
    </w:p>
    <w:p w14:paraId="2A6451EE" w14:textId="316A9B36" w:rsidR="00A345F4" w:rsidRDefault="005E2D4E">
      <w:pPr>
        <w:pStyle w:val="P68B1DB1-Normal4"/>
        <w:spacing w:before="120" w:after="120" w:line="240" w:lineRule="auto"/>
        <w:jc w:val="both"/>
        <w:rPr>
          <w:noProof/>
        </w:rPr>
      </w:pPr>
      <w:r>
        <w:rPr>
          <w:noProof/>
        </w:rPr>
        <w:t xml:space="preserve">Cette mesure consiste en l’adoption d’actes juridiques pour la durabilité des structures de l’économie sociale. </w:t>
      </w:r>
    </w:p>
    <w:p w14:paraId="65A7CEFB" w14:textId="77777777" w:rsidR="00A345F4" w:rsidRDefault="005E2D4E">
      <w:pPr>
        <w:pStyle w:val="P68B1DB1-Standard55"/>
        <w:spacing w:before="240"/>
        <w:jc w:val="both"/>
        <w:rPr>
          <w:rFonts w:eastAsiaTheme="majorEastAsia"/>
          <w:noProof/>
        </w:rPr>
      </w:pPr>
      <w:r>
        <w:rPr>
          <w:noProof/>
        </w:rPr>
        <w:t>Réforme 7. Réforme des services de soins de longue durée pour les personnes âgées</w:t>
      </w:r>
    </w:p>
    <w:p w14:paraId="71BC63DF" w14:textId="77777777" w:rsidR="00A345F4" w:rsidRDefault="005E2D4E">
      <w:pPr>
        <w:pStyle w:val="P68B1DB1-Normal4"/>
        <w:spacing w:before="120" w:after="120" w:line="240" w:lineRule="auto"/>
        <w:jc w:val="both"/>
        <w:rPr>
          <w:noProof/>
        </w:rPr>
      </w:pPr>
      <w:r>
        <w:rPr>
          <w:noProof/>
        </w:rPr>
        <w:t xml:space="preserve">L’objectif de cette réforme est d’améliorer la qualité des services de soins de longue durée pour les personnes âgées. </w:t>
      </w:r>
    </w:p>
    <w:p w14:paraId="63506968" w14:textId="77777777" w:rsidR="00A345F4" w:rsidRDefault="005E2D4E">
      <w:pPr>
        <w:pStyle w:val="P68B1DB1-Normal4"/>
        <w:spacing w:before="120" w:after="120" w:line="240" w:lineRule="auto"/>
        <w:jc w:val="both"/>
        <w:rPr>
          <w:noProof/>
        </w:rPr>
      </w:pPr>
      <w:r>
        <w:rPr>
          <w:noProof/>
        </w:rPr>
        <w:t xml:space="preserve">Cette mesure consiste en l’adoption d’actes juridiques visant à soutenir la fourniture de services de soins de longue durée de qualité aux personnes âgées. </w:t>
      </w:r>
    </w:p>
    <w:p w14:paraId="1EE89D50" w14:textId="77777777" w:rsidR="00A345F4" w:rsidRDefault="00A345F4">
      <w:pPr>
        <w:spacing w:before="120" w:after="120" w:line="240" w:lineRule="auto"/>
        <w:jc w:val="both"/>
        <w:rPr>
          <w:rFonts w:ascii="Times New Roman" w:hAnsi="Times New Roman" w:cs="Times New Roman"/>
          <w:noProof/>
        </w:rPr>
        <w:sectPr w:rsidR="00A345F4" w:rsidSect="00852517">
          <w:headerReference w:type="even" r:id="rId310"/>
          <w:headerReference w:type="default" r:id="rId311"/>
          <w:footerReference w:type="even" r:id="rId312"/>
          <w:footerReference w:type="default" r:id="rId313"/>
          <w:headerReference w:type="first" r:id="rId314"/>
          <w:footerReference w:type="first" r:id="rId315"/>
          <w:pgSz w:w="11907" w:h="16839"/>
          <w:pgMar w:top="1134" w:right="1134" w:bottom="1134" w:left="1134" w:header="567" w:footer="567" w:gutter="0"/>
          <w:cols w:space="720"/>
          <w:docGrid w:linePitch="360"/>
        </w:sectPr>
      </w:pPr>
    </w:p>
    <w:p w14:paraId="5CE7DA6E" w14:textId="77777777" w:rsidR="00A345F4" w:rsidRDefault="005E2D4E">
      <w:pPr>
        <w:pStyle w:val="P68B1DB1-Normal4"/>
        <w:keepNext/>
        <w:spacing w:before="120" w:after="120" w:line="240" w:lineRule="auto"/>
        <w:ind w:left="709"/>
        <w:jc w:val="both"/>
        <w:outlineLvl w:val="1"/>
        <w:rPr>
          <w:rFonts w:eastAsiaTheme="majorEastAsia"/>
          <w:b/>
          <w:bCs/>
          <w:noProof/>
        </w:rPr>
      </w:pPr>
      <w:r>
        <w:rPr>
          <w:b/>
          <w:noProof/>
        </w:rPr>
        <w:t xml:space="preserve">M.4. </w:t>
      </w:r>
      <w:r>
        <w:rPr>
          <w:noProof/>
        </w:rPr>
        <w:t xml:space="preserve"> </w:t>
      </w:r>
      <w:r>
        <w:rPr>
          <w:b/>
          <w:noProof/>
        </w:rPr>
        <w:t xml:space="preserve">Étapes, objectifs, indicateurs et calendrier du suivi et de la mise en œuvre du prêt </w:t>
      </w:r>
    </w:p>
    <w:tbl>
      <w:tblPr>
        <w:tblW w:w="15730" w:type="dxa"/>
        <w:jc w:val="center"/>
        <w:tblLayout w:type="fixed"/>
        <w:tblLook w:val="04A0" w:firstRow="1" w:lastRow="0" w:firstColumn="1" w:lastColumn="0" w:noHBand="0" w:noVBand="1"/>
      </w:tblPr>
      <w:tblGrid>
        <w:gridCol w:w="846"/>
        <w:gridCol w:w="1836"/>
        <w:gridCol w:w="1282"/>
        <w:gridCol w:w="1693"/>
        <w:gridCol w:w="1597"/>
        <w:gridCol w:w="1246"/>
        <w:gridCol w:w="1134"/>
        <w:gridCol w:w="920"/>
        <w:gridCol w:w="1207"/>
        <w:gridCol w:w="850"/>
        <w:gridCol w:w="3119"/>
      </w:tblGrid>
      <w:tr w:rsidR="00A345F4" w14:paraId="7D13D1F7" w14:textId="77777777" w:rsidTr="000D606E">
        <w:trPr>
          <w:trHeight w:val="939"/>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B39C08" w14:textId="77777777" w:rsidR="00A345F4" w:rsidRDefault="005E2D4E">
            <w:pPr>
              <w:pStyle w:val="P68B1DB1-Normal13"/>
              <w:spacing w:after="0" w:line="240" w:lineRule="auto"/>
              <w:jc w:val="center"/>
              <w:rPr>
                <w:rFonts w:eastAsia="Times New Roman"/>
                <w:noProof/>
              </w:rPr>
            </w:pPr>
            <w:r>
              <w:rPr>
                <w:noProof/>
              </w:rPr>
              <w:t>Seq. Num.</w:t>
            </w:r>
          </w:p>
        </w:tc>
        <w:tc>
          <w:tcPr>
            <w:tcW w:w="18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75B23B"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2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43344F" w14:textId="77777777" w:rsidR="00A345F4" w:rsidRDefault="005E2D4E">
            <w:pPr>
              <w:pStyle w:val="P68B1DB1-Normal13"/>
              <w:spacing w:after="0" w:line="240" w:lineRule="auto"/>
              <w:jc w:val="center"/>
              <w:rPr>
                <w:rFonts w:eastAsia="Times New Roman"/>
                <w:noProof/>
              </w:rPr>
            </w:pPr>
            <w:r>
              <w:rPr>
                <w:noProof/>
              </w:rPr>
              <w:t>Étape/cible</w:t>
            </w:r>
          </w:p>
        </w:tc>
        <w:tc>
          <w:tcPr>
            <w:tcW w:w="16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3AA159" w14:textId="77777777" w:rsidR="00A345F4" w:rsidRDefault="005E2D4E">
            <w:pPr>
              <w:pStyle w:val="P68B1DB1-Normal13"/>
              <w:spacing w:after="0" w:line="240" w:lineRule="auto"/>
              <w:jc w:val="center"/>
              <w:rPr>
                <w:rFonts w:eastAsia="Times New Roman"/>
                <w:noProof/>
              </w:rPr>
            </w:pPr>
            <w:r>
              <w:rPr>
                <w:noProof/>
              </w:rPr>
              <w:t>Nom</w:t>
            </w:r>
          </w:p>
        </w:tc>
        <w:tc>
          <w:tcPr>
            <w:tcW w:w="15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4CCDB0"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30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27BCA9A"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2057" w:type="dxa"/>
            <w:gridSpan w:val="2"/>
            <w:tcBorders>
              <w:top w:val="single" w:sz="4" w:space="0" w:color="auto"/>
              <w:left w:val="nil"/>
              <w:bottom w:val="single" w:sz="4" w:space="0" w:color="auto"/>
              <w:right w:val="single" w:sz="4" w:space="0" w:color="auto"/>
            </w:tcBorders>
            <w:shd w:val="clear" w:color="auto" w:fill="BDD7EE"/>
            <w:vAlign w:val="center"/>
            <w:hideMark/>
          </w:tcPr>
          <w:p w14:paraId="121864D8" w14:textId="77777777" w:rsidR="00A345F4" w:rsidRDefault="005E2D4E">
            <w:pPr>
              <w:pStyle w:val="P68B1DB1-Normal13"/>
              <w:spacing w:after="0" w:line="240" w:lineRule="auto"/>
              <w:jc w:val="center"/>
              <w:rPr>
                <w:rFonts w:eastAsia="Times New Roman"/>
                <w:noProof/>
              </w:rPr>
            </w:pPr>
            <w:r>
              <w:rPr>
                <w:noProof/>
              </w:rPr>
              <w:t>Calendrier indicatif d'achèvement</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E15F5A"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07773FA4" w14:textId="77777777" w:rsidTr="000D606E">
        <w:trPr>
          <w:trHeight w:val="122"/>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C6ADB80"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2A73B78F"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14:paraId="3455BEBE"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14:paraId="58835809"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597" w:type="dxa"/>
            <w:vMerge/>
            <w:tcBorders>
              <w:top w:val="single" w:sz="4" w:space="0" w:color="auto"/>
              <w:left w:val="single" w:sz="4" w:space="0" w:color="auto"/>
              <w:bottom w:val="single" w:sz="4" w:space="0" w:color="auto"/>
              <w:right w:val="single" w:sz="4" w:space="0" w:color="auto"/>
            </w:tcBorders>
            <w:vAlign w:val="center"/>
            <w:hideMark/>
          </w:tcPr>
          <w:p w14:paraId="41D54961" w14:textId="77777777" w:rsidR="00A345F4" w:rsidRDefault="00A345F4">
            <w:pPr>
              <w:spacing w:after="0" w:line="240" w:lineRule="auto"/>
              <w:jc w:val="both"/>
              <w:rPr>
                <w:rFonts w:ascii="Times New Roman" w:eastAsia="Times New Roman" w:hAnsi="Times New Roman" w:cs="Times New Roman"/>
                <w:b/>
                <w:bCs/>
                <w:noProof/>
                <w:sz w:val="20"/>
                <w:szCs w:val="20"/>
              </w:rPr>
            </w:pPr>
          </w:p>
        </w:tc>
        <w:tc>
          <w:tcPr>
            <w:tcW w:w="1246" w:type="dxa"/>
            <w:tcBorders>
              <w:top w:val="nil"/>
              <w:left w:val="single" w:sz="4" w:space="0" w:color="auto"/>
              <w:bottom w:val="single" w:sz="4" w:space="0" w:color="auto"/>
              <w:right w:val="single" w:sz="4" w:space="0" w:color="auto"/>
            </w:tcBorders>
            <w:shd w:val="clear" w:color="auto" w:fill="BDD7EE"/>
            <w:vAlign w:val="center"/>
            <w:hideMark/>
          </w:tcPr>
          <w:p w14:paraId="2E6CEE99" w14:textId="77777777" w:rsidR="00A345F4" w:rsidRDefault="005E2D4E">
            <w:pPr>
              <w:pStyle w:val="P68B1DB1-Normal13"/>
              <w:spacing w:after="0" w:line="240" w:lineRule="auto"/>
              <w:jc w:val="center"/>
              <w:rPr>
                <w:rFonts w:eastAsia="Times New Roman"/>
                <w:noProof/>
              </w:rPr>
            </w:pPr>
            <w:r>
              <w:rPr>
                <w:noProof/>
              </w:rPr>
              <w:t>Unité de mesure</w:t>
            </w:r>
          </w:p>
        </w:tc>
        <w:tc>
          <w:tcPr>
            <w:tcW w:w="1134" w:type="dxa"/>
            <w:tcBorders>
              <w:top w:val="nil"/>
              <w:left w:val="nil"/>
              <w:bottom w:val="single" w:sz="4" w:space="0" w:color="auto"/>
              <w:right w:val="single" w:sz="4" w:space="0" w:color="auto"/>
            </w:tcBorders>
            <w:shd w:val="clear" w:color="auto" w:fill="BDD7EE"/>
            <w:vAlign w:val="center"/>
            <w:hideMark/>
          </w:tcPr>
          <w:p w14:paraId="240A2DB0" w14:textId="77777777" w:rsidR="00A345F4" w:rsidRDefault="005E2D4E">
            <w:pPr>
              <w:pStyle w:val="P68B1DB1-Normal13"/>
              <w:spacing w:after="0" w:line="240" w:lineRule="auto"/>
              <w:jc w:val="center"/>
              <w:rPr>
                <w:rFonts w:eastAsia="Times New Roman"/>
                <w:noProof/>
              </w:rPr>
            </w:pPr>
            <w:r>
              <w:rPr>
                <w:noProof/>
              </w:rPr>
              <w:t>Données de référence</w:t>
            </w:r>
          </w:p>
        </w:tc>
        <w:tc>
          <w:tcPr>
            <w:tcW w:w="920" w:type="dxa"/>
            <w:tcBorders>
              <w:top w:val="nil"/>
              <w:left w:val="nil"/>
              <w:bottom w:val="single" w:sz="4" w:space="0" w:color="auto"/>
              <w:right w:val="single" w:sz="4" w:space="0" w:color="auto"/>
            </w:tcBorders>
            <w:shd w:val="clear" w:color="auto" w:fill="BDD7EE"/>
            <w:vAlign w:val="center"/>
            <w:hideMark/>
          </w:tcPr>
          <w:p w14:paraId="35878511" w14:textId="77777777" w:rsidR="00A345F4" w:rsidRDefault="005E2D4E">
            <w:pPr>
              <w:pStyle w:val="P68B1DB1-Normal13"/>
              <w:spacing w:after="0" w:line="240" w:lineRule="auto"/>
              <w:jc w:val="center"/>
              <w:rPr>
                <w:rFonts w:eastAsia="Times New Roman"/>
                <w:noProof/>
              </w:rPr>
            </w:pPr>
            <w:r>
              <w:rPr>
                <w:noProof/>
              </w:rPr>
              <w:t>Objectif</w:t>
            </w:r>
          </w:p>
        </w:tc>
        <w:tc>
          <w:tcPr>
            <w:tcW w:w="1207" w:type="dxa"/>
            <w:tcBorders>
              <w:top w:val="nil"/>
              <w:left w:val="nil"/>
              <w:bottom w:val="single" w:sz="4" w:space="0" w:color="auto"/>
              <w:right w:val="single" w:sz="4" w:space="0" w:color="auto"/>
            </w:tcBorders>
            <w:shd w:val="clear" w:color="auto" w:fill="BDD7EE"/>
            <w:vAlign w:val="center"/>
            <w:hideMark/>
          </w:tcPr>
          <w:p w14:paraId="2B08A5A2" w14:textId="77777777" w:rsidR="00A345F4" w:rsidRDefault="005E2D4E">
            <w:pPr>
              <w:pStyle w:val="P68B1DB1-Normal13"/>
              <w:spacing w:after="0" w:line="240" w:lineRule="auto"/>
              <w:jc w:val="both"/>
              <w:rPr>
                <w:rFonts w:eastAsia="Times New Roman"/>
                <w:noProof/>
              </w:rPr>
            </w:pPr>
            <w:r>
              <w:rPr>
                <w:noProof/>
              </w:rPr>
              <w:t>Trimestre</w:t>
            </w:r>
          </w:p>
        </w:tc>
        <w:tc>
          <w:tcPr>
            <w:tcW w:w="850" w:type="dxa"/>
            <w:tcBorders>
              <w:top w:val="nil"/>
              <w:left w:val="nil"/>
              <w:bottom w:val="single" w:sz="4" w:space="0" w:color="auto"/>
              <w:right w:val="single" w:sz="4" w:space="0" w:color="auto"/>
            </w:tcBorders>
            <w:shd w:val="clear" w:color="auto" w:fill="BDD7EE"/>
            <w:vAlign w:val="center"/>
            <w:hideMark/>
          </w:tcPr>
          <w:p w14:paraId="05C70422" w14:textId="77777777" w:rsidR="00A345F4" w:rsidRDefault="005E2D4E">
            <w:pPr>
              <w:pStyle w:val="P68B1DB1-Normal13"/>
              <w:spacing w:after="0" w:line="240" w:lineRule="auto"/>
              <w:jc w:val="center"/>
              <w:rPr>
                <w:rFonts w:eastAsia="Times New Roman"/>
                <w:noProof/>
              </w:rPr>
            </w:pPr>
            <w:r>
              <w:rPr>
                <w:noProof/>
              </w:rPr>
              <w:t>Année</w:t>
            </w:r>
          </w:p>
        </w:tc>
        <w:tc>
          <w:tcPr>
            <w:tcW w:w="3119" w:type="dxa"/>
            <w:vMerge/>
            <w:tcBorders>
              <w:top w:val="single" w:sz="4" w:space="0" w:color="auto"/>
              <w:bottom w:val="single" w:sz="4" w:space="0" w:color="auto"/>
              <w:right w:val="single" w:sz="4" w:space="0" w:color="auto"/>
            </w:tcBorders>
            <w:vAlign w:val="center"/>
            <w:hideMark/>
          </w:tcPr>
          <w:p w14:paraId="3EF63C62" w14:textId="77777777" w:rsidR="00A345F4" w:rsidRDefault="00A345F4">
            <w:pPr>
              <w:spacing w:after="0" w:line="240" w:lineRule="auto"/>
              <w:jc w:val="both"/>
              <w:rPr>
                <w:rFonts w:ascii="Times New Roman" w:eastAsia="Times New Roman" w:hAnsi="Times New Roman" w:cs="Times New Roman"/>
                <w:b/>
                <w:bCs/>
                <w:noProof/>
                <w:sz w:val="20"/>
                <w:szCs w:val="20"/>
              </w:rPr>
            </w:pPr>
          </w:p>
        </w:tc>
      </w:tr>
      <w:tr w:rsidR="00A345F4" w14:paraId="3E64BB18" w14:textId="77777777" w:rsidTr="000D606E">
        <w:trPr>
          <w:trHeight w:val="313"/>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hideMark/>
          </w:tcPr>
          <w:p w14:paraId="04D1275C" w14:textId="77777777" w:rsidR="00A345F4" w:rsidRDefault="005E2D4E">
            <w:pPr>
              <w:pStyle w:val="P68B1DB1-Normal14"/>
              <w:spacing w:after="0" w:line="240" w:lineRule="auto"/>
              <w:jc w:val="center"/>
              <w:rPr>
                <w:rFonts w:eastAsia="Times New Roman"/>
                <w:noProof/>
              </w:rPr>
            </w:pPr>
            <w:r>
              <w:rPr>
                <w:noProof/>
              </w:rPr>
              <w:t>398</w:t>
            </w:r>
          </w:p>
        </w:tc>
        <w:tc>
          <w:tcPr>
            <w:tcW w:w="1836" w:type="dxa"/>
            <w:tcBorders>
              <w:top w:val="single" w:sz="4" w:space="0" w:color="auto"/>
              <w:left w:val="nil"/>
              <w:bottom w:val="single" w:sz="4" w:space="0" w:color="auto"/>
              <w:right w:val="single" w:sz="4" w:space="0" w:color="auto"/>
            </w:tcBorders>
            <w:shd w:val="clear" w:color="auto" w:fill="C6EFCE"/>
            <w:noWrap/>
          </w:tcPr>
          <w:p w14:paraId="66DFB169" w14:textId="77777777" w:rsidR="00A345F4" w:rsidRDefault="005E2D4E">
            <w:pPr>
              <w:pStyle w:val="P68B1DB1-Normal14"/>
              <w:spacing w:after="0" w:line="240" w:lineRule="auto"/>
              <w:jc w:val="both"/>
              <w:rPr>
                <w:rFonts w:eastAsia="Times New Roman"/>
                <w:noProof/>
              </w:rPr>
            </w:pPr>
            <w:r>
              <w:rPr>
                <w:noProof/>
              </w:rPr>
              <w:t xml:space="preserve">Réforme 6. Amélioration de la législation relative à l’économie sociale </w:t>
            </w:r>
          </w:p>
        </w:tc>
        <w:tc>
          <w:tcPr>
            <w:tcW w:w="1282" w:type="dxa"/>
            <w:tcBorders>
              <w:top w:val="single" w:sz="4" w:space="0" w:color="auto"/>
              <w:left w:val="nil"/>
              <w:bottom w:val="single" w:sz="4" w:space="0" w:color="auto"/>
              <w:right w:val="single" w:sz="4" w:space="0" w:color="auto"/>
            </w:tcBorders>
            <w:shd w:val="clear" w:color="auto" w:fill="C6EFCE"/>
            <w:noWrap/>
            <w:hideMark/>
          </w:tcPr>
          <w:p w14:paraId="2EA603CE" w14:textId="77777777" w:rsidR="00A345F4" w:rsidRDefault="005E2D4E">
            <w:pPr>
              <w:pStyle w:val="P68B1DB1-Normal14"/>
              <w:spacing w:after="0" w:line="240" w:lineRule="auto"/>
              <w:jc w:val="both"/>
              <w:rPr>
                <w:rFonts w:eastAsia="Times New Roman"/>
                <w:noProof/>
              </w:rPr>
            </w:pPr>
            <w:r>
              <w:rPr>
                <w:noProof/>
              </w:rPr>
              <w:t>Étape</w:t>
            </w:r>
          </w:p>
        </w:tc>
        <w:tc>
          <w:tcPr>
            <w:tcW w:w="1693" w:type="dxa"/>
            <w:tcBorders>
              <w:top w:val="single" w:sz="4" w:space="0" w:color="auto"/>
              <w:left w:val="nil"/>
              <w:bottom w:val="single" w:sz="4" w:space="0" w:color="auto"/>
              <w:right w:val="single" w:sz="4" w:space="0" w:color="auto"/>
            </w:tcBorders>
            <w:shd w:val="clear" w:color="auto" w:fill="C6EFCE"/>
            <w:noWrap/>
          </w:tcPr>
          <w:p w14:paraId="31ECB693" w14:textId="77777777" w:rsidR="00A345F4" w:rsidRDefault="005E2D4E">
            <w:pPr>
              <w:pStyle w:val="P68B1DB1-Normal14"/>
              <w:spacing w:after="0" w:line="240" w:lineRule="auto"/>
              <w:jc w:val="both"/>
              <w:rPr>
                <w:rFonts w:eastAsia="Times New Roman"/>
                <w:noProof/>
              </w:rPr>
            </w:pPr>
            <w:r>
              <w:rPr>
                <w:noProof/>
              </w:rPr>
              <w:t>Entrée en vigueur de la modification de la loi n° 219/2015 relative à l'économie sociale et de ses modalités d'application</w:t>
            </w:r>
          </w:p>
        </w:tc>
        <w:tc>
          <w:tcPr>
            <w:tcW w:w="1597" w:type="dxa"/>
            <w:tcBorders>
              <w:top w:val="single" w:sz="4" w:space="0" w:color="auto"/>
              <w:left w:val="nil"/>
              <w:bottom w:val="single" w:sz="4" w:space="0" w:color="auto"/>
              <w:right w:val="single" w:sz="4" w:space="0" w:color="auto"/>
            </w:tcBorders>
            <w:shd w:val="clear" w:color="auto" w:fill="C6EFCE"/>
            <w:noWrap/>
            <w:hideMark/>
          </w:tcPr>
          <w:p w14:paraId="6124FCD8"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 modification de la loi no 219/2015 relative à l’économie sociale et des modalités d’application</w:t>
            </w:r>
          </w:p>
        </w:tc>
        <w:tc>
          <w:tcPr>
            <w:tcW w:w="1246" w:type="dxa"/>
            <w:tcBorders>
              <w:top w:val="nil"/>
              <w:left w:val="nil"/>
              <w:bottom w:val="single" w:sz="4" w:space="0" w:color="auto"/>
              <w:right w:val="single" w:sz="4" w:space="0" w:color="auto"/>
            </w:tcBorders>
            <w:shd w:val="clear" w:color="auto" w:fill="C6EFCE"/>
            <w:noWrap/>
            <w:hideMark/>
          </w:tcPr>
          <w:p w14:paraId="6304C355"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48C67E0D"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920" w:type="dxa"/>
            <w:tcBorders>
              <w:top w:val="nil"/>
              <w:left w:val="nil"/>
              <w:bottom w:val="single" w:sz="4" w:space="0" w:color="auto"/>
              <w:right w:val="single" w:sz="4" w:space="0" w:color="auto"/>
            </w:tcBorders>
            <w:shd w:val="clear" w:color="auto" w:fill="C6EFCE"/>
            <w:noWrap/>
          </w:tcPr>
          <w:p w14:paraId="01DEA154"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207" w:type="dxa"/>
            <w:tcBorders>
              <w:top w:val="nil"/>
              <w:left w:val="nil"/>
              <w:bottom w:val="single" w:sz="4" w:space="0" w:color="auto"/>
              <w:right w:val="single" w:sz="4" w:space="0" w:color="auto"/>
            </w:tcBorders>
            <w:shd w:val="clear" w:color="auto" w:fill="C6EFCE"/>
            <w:noWrap/>
            <w:hideMark/>
          </w:tcPr>
          <w:p w14:paraId="54DFB682" w14:textId="77777777" w:rsidR="00A345F4" w:rsidRDefault="005E2D4E">
            <w:pPr>
              <w:pStyle w:val="P68B1DB1-Normal14"/>
              <w:spacing w:after="0" w:line="240" w:lineRule="auto"/>
              <w:jc w:val="both"/>
              <w:rPr>
                <w:rFonts w:eastAsia="Times New Roman"/>
                <w:noProof/>
              </w:rPr>
            </w:pPr>
            <w:r>
              <w:rPr>
                <w:noProof/>
              </w:rPr>
              <w:t>T2</w:t>
            </w:r>
          </w:p>
        </w:tc>
        <w:tc>
          <w:tcPr>
            <w:tcW w:w="850" w:type="dxa"/>
            <w:tcBorders>
              <w:top w:val="nil"/>
              <w:left w:val="nil"/>
              <w:bottom w:val="single" w:sz="4" w:space="0" w:color="auto"/>
              <w:right w:val="single" w:sz="4" w:space="0" w:color="auto"/>
            </w:tcBorders>
            <w:shd w:val="clear" w:color="auto" w:fill="C6EFCE"/>
            <w:noWrap/>
            <w:hideMark/>
          </w:tcPr>
          <w:p w14:paraId="25696C67" w14:textId="77777777" w:rsidR="00A345F4" w:rsidRDefault="005E2D4E">
            <w:pPr>
              <w:pStyle w:val="P68B1DB1-Normal14"/>
              <w:spacing w:after="0" w:line="240" w:lineRule="auto"/>
              <w:jc w:val="both"/>
              <w:rPr>
                <w:rFonts w:eastAsia="Times New Roman"/>
                <w:noProof/>
              </w:rPr>
            </w:pPr>
            <w:r>
              <w:rPr>
                <w:noProof/>
              </w:rPr>
              <w:t>2022</w:t>
            </w:r>
          </w:p>
        </w:tc>
        <w:tc>
          <w:tcPr>
            <w:tcW w:w="3119" w:type="dxa"/>
            <w:tcBorders>
              <w:top w:val="single" w:sz="4" w:space="0" w:color="auto"/>
              <w:left w:val="nil"/>
              <w:bottom w:val="single" w:sz="4" w:space="0" w:color="auto"/>
              <w:right w:val="single" w:sz="4" w:space="0" w:color="auto"/>
            </w:tcBorders>
            <w:shd w:val="clear" w:color="auto" w:fill="C6EFCE"/>
            <w:noWrap/>
            <w:hideMark/>
          </w:tcPr>
          <w:p w14:paraId="5870675C" w14:textId="77777777" w:rsidR="00A345F4" w:rsidRDefault="005E2D4E">
            <w:pPr>
              <w:pStyle w:val="P68B1DB1-Normal14"/>
              <w:spacing w:after="0" w:line="240" w:lineRule="auto"/>
              <w:jc w:val="both"/>
              <w:rPr>
                <w:noProof/>
              </w:rPr>
            </w:pPr>
            <w:r>
              <w:rPr>
                <w:noProof/>
              </w:rPr>
              <w:t>Les modifications réglementaires entraînent:</w:t>
            </w:r>
          </w:p>
          <w:p w14:paraId="6B3A1A3F" w14:textId="77777777" w:rsidR="00A345F4" w:rsidRDefault="005E2D4E">
            <w:pPr>
              <w:pStyle w:val="P68B1DB1-ListParagraph29"/>
              <w:numPr>
                <w:ilvl w:val="0"/>
                <w:numId w:val="60"/>
              </w:numPr>
              <w:spacing w:after="0" w:line="240" w:lineRule="auto"/>
              <w:ind w:left="177" w:hanging="219"/>
              <w:jc w:val="both"/>
              <w:rPr>
                <w:noProof/>
              </w:rPr>
            </w:pPr>
            <w:r>
              <w:rPr>
                <w:noProof/>
              </w:rPr>
              <w:t>Procédure simplifiée d'enregistrement des entreprises sociales</w:t>
            </w:r>
          </w:p>
          <w:p w14:paraId="2F0DDD52" w14:textId="77777777" w:rsidR="00A345F4" w:rsidRDefault="005E2D4E">
            <w:pPr>
              <w:pStyle w:val="P68B1DB1-ListParagraph29"/>
              <w:numPr>
                <w:ilvl w:val="0"/>
                <w:numId w:val="60"/>
              </w:numPr>
              <w:spacing w:before="120" w:after="0" w:line="240" w:lineRule="auto"/>
              <w:ind w:left="177" w:hanging="219"/>
              <w:jc w:val="both"/>
              <w:rPr>
                <w:noProof/>
              </w:rPr>
            </w:pPr>
            <w:r>
              <w:rPr>
                <w:noProof/>
              </w:rPr>
              <w:t>Amélioration du ciblage des activités économiques et de l'utilisation de la main-d'œuvre afin qu'il réponde mieux aux besoins des groupes vulnérables et des communautés marginalisées</w:t>
            </w:r>
          </w:p>
          <w:p w14:paraId="41F06523" w14:textId="77777777" w:rsidR="00A345F4" w:rsidRDefault="005E2D4E">
            <w:pPr>
              <w:pStyle w:val="P68B1DB1-ListParagraph29"/>
              <w:numPr>
                <w:ilvl w:val="0"/>
                <w:numId w:val="60"/>
              </w:numPr>
              <w:spacing w:before="120" w:after="0" w:line="240" w:lineRule="auto"/>
              <w:ind w:left="177" w:hanging="219"/>
              <w:jc w:val="both"/>
              <w:rPr>
                <w:noProof/>
              </w:rPr>
            </w:pPr>
            <w:r>
              <w:rPr>
                <w:noProof/>
              </w:rPr>
              <w:t xml:space="preserve">Mesure identifiée pour améliorer la durabilité des structures de l’économie sociale, par exemple des régimes préférentiels de marchés publics pour les biens et les services. </w:t>
            </w:r>
          </w:p>
        </w:tc>
      </w:tr>
      <w:tr w:rsidR="00A345F4" w14:paraId="689C55AB" w14:textId="77777777" w:rsidTr="000D606E">
        <w:trPr>
          <w:trHeight w:val="313"/>
          <w:jc w:val="center"/>
        </w:trPr>
        <w:tc>
          <w:tcPr>
            <w:tcW w:w="846" w:type="dxa"/>
            <w:tcBorders>
              <w:top w:val="nil"/>
              <w:left w:val="single" w:sz="4" w:space="0" w:color="auto"/>
              <w:bottom w:val="single" w:sz="4" w:space="0" w:color="auto"/>
              <w:right w:val="single" w:sz="4" w:space="0" w:color="auto"/>
            </w:tcBorders>
            <w:shd w:val="clear" w:color="auto" w:fill="C6EFCE"/>
            <w:noWrap/>
            <w:hideMark/>
          </w:tcPr>
          <w:p w14:paraId="396A5738" w14:textId="77777777" w:rsidR="00A345F4" w:rsidRDefault="005E2D4E">
            <w:pPr>
              <w:pStyle w:val="P68B1DB1-Normal14"/>
              <w:spacing w:after="0" w:line="240" w:lineRule="auto"/>
              <w:jc w:val="center"/>
              <w:rPr>
                <w:rFonts w:eastAsia="Times New Roman"/>
                <w:noProof/>
              </w:rPr>
            </w:pPr>
            <w:r>
              <w:rPr>
                <w:noProof/>
              </w:rPr>
              <w:t>399</w:t>
            </w:r>
          </w:p>
        </w:tc>
        <w:tc>
          <w:tcPr>
            <w:tcW w:w="1836" w:type="dxa"/>
            <w:tcBorders>
              <w:top w:val="nil"/>
              <w:left w:val="nil"/>
              <w:bottom w:val="single" w:sz="4" w:space="0" w:color="auto"/>
              <w:right w:val="single" w:sz="4" w:space="0" w:color="auto"/>
            </w:tcBorders>
            <w:shd w:val="clear" w:color="auto" w:fill="C6EFCE"/>
            <w:noWrap/>
            <w:hideMark/>
          </w:tcPr>
          <w:p w14:paraId="3FA0CE78" w14:textId="77777777" w:rsidR="00A345F4" w:rsidRDefault="005E2D4E">
            <w:pPr>
              <w:pStyle w:val="P68B1DB1-Normal14"/>
              <w:spacing w:after="0" w:line="240" w:lineRule="auto"/>
              <w:jc w:val="both"/>
              <w:rPr>
                <w:rFonts w:eastAsia="Times New Roman"/>
                <w:noProof/>
              </w:rPr>
            </w:pPr>
            <w:r>
              <w:rPr>
                <w:noProof/>
              </w:rPr>
              <w:t>Réforme 7. Réforme des services de soins de longue durée pour les personnes âgées</w:t>
            </w:r>
          </w:p>
        </w:tc>
        <w:tc>
          <w:tcPr>
            <w:tcW w:w="1282" w:type="dxa"/>
            <w:tcBorders>
              <w:top w:val="nil"/>
              <w:left w:val="nil"/>
              <w:bottom w:val="single" w:sz="4" w:space="0" w:color="auto"/>
              <w:right w:val="single" w:sz="4" w:space="0" w:color="auto"/>
            </w:tcBorders>
            <w:shd w:val="clear" w:color="auto" w:fill="C6EFCE"/>
            <w:noWrap/>
            <w:hideMark/>
          </w:tcPr>
          <w:p w14:paraId="171DA43E" w14:textId="77777777" w:rsidR="00A345F4" w:rsidRDefault="005E2D4E">
            <w:pPr>
              <w:pStyle w:val="P68B1DB1-Normal14"/>
              <w:spacing w:after="0" w:line="240" w:lineRule="auto"/>
              <w:jc w:val="both"/>
              <w:rPr>
                <w:rFonts w:eastAsia="Times New Roman"/>
                <w:noProof/>
              </w:rPr>
            </w:pPr>
            <w:r>
              <w:rPr>
                <w:noProof/>
              </w:rPr>
              <w:t>Étape</w:t>
            </w:r>
          </w:p>
        </w:tc>
        <w:tc>
          <w:tcPr>
            <w:tcW w:w="1693" w:type="dxa"/>
            <w:tcBorders>
              <w:top w:val="nil"/>
              <w:left w:val="nil"/>
              <w:bottom w:val="single" w:sz="4" w:space="0" w:color="auto"/>
              <w:right w:val="single" w:sz="4" w:space="0" w:color="auto"/>
            </w:tcBorders>
            <w:shd w:val="clear" w:color="auto" w:fill="C6EFCE"/>
            <w:noWrap/>
            <w:hideMark/>
          </w:tcPr>
          <w:p w14:paraId="67329F69" w14:textId="77777777" w:rsidR="00A345F4" w:rsidRDefault="005E2D4E">
            <w:pPr>
              <w:pStyle w:val="P68B1DB1-Normal14"/>
              <w:spacing w:after="0" w:line="240" w:lineRule="auto"/>
              <w:jc w:val="both"/>
              <w:rPr>
                <w:noProof/>
              </w:rPr>
            </w:pPr>
            <w:r>
              <w:rPr>
                <w:noProof/>
              </w:rPr>
              <w:t>Entrée en vigueur d'une loi pour l'adoption et la mise en œuvre de la Stratégie nationale de soins de longue durée</w:t>
            </w:r>
          </w:p>
        </w:tc>
        <w:tc>
          <w:tcPr>
            <w:tcW w:w="1597" w:type="dxa"/>
            <w:tcBorders>
              <w:top w:val="nil"/>
              <w:left w:val="nil"/>
              <w:bottom w:val="single" w:sz="4" w:space="0" w:color="auto"/>
              <w:right w:val="single" w:sz="4" w:space="0" w:color="auto"/>
            </w:tcBorders>
            <w:shd w:val="clear" w:color="auto" w:fill="C6EFCE"/>
            <w:noWrap/>
            <w:hideMark/>
          </w:tcPr>
          <w:p w14:paraId="1C1A6486" w14:textId="77777777" w:rsidR="00A345F4" w:rsidRDefault="005E2D4E">
            <w:pPr>
              <w:pStyle w:val="P68B1DB1-Normal14"/>
              <w:spacing w:after="0" w:line="240" w:lineRule="auto"/>
              <w:jc w:val="both"/>
              <w:rPr>
                <w:rFonts w:eastAsia="Times New Roman"/>
                <w:noProof/>
              </w:rPr>
            </w:pPr>
            <w:r>
              <w:rPr>
                <w:noProof/>
              </w:rPr>
              <w:t xml:space="preserve">Disposition de la loi indiquant l’entrée en vigueur de l’acte législatif visant à soutenir la mise en œuvre de la stratégie nationale de soins de longue durée adoptée </w:t>
            </w:r>
          </w:p>
        </w:tc>
        <w:tc>
          <w:tcPr>
            <w:tcW w:w="1246" w:type="dxa"/>
            <w:tcBorders>
              <w:top w:val="nil"/>
              <w:left w:val="nil"/>
              <w:bottom w:val="single" w:sz="4" w:space="0" w:color="auto"/>
              <w:right w:val="single" w:sz="4" w:space="0" w:color="auto"/>
            </w:tcBorders>
            <w:shd w:val="clear" w:color="auto" w:fill="C6EFCE"/>
            <w:noWrap/>
            <w:hideMark/>
          </w:tcPr>
          <w:p w14:paraId="3B8F394E"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009629E6" w14:textId="77777777" w:rsidR="00A345F4" w:rsidRDefault="005E2D4E">
            <w:pPr>
              <w:pStyle w:val="P68B1DB1-Normal14"/>
              <w:spacing w:after="0" w:line="240" w:lineRule="auto"/>
              <w:jc w:val="both"/>
              <w:rPr>
                <w:rFonts w:eastAsia="Times New Roman"/>
                <w:noProof/>
              </w:rPr>
            </w:pPr>
            <w:r>
              <w:rPr>
                <w:noProof/>
              </w:rPr>
              <w:t xml:space="preserve"> </w:t>
            </w:r>
          </w:p>
        </w:tc>
        <w:tc>
          <w:tcPr>
            <w:tcW w:w="920" w:type="dxa"/>
            <w:tcBorders>
              <w:top w:val="nil"/>
              <w:left w:val="nil"/>
              <w:bottom w:val="single" w:sz="4" w:space="0" w:color="auto"/>
              <w:right w:val="single" w:sz="4" w:space="0" w:color="auto"/>
            </w:tcBorders>
            <w:shd w:val="clear" w:color="auto" w:fill="C6EFCE"/>
            <w:noWrap/>
            <w:hideMark/>
          </w:tcPr>
          <w:p w14:paraId="1BD217C0" w14:textId="77777777" w:rsidR="00A345F4" w:rsidRDefault="005E2D4E">
            <w:pPr>
              <w:pStyle w:val="P68B1DB1-Normal14"/>
              <w:spacing w:after="0" w:line="240" w:lineRule="auto"/>
              <w:jc w:val="both"/>
              <w:rPr>
                <w:rFonts w:eastAsia="Times New Roman"/>
                <w:noProof/>
              </w:rPr>
            </w:pPr>
            <w:r>
              <w:rPr>
                <w:noProof/>
              </w:rPr>
              <w:t xml:space="preserve"> </w:t>
            </w:r>
          </w:p>
        </w:tc>
        <w:tc>
          <w:tcPr>
            <w:tcW w:w="1207" w:type="dxa"/>
            <w:tcBorders>
              <w:top w:val="nil"/>
              <w:left w:val="nil"/>
              <w:bottom w:val="single" w:sz="4" w:space="0" w:color="auto"/>
              <w:right w:val="single" w:sz="4" w:space="0" w:color="auto"/>
            </w:tcBorders>
            <w:shd w:val="clear" w:color="auto" w:fill="C6EFCE"/>
            <w:noWrap/>
            <w:hideMark/>
          </w:tcPr>
          <w:p w14:paraId="65E5E742" w14:textId="77777777" w:rsidR="00A345F4" w:rsidRDefault="005E2D4E">
            <w:pPr>
              <w:pStyle w:val="P68B1DB1-Normal14"/>
              <w:spacing w:after="0" w:line="240" w:lineRule="auto"/>
              <w:jc w:val="both"/>
              <w:rPr>
                <w:rFonts w:eastAsia="Times New Roman"/>
                <w:noProof/>
              </w:rPr>
            </w:pPr>
            <w:r>
              <w:rPr>
                <w:noProof/>
              </w:rPr>
              <w:t>T4</w:t>
            </w:r>
          </w:p>
        </w:tc>
        <w:tc>
          <w:tcPr>
            <w:tcW w:w="850" w:type="dxa"/>
            <w:tcBorders>
              <w:top w:val="nil"/>
              <w:left w:val="nil"/>
              <w:bottom w:val="single" w:sz="4" w:space="0" w:color="auto"/>
              <w:right w:val="single" w:sz="4" w:space="0" w:color="auto"/>
            </w:tcBorders>
            <w:shd w:val="clear" w:color="auto" w:fill="C6EFCE"/>
            <w:noWrap/>
            <w:hideMark/>
          </w:tcPr>
          <w:p w14:paraId="3FE5B165" w14:textId="77777777" w:rsidR="00A345F4" w:rsidRDefault="005E2D4E">
            <w:pPr>
              <w:pStyle w:val="P68B1DB1-Normal14"/>
              <w:spacing w:after="0" w:line="240" w:lineRule="auto"/>
              <w:jc w:val="both"/>
              <w:rPr>
                <w:rFonts w:eastAsia="Times New Roman"/>
                <w:noProof/>
              </w:rPr>
            </w:pPr>
            <w:r>
              <w:rPr>
                <w:noProof/>
              </w:rPr>
              <w:t>2022</w:t>
            </w:r>
          </w:p>
        </w:tc>
        <w:tc>
          <w:tcPr>
            <w:tcW w:w="3119" w:type="dxa"/>
            <w:tcBorders>
              <w:top w:val="nil"/>
              <w:left w:val="nil"/>
              <w:bottom w:val="single" w:sz="4" w:space="0" w:color="auto"/>
              <w:right w:val="single" w:sz="4" w:space="0" w:color="auto"/>
            </w:tcBorders>
            <w:shd w:val="clear" w:color="auto" w:fill="C6EFCE"/>
            <w:noWrap/>
            <w:hideMark/>
          </w:tcPr>
          <w:p w14:paraId="69D34CC0" w14:textId="77777777" w:rsidR="00A345F4" w:rsidRDefault="005E2D4E">
            <w:pPr>
              <w:pStyle w:val="P68B1DB1-Normal14"/>
              <w:spacing w:after="0" w:line="240" w:lineRule="auto"/>
              <w:jc w:val="both"/>
              <w:rPr>
                <w:noProof/>
              </w:rPr>
            </w:pPr>
            <w:r>
              <w:rPr>
                <w:noProof/>
              </w:rPr>
              <w:t>Loi pour la stratégie adoptée, y compris les mesures relatives au vieillissement actif, ainsi que les mesures visant à couvrir les besoins médicaux en matière de soins de longue durée et les services de proximité pour les personnes âgées.</w:t>
            </w:r>
          </w:p>
          <w:p w14:paraId="6A345284" w14:textId="77777777" w:rsidR="00A345F4" w:rsidRDefault="005E2D4E">
            <w:pPr>
              <w:pStyle w:val="P68B1DB1-Normal14"/>
              <w:spacing w:after="0" w:line="240" w:lineRule="auto"/>
              <w:jc w:val="both"/>
              <w:rPr>
                <w:noProof/>
              </w:rPr>
            </w:pPr>
            <w:r>
              <w:rPr>
                <w:noProof/>
              </w:rPr>
              <w:t xml:space="preserve">La loi comporte: </w:t>
            </w:r>
          </w:p>
          <w:p w14:paraId="744E79F3" w14:textId="77777777" w:rsidR="00A345F4" w:rsidRDefault="005E2D4E">
            <w:pPr>
              <w:pStyle w:val="P68B1DB1-Normal14"/>
              <w:numPr>
                <w:ilvl w:val="0"/>
                <w:numId w:val="61"/>
              </w:numPr>
              <w:spacing w:after="0" w:line="240" w:lineRule="auto"/>
              <w:ind w:left="177" w:hanging="218"/>
              <w:contextualSpacing/>
              <w:jc w:val="both"/>
              <w:rPr>
                <w:noProof/>
              </w:rPr>
            </w:pPr>
            <w:r>
              <w:rPr>
                <w:noProof/>
              </w:rPr>
              <w:t xml:space="preserve">une source stable de financement identifiée pour les mesures </w:t>
            </w:r>
          </w:p>
          <w:p w14:paraId="01A963FB" w14:textId="77777777" w:rsidR="00A345F4" w:rsidRDefault="005E2D4E">
            <w:pPr>
              <w:pStyle w:val="P68B1DB1-Normal14"/>
              <w:numPr>
                <w:ilvl w:val="0"/>
                <w:numId w:val="61"/>
              </w:numPr>
              <w:spacing w:after="0" w:line="240" w:lineRule="auto"/>
              <w:ind w:left="177" w:hanging="218"/>
              <w:contextualSpacing/>
              <w:jc w:val="both"/>
              <w:rPr>
                <w:noProof/>
              </w:rPr>
            </w:pPr>
            <w:r>
              <w:rPr>
                <w:noProof/>
              </w:rPr>
              <w:t>un mécanisme de gouvernance avec des responsabilités claires attribuées aux autorités publiques aux niveaux national et local;</w:t>
            </w:r>
          </w:p>
          <w:p w14:paraId="5A6D3BAB" w14:textId="77777777" w:rsidR="00A345F4" w:rsidRDefault="005E2D4E">
            <w:pPr>
              <w:pStyle w:val="P68B1DB1-Normal14"/>
              <w:numPr>
                <w:ilvl w:val="0"/>
                <w:numId w:val="61"/>
              </w:numPr>
              <w:spacing w:after="0" w:line="240" w:lineRule="auto"/>
              <w:ind w:left="177" w:hanging="218"/>
              <w:contextualSpacing/>
              <w:jc w:val="both"/>
              <w:rPr>
                <w:noProof/>
              </w:rPr>
            </w:pPr>
            <w:r>
              <w:rPr>
                <w:noProof/>
              </w:rPr>
              <w:t>un mécanisme de décaissement du financement subordonné à la réalisation d’indicateurs de performance clés associés aux objectifs stratégiques;</w:t>
            </w:r>
          </w:p>
          <w:p w14:paraId="2B9704C3" w14:textId="77777777" w:rsidR="00A345F4" w:rsidRDefault="005E2D4E">
            <w:pPr>
              <w:pStyle w:val="P68B1DB1-Normal14"/>
              <w:numPr>
                <w:ilvl w:val="0"/>
                <w:numId w:val="61"/>
              </w:numPr>
              <w:spacing w:after="0" w:line="240" w:lineRule="auto"/>
              <w:ind w:left="177" w:hanging="218"/>
              <w:jc w:val="both"/>
              <w:textAlignment w:val="baseline"/>
              <w:rPr>
                <w:noProof/>
              </w:rPr>
            </w:pPr>
            <w:r>
              <w:rPr>
                <w:noProof/>
              </w:rPr>
              <w:t>la révision des normes minimales de qualité, </w:t>
            </w:r>
          </w:p>
          <w:p w14:paraId="5B9E7286" w14:textId="77777777" w:rsidR="00A345F4" w:rsidRDefault="005E2D4E">
            <w:pPr>
              <w:pStyle w:val="P68B1DB1-Normal14"/>
              <w:spacing w:after="0" w:line="240" w:lineRule="auto"/>
              <w:jc w:val="both"/>
              <w:rPr>
                <w:rFonts w:eastAsia="Times New Roman"/>
                <w:noProof/>
              </w:rPr>
            </w:pPr>
            <w:r>
              <w:rPr>
                <w:noProof/>
              </w:rPr>
              <w:t>L’acte législatif est fondé sur une cartographie complète au niveau communautaire (commune/ville/comté) de la population âgée potentiellement dépendante ou à risque (par exemple, pauvreté, santé, non accompagnée, degré élevé de dépendance).</w:t>
            </w:r>
          </w:p>
        </w:tc>
      </w:tr>
    </w:tbl>
    <w:p w14:paraId="508F7CE7" w14:textId="77777777" w:rsidR="00A345F4" w:rsidRDefault="00A345F4">
      <w:pPr>
        <w:spacing w:before="120" w:after="120" w:line="240" w:lineRule="auto"/>
        <w:jc w:val="both"/>
        <w:rPr>
          <w:rFonts w:ascii="Times New Roman" w:hAnsi="Times New Roman" w:cs="Times New Roman"/>
          <w:noProof/>
        </w:rPr>
        <w:sectPr w:rsidR="00A345F4" w:rsidSect="00852517">
          <w:headerReference w:type="even" r:id="rId316"/>
          <w:headerReference w:type="default" r:id="rId317"/>
          <w:footerReference w:type="even" r:id="rId318"/>
          <w:footerReference w:type="default" r:id="rId319"/>
          <w:headerReference w:type="first" r:id="rId320"/>
          <w:footerReference w:type="first" r:id="rId321"/>
          <w:pgSz w:w="16839" w:h="11907" w:orient="landscape"/>
          <w:pgMar w:top="1134" w:right="1134" w:bottom="1134" w:left="1134" w:header="567" w:footer="567" w:gutter="0"/>
          <w:cols w:space="720"/>
          <w:docGrid w:linePitch="360"/>
        </w:sectPr>
      </w:pPr>
    </w:p>
    <w:p w14:paraId="2C74D4A3" w14:textId="77777777" w:rsidR="00A345F4" w:rsidRDefault="005E2D4E">
      <w:pPr>
        <w:pStyle w:val="P68B1DB1-Normal52"/>
        <w:keepNext/>
        <w:numPr>
          <w:ilvl w:val="0"/>
          <w:numId w:val="62"/>
        </w:numPr>
        <w:tabs>
          <w:tab w:val="left" w:pos="850"/>
        </w:tabs>
        <w:spacing w:before="360" w:after="120" w:line="240" w:lineRule="auto"/>
        <w:jc w:val="both"/>
        <w:outlineLvl w:val="0"/>
        <w:rPr>
          <w:bCs/>
          <w:noProof/>
        </w:rPr>
      </w:pPr>
      <w:r>
        <w:rPr>
          <w:noProof/>
        </w:rPr>
        <w:t xml:space="preserve">Élément 14: Bonne gouvernance </w:t>
      </w:r>
    </w:p>
    <w:p w14:paraId="190E3A0C" w14:textId="77777777" w:rsidR="00A345F4" w:rsidRDefault="005E2D4E">
      <w:pPr>
        <w:pStyle w:val="P68B1DB1-Normal41"/>
        <w:spacing w:before="120" w:after="120" w:line="240" w:lineRule="auto"/>
        <w:jc w:val="both"/>
        <w:rPr>
          <w:noProof/>
        </w:rPr>
      </w:pPr>
      <w:r>
        <w:rPr>
          <w:noProof/>
        </w:rPr>
        <w:t xml:space="preserve">Les objectifs du volet sont, au moyen d’un vaste ensemble de réformes et d’investissements, i) d’améliorer la gouvernance grâce à un système de prise de décision prévisible, éclairé et participatif, ii) de garantir la fourniture de services publics de qualité par un réservoir de fonctionnaires professionnels et bien formés qui répondent de manière adéquate aux défis, aux besoins et aux attentes des citoyens et des entreprises. Cela renforcera la résilience et la capacité d’adaptation aux transitions écologique et numérique. </w:t>
      </w:r>
    </w:p>
    <w:p w14:paraId="51D5A71D" w14:textId="77777777" w:rsidR="00A345F4" w:rsidRDefault="005E2D4E">
      <w:pPr>
        <w:pStyle w:val="P68B1DB1-Normal41"/>
        <w:spacing w:before="120" w:after="120" w:line="240" w:lineRule="auto"/>
        <w:jc w:val="both"/>
        <w:rPr>
          <w:noProof/>
        </w:rPr>
      </w:pPr>
      <w:r>
        <w:rPr>
          <w:noProof/>
        </w:rPr>
        <w:t>Les objectifs spécifiques du volet sont les suivants:</w:t>
      </w:r>
    </w:p>
    <w:p w14:paraId="0C78EBB0" w14:textId="77777777" w:rsidR="00A345F4" w:rsidRDefault="005E2D4E">
      <w:pPr>
        <w:pStyle w:val="P68B1DB1-Normal41"/>
        <w:spacing w:before="120" w:after="120" w:line="240" w:lineRule="auto"/>
        <w:jc w:val="both"/>
        <w:rPr>
          <w:noProof/>
        </w:rPr>
      </w:pPr>
      <w:r>
        <w:rPr>
          <w:noProof/>
        </w:rPr>
        <w:t>1. Meilleure coordination, formulation et mise en œuvre des politiques gouvernementales, transparence accrue et confiance dans le secteur public.</w:t>
      </w:r>
    </w:p>
    <w:p w14:paraId="15F684D9" w14:textId="77777777" w:rsidR="00A345F4" w:rsidRDefault="005E2D4E">
      <w:pPr>
        <w:pStyle w:val="P68B1DB1-Normal41"/>
        <w:spacing w:before="120" w:after="120" w:line="240" w:lineRule="auto"/>
        <w:jc w:val="both"/>
        <w:rPr>
          <w:noProof/>
        </w:rPr>
      </w:pPr>
      <w:r>
        <w:rPr>
          <w:noProof/>
        </w:rPr>
        <w:t>2. Gestion efficace des ressources humaines dans le secteur public.</w:t>
      </w:r>
    </w:p>
    <w:p w14:paraId="2D533E5E" w14:textId="77777777" w:rsidR="00A345F4" w:rsidRDefault="005E2D4E">
      <w:pPr>
        <w:pStyle w:val="P68B1DB1-Normal41"/>
        <w:spacing w:before="120" w:after="120" w:line="240" w:lineRule="auto"/>
        <w:jc w:val="both"/>
        <w:rPr>
          <w:noProof/>
        </w:rPr>
      </w:pPr>
      <w:r>
        <w:rPr>
          <w:noProof/>
        </w:rPr>
        <w:t>3. Une politique salariale cohérente dans le secteur public, liée à la performance et durable à long terme (rémunération unitaire équitable).</w:t>
      </w:r>
    </w:p>
    <w:p w14:paraId="6D8C6533" w14:textId="77777777" w:rsidR="00A345F4" w:rsidRDefault="005E2D4E">
      <w:pPr>
        <w:pStyle w:val="P68B1DB1-Normal41"/>
        <w:spacing w:before="120" w:after="120" w:line="240" w:lineRule="auto"/>
        <w:jc w:val="both"/>
        <w:rPr>
          <w:noProof/>
        </w:rPr>
      </w:pPr>
      <w:r>
        <w:rPr>
          <w:noProof/>
        </w:rPr>
        <w:t>4. Renforcer l'indépendance du pouvoir judiciaire, améliorer l'accès à la justice et accroître l'efficacité du système judiciaire.</w:t>
      </w:r>
    </w:p>
    <w:p w14:paraId="3E13598D" w14:textId="77777777" w:rsidR="00A345F4" w:rsidRDefault="005E2D4E">
      <w:pPr>
        <w:pStyle w:val="P68B1DB1-Normal41"/>
        <w:spacing w:before="120" w:after="120" w:line="240" w:lineRule="auto"/>
        <w:jc w:val="both"/>
        <w:rPr>
          <w:noProof/>
        </w:rPr>
      </w:pPr>
      <w:r>
        <w:rPr>
          <w:noProof/>
        </w:rPr>
        <w:t>5. Un système national de passation des marchés plus efficace, notamment en renforçant la capacité administrative des pouvoirs adjudicateurs/entités adjudicatrices, dans un cadre juridique souple et cohérent.</w:t>
      </w:r>
    </w:p>
    <w:p w14:paraId="075F522A" w14:textId="77777777" w:rsidR="00A345F4" w:rsidRDefault="005E2D4E">
      <w:pPr>
        <w:pStyle w:val="P68B1DB1-Normal41"/>
        <w:spacing w:before="120" w:after="120" w:line="240" w:lineRule="auto"/>
        <w:jc w:val="both"/>
        <w:rPr>
          <w:noProof/>
        </w:rPr>
      </w:pPr>
      <w:r>
        <w:rPr>
          <w:noProof/>
        </w:rPr>
        <w:t>6. Améliorer les politiques publiques et les processus décisionnels grâce à la consultation des parties prenantes.</w:t>
      </w:r>
    </w:p>
    <w:p w14:paraId="6EDFC3DC" w14:textId="77777777" w:rsidR="00A345F4" w:rsidRDefault="005E2D4E">
      <w:pPr>
        <w:pStyle w:val="P68B1DB1-Normal41"/>
        <w:spacing w:before="120" w:after="120" w:line="240" w:lineRule="auto"/>
        <w:jc w:val="both"/>
        <w:rPr>
          <w:noProof/>
        </w:rPr>
      </w:pPr>
      <w:r>
        <w:rPr>
          <w:noProof/>
        </w:rPr>
        <w:t xml:space="preserve">7. Renforcement de la résilience des entreprises publiques grâce à l’application des principes de gouvernance d’entreprise. </w:t>
      </w:r>
    </w:p>
    <w:p w14:paraId="1969CE61" w14:textId="77777777" w:rsidR="00A345F4" w:rsidRDefault="005E2D4E">
      <w:pPr>
        <w:pStyle w:val="P68B1DB1-Normal41"/>
        <w:spacing w:before="120" w:after="120" w:line="240" w:lineRule="auto"/>
        <w:jc w:val="both"/>
        <w:rPr>
          <w:noProof/>
        </w:rPr>
      </w:pPr>
      <w:r>
        <w:rPr>
          <w:noProof/>
        </w:rPr>
        <w:t xml:space="preserve">Le volet comprend neuf réformes et deux investissements. </w:t>
      </w:r>
    </w:p>
    <w:p w14:paraId="0B1F11AB" w14:textId="77777777" w:rsidR="00A345F4" w:rsidRDefault="005E2D4E">
      <w:pPr>
        <w:pStyle w:val="P68B1DB1-Normal41"/>
        <w:spacing w:before="120" w:after="120" w:line="240" w:lineRule="auto"/>
        <w:jc w:val="both"/>
        <w:rPr>
          <w:noProof/>
        </w:rPr>
      </w:pPr>
      <w:r>
        <w:rPr>
          <w:noProof/>
        </w:rPr>
        <w:t>Les mesures incluses dans le volet devraient permettre de relever un ensemble de défis mis en évidence par la recommandation par pays visant à accroître l’efficacité des marchés publics et à garantir la mise en œuvre intégrale et durable de la stratégie nationale en matière de marchés publics; améliorer la qualité et la prévisibilité de la prise de décision, notamment par des consultations appropriées des parties prenantes, des analyses d’impact efficaces et des procédures administratives rationalisées et une participation adéquate des partenaires sociaux (recommandation par pays 3, recommandation par pays 4, recommandation par pays 5 2019 et recommandation par pays 4, 2020).</w:t>
      </w:r>
    </w:p>
    <w:p w14:paraId="41F589F7" w14:textId="77777777" w:rsidR="00A345F4" w:rsidRDefault="005E2D4E">
      <w:pPr>
        <w:pStyle w:val="P68B1DB1-Normal41"/>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3BA8F18" w14:textId="77777777" w:rsidR="00A345F4" w:rsidRDefault="00A345F4">
      <w:pPr>
        <w:spacing w:before="120" w:after="120" w:line="240" w:lineRule="auto"/>
        <w:jc w:val="both"/>
        <w:rPr>
          <w:rFonts w:ascii="Times New Roman" w:eastAsia="Times New Roman" w:hAnsi="Times New Roman" w:cs="Times New Roman"/>
          <w:noProof/>
        </w:rPr>
      </w:pPr>
    </w:p>
    <w:p w14:paraId="27102E56" w14:textId="77777777" w:rsidR="00A345F4" w:rsidRDefault="005E2D4E">
      <w:pPr>
        <w:keepNext/>
        <w:spacing w:before="120" w:after="120" w:line="240" w:lineRule="auto"/>
        <w:jc w:val="both"/>
        <w:outlineLvl w:val="1"/>
        <w:rPr>
          <w:rFonts w:ascii="Times New Roman" w:eastAsia="Times New Roman" w:hAnsi="Times New Roman" w:cs="Times New Roman"/>
          <w:b/>
          <w:bCs/>
          <w:noProof/>
        </w:rPr>
      </w:pPr>
      <w:r>
        <w:rPr>
          <w:rFonts w:ascii="Times New Roman" w:eastAsia="Times New Roman" w:hAnsi="Times New Roman" w:cs="Times New Roman"/>
          <w:b/>
          <w:noProof/>
        </w:rPr>
        <w:t xml:space="preserve">N.1. </w:t>
      </w:r>
      <w:r>
        <w:rPr>
          <w:rFonts w:ascii="Times New Roman" w:hAnsi="Times New Roman" w:cs="Times New Roman"/>
          <w:noProof/>
        </w:rPr>
        <w:t xml:space="preserve"> </w:t>
      </w:r>
      <w:r>
        <w:rPr>
          <w:rFonts w:ascii="Times New Roman" w:eastAsia="Times New Roman" w:hAnsi="Times New Roman" w:cs="Times New Roman"/>
          <w:b/>
          <w:noProof/>
        </w:rPr>
        <w:t>Description des réformes et des investissements pour le soutien financier non remboursable</w:t>
      </w:r>
    </w:p>
    <w:p w14:paraId="32CE6FEF" w14:textId="77777777" w:rsidR="00A345F4" w:rsidRDefault="005E2D4E">
      <w:pPr>
        <w:pStyle w:val="P68B1DB1-Normal24"/>
        <w:spacing w:before="240" w:after="240"/>
        <w:jc w:val="both"/>
        <w:rPr>
          <w:noProof/>
        </w:rPr>
      </w:pPr>
      <w:r>
        <w:rPr>
          <w:noProof/>
        </w:rPr>
        <w:t>Réforme 1. Améliorer la qualité de la prise de décisions gouvernementales</w:t>
      </w:r>
    </w:p>
    <w:p w14:paraId="34A903BC" w14:textId="77777777" w:rsidR="00A345F4" w:rsidRDefault="005E2D4E">
      <w:pPr>
        <w:pStyle w:val="P68B1DB1-Normal41"/>
        <w:keepNext/>
        <w:spacing w:before="120" w:after="120" w:line="240" w:lineRule="auto"/>
        <w:jc w:val="both"/>
        <w:rPr>
          <w:noProof/>
        </w:rPr>
      </w:pPr>
      <w:r>
        <w:rPr>
          <w:noProof/>
        </w:rPr>
        <w:t>L’objectif de cette réforme est d’améliorer la qualité et la transparence de l’élaboration des politiques publiques et de la planification législative à tous les niveaux de l’administration.</w:t>
      </w:r>
    </w:p>
    <w:p w14:paraId="530109F4" w14:textId="77777777" w:rsidR="00A345F4" w:rsidRDefault="005E2D4E">
      <w:pPr>
        <w:pStyle w:val="P68B1DB1-Normal41"/>
        <w:keepNext/>
        <w:spacing w:before="120" w:after="120" w:line="240" w:lineRule="auto"/>
        <w:jc w:val="both"/>
        <w:rPr>
          <w:noProof/>
        </w:rPr>
      </w:pPr>
      <w:r>
        <w:rPr>
          <w:noProof/>
        </w:rPr>
        <w:t>Cette mesure consiste en l’adoption de méthodologies, de systèmes et d’outils juridiques à l’appui de la planification stratégique, de l’analyse d’impact réglementaire, de la consultation publique, de la transparence et de l’utilisation de la budgétisation des programmes.</w:t>
      </w:r>
    </w:p>
    <w:p w14:paraId="69E7BA7E" w14:textId="77777777" w:rsidR="00A345F4" w:rsidRDefault="00A345F4">
      <w:pPr>
        <w:pStyle w:val="Standard"/>
        <w:spacing w:before="240"/>
        <w:jc w:val="both"/>
        <w:rPr>
          <w:rFonts w:ascii="Times New Roman" w:eastAsia="Times New Roman" w:hAnsi="Times New Roman" w:cs="Times New Roman"/>
          <w:noProof/>
          <w:u w:val="single"/>
        </w:rPr>
      </w:pPr>
    </w:p>
    <w:p w14:paraId="79EA6057" w14:textId="77777777" w:rsidR="00A345F4" w:rsidRDefault="005E2D4E">
      <w:pPr>
        <w:pStyle w:val="P68B1DB1-Standard56"/>
        <w:spacing w:before="240"/>
        <w:jc w:val="both"/>
        <w:rPr>
          <w:noProof/>
        </w:rPr>
      </w:pPr>
      <w:r>
        <w:rPr>
          <w:noProof/>
        </w:rPr>
        <w:t>Réforme 2. Accroître la gouvernance stratégique pour les politiques en matière de climat, de développement durable et d'environnement</w:t>
      </w:r>
    </w:p>
    <w:p w14:paraId="2F7EF160" w14:textId="77777777" w:rsidR="00A345F4" w:rsidRDefault="005E2D4E">
      <w:pPr>
        <w:pStyle w:val="P68B1DB1-Normal41"/>
        <w:spacing w:before="240" w:after="120"/>
        <w:jc w:val="both"/>
        <w:rPr>
          <w:noProof/>
        </w:rPr>
      </w:pPr>
      <w:r>
        <w:rPr>
          <w:noProof/>
        </w:rPr>
        <w:t>L’objectif de cette réforme est d’améliorer l’action pour le climat, le développement durable et les politiques environnementales à tous les niveaux de l’administration publique.</w:t>
      </w:r>
    </w:p>
    <w:p w14:paraId="33FECECF" w14:textId="77777777" w:rsidR="00A345F4" w:rsidRDefault="005E2D4E">
      <w:pPr>
        <w:pStyle w:val="P68B1DB1-Normal41"/>
        <w:spacing w:after="240"/>
        <w:jc w:val="both"/>
        <w:rPr>
          <w:noProof/>
        </w:rPr>
      </w:pPr>
      <w:r>
        <w:rPr>
          <w:noProof/>
        </w:rPr>
        <w:t>Cette mesure consiste en la création d’un mécanisme interinstitutionnel de suivi et de hiérarchisation des initiatives en matière de climat, d’accès aux outils numériques et de renforcement des capacités en matière d’élaboration des politiques de développement durable.</w:t>
      </w:r>
    </w:p>
    <w:p w14:paraId="5150BA5B" w14:textId="77777777" w:rsidR="00A345F4" w:rsidRDefault="005E2D4E">
      <w:pPr>
        <w:pStyle w:val="P68B1DB1-Standard56"/>
        <w:spacing w:before="240"/>
        <w:jc w:val="both"/>
        <w:rPr>
          <w:noProof/>
        </w:rPr>
      </w:pPr>
      <w:r>
        <w:rPr>
          <w:noProof/>
        </w:rPr>
        <w:t>Réforme 3. Moderniser la gestion des ressources humaines dans le secteur public</w:t>
      </w:r>
    </w:p>
    <w:p w14:paraId="210A2920" w14:textId="77777777" w:rsidR="00A345F4" w:rsidRDefault="005E2D4E">
      <w:pPr>
        <w:pStyle w:val="P68B1DB1-Normal41"/>
        <w:spacing w:before="240" w:after="120"/>
        <w:jc w:val="both"/>
        <w:rPr>
          <w:noProof/>
        </w:rPr>
      </w:pPr>
      <w:r>
        <w:rPr>
          <w:noProof/>
        </w:rPr>
        <w:t>L’objectif de cette réforme est d’accroître le recrutement transparent et fondé sur le mérite dans la fonction publique.</w:t>
      </w:r>
    </w:p>
    <w:p w14:paraId="1DD871F7" w14:textId="77777777" w:rsidR="00A345F4" w:rsidRDefault="005E2D4E">
      <w:pPr>
        <w:pStyle w:val="P68B1DB1-Normal41"/>
        <w:spacing w:after="0"/>
        <w:jc w:val="both"/>
        <w:rPr>
          <w:noProof/>
        </w:rPr>
      </w:pPr>
      <w:r>
        <w:rPr>
          <w:noProof/>
        </w:rPr>
        <w:t>Cette mesure consiste à adopter des actes juridiques et des outils procéduraux pour l’évolution de carrière et la gestion du personnel contractuel, à organiser des concours nationaux de recrutement et à appliquer des cadres de ressources humaines numérisés et fondés sur les compétences.</w:t>
      </w:r>
    </w:p>
    <w:p w14:paraId="1398D332" w14:textId="77777777" w:rsidR="00A345F4" w:rsidRDefault="005E2D4E">
      <w:pPr>
        <w:pStyle w:val="P68B1DB1-Normal54"/>
        <w:spacing w:before="240" w:after="240"/>
        <w:jc w:val="both"/>
        <w:rPr>
          <w:noProof/>
        </w:rPr>
      </w:pPr>
      <w:r>
        <w:rPr>
          <w:noProof/>
        </w:rPr>
        <w:t>Réforme 4. Développement d'un système de rémunération unitaire équitable dans le secteur public</w:t>
      </w:r>
    </w:p>
    <w:p w14:paraId="68EADD0F" w14:textId="77777777" w:rsidR="00A345F4" w:rsidRDefault="005E2D4E">
      <w:pPr>
        <w:pStyle w:val="P68B1DB1-Normal41"/>
        <w:spacing w:after="120"/>
        <w:jc w:val="both"/>
        <w:rPr>
          <w:noProof/>
        </w:rPr>
      </w:pPr>
      <w:r>
        <w:rPr>
          <w:noProof/>
        </w:rPr>
        <w:t>L’objectif de cette réforme est de garantir la viabilité budgétaire, l’équité et la transparence de la rémunération du secteur public.</w:t>
      </w:r>
    </w:p>
    <w:p w14:paraId="152F759F" w14:textId="77777777" w:rsidR="00A345F4" w:rsidRDefault="005E2D4E">
      <w:pPr>
        <w:pStyle w:val="P68B1DB1-Normal41"/>
        <w:spacing w:after="180"/>
        <w:jc w:val="both"/>
        <w:rPr>
          <w:noProof/>
        </w:rPr>
      </w:pPr>
      <w:r>
        <w:rPr>
          <w:noProof/>
        </w:rPr>
        <w:t>Cette mesure consiste en l’adoption d’un nouveau cadre juridique pour un système salarial public unifié et axé sur les performances.</w:t>
      </w:r>
    </w:p>
    <w:p w14:paraId="58C02130" w14:textId="77777777" w:rsidR="00A345F4" w:rsidRDefault="005E2D4E">
      <w:pPr>
        <w:pStyle w:val="P68B1DB1-Normal54"/>
        <w:spacing w:before="240" w:after="240"/>
        <w:jc w:val="both"/>
        <w:rPr>
          <w:noProof/>
        </w:rPr>
      </w:pPr>
      <w:r>
        <w:rPr>
          <w:noProof/>
        </w:rPr>
        <w:t>Réforme 5. Garantir l’indépendance du pouvoir judiciaire, améliorer sa qualité et son efficacité</w:t>
      </w:r>
    </w:p>
    <w:p w14:paraId="5DC612C4" w14:textId="77777777" w:rsidR="00A345F4" w:rsidRDefault="005E2D4E">
      <w:pPr>
        <w:pStyle w:val="P68B1DB1-Normal41"/>
        <w:spacing w:after="120" w:line="240" w:lineRule="auto"/>
        <w:jc w:val="both"/>
        <w:rPr>
          <w:noProof/>
        </w:rPr>
      </w:pPr>
      <w:r>
        <w:rPr>
          <w:noProof/>
        </w:rPr>
        <w:t>L'objectif de la réforme est de rendre le fonctionnement des institutions judiciaires plus efficace.</w:t>
      </w:r>
    </w:p>
    <w:p w14:paraId="12CACB5D" w14:textId="77777777" w:rsidR="00A345F4" w:rsidRDefault="005E2D4E">
      <w:pPr>
        <w:pStyle w:val="P68B1DB1-Normal41"/>
        <w:spacing w:before="120" w:after="120" w:line="240" w:lineRule="auto"/>
        <w:jc w:val="both"/>
        <w:rPr>
          <w:noProof/>
        </w:rPr>
      </w:pPr>
      <w:r>
        <w:rPr>
          <w:noProof/>
        </w:rPr>
        <w:t>La mesure consiste en l’adoption d’actes juridiques portant sur l’indépendance du pouvoir judiciaire, ainsi que d’actes juridiques modifiant les codes pénaux sur la base des décisions de la Cour constitutionnelle dans le domaine du code pénal et du code de procédure pénale.</w:t>
      </w:r>
    </w:p>
    <w:p w14:paraId="08E86051" w14:textId="77777777" w:rsidR="00A345F4" w:rsidRDefault="005E2D4E">
      <w:pPr>
        <w:pStyle w:val="P68B1DB1-Normal54"/>
        <w:spacing w:before="240" w:after="240"/>
        <w:jc w:val="both"/>
        <w:rPr>
          <w:noProof/>
        </w:rPr>
      </w:pPr>
      <w:r>
        <w:rPr>
          <w:noProof/>
        </w:rPr>
        <w:t>Réforme 6. Intensifier la lutte contre la corruption</w:t>
      </w:r>
    </w:p>
    <w:p w14:paraId="55C3B960" w14:textId="77777777" w:rsidR="00A345F4" w:rsidRDefault="005E2D4E">
      <w:pPr>
        <w:pStyle w:val="P68B1DB1-Normal41"/>
        <w:tabs>
          <w:tab w:val="left" w:pos="5456"/>
        </w:tabs>
        <w:spacing w:before="120" w:after="120" w:line="240" w:lineRule="auto"/>
        <w:jc w:val="both"/>
        <w:rPr>
          <w:noProof/>
        </w:rPr>
      </w:pPr>
      <w:r>
        <w:rPr>
          <w:noProof/>
        </w:rPr>
        <w:t>L'objectif de la réforme est d'intensifier la lutte contre la corruption, à travers sa prévention et sa répression.</w:t>
      </w:r>
    </w:p>
    <w:p w14:paraId="50AB6952" w14:textId="77777777" w:rsidR="00A345F4" w:rsidRDefault="005E2D4E">
      <w:pPr>
        <w:pStyle w:val="P68B1DB1-Normal41"/>
        <w:spacing w:before="120" w:after="120" w:line="240" w:lineRule="auto"/>
        <w:jc w:val="both"/>
        <w:rPr>
          <w:noProof/>
        </w:rPr>
      </w:pPr>
      <w:r>
        <w:rPr>
          <w:noProof/>
        </w:rPr>
        <w:t>La mesure consiste en l’adoption d’actes juridiques visant à réviser le cadre stratégique de lutte contre la corruption, à transposer la directive sur la protection des lanceurs d’alerte et à augmenter le taux d’occupation des postes de procureur de la direction nationale de lutte contre la corruption.</w:t>
      </w:r>
    </w:p>
    <w:p w14:paraId="5AF459A3" w14:textId="77777777" w:rsidR="00A345F4" w:rsidRDefault="005E2D4E">
      <w:pPr>
        <w:pStyle w:val="P68B1DB1-Normal54"/>
        <w:spacing w:before="240" w:after="240"/>
        <w:jc w:val="both"/>
        <w:rPr>
          <w:noProof/>
        </w:rPr>
      </w:pPr>
      <w:r>
        <w:rPr>
          <w:noProof/>
        </w:rPr>
        <w:t>Réforme 7. Mise à jour du cadre juridique relatif à l'intégrité de la fonction publique</w:t>
      </w:r>
    </w:p>
    <w:p w14:paraId="6B1F9CCD" w14:textId="77777777" w:rsidR="00A345F4" w:rsidRDefault="005E2D4E">
      <w:pPr>
        <w:pStyle w:val="P68B1DB1-Normal41"/>
        <w:spacing w:after="120" w:line="240" w:lineRule="auto"/>
        <w:jc w:val="both"/>
        <w:rPr>
          <w:noProof/>
        </w:rPr>
      </w:pPr>
      <w:r>
        <w:rPr>
          <w:noProof/>
        </w:rPr>
        <w:t>L'objectif de cette réforme est d'accroître l'intégrité de la fonction publique.</w:t>
      </w:r>
    </w:p>
    <w:p w14:paraId="36CF5577" w14:textId="77777777" w:rsidR="00A345F4" w:rsidRDefault="005E2D4E">
      <w:pPr>
        <w:pStyle w:val="P68B1DB1-Normal41"/>
        <w:spacing w:before="120" w:after="240" w:line="240" w:lineRule="auto"/>
        <w:jc w:val="both"/>
        <w:rPr>
          <w:noProof/>
        </w:rPr>
      </w:pPr>
      <w:r>
        <w:rPr>
          <w:noProof/>
        </w:rPr>
        <w:t>Cette mesure consiste à mettre à jour les actes juridiques relatifs à l'intégrité des membres de la fonction publique.</w:t>
      </w:r>
    </w:p>
    <w:p w14:paraId="4B0E8CC6" w14:textId="77777777" w:rsidR="00A345F4" w:rsidRDefault="005E2D4E">
      <w:pPr>
        <w:pStyle w:val="P68B1DB1-Normal54"/>
        <w:spacing w:before="240" w:after="240"/>
        <w:jc w:val="both"/>
        <w:rPr>
          <w:noProof/>
        </w:rPr>
      </w:pPr>
      <w:r>
        <w:rPr>
          <w:noProof/>
        </w:rPr>
        <w:t>Réforme 8. Modernisation et rationalisation du système national de passation des marchés publics</w:t>
      </w:r>
    </w:p>
    <w:p w14:paraId="083B59E8" w14:textId="77777777" w:rsidR="00A345F4" w:rsidRDefault="005E2D4E">
      <w:pPr>
        <w:pStyle w:val="P68B1DB1-Normal41"/>
        <w:spacing w:after="120" w:line="240" w:lineRule="auto"/>
        <w:jc w:val="both"/>
        <w:rPr>
          <w:noProof/>
        </w:rPr>
      </w:pPr>
      <w:r>
        <w:rPr>
          <w:noProof/>
        </w:rPr>
        <w:t>L’objectif de cette réforme est d’accroître l’efficacité, la transparence et la fonctionnalité du système de marchés publics et de soutenir l’application de politiques stratégiques en matière de marchés publics.</w:t>
      </w:r>
    </w:p>
    <w:p w14:paraId="67F4C1D1" w14:textId="77777777" w:rsidR="00A345F4" w:rsidRDefault="005E2D4E">
      <w:pPr>
        <w:pStyle w:val="P68B1DB1-Normal41"/>
        <w:spacing w:after="240" w:line="240" w:lineRule="auto"/>
        <w:jc w:val="both"/>
        <w:rPr>
          <w:noProof/>
        </w:rPr>
      </w:pPr>
      <w:r>
        <w:rPr>
          <w:noProof/>
        </w:rPr>
        <w:t>Cette mesure consiste à mettre à jour le cadre législatif, à accroître les capacités institutionnelles, à ajouter de nouvelles fonctionnalités aux outils numériques et à accroître l’interopérabilité des procédures de passation de marchés publics.</w:t>
      </w:r>
    </w:p>
    <w:p w14:paraId="33BC5308" w14:textId="77777777" w:rsidR="00A345F4" w:rsidRDefault="005E2D4E">
      <w:pPr>
        <w:pStyle w:val="P68B1DB1-Normal54"/>
        <w:spacing w:before="240" w:after="240"/>
        <w:jc w:val="both"/>
        <w:rPr>
          <w:noProof/>
        </w:rPr>
      </w:pPr>
      <w:r>
        <w:rPr>
          <w:noProof/>
        </w:rPr>
        <w:t>Réforme 9. Améliorer le cadre procédural pour la mise en œuvre des principes de gouvernance d'entreprise dans les entreprises publiques</w:t>
      </w:r>
    </w:p>
    <w:p w14:paraId="5ACA2728" w14:textId="77777777" w:rsidR="00A345F4" w:rsidRDefault="005E2D4E">
      <w:pPr>
        <w:pStyle w:val="P68B1DB1-Normal41"/>
        <w:spacing w:after="120" w:line="240" w:lineRule="auto"/>
        <w:jc w:val="both"/>
        <w:rPr>
          <w:noProof/>
        </w:rPr>
      </w:pPr>
      <w:r>
        <w:rPr>
          <w:noProof/>
        </w:rPr>
        <w:t xml:space="preserve">L'objectif de cette réforme est d'améliorer la gouvernance des entreprises publiques en Roumanie en appliquant les normes de l'OCDE. </w:t>
      </w:r>
    </w:p>
    <w:p w14:paraId="184D0DCA" w14:textId="77777777" w:rsidR="00A345F4" w:rsidRDefault="005E2D4E">
      <w:pPr>
        <w:pStyle w:val="P68B1DB1-Normal41"/>
        <w:spacing w:after="120" w:line="240" w:lineRule="auto"/>
        <w:jc w:val="both"/>
        <w:rPr>
          <w:noProof/>
        </w:rPr>
      </w:pPr>
      <w:r>
        <w:rPr>
          <w:noProof/>
        </w:rPr>
        <w:t xml:space="preserve">La réforme consiste à modifier la législation applicable aux entreprises publiques. </w:t>
      </w:r>
    </w:p>
    <w:p w14:paraId="5F16B335" w14:textId="77777777" w:rsidR="00A345F4" w:rsidRDefault="005E2D4E">
      <w:pPr>
        <w:pStyle w:val="P68B1DB1-Normal41"/>
        <w:spacing w:after="240"/>
        <w:jc w:val="both"/>
        <w:rPr>
          <w:noProof/>
        </w:rPr>
      </w:pPr>
      <w:r>
        <w:rPr>
          <w:noProof/>
        </w:rPr>
        <w:t xml:space="preserve">Conformément à l’article 7, paragraphe 2, du règlement sur la reprise et la résilience, la Roumanie a demandé un soutien technique au moyen de l’instrument d’assistance technique pour la mise en œuvre des réformes visant à améliorer le cadre de gouvernance d’entreprise dans les entreprises publiques. </w:t>
      </w:r>
    </w:p>
    <w:p w14:paraId="04E5D445" w14:textId="77777777" w:rsidR="00A345F4" w:rsidRDefault="005E2D4E">
      <w:pPr>
        <w:pStyle w:val="P68B1DB1-Normal54"/>
        <w:spacing w:after="240"/>
        <w:jc w:val="both"/>
        <w:rPr>
          <w:noProof/>
        </w:rPr>
      </w:pPr>
      <w:r>
        <w:rPr>
          <w:noProof/>
        </w:rPr>
        <w:t xml:space="preserve">Investissement 4. Accroître la capacité des organisations de la société civile à favoriser la citoyenneté active, à participer de manière professionnelle à la planification et à la mise en œuvre des politiques publiques en matière de droits sociaux abordées dans le plan national pour la reprise et la résilience et à suivre les réformes connexes </w:t>
      </w:r>
    </w:p>
    <w:p w14:paraId="000D10A5" w14:textId="77777777" w:rsidR="00A345F4" w:rsidRDefault="005E2D4E">
      <w:pPr>
        <w:pStyle w:val="P68B1DB1-Standard57"/>
        <w:spacing w:before="240" w:after="120"/>
        <w:jc w:val="both"/>
        <w:rPr>
          <w:noProof/>
        </w:rPr>
      </w:pPr>
      <w:r>
        <w:rPr>
          <w:noProof/>
        </w:rPr>
        <w:t>L’objectif de cette mesure est d’accroître la participation à l’élaboration des politiques en matière de droits sociaux.</w:t>
      </w:r>
    </w:p>
    <w:p w14:paraId="1044388D" w14:textId="31D98EBD" w:rsidR="00A345F4" w:rsidRDefault="005E2D4E">
      <w:pPr>
        <w:pStyle w:val="P68B1DB1-Standard57"/>
        <w:jc w:val="both"/>
        <w:rPr>
          <w:noProof/>
        </w:rPr>
      </w:pPr>
      <w:r>
        <w:rPr>
          <w:noProof/>
        </w:rPr>
        <w:t xml:space="preserve">La mesure consiste en l’adoption d’actes juridiques visant à remédier aux lacunes du processus de dialogue social et à garantir une consultation significative des parties prenantes concernées. </w:t>
      </w:r>
    </w:p>
    <w:p w14:paraId="243A2BF4" w14:textId="77777777" w:rsidR="00A345F4" w:rsidRDefault="005E2D4E">
      <w:pPr>
        <w:pStyle w:val="P68B1DB1-Normal54"/>
        <w:spacing w:before="240" w:after="240"/>
        <w:jc w:val="both"/>
        <w:rPr>
          <w:noProof/>
        </w:rPr>
      </w:pPr>
      <w:r>
        <w:rPr>
          <w:noProof/>
        </w:rPr>
        <w:t xml:space="preserve">Investissement 5. Suivi et mise en œuvre du plan </w:t>
      </w:r>
    </w:p>
    <w:p w14:paraId="66B4EFA5" w14:textId="77777777" w:rsidR="00A345F4" w:rsidRDefault="005E2D4E">
      <w:pPr>
        <w:pStyle w:val="P68B1DB1-Normal41"/>
        <w:spacing w:before="120" w:after="120" w:line="240" w:lineRule="auto"/>
        <w:jc w:val="both"/>
        <w:rPr>
          <w:noProof/>
        </w:rPr>
      </w:pPr>
      <w:r>
        <w:rPr>
          <w:noProof/>
        </w:rPr>
        <w:t>L’objectif de cet investissement est de mettre en place et de mettre à disposition le système informatique intégré, qui fait partie de l’informatique en nuage du gouvernement, qui doit être connecté à d’autres systèmes nationaux et de l’UE utilisés aux fins de la mise en œuvre du plan pour la reprise et la résilience.</w:t>
      </w:r>
    </w:p>
    <w:p w14:paraId="465A89EC" w14:textId="77777777" w:rsidR="00A345F4" w:rsidRDefault="005E2D4E">
      <w:pPr>
        <w:pStyle w:val="P68B1DB1-Normal41"/>
        <w:spacing w:before="120" w:after="120" w:line="240" w:lineRule="auto"/>
        <w:jc w:val="both"/>
        <w:rPr>
          <w:noProof/>
        </w:rPr>
      </w:pPr>
      <w:r>
        <w:rPr>
          <w:noProof/>
        </w:rPr>
        <w:t>La mesure se compose de deux phases: la première phase concerne la mise à disposition du système informatique intégré et la seconde porte sur son interconnexion avec d’autres systèmes de gestion et de contrôle des fonds européens et du budget national, ainsi que sur l’intégration dans l’informatique en nuage des administrations publiques.</w:t>
      </w:r>
    </w:p>
    <w:p w14:paraId="1A69FBAD" w14:textId="77777777" w:rsidR="00A345F4" w:rsidRDefault="00A345F4">
      <w:pPr>
        <w:spacing w:before="120" w:after="120" w:line="240" w:lineRule="auto"/>
        <w:jc w:val="both"/>
        <w:rPr>
          <w:rFonts w:ascii="Times New Roman" w:eastAsia="Times New Roman" w:hAnsi="Times New Roman" w:cs="Times New Roman"/>
          <w:noProof/>
        </w:rPr>
        <w:sectPr w:rsidR="00A345F4" w:rsidSect="00550A54">
          <w:headerReference w:type="even" r:id="rId322"/>
          <w:headerReference w:type="default" r:id="rId323"/>
          <w:footerReference w:type="even" r:id="rId324"/>
          <w:footerReference w:type="default" r:id="rId325"/>
          <w:headerReference w:type="first" r:id="rId326"/>
          <w:footerReference w:type="first" r:id="rId327"/>
          <w:pgSz w:w="11907" w:h="16839"/>
          <w:pgMar w:top="1134" w:right="1134" w:bottom="1134" w:left="1134" w:header="567" w:footer="567" w:gutter="0"/>
          <w:cols w:space="708"/>
          <w:docGrid w:linePitch="360"/>
        </w:sectPr>
      </w:pPr>
    </w:p>
    <w:p w14:paraId="6EE8E6A0"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N.2. </w:t>
      </w:r>
      <w:r>
        <w:rPr>
          <w:noProof/>
        </w:rPr>
        <w:t xml:space="preserve"> </w:t>
      </w:r>
      <w:r>
        <w:rPr>
          <w:b/>
          <w:noProof/>
        </w:rPr>
        <w:t>Étapes, cibles, indicateurs et calendrier pour le suivi et la mise en œuvre du soutien financier non remboursable</w:t>
      </w:r>
    </w:p>
    <w:tbl>
      <w:tblPr>
        <w:tblpPr w:leftFromText="180" w:rightFromText="180" w:vertAnchor="text" w:tblpXSpec="center" w:tblpY="1"/>
        <w:tblOverlap w:val="never"/>
        <w:tblW w:w="15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166"/>
        <w:gridCol w:w="1543"/>
        <w:gridCol w:w="1403"/>
        <w:gridCol w:w="1547"/>
        <w:gridCol w:w="1344"/>
        <w:gridCol w:w="1109"/>
        <w:gridCol w:w="976"/>
        <w:gridCol w:w="1134"/>
        <w:gridCol w:w="851"/>
        <w:gridCol w:w="2981"/>
      </w:tblGrid>
      <w:tr w:rsidR="00A345F4" w14:paraId="5656A195" w14:textId="77777777" w:rsidTr="000D606E">
        <w:trPr>
          <w:trHeight w:val="713"/>
          <w:tblHeader/>
        </w:trPr>
        <w:tc>
          <w:tcPr>
            <w:tcW w:w="822" w:type="dxa"/>
            <w:vMerge w:val="restart"/>
            <w:shd w:val="clear" w:color="auto" w:fill="BDD7EE"/>
            <w:vAlign w:val="center"/>
            <w:hideMark/>
          </w:tcPr>
          <w:p w14:paraId="77E46C9A" w14:textId="74449560" w:rsidR="00A345F4" w:rsidRDefault="005E2D4E">
            <w:pPr>
              <w:pStyle w:val="P68B1DB1-Normal13"/>
              <w:spacing w:after="0" w:line="240" w:lineRule="auto"/>
              <w:jc w:val="center"/>
              <w:rPr>
                <w:rFonts w:eastAsia="Times New Roman"/>
                <w:noProof/>
              </w:rPr>
            </w:pPr>
            <w:r>
              <w:rPr>
                <w:noProof/>
              </w:rPr>
              <w:t>Seq. Num.</w:t>
            </w:r>
          </w:p>
        </w:tc>
        <w:tc>
          <w:tcPr>
            <w:tcW w:w="2166" w:type="dxa"/>
            <w:vMerge w:val="restart"/>
            <w:shd w:val="clear" w:color="auto" w:fill="BDD7EE"/>
            <w:vAlign w:val="center"/>
            <w:hideMark/>
          </w:tcPr>
          <w:p w14:paraId="1127401E"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543" w:type="dxa"/>
            <w:vMerge w:val="restart"/>
            <w:shd w:val="clear" w:color="auto" w:fill="BDD7EE"/>
            <w:vAlign w:val="center"/>
            <w:hideMark/>
          </w:tcPr>
          <w:p w14:paraId="29D36F3B" w14:textId="3A3E82D5" w:rsidR="00A345F4" w:rsidRDefault="005E2D4E">
            <w:pPr>
              <w:pStyle w:val="P68B1DB1-Normal13"/>
              <w:spacing w:after="0" w:line="240" w:lineRule="auto"/>
              <w:jc w:val="center"/>
              <w:rPr>
                <w:rFonts w:eastAsia="Times New Roman"/>
                <w:noProof/>
              </w:rPr>
            </w:pPr>
            <w:r>
              <w:rPr>
                <w:noProof/>
              </w:rPr>
              <w:t>Étape/objectif</w:t>
            </w:r>
          </w:p>
        </w:tc>
        <w:tc>
          <w:tcPr>
            <w:tcW w:w="1403" w:type="dxa"/>
            <w:vMerge w:val="restart"/>
            <w:shd w:val="clear" w:color="auto" w:fill="BDD7EE"/>
            <w:vAlign w:val="center"/>
            <w:hideMark/>
          </w:tcPr>
          <w:p w14:paraId="2F5EE3FB" w14:textId="77777777" w:rsidR="00A345F4" w:rsidRDefault="005E2D4E">
            <w:pPr>
              <w:pStyle w:val="P68B1DB1-Normal13"/>
              <w:spacing w:after="0" w:line="240" w:lineRule="auto"/>
              <w:jc w:val="center"/>
              <w:rPr>
                <w:rFonts w:eastAsia="Times New Roman"/>
                <w:noProof/>
              </w:rPr>
            </w:pPr>
            <w:r>
              <w:rPr>
                <w:noProof/>
              </w:rPr>
              <w:t>Nom</w:t>
            </w:r>
          </w:p>
        </w:tc>
        <w:tc>
          <w:tcPr>
            <w:tcW w:w="1547" w:type="dxa"/>
            <w:vMerge w:val="restart"/>
            <w:shd w:val="clear" w:color="auto" w:fill="BDD7EE"/>
            <w:vAlign w:val="center"/>
            <w:hideMark/>
          </w:tcPr>
          <w:p w14:paraId="13444EF6" w14:textId="4935FE0B" w:rsidR="00A345F4" w:rsidRDefault="005E2D4E">
            <w:pPr>
              <w:pStyle w:val="P68B1DB1-Normal14"/>
              <w:spacing w:after="0" w:line="240" w:lineRule="auto"/>
              <w:jc w:val="center"/>
              <w:rPr>
                <w:rFonts w:eastAsia="Times New Roman"/>
                <w:b/>
                <w:noProof/>
              </w:rPr>
            </w:pPr>
            <w:r>
              <w:rPr>
                <w:b/>
                <w:noProof/>
              </w:rPr>
              <w:t>Indicateurs qualitatifs</w:t>
            </w:r>
            <w:r>
              <w:rPr>
                <w:noProof/>
              </w:rPr>
              <w:t xml:space="preserve"> </w:t>
            </w:r>
            <w:r>
              <w:rPr>
                <w:noProof/>
              </w:rPr>
              <w:br/>
            </w:r>
            <w:r>
              <w:rPr>
                <w:b/>
                <w:noProof/>
              </w:rPr>
              <w:t>(pour les jalons)</w:t>
            </w:r>
          </w:p>
        </w:tc>
        <w:tc>
          <w:tcPr>
            <w:tcW w:w="3429" w:type="dxa"/>
            <w:gridSpan w:val="3"/>
            <w:shd w:val="clear" w:color="auto" w:fill="BDD7EE"/>
            <w:vAlign w:val="center"/>
            <w:hideMark/>
          </w:tcPr>
          <w:p w14:paraId="1A945DD0" w14:textId="375FBE58"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985" w:type="dxa"/>
            <w:gridSpan w:val="2"/>
            <w:shd w:val="clear" w:color="auto" w:fill="BDD7EE"/>
            <w:vAlign w:val="center"/>
            <w:hideMark/>
          </w:tcPr>
          <w:p w14:paraId="4801D083" w14:textId="6F160158" w:rsidR="00A345F4" w:rsidRDefault="005E2D4E">
            <w:pPr>
              <w:pStyle w:val="P68B1DB1-Normal13"/>
              <w:spacing w:after="0" w:line="240" w:lineRule="auto"/>
              <w:jc w:val="center"/>
              <w:rPr>
                <w:rFonts w:eastAsia="Times New Roman"/>
                <w:noProof/>
              </w:rPr>
            </w:pPr>
            <w:r>
              <w:rPr>
                <w:noProof/>
              </w:rPr>
              <w:t xml:space="preserve">Calendrier indicatif d'achèvement </w:t>
            </w:r>
          </w:p>
        </w:tc>
        <w:tc>
          <w:tcPr>
            <w:tcW w:w="2981" w:type="dxa"/>
            <w:vMerge w:val="restart"/>
            <w:shd w:val="clear" w:color="auto" w:fill="BDD7EE"/>
            <w:vAlign w:val="center"/>
            <w:hideMark/>
          </w:tcPr>
          <w:p w14:paraId="08A8FF4B"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78C8B863" w14:textId="77777777" w:rsidTr="000D606E">
        <w:trPr>
          <w:trHeight w:val="593"/>
          <w:tblHeader/>
        </w:trPr>
        <w:tc>
          <w:tcPr>
            <w:tcW w:w="822" w:type="dxa"/>
            <w:vMerge/>
            <w:vAlign w:val="center"/>
          </w:tcPr>
          <w:p w14:paraId="5481B9F4"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2166" w:type="dxa"/>
            <w:vMerge/>
            <w:vAlign w:val="center"/>
          </w:tcPr>
          <w:p w14:paraId="0FC7A3E7"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543" w:type="dxa"/>
            <w:vMerge/>
            <w:vAlign w:val="center"/>
          </w:tcPr>
          <w:p w14:paraId="78E79BB9"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403" w:type="dxa"/>
            <w:vMerge/>
            <w:vAlign w:val="center"/>
          </w:tcPr>
          <w:p w14:paraId="684DFAFF"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547" w:type="dxa"/>
            <w:vMerge/>
            <w:vAlign w:val="center"/>
          </w:tcPr>
          <w:p w14:paraId="12A2ECF8"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344" w:type="dxa"/>
            <w:shd w:val="clear" w:color="auto" w:fill="BDD7EE"/>
            <w:vAlign w:val="center"/>
          </w:tcPr>
          <w:p w14:paraId="0F69A1E4" w14:textId="77777777" w:rsidR="00A345F4" w:rsidRDefault="005E2D4E">
            <w:pPr>
              <w:pStyle w:val="P68B1DB1-Normal13"/>
              <w:spacing w:after="0" w:line="240" w:lineRule="auto"/>
              <w:jc w:val="center"/>
              <w:rPr>
                <w:rFonts w:eastAsia="Times New Roman"/>
                <w:noProof/>
              </w:rPr>
            </w:pPr>
            <w:r>
              <w:rPr>
                <w:noProof/>
              </w:rPr>
              <w:t>Unité de mesure</w:t>
            </w:r>
          </w:p>
        </w:tc>
        <w:tc>
          <w:tcPr>
            <w:tcW w:w="1109" w:type="dxa"/>
            <w:shd w:val="clear" w:color="auto" w:fill="BDD7EE"/>
            <w:vAlign w:val="center"/>
          </w:tcPr>
          <w:p w14:paraId="6274595B" w14:textId="77777777" w:rsidR="00A345F4" w:rsidRDefault="005E2D4E">
            <w:pPr>
              <w:pStyle w:val="P68B1DB1-Normal13"/>
              <w:spacing w:after="0" w:line="240" w:lineRule="auto"/>
              <w:jc w:val="center"/>
              <w:rPr>
                <w:rFonts w:eastAsia="Times New Roman"/>
                <w:noProof/>
              </w:rPr>
            </w:pPr>
            <w:r>
              <w:rPr>
                <w:noProof/>
              </w:rPr>
              <w:t>Données de référence</w:t>
            </w:r>
          </w:p>
        </w:tc>
        <w:tc>
          <w:tcPr>
            <w:tcW w:w="976" w:type="dxa"/>
            <w:shd w:val="clear" w:color="auto" w:fill="BDD7EE"/>
            <w:vAlign w:val="center"/>
          </w:tcPr>
          <w:p w14:paraId="2494D45F" w14:textId="77777777" w:rsidR="00A345F4" w:rsidRDefault="005E2D4E">
            <w:pPr>
              <w:pStyle w:val="P68B1DB1-Normal13"/>
              <w:spacing w:after="0" w:line="240" w:lineRule="auto"/>
              <w:jc w:val="center"/>
              <w:rPr>
                <w:rFonts w:eastAsia="Times New Roman"/>
                <w:noProof/>
              </w:rPr>
            </w:pPr>
            <w:r>
              <w:rPr>
                <w:noProof/>
              </w:rPr>
              <w:t>Objectif</w:t>
            </w:r>
          </w:p>
        </w:tc>
        <w:tc>
          <w:tcPr>
            <w:tcW w:w="1134" w:type="dxa"/>
            <w:shd w:val="clear" w:color="auto" w:fill="BDD7EE"/>
            <w:vAlign w:val="center"/>
          </w:tcPr>
          <w:p w14:paraId="7CA411F5" w14:textId="77777777" w:rsidR="00A345F4" w:rsidRDefault="005E2D4E">
            <w:pPr>
              <w:pStyle w:val="P68B1DB1-Normal13"/>
              <w:spacing w:after="0" w:line="240" w:lineRule="auto"/>
              <w:jc w:val="center"/>
              <w:rPr>
                <w:rFonts w:eastAsia="Times New Roman"/>
                <w:noProof/>
              </w:rPr>
            </w:pPr>
            <w:r>
              <w:rPr>
                <w:noProof/>
              </w:rPr>
              <w:t>Trimestre</w:t>
            </w:r>
          </w:p>
        </w:tc>
        <w:tc>
          <w:tcPr>
            <w:tcW w:w="851" w:type="dxa"/>
            <w:shd w:val="clear" w:color="auto" w:fill="BDD7EE"/>
            <w:vAlign w:val="center"/>
          </w:tcPr>
          <w:p w14:paraId="3D51CEDA" w14:textId="77777777" w:rsidR="00A345F4" w:rsidRDefault="005E2D4E">
            <w:pPr>
              <w:pStyle w:val="P68B1DB1-Normal13"/>
              <w:spacing w:after="0" w:line="240" w:lineRule="auto"/>
              <w:jc w:val="center"/>
              <w:rPr>
                <w:rFonts w:eastAsia="Times New Roman"/>
                <w:noProof/>
              </w:rPr>
            </w:pPr>
            <w:r>
              <w:rPr>
                <w:noProof/>
              </w:rPr>
              <w:t>Année</w:t>
            </w:r>
          </w:p>
        </w:tc>
        <w:tc>
          <w:tcPr>
            <w:tcW w:w="2981" w:type="dxa"/>
            <w:vMerge/>
            <w:vAlign w:val="center"/>
          </w:tcPr>
          <w:p w14:paraId="06795BF0" w14:textId="77777777" w:rsidR="00A345F4" w:rsidRDefault="00A345F4">
            <w:pPr>
              <w:spacing w:after="0" w:line="240" w:lineRule="auto"/>
              <w:jc w:val="center"/>
              <w:rPr>
                <w:rFonts w:ascii="Times New Roman" w:eastAsia="Times New Roman" w:hAnsi="Times New Roman" w:cs="Times New Roman"/>
                <w:b/>
                <w:noProof/>
                <w:sz w:val="20"/>
                <w:szCs w:val="20"/>
              </w:rPr>
            </w:pPr>
          </w:p>
        </w:tc>
      </w:tr>
      <w:tr w:rsidR="00A345F4" w14:paraId="30081881" w14:textId="77777777" w:rsidTr="000D606E">
        <w:trPr>
          <w:trHeight w:val="309"/>
        </w:trPr>
        <w:tc>
          <w:tcPr>
            <w:tcW w:w="822" w:type="dxa"/>
            <w:shd w:val="clear" w:color="auto" w:fill="C6EFCE"/>
            <w:noWrap/>
          </w:tcPr>
          <w:p w14:paraId="4756A2A1" w14:textId="77777777" w:rsidR="00A345F4" w:rsidRDefault="005E2D4E">
            <w:pPr>
              <w:pStyle w:val="P68B1DB1-Normal14"/>
              <w:spacing w:after="0" w:line="240" w:lineRule="auto"/>
              <w:jc w:val="center"/>
              <w:rPr>
                <w:rFonts w:eastAsia="Times New Roman"/>
                <w:noProof/>
              </w:rPr>
            </w:pPr>
            <w:r>
              <w:rPr>
                <w:noProof/>
              </w:rPr>
              <w:t>401</w:t>
            </w:r>
          </w:p>
        </w:tc>
        <w:tc>
          <w:tcPr>
            <w:tcW w:w="2166" w:type="dxa"/>
            <w:shd w:val="clear" w:color="auto" w:fill="C6EFCE"/>
            <w:noWrap/>
          </w:tcPr>
          <w:p w14:paraId="61A9CD48" w14:textId="77777777" w:rsidR="00A345F4" w:rsidRDefault="005E2D4E">
            <w:pPr>
              <w:pStyle w:val="P68B1DB1-Normal14"/>
              <w:spacing w:after="0" w:line="240" w:lineRule="auto"/>
              <w:jc w:val="both"/>
              <w:rPr>
                <w:rFonts w:eastAsia="Times New Roman"/>
                <w:noProof/>
              </w:rPr>
            </w:pPr>
            <w:r>
              <w:rPr>
                <w:noProof/>
              </w:rPr>
              <w:t>Réforme 1. Améliorer la qualité de la prise de décisions gouvernementales</w:t>
            </w:r>
          </w:p>
        </w:tc>
        <w:tc>
          <w:tcPr>
            <w:tcW w:w="1543" w:type="dxa"/>
            <w:shd w:val="clear" w:color="auto" w:fill="C6EFCE"/>
            <w:noWrap/>
          </w:tcPr>
          <w:p w14:paraId="4A353858" w14:textId="77777777" w:rsidR="00A345F4" w:rsidRDefault="005E2D4E">
            <w:pPr>
              <w:pStyle w:val="P68B1DB1-Normal14"/>
              <w:spacing w:after="0" w:line="240" w:lineRule="auto"/>
              <w:rPr>
                <w:rFonts w:eastAsia="Times New Roman"/>
                <w:noProof/>
              </w:rPr>
            </w:pPr>
            <w:r>
              <w:rPr>
                <w:noProof/>
              </w:rPr>
              <w:t>Étape</w:t>
            </w:r>
          </w:p>
        </w:tc>
        <w:tc>
          <w:tcPr>
            <w:tcW w:w="1403" w:type="dxa"/>
            <w:shd w:val="clear" w:color="auto" w:fill="C6EFCE"/>
            <w:noWrap/>
          </w:tcPr>
          <w:p w14:paraId="76BF651A" w14:textId="77777777" w:rsidR="00A345F4" w:rsidRDefault="005E2D4E">
            <w:pPr>
              <w:pStyle w:val="P68B1DB1-Normal14"/>
              <w:spacing w:after="0" w:line="240" w:lineRule="auto"/>
              <w:jc w:val="both"/>
              <w:rPr>
                <w:rFonts w:eastAsia="Times New Roman"/>
                <w:noProof/>
              </w:rPr>
            </w:pPr>
            <w:r>
              <w:rPr>
                <w:noProof/>
              </w:rPr>
              <w:t>Entrée en vigueur des méthodes et procédures visant à améliorer la justification et la planification des politiques publiques ainsi que la simplification administrative</w:t>
            </w:r>
          </w:p>
        </w:tc>
        <w:tc>
          <w:tcPr>
            <w:tcW w:w="1547" w:type="dxa"/>
            <w:shd w:val="clear" w:color="auto" w:fill="C6EFCE"/>
            <w:noWrap/>
          </w:tcPr>
          <w:p w14:paraId="27968E2F" w14:textId="77777777" w:rsidR="00A345F4" w:rsidRDefault="005E2D4E">
            <w:pPr>
              <w:pStyle w:val="P68B1DB1-Normal14"/>
              <w:spacing w:after="0" w:line="240" w:lineRule="auto"/>
              <w:jc w:val="both"/>
              <w:rPr>
                <w:rFonts w:eastAsia="Times New Roman"/>
                <w:noProof/>
              </w:rPr>
            </w:pPr>
            <w:r>
              <w:rPr>
                <w:noProof/>
              </w:rPr>
              <w:t>Disposition dans les lois et les décisions gouvernementales indiquant l'entrée en vigueur des lois et des décisions gouvernementales respectivement pour améliorer la justification des politiques publiques et la planification et la simplification administrative</w:t>
            </w:r>
          </w:p>
        </w:tc>
        <w:tc>
          <w:tcPr>
            <w:tcW w:w="1344" w:type="dxa"/>
            <w:shd w:val="clear" w:color="auto" w:fill="C6EFCE"/>
            <w:noWrap/>
          </w:tcPr>
          <w:p w14:paraId="55D95EBD" w14:textId="77777777" w:rsidR="00A345F4" w:rsidRDefault="00A345F4">
            <w:pPr>
              <w:spacing w:after="0" w:line="240" w:lineRule="auto"/>
              <w:rPr>
                <w:rFonts w:ascii="Times New Roman" w:eastAsia="Times New Roman" w:hAnsi="Times New Roman" w:cs="Times New Roman"/>
                <w:noProof/>
                <w:sz w:val="20"/>
                <w:szCs w:val="20"/>
              </w:rPr>
            </w:pPr>
          </w:p>
        </w:tc>
        <w:tc>
          <w:tcPr>
            <w:tcW w:w="1109" w:type="dxa"/>
            <w:shd w:val="clear" w:color="auto" w:fill="C6EFCE"/>
            <w:noWrap/>
          </w:tcPr>
          <w:p w14:paraId="0F14654F" w14:textId="77777777" w:rsidR="00A345F4" w:rsidRDefault="00A345F4">
            <w:pPr>
              <w:spacing w:after="0" w:line="240" w:lineRule="auto"/>
              <w:jc w:val="right"/>
              <w:rPr>
                <w:rFonts w:ascii="Times New Roman" w:eastAsia="Times New Roman" w:hAnsi="Times New Roman" w:cs="Times New Roman"/>
                <w:noProof/>
                <w:sz w:val="20"/>
                <w:szCs w:val="20"/>
              </w:rPr>
            </w:pPr>
          </w:p>
        </w:tc>
        <w:tc>
          <w:tcPr>
            <w:tcW w:w="976" w:type="dxa"/>
            <w:shd w:val="clear" w:color="auto" w:fill="C6EFCE"/>
            <w:noWrap/>
          </w:tcPr>
          <w:p w14:paraId="1C7F49B7" w14:textId="77777777" w:rsidR="00A345F4" w:rsidRDefault="00A345F4">
            <w:pPr>
              <w:spacing w:after="0" w:line="240" w:lineRule="auto"/>
              <w:jc w:val="right"/>
              <w:rPr>
                <w:rFonts w:ascii="Times New Roman" w:eastAsia="Times New Roman" w:hAnsi="Times New Roman" w:cs="Times New Roman"/>
                <w:noProof/>
                <w:sz w:val="20"/>
                <w:szCs w:val="20"/>
              </w:rPr>
            </w:pPr>
          </w:p>
        </w:tc>
        <w:tc>
          <w:tcPr>
            <w:tcW w:w="1134" w:type="dxa"/>
            <w:shd w:val="clear" w:color="auto" w:fill="C6EFCE"/>
            <w:noWrap/>
          </w:tcPr>
          <w:p w14:paraId="5A3BA5EE" w14:textId="77777777" w:rsidR="00A345F4" w:rsidRDefault="005E2D4E">
            <w:pPr>
              <w:pStyle w:val="P68B1DB1-Normal14"/>
              <w:spacing w:after="0" w:line="240" w:lineRule="auto"/>
              <w:jc w:val="center"/>
              <w:rPr>
                <w:rFonts w:eastAsia="Times New Roman"/>
                <w:noProof/>
              </w:rPr>
            </w:pPr>
            <w:r>
              <w:rPr>
                <w:noProof/>
              </w:rPr>
              <w:t>T1</w:t>
            </w:r>
          </w:p>
        </w:tc>
        <w:tc>
          <w:tcPr>
            <w:tcW w:w="851" w:type="dxa"/>
            <w:shd w:val="clear" w:color="auto" w:fill="C6EFCE"/>
            <w:noWrap/>
          </w:tcPr>
          <w:p w14:paraId="3D597AFF" w14:textId="77777777" w:rsidR="00A345F4" w:rsidRDefault="005E2D4E">
            <w:pPr>
              <w:pStyle w:val="P68B1DB1-Normal14"/>
              <w:spacing w:after="0" w:line="240" w:lineRule="auto"/>
              <w:jc w:val="center"/>
              <w:rPr>
                <w:rFonts w:eastAsia="Times New Roman"/>
                <w:noProof/>
              </w:rPr>
            </w:pPr>
            <w:r>
              <w:rPr>
                <w:noProof/>
              </w:rPr>
              <w:t xml:space="preserve">2022 </w:t>
            </w:r>
          </w:p>
        </w:tc>
        <w:tc>
          <w:tcPr>
            <w:tcW w:w="2981" w:type="dxa"/>
            <w:shd w:val="clear" w:color="auto" w:fill="C6EFCE"/>
            <w:noWrap/>
          </w:tcPr>
          <w:p w14:paraId="2CD052D1" w14:textId="77777777" w:rsidR="00A345F4" w:rsidRDefault="005E2D4E">
            <w:pPr>
              <w:pStyle w:val="P68B1DB1-Normal14"/>
              <w:spacing w:after="0" w:line="240" w:lineRule="auto"/>
              <w:jc w:val="both"/>
              <w:rPr>
                <w:noProof/>
              </w:rPr>
            </w:pPr>
            <w:r>
              <w:rPr>
                <w:noProof/>
              </w:rPr>
              <w:t>Entrée en vigueur des actes législatifs suivants:</w:t>
            </w:r>
          </w:p>
          <w:p w14:paraId="4F05EF05" w14:textId="77777777" w:rsidR="00A345F4" w:rsidRDefault="005E2D4E">
            <w:pPr>
              <w:pStyle w:val="P68B1DB1-Normal14"/>
              <w:spacing w:after="0" w:line="240" w:lineRule="auto"/>
              <w:ind w:left="-21"/>
              <w:jc w:val="both"/>
              <w:rPr>
                <w:noProof/>
              </w:rPr>
            </w:pPr>
            <w:r>
              <w:rPr>
                <w:noProof/>
              </w:rPr>
              <w:t xml:space="preserve">(1) Décision du gouvernement fixant les procédures d'élaboration, de mise en œuvre, de suivi, d'évaluation et de mise à jour des stratégies gouvernementales; </w:t>
            </w:r>
            <w:r>
              <w:rPr>
                <w:noProof/>
              </w:rPr>
              <w:br/>
              <w:t>(2) Décision du gouvernement établissant les procédures de planification stratégique et de programmation budgétaire afin d'assurer un lien adéquat entre les priorités politiques et la formulation du budget. Les programmes budgétaires ministériels doivent mettre en œuvre les recommandations des examens des dépenses (qui sont introduites dans la section du présent document consacrée à la réforme des impôts et des pensions) et conformément à la méthodologie élaborée en coopération avec le ministère des Finances.</w:t>
            </w:r>
          </w:p>
          <w:p w14:paraId="31AF7D84" w14:textId="77777777" w:rsidR="00A345F4" w:rsidRDefault="005E2D4E">
            <w:pPr>
              <w:pStyle w:val="P68B1DB1-Normal14"/>
              <w:pBdr>
                <w:top w:val="nil"/>
                <w:left w:val="nil"/>
                <w:bottom w:val="nil"/>
                <w:right w:val="nil"/>
                <w:between w:val="nil"/>
              </w:pBdr>
              <w:spacing w:after="0" w:line="240" w:lineRule="auto"/>
              <w:ind w:left="-21"/>
              <w:jc w:val="both"/>
              <w:rPr>
                <w:noProof/>
              </w:rPr>
            </w:pPr>
            <w:r>
              <w:rPr>
                <w:noProof/>
              </w:rPr>
              <w:t xml:space="preserve">(3) Décision du gouvernement relative à la mise à jour de la méthode d'analyse d'impact ex ante du projet de règlement. La méthodologie mise à jour met l’accent sur l’introduction de l’innovation et des principes du «numérique par défaut», ainsi que sur des procédures spécifiques visant à renforcer la mise en œuvre et l’établissement de rapports annuels. </w:t>
            </w:r>
          </w:p>
          <w:p w14:paraId="346EFD9B" w14:textId="77777777" w:rsidR="00A345F4" w:rsidRDefault="005E2D4E">
            <w:pPr>
              <w:pStyle w:val="P68B1DB1-Normal14"/>
              <w:pBdr>
                <w:top w:val="nil"/>
                <w:left w:val="nil"/>
                <w:bottom w:val="nil"/>
                <w:right w:val="nil"/>
                <w:between w:val="nil"/>
              </w:pBdr>
              <w:spacing w:after="0" w:line="240" w:lineRule="auto"/>
              <w:ind w:left="-21"/>
              <w:jc w:val="both"/>
              <w:rPr>
                <w:noProof/>
              </w:rPr>
            </w:pPr>
            <w:r>
              <w:rPr>
                <w:noProof/>
              </w:rPr>
              <w:t>(4) Décision du gouvernement relative à l’approbation de la méthodologie «un ajout, un retrait» visant à réduire la charge administrative.</w:t>
            </w:r>
          </w:p>
          <w:p w14:paraId="2103F62E" w14:textId="77777777" w:rsidR="00A345F4" w:rsidRDefault="005E2D4E">
            <w:pPr>
              <w:pStyle w:val="P68B1DB1-Normal14"/>
              <w:spacing w:after="0" w:line="240" w:lineRule="auto"/>
              <w:ind w:left="-21"/>
              <w:jc w:val="both"/>
              <w:rPr>
                <w:rFonts w:eastAsia="Times New Roman"/>
                <w:noProof/>
              </w:rPr>
            </w:pPr>
            <w:r>
              <w:rPr>
                <w:noProof/>
              </w:rPr>
              <w:t>(5) Décision du gouvernement sur le cadre procédural et méthodologique de l'évaluation ex post des règlements.</w:t>
            </w:r>
          </w:p>
        </w:tc>
      </w:tr>
      <w:tr w:rsidR="00A345F4" w14:paraId="1D8ECA85" w14:textId="77777777" w:rsidTr="000D606E">
        <w:trPr>
          <w:trHeight w:val="309"/>
        </w:trPr>
        <w:tc>
          <w:tcPr>
            <w:tcW w:w="822" w:type="dxa"/>
            <w:shd w:val="clear" w:color="auto" w:fill="C6EFCE"/>
            <w:noWrap/>
          </w:tcPr>
          <w:p w14:paraId="41A0E5E1" w14:textId="77777777" w:rsidR="00A345F4" w:rsidRDefault="005E2D4E">
            <w:pPr>
              <w:pStyle w:val="P68B1DB1-Normal14"/>
              <w:spacing w:after="0" w:line="240" w:lineRule="auto"/>
              <w:jc w:val="center"/>
              <w:rPr>
                <w:rFonts w:eastAsia="Times New Roman"/>
                <w:noProof/>
              </w:rPr>
            </w:pPr>
            <w:r>
              <w:rPr>
                <w:noProof/>
              </w:rPr>
              <w:t xml:space="preserve">402 </w:t>
            </w:r>
          </w:p>
        </w:tc>
        <w:tc>
          <w:tcPr>
            <w:tcW w:w="2166" w:type="dxa"/>
            <w:shd w:val="clear" w:color="auto" w:fill="C6EFCE"/>
            <w:noWrap/>
          </w:tcPr>
          <w:p w14:paraId="549FBA7C" w14:textId="246D1634" w:rsidR="00A345F4" w:rsidRDefault="005E2D4E">
            <w:pPr>
              <w:pStyle w:val="P68B1DB1-Normal14"/>
              <w:spacing w:after="0" w:line="240" w:lineRule="auto"/>
              <w:jc w:val="both"/>
              <w:rPr>
                <w:rFonts w:eastAsia="Times New Roman"/>
                <w:noProof/>
              </w:rPr>
            </w:pPr>
            <w:r>
              <w:rPr>
                <w:noProof/>
              </w:rPr>
              <w:t xml:space="preserve">Réforme 1. Améliorer la qualité de la prise de décisions gouvernementales </w:t>
            </w:r>
          </w:p>
        </w:tc>
        <w:tc>
          <w:tcPr>
            <w:tcW w:w="1543" w:type="dxa"/>
            <w:shd w:val="clear" w:color="auto" w:fill="C6EFCE"/>
            <w:noWrap/>
          </w:tcPr>
          <w:p w14:paraId="0EC20768" w14:textId="77777777" w:rsidR="00A345F4" w:rsidRDefault="005E2D4E">
            <w:pPr>
              <w:pStyle w:val="P68B1DB1-Normal14"/>
              <w:spacing w:after="0" w:line="240" w:lineRule="auto"/>
              <w:rPr>
                <w:rFonts w:eastAsia="Times New Roman"/>
                <w:noProof/>
              </w:rPr>
            </w:pPr>
            <w:r>
              <w:rPr>
                <w:noProof/>
              </w:rPr>
              <w:t>Étape</w:t>
            </w:r>
          </w:p>
        </w:tc>
        <w:tc>
          <w:tcPr>
            <w:tcW w:w="1403" w:type="dxa"/>
            <w:shd w:val="clear" w:color="auto" w:fill="C6EFCE"/>
            <w:noWrap/>
          </w:tcPr>
          <w:p w14:paraId="44A2EAE3" w14:textId="77777777" w:rsidR="00A345F4" w:rsidRDefault="005E2D4E">
            <w:pPr>
              <w:pStyle w:val="P68B1DB1-Normal14"/>
              <w:spacing w:after="0" w:line="240" w:lineRule="auto"/>
              <w:jc w:val="both"/>
              <w:rPr>
                <w:rFonts w:eastAsia="Times New Roman"/>
                <w:noProof/>
              </w:rPr>
            </w:pPr>
            <w:r>
              <w:rPr>
                <w:noProof/>
              </w:rPr>
              <w:t xml:space="preserve">Un nouveau système de gestion et de planification stratégique utilisé dans tous les ministères </w:t>
            </w:r>
          </w:p>
        </w:tc>
        <w:tc>
          <w:tcPr>
            <w:tcW w:w="1547" w:type="dxa"/>
            <w:shd w:val="clear" w:color="auto" w:fill="C6EFCE"/>
            <w:noWrap/>
          </w:tcPr>
          <w:p w14:paraId="3919D298" w14:textId="77777777" w:rsidR="00A345F4" w:rsidRDefault="005E2D4E">
            <w:pPr>
              <w:pStyle w:val="P68B1DB1-Normal14"/>
              <w:spacing w:after="0" w:line="240" w:lineRule="auto"/>
              <w:jc w:val="both"/>
              <w:rPr>
                <w:rFonts w:eastAsia="Times New Roman"/>
                <w:noProof/>
              </w:rPr>
            </w:pPr>
            <w:r>
              <w:rPr>
                <w:noProof/>
              </w:rPr>
              <w:t>Un nouveau système de gestion et de planification stratégiques est disponible pour tous les ministères d'exécution.</w:t>
            </w:r>
          </w:p>
        </w:tc>
        <w:tc>
          <w:tcPr>
            <w:tcW w:w="1344" w:type="dxa"/>
            <w:shd w:val="clear" w:color="auto" w:fill="C6EFCE"/>
            <w:noWrap/>
          </w:tcPr>
          <w:p w14:paraId="2EB0D9AD" w14:textId="77777777" w:rsidR="00A345F4" w:rsidRDefault="00A345F4">
            <w:pPr>
              <w:spacing w:after="0" w:line="240" w:lineRule="auto"/>
              <w:rPr>
                <w:rFonts w:ascii="Times New Roman" w:eastAsia="Times New Roman" w:hAnsi="Times New Roman" w:cs="Times New Roman"/>
                <w:noProof/>
                <w:sz w:val="20"/>
                <w:szCs w:val="20"/>
              </w:rPr>
            </w:pPr>
          </w:p>
        </w:tc>
        <w:tc>
          <w:tcPr>
            <w:tcW w:w="1109" w:type="dxa"/>
            <w:shd w:val="clear" w:color="auto" w:fill="C6EFCE"/>
            <w:noWrap/>
          </w:tcPr>
          <w:p w14:paraId="519B8E20" w14:textId="77777777" w:rsidR="00A345F4" w:rsidRDefault="00A345F4">
            <w:pPr>
              <w:spacing w:after="0" w:line="240" w:lineRule="auto"/>
              <w:rPr>
                <w:rFonts w:ascii="Times New Roman" w:eastAsia="Times New Roman" w:hAnsi="Times New Roman" w:cs="Times New Roman"/>
                <w:noProof/>
                <w:sz w:val="20"/>
                <w:szCs w:val="20"/>
              </w:rPr>
            </w:pPr>
          </w:p>
        </w:tc>
        <w:tc>
          <w:tcPr>
            <w:tcW w:w="976" w:type="dxa"/>
            <w:shd w:val="clear" w:color="auto" w:fill="C6EFCE"/>
            <w:noWrap/>
          </w:tcPr>
          <w:p w14:paraId="57A83804"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shd w:val="clear" w:color="auto" w:fill="C6EFCE"/>
            <w:noWrap/>
          </w:tcPr>
          <w:p w14:paraId="6B79DBD9" w14:textId="77777777" w:rsidR="00A345F4" w:rsidRDefault="005E2D4E">
            <w:pPr>
              <w:pStyle w:val="P68B1DB1-Normal14"/>
              <w:spacing w:after="0" w:line="240" w:lineRule="auto"/>
              <w:jc w:val="center"/>
              <w:rPr>
                <w:rFonts w:eastAsia="Times New Roman"/>
                <w:noProof/>
              </w:rPr>
            </w:pPr>
            <w:r>
              <w:rPr>
                <w:noProof/>
              </w:rPr>
              <w:t>T2</w:t>
            </w:r>
          </w:p>
        </w:tc>
        <w:tc>
          <w:tcPr>
            <w:tcW w:w="851" w:type="dxa"/>
            <w:shd w:val="clear" w:color="auto" w:fill="C6EFCE"/>
            <w:noWrap/>
          </w:tcPr>
          <w:p w14:paraId="3CF41156" w14:textId="77777777" w:rsidR="00A345F4" w:rsidRDefault="005E2D4E">
            <w:pPr>
              <w:pStyle w:val="P68B1DB1-Normal14"/>
              <w:spacing w:after="0" w:line="240" w:lineRule="auto"/>
              <w:jc w:val="both"/>
              <w:rPr>
                <w:noProof/>
              </w:rPr>
            </w:pPr>
            <w:r>
              <w:rPr>
                <w:noProof/>
              </w:rPr>
              <w:t>2023</w:t>
            </w:r>
          </w:p>
          <w:p w14:paraId="7A49F3AB" w14:textId="77777777" w:rsidR="00A345F4" w:rsidRDefault="00A345F4">
            <w:pPr>
              <w:spacing w:after="0" w:line="240" w:lineRule="auto"/>
              <w:jc w:val="center"/>
              <w:rPr>
                <w:rFonts w:ascii="Times New Roman" w:eastAsia="Times New Roman" w:hAnsi="Times New Roman" w:cs="Times New Roman"/>
                <w:noProof/>
                <w:sz w:val="20"/>
                <w:szCs w:val="20"/>
              </w:rPr>
            </w:pPr>
          </w:p>
        </w:tc>
        <w:tc>
          <w:tcPr>
            <w:tcW w:w="2981" w:type="dxa"/>
            <w:shd w:val="clear" w:color="auto" w:fill="C6EFCE"/>
            <w:noWrap/>
          </w:tcPr>
          <w:p w14:paraId="0215E8C0" w14:textId="77777777" w:rsidR="00A345F4" w:rsidRDefault="005E2D4E">
            <w:pPr>
              <w:pStyle w:val="P68B1DB1-Normal14"/>
              <w:spacing w:after="0" w:line="240" w:lineRule="auto"/>
              <w:jc w:val="both"/>
              <w:rPr>
                <w:rFonts w:eastAsia="Times New Roman"/>
                <w:noProof/>
              </w:rPr>
            </w:pPr>
            <w:r>
              <w:rPr>
                <w:noProof/>
              </w:rPr>
              <w:t xml:space="preserve">Tous les ministères utilisent le système de gestion et de planification stratégiques pour élaborer leurs plans, qui sont mis à jour et contrôlés par l’intermédiaire de la plateforme des plans stratégiques institutionnels (PSI), qui est étendue à tous les ministères. </w:t>
            </w:r>
          </w:p>
        </w:tc>
      </w:tr>
      <w:tr w:rsidR="00A345F4" w14:paraId="1A49BF06" w14:textId="77777777" w:rsidTr="000D606E">
        <w:trPr>
          <w:trHeight w:val="309"/>
        </w:trPr>
        <w:tc>
          <w:tcPr>
            <w:tcW w:w="822" w:type="dxa"/>
            <w:shd w:val="clear" w:color="auto" w:fill="C6EFCE"/>
            <w:noWrap/>
          </w:tcPr>
          <w:p w14:paraId="09FC0FB6" w14:textId="77777777" w:rsidR="00A345F4" w:rsidRDefault="005E2D4E">
            <w:pPr>
              <w:pStyle w:val="P68B1DB1-Normal14"/>
              <w:spacing w:after="0" w:line="240" w:lineRule="auto"/>
              <w:jc w:val="center"/>
              <w:rPr>
                <w:rFonts w:eastAsia="Times New Roman"/>
                <w:noProof/>
              </w:rPr>
            </w:pPr>
            <w:r>
              <w:rPr>
                <w:noProof/>
              </w:rPr>
              <w:t xml:space="preserve">403 </w:t>
            </w:r>
          </w:p>
        </w:tc>
        <w:tc>
          <w:tcPr>
            <w:tcW w:w="2166" w:type="dxa"/>
            <w:shd w:val="clear" w:color="auto" w:fill="C6EFCE"/>
            <w:noWrap/>
          </w:tcPr>
          <w:p w14:paraId="25F376DC" w14:textId="77777777" w:rsidR="00A345F4" w:rsidRDefault="005E2D4E">
            <w:pPr>
              <w:pStyle w:val="P68B1DB1-Normal14"/>
              <w:spacing w:after="0" w:line="240" w:lineRule="auto"/>
              <w:jc w:val="both"/>
              <w:rPr>
                <w:rFonts w:eastAsia="Times New Roman"/>
                <w:noProof/>
              </w:rPr>
            </w:pPr>
            <w:r>
              <w:rPr>
                <w:noProof/>
              </w:rPr>
              <w:t>Réforme 1. Améliorer la qualité de la prise de décisions gouvernementales</w:t>
            </w:r>
          </w:p>
        </w:tc>
        <w:tc>
          <w:tcPr>
            <w:tcW w:w="1543" w:type="dxa"/>
            <w:shd w:val="clear" w:color="auto" w:fill="C6EFCE"/>
            <w:noWrap/>
          </w:tcPr>
          <w:p w14:paraId="0823A32D" w14:textId="77777777" w:rsidR="00A345F4" w:rsidRDefault="005E2D4E">
            <w:pPr>
              <w:pStyle w:val="P68B1DB1-Normal14"/>
              <w:spacing w:after="0" w:line="240" w:lineRule="auto"/>
              <w:rPr>
                <w:rFonts w:eastAsia="Times New Roman"/>
                <w:noProof/>
              </w:rPr>
            </w:pPr>
            <w:r>
              <w:rPr>
                <w:noProof/>
              </w:rPr>
              <w:t>Objectif</w:t>
            </w:r>
          </w:p>
        </w:tc>
        <w:tc>
          <w:tcPr>
            <w:tcW w:w="1403" w:type="dxa"/>
            <w:shd w:val="clear" w:color="auto" w:fill="C6EFCE"/>
            <w:noWrap/>
          </w:tcPr>
          <w:p w14:paraId="5A37B33D" w14:textId="77777777" w:rsidR="00A345F4" w:rsidRDefault="005E2D4E">
            <w:pPr>
              <w:pStyle w:val="P68B1DB1-Normal14"/>
              <w:spacing w:after="0" w:line="240" w:lineRule="auto"/>
              <w:jc w:val="both"/>
              <w:rPr>
                <w:rFonts w:eastAsia="Times New Roman"/>
                <w:noProof/>
              </w:rPr>
            </w:pPr>
            <w:r>
              <w:rPr>
                <w:noProof/>
              </w:rPr>
              <w:t xml:space="preserve">Trois ministères ont prévu et utilisé des budgets par programme </w:t>
            </w:r>
          </w:p>
        </w:tc>
        <w:tc>
          <w:tcPr>
            <w:tcW w:w="1547" w:type="dxa"/>
            <w:shd w:val="clear" w:color="auto" w:fill="C6EFCE"/>
            <w:noWrap/>
          </w:tcPr>
          <w:p w14:paraId="25E4065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44" w:type="dxa"/>
            <w:shd w:val="clear" w:color="auto" w:fill="C6EFCE"/>
            <w:noWrap/>
          </w:tcPr>
          <w:p w14:paraId="37D46058" w14:textId="77777777" w:rsidR="00A345F4" w:rsidRDefault="005E2D4E">
            <w:pPr>
              <w:pStyle w:val="P68B1DB1-Normal14"/>
              <w:spacing w:after="0" w:line="240" w:lineRule="auto"/>
              <w:rPr>
                <w:rFonts w:eastAsia="Times New Roman"/>
                <w:noProof/>
              </w:rPr>
            </w:pPr>
            <w:r>
              <w:rPr>
                <w:noProof/>
              </w:rPr>
              <w:t>Numéro</w:t>
            </w:r>
          </w:p>
        </w:tc>
        <w:tc>
          <w:tcPr>
            <w:tcW w:w="1109" w:type="dxa"/>
            <w:shd w:val="clear" w:color="auto" w:fill="C6EFCE"/>
            <w:noWrap/>
          </w:tcPr>
          <w:p w14:paraId="6980EBE7" w14:textId="77777777" w:rsidR="00A345F4" w:rsidRDefault="005E2D4E">
            <w:pPr>
              <w:pStyle w:val="P68B1DB1-Normal14"/>
              <w:spacing w:after="0" w:line="240" w:lineRule="auto"/>
              <w:rPr>
                <w:rFonts w:eastAsia="Times New Roman"/>
                <w:noProof/>
              </w:rPr>
            </w:pPr>
            <w:r>
              <w:rPr>
                <w:noProof/>
              </w:rPr>
              <w:t>0</w:t>
            </w:r>
          </w:p>
        </w:tc>
        <w:tc>
          <w:tcPr>
            <w:tcW w:w="976" w:type="dxa"/>
            <w:shd w:val="clear" w:color="auto" w:fill="C6EFCE"/>
            <w:noWrap/>
          </w:tcPr>
          <w:p w14:paraId="11E6F841" w14:textId="77777777" w:rsidR="00A345F4" w:rsidRDefault="005E2D4E">
            <w:pPr>
              <w:pStyle w:val="P68B1DB1-Normal14"/>
              <w:spacing w:after="0" w:line="240" w:lineRule="auto"/>
              <w:rPr>
                <w:rFonts w:eastAsia="Times New Roman"/>
                <w:noProof/>
              </w:rPr>
            </w:pPr>
            <w:r>
              <w:rPr>
                <w:noProof/>
              </w:rPr>
              <w:t xml:space="preserve">3 </w:t>
            </w:r>
          </w:p>
        </w:tc>
        <w:tc>
          <w:tcPr>
            <w:tcW w:w="1134" w:type="dxa"/>
            <w:shd w:val="clear" w:color="auto" w:fill="C6EFCE"/>
            <w:noWrap/>
          </w:tcPr>
          <w:p w14:paraId="64CE8856" w14:textId="77777777" w:rsidR="00A345F4" w:rsidRDefault="005E2D4E">
            <w:pPr>
              <w:pStyle w:val="P68B1DB1-Normal14"/>
              <w:spacing w:after="0" w:line="240" w:lineRule="auto"/>
              <w:jc w:val="center"/>
              <w:rPr>
                <w:rFonts w:eastAsia="Times New Roman"/>
                <w:noProof/>
              </w:rPr>
            </w:pPr>
            <w:r>
              <w:rPr>
                <w:noProof/>
              </w:rPr>
              <w:t>T2</w:t>
            </w:r>
          </w:p>
        </w:tc>
        <w:tc>
          <w:tcPr>
            <w:tcW w:w="851" w:type="dxa"/>
            <w:shd w:val="clear" w:color="auto" w:fill="C6EFCE"/>
            <w:noWrap/>
          </w:tcPr>
          <w:p w14:paraId="62514A52" w14:textId="77777777" w:rsidR="00A345F4" w:rsidRDefault="005E2D4E">
            <w:pPr>
              <w:pStyle w:val="P68B1DB1-Normal14"/>
              <w:spacing w:after="0" w:line="240" w:lineRule="auto"/>
              <w:jc w:val="center"/>
              <w:rPr>
                <w:rFonts w:eastAsia="Times New Roman"/>
                <w:noProof/>
              </w:rPr>
            </w:pPr>
            <w:r>
              <w:rPr>
                <w:noProof/>
              </w:rPr>
              <w:t>2025</w:t>
            </w:r>
          </w:p>
        </w:tc>
        <w:tc>
          <w:tcPr>
            <w:tcW w:w="2981" w:type="dxa"/>
            <w:shd w:val="clear" w:color="auto" w:fill="C6EFCE"/>
            <w:noWrap/>
          </w:tcPr>
          <w:p w14:paraId="639D0806" w14:textId="0A3327AB" w:rsidR="00A345F4" w:rsidRDefault="005E2D4E">
            <w:pPr>
              <w:pStyle w:val="P68B1DB1-Normal14"/>
              <w:spacing w:after="0" w:line="240" w:lineRule="auto"/>
              <w:jc w:val="both"/>
              <w:rPr>
                <w:noProof/>
              </w:rPr>
            </w:pPr>
            <w:r>
              <w:rPr>
                <w:noProof/>
              </w:rPr>
              <w:t xml:space="preserve">Trois ministères doivent avoir planifié et utilisé les budgets par programme en appliquant la méthodologie de planification stratégique institutionnelle (PSI). </w:t>
            </w:r>
          </w:p>
        </w:tc>
      </w:tr>
      <w:tr w:rsidR="00A345F4" w14:paraId="693EF75C" w14:textId="77777777" w:rsidTr="000D606E">
        <w:trPr>
          <w:trHeight w:val="309"/>
        </w:trPr>
        <w:tc>
          <w:tcPr>
            <w:tcW w:w="822" w:type="dxa"/>
            <w:shd w:val="clear" w:color="auto" w:fill="C6EFCE"/>
            <w:noWrap/>
          </w:tcPr>
          <w:p w14:paraId="1A3211CA" w14:textId="77777777" w:rsidR="00A345F4" w:rsidRDefault="005E2D4E">
            <w:pPr>
              <w:pStyle w:val="P68B1DB1-Normal14"/>
              <w:spacing w:after="0" w:line="240" w:lineRule="auto"/>
              <w:jc w:val="center"/>
              <w:rPr>
                <w:rFonts w:eastAsia="Times New Roman"/>
                <w:noProof/>
              </w:rPr>
            </w:pPr>
            <w:r>
              <w:rPr>
                <w:noProof/>
              </w:rPr>
              <w:t>404</w:t>
            </w:r>
          </w:p>
        </w:tc>
        <w:tc>
          <w:tcPr>
            <w:tcW w:w="2166" w:type="dxa"/>
            <w:shd w:val="clear" w:color="auto" w:fill="C6EFCE"/>
            <w:noWrap/>
          </w:tcPr>
          <w:p w14:paraId="0DE1263D" w14:textId="77777777" w:rsidR="00A345F4" w:rsidRDefault="005E2D4E">
            <w:pPr>
              <w:pStyle w:val="P68B1DB1-Normal14"/>
              <w:spacing w:after="0" w:line="240" w:lineRule="auto"/>
              <w:jc w:val="both"/>
              <w:rPr>
                <w:rFonts w:eastAsia="Times New Roman"/>
                <w:noProof/>
              </w:rPr>
            </w:pPr>
            <w:r>
              <w:rPr>
                <w:noProof/>
              </w:rPr>
              <w:t>Réforme 1. Améliorer la qualité de la prise de décisions gouvernementales</w:t>
            </w:r>
          </w:p>
        </w:tc>
        <w:tc>
          <w:tcPr>
            <w:tcW w:w="1543" w:type="dxa"/>
            <w:shd w:val="clear" w:color="auto" w:fill="C6EFCE"/>
            <w:noWrap/>
          </w:tcPr>
          <w:p w14:paraId="118499F3" w14:textId="77777777" w:rsidR="00A345F4" w:rsidRDefault="005E2D4E">
            <w:pPr>
              <w:pStyle w:val="P68B1DB1-Normal14"/>
              <w:spacing w:after="0" w:line="240" w:lineRule="auto"/>
              <w:rPr>
                <w:rFonts w:eastAsia="Times New Roman"/>
                <w:noProof/>
              </w:rPr>
            </w:pPr>
            <w:r>
              <w:rPr>
                <w:noProof/>
              </w:rPr>
              <w:t>Étape</w:t>
            </w:r>
          </w:p>
        </w:tc>
        <w:tc>
          <w:tcPr>
            <w:tcW w:w="1403" w:type="dxa"/>
            <w:shd w:val="clear" w:color="auto" w:fill="C6EFCE"/>
            <w:noWrap/>
          </w:tcPr>
          <w:p w14:paraId="2712C410" w14:textId="77777777" w:rsidR="00A345F4" w:rsidRDefault="005E2D4E">
            <w:pPr>
              <w:pStyle w:val="P68B1DB1-Normal14"/>
              <w:spacing w:after="0" w:line="240" w:lineRule="auto"/>
              <w:jc w:val="both"/>
              <w:rPr>
                <w:noProof/>
              </w:rPr>
            </w:pPr>
            <w:r>
              <w:rPr>
                <w:noProof/>
              </w:rPr>
              <w:t>Entrée en vigueur d'un acte législatif mettant en œuvre une structure visant à garantir la mise en œuvre d'un mécanisme réglementaire efficace de contrôle de la qualité</w:t>
            </w:r>
          </w:p>
          <w:p w14:paraId="15F869EA"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547" w:type="dxa"/>
            <w:shd w:val="clear" w:color="auto" w:fill="C6EFCE"/>
            <w:noWrap/>
          </w:tcPr>
          <w:p w14:paraId="7603F026" w14:textId="77777777" w:rsidR="00A345F4" w:rsidRDefault="005E2D4E">
            <w:pPr>
              <w:pStyle w:val="P68B1DB1-Normal14"/>
              <w:spacing w:after="0" w:line="240" w:lineRule="auto"/>
              <w:jc w:val="both"/>
              <w:rPr>
                <w:noProof/>
              </w:rPr>
            </w:pPr>
            <w:r>
              <w:rPr>
                <w:noProof/>
              </w:rPr>
              <w:t>Disposition d’une loi indiquant l’entrée en vigueur de la loi rendant opérationnelle la structure réglementaire de contrôle de la qualité</w:t>
            </w:r>
          </w:p>
        </w:tc>
        <w:tc>
          <w:tcPr>
            <w:tcW w:w="1344" w:type="dxa"/>
            <w:shd w:val="clear" w:color="auto" w:fill="C6EFCE"/>
            <w:noWrap/>
          </w:tcPr>
          <w:p w14:paraId="1020E036" w14:textId="77777777" w:rsidR="00A345F4" w:rsidRDefault="005E2D4E">
            <w:pPr>
              <w:pStyle w:val="P68B1DB1-Normal14"/>
              <w:spacing w:after="0" w:line="240" w:lineRule="auto"/>
              <w:rPr>
                <w:rFonts w:eastAsia="Times New Roman"/>
                <w:noProof/>
              </w:rPr>
            </w:pPr>
            <w:r>
              <w:rPr>
                <w:noProof/>
              </w:rPr>
              <w:t xml:space="preserve"> </w:t>
            </w:r>
          </w:p>
        </w:tc>
        <w:tc>
          <w:tcPr>
            <w:tcW w:w="1109" w:type="dxa"/>
            <w:shd w:val="clear" w:color="auto" w:fill="C6EFCE"/>
            <w:noWrap/>
          </w:tcPr>
          <w:p w14:paraId="58463B93" w14:textId="77777777" w:rsidR="00A345F4" w:rsidRDefault="005E2D4E">
            <w:pPr>
              <w:pStyle w:val="P68B1DB1-Normal14"/>
              <w:spacing w:after="0" w:line="240" w:lineRule="auto"/>
              <w:rPr>
                <w:rFonts w:eastAsia="Times New Roman"/>
                <w:noProof/>
              </w:rPr>
            </w:pPr>
            <w:r>
              <w:rPr>
                <w:noProof/>
              </w:rPr>
              <w:t xml:space="preserve"> </w:t>
            </w:r>
          </w:p>
        </w:tc>
        <w:tc>
          <w:tcPr>
            <w:tcW w:w="976" w:type="dxa"/>
            <w:shd w:val="clear" w:color="auto" w:fill="C6EFCE"/>
            <w:noWrap/>
          </w:tcPr>
          <w:p w14:paraId="19686CF1" w14:textId="77777777" w:rsidR="00A345F4" w:rsidRDefault="005E2D4E">
            <w:pPr>
              <w:pStyle w:val="P68B1DB1-Normal14"/>
              <w:spacing w:after="0" w:line="240" w:lineRule="auto"/>
              <w:rPr>
                <w:rFonts w:eastAsia="Times New Roman"/>
                <w:noProof/>
              </w:rPr>
            </w:pPr>
            <w:r>
              <w:rPr>
                <w:noProof/>
              </w:rPr>
              <w:t xml:space="preserve"> </w:t>
            </w:r>
          </w:p>
        </w:tc>
        <w:tc>
          <w:tcPr>
            <w:tcW w:w="1134" w:type="dxa"/>
            <w:shd w:val="clear" w:color="auto" w:fill="C6EFCE"/>
            <w:noWrap/>
          </w:tcPr>
          <w:p w14:paraId="56281AAA" w14:textId="77777777" w:rsidR="00A345F4" w:rsidRDefault="005E2D4E">
            <w:pPr>
              <w:pStyle w:val="P68B1DB1-Normal14"/>
              <w:spacing w:after="0" w:line="240" w:lineRule="auto"/>
              <w:jc w:val="center"/>
              <w:rPr>
                <w:rFonts w:eastAsia="Times New Roman"/>
                <w:noProof/>
              </w:rPr>
            </w:pPr>
            <w:r>
              <w:rPr>
                <w:noProof/>
              </w:rPr>
              <w:t>T1</w:t>
            </w:r>
          </w:p>
        </w:tc>
        <w:tc>
          <w:tcPr>
            <w:tcW w:w="851" w:type="dxa"/>
            <w:shd w:val="clear" w:color="auto" w:fill="C6EFCE"/>
            <w:noWrap/>
          </w:tcPr>
          <w:p w14:paraId="5B93BFAD" w14:textId="77777777" w:rsidR="00A345F4" w:rsidRDefault="005E2D4E">
            <w:pPr>
              <w:pStyle w:val="P68B1DB1-Normal14"/>
              <w:spacing w:after="0" w:line="240" w:lineRule="auto"/>
              <w:jc w:val="center"/>
              <w:rPr>
                <w:rFonts w:eastAsia="Times New Roman"/>
                <w:noProof/>
              </w:rPr>
            </w:pPr>
            <w:r>
              <w:rPr>
                <w:noProof/>
              </w:rPr>
              <w:t xml:space="preserve">2022 </w:t>
            </w:r>
          </w:p>
        </w:tc>
        <w:tc>
          <w:tcPr>
            <w:tcW w:w="2981" w:type="dxa"/>
            <w:shd w:val="clear" w:color="auto" w:fill="C6EFCE"/>
            <w:noWrap/>
          </w:tcPr>
          <w:p w14:paraId="4E2D3A78" w14:textId="77777777" w:rsidR="00A345F4" w:rsidRDefault="005E2D4E">
            <w:pPr>
              <w:pStyle w:val="P68B1DB1-Normal14"/>
              <w:spacing w:after="0" w:line="240" w:lineRule="auto"/>
              <w:jc w:val="both"/>
              <w:rPr>
                <w:noProof/>
              </w:rPr>
            </w:pPr>
            <w:r>
              <w:rPr>
                <w:noProof/>
              </w:rPr>
              <w:t xml:space="preserve">L'acte législatif est fondé sur l'étude réalisée par le Secrétariat général du Gouvernement sur la mise en place d'un mécanisme de contrôle de la qualité au Centre du Gouvernement. </w:t>
            </w:r>
          </w:p>
          <w:p w14:paraId="3828F9A4" w14:textId="77777777" w:rsidR="00A345F4" w:rsidRDefault="005E2D4E">
            <w:pPr>
              <w:pStyle w:val="P68B1DB1-Normal14"/>
              <w:spacing w:after="0" w:line="240" w:lineRule="auto"/>
              <w:jc w:val="both"/>
              <w:rPr>
                <w:noProof/>
              </w:rPr>
            </w:pPr>
            <w:r>
              <w:rPr>
                <w:noProof/>
              </w:rPr>
              <w:t xml:space="preserve">La nouvelle structure procède à un contrôle réglementaire de la qualité des analyses d'impact et des évaluations. Il est composé d’un comité d’experts assisté d’un secrétariat technique, similaire au comité d’examen de la réglementation actuellement actif au niveau de la Commission européenne. L'acte législatif établit ce qui suit: </w:t>
            </w:r>
          </w:p>
          <w:p w14:paraId="16FDDF93" w14:textId="77777777" w:rsidR="00A345F4" w:rsidRDefault="005E2D4E">
            <w:pPr>
              <w:pStyle w:val="P68B1DB1-Normal14"/>
              <w:spacing w:after="0" w:line="240" w:lineRule="auto"/>
              <w:ind w:left="-21"/>
              <w:jc w:val="both"/>
              <w:rPr>
                <w:noProof/>
              </w:rPr>
            </w:pPr>
            <w:r>
              <w:rPr>
                <w:noProof/>
              </w:rPr>
              <w:t>1° la procédure de sélection des experts du jury;</w:t>
            </w:r>
          </w:p>
          <w:p w14:paraId="2476B976" w14:textId="77777777" w:rsidR="00A345F4" w:rsidRDefault="005E2D4E">
            <w:pPr>
              <w:pStyle w:val="P68B1DB1-Normal14"/>
              <w:spacing w:after="0" w:line="240" w:lineRule="auto"/>
              <w:ind w:left="-21"/>
              <w:jc w:val="both"/>
              <w:rPr>
                <w:noProof/>
              </w:rPr>
            </w:pPr>
            <w:r>
              <w:rPr>
                <w:noProof/>
              </w:rPr>
              <w:t>(2) les règles et procédures pour le conseil et le secrétariat technique (y compris les descriptions de poste);</w:t>
            </w:r>
          </w:p>
          <w:p w14:paraId="79B59A0A" w14:textId="77777777" w:rsidR="00A345F4" w:rsidRDefault="005E2D4E">
            <w:pPr>
              <w:pStyle w:val="P68B1DB1-Normal14"/>
              <w:spacing w:after="0" w:line="240" w:lineRule="auto"/>
              <w:ind w:left="-21"/>
              <w:jc w:val="both"/>
              <w:rPr>
                <w:noProof/>
              </w:rPr>
            </w:pPr>
            <w:r>
              <w:rPr>
                <w:noProof/>
              </w:rPr>
              <w:t>(3) des lignes directrices sur la façon d'évaluer la qualité des documents;</w:t>
            </w:r>
          </w:p>
          <w:p w14:paraId="46E357FC" w14:textId="77777777" w:rsidR="00A345F4" w:rsidRDefault="005E2D4E">
            <w:pPr>
              <w:pStyle w:val="P68B1DB1-Normal14"/>
              <w:spacing w:after="0" w:line="240" w:lineRule="auto"/>
              <w:ind w:left="-21"/>
              <w:jc w:val="both"/>
              <w:rPr>
                <w:noProof/>
              </w:rPr>
            </w:pPr>
            <w:r>
              <w:rPr>
                <w:noProof/>
              </w:rPr>
              <w:t>4) stratégie de communication à l'intérieur et à l'extérieur du gouvernement;</w:t>
            </w:r>
          </w:p>
          <w:p w14:paraId="1AB33D2F" w14:textId="77777777" w:rsidR="00A345F4" w:rsidRDefault="005E2D4E">
            <w:pPr>
              <w:pStyle w:val="P68B1DB1-Normal14"/>
              <w:spacing w:after="0" w:line="240" w:lineRule="auto"/>
              <w:ind w:left="-21"/>
              <w:jc w:val="both"/>
              <w:rPr>
                <w:noProof/>
              </w:rPr>
            </w:pPr>
            <w:r>
              <w:rPr>
                <w:noProof/>
              </w:rPr>
              <w:t>(5) les formations.</w:t>
            </w:r>
          </w:p>
        </w:tc>
      </w:tr>
      <w:tr w:rsidR="00A345F4" w14:paraId="16202870" w14:textId="77777777" w:rsidTr="000D606E">
        <w:trPr>
          <w:trHeight w:val="309"/>
        </w:trPr>
        <w:tc>
          <w:tcPr>
            <w:tcW w:w="822" w:type="dxa"/>
            <w:shd w:val="clear" w:color="auto" w:fill="C6EFCE"/>
            <w:noWrap/>
          </w:tcPr>
          <w:p w14:paraId="2FA4629C" w14:textId="77777777" w:rsidR="00A345F4" w:rsidRDefault="005E2D4E">
            <w:pPr>
              <w:pStyle w:val="P68B1DB1-Normal14"/>
              <w:spacing w:after="0" w:line="240" w:lineRule="auto"/>
              <w:jc w:val="center"/>
              <w:rPr>
                <w:rFonts w:eastAsia="Times New Roman"/>
                <w:noProof/>
              </w:rPr>
            </w:pPr>
            <w:r>
              <w:rPr>
                <w:noProof/>
              </w:rPr>
              <w:t>406</w:t>
            </w:r>
          </w:p>
        </w:tc>
        <w:tc>
          <w:tcPr>
            <w:tcW w:w="2166" w:type="dxa"/>
            <w:shd w:val="clear" w:color="auto" w:fill="C6EFCE"/>
            <w:noWrap/>
          </w:tcPr>
          <w:p w14:paraId="5067BA83" w14:textId="77777777" w:rsidR="00A345F4" w:rsidRDefault="005E2D4E">
            <w:pPr>
              <w:pStyle w:val="P68B1DB1-Normal14"/>
              <w:spacing w:after="0" w:line="240" w:lineRule="auto"/>
              <w:jc w:val="both"/>
              <w:rPr>
                <w:noProof/>
              </w:rPr>
            </w:pPr>
            <w:r>
              <w:rPr>
                <w:noProof/>
              </w:rPr>
              <w:t>Réforme 1. Améliorer la qualité de la prise de décisions gouvernementales</w:t>
            </w:r>
          </w:p>
        </w:tc>
        <w:tc>
          <w:tcPr>
            <w:tcW w:w="1543" w:type="dxa"/>
            <w:shd w:val="clear" w:color="auto" w:fill="C6EFCE"/>
            <w:noWrap/>
          </w:tcPr>
          <w:p w14:paraId="366B0423"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428A96AB" w14:textId="77777777" w:rsidR="00A345F4" w:rsidRDefault="005E2D4E">
            <w:pPr>
              <w:pStyle w:val="P68B1DB1-Normal14"/>
              <w:spacing w:after="0" w:line="240" w:lineRule="auto"/>
              <w:jc w:val="both"/>
              <w:rPr>
                <w:noProof/>
              </w:rPr>
            </w:pPr>
            <w:r>
              <w:rPr>
                <w:noProof/>
              </w:rPr>
              <w:t xml:space="preserve">Formation du personnel des organisations de la société civile pour accroître la capacité administrative </w:t>
            </w:r>
          </w:p>
        </w:tc>
        <w:tc>
          <w:tcPr>
            <w:tcW w:w="1547" w:type="dxa"/>
            <w:shd w:val="clear" w:color="auto" w:fill="C6EFCE"/>
            <w:noWrap/>
          </w:tcPr>
          <w:p w14:paraId="59C303CC" w14:textId="06B58C80" w:rsidR="00A345F4" w:rsidRDefault="005E2D4E">
            <w:pPr>
              <w:pStyle w:val="P68B1DB1-Normal14"/>
              <w:spacing w:after="0" w:line="240" w:lineRule="auto"/>
              <w:jc w:val="both"/>
              <w:rPr>
                <w:noProof/>
              </w:rPr>
            </w:pPr>
            <w:r>
              <w:rPr>
                <w:noProof/>
              </w:rPr>
              <w:t xml:space="preserve">Le personnel de la société civile a suivi des sessions de formation </w:t>
            </w:r>
          </w:p>
        </w:tc>
        <w:tc>
          <w:tcPr>
            <w:tcW w:w="1344" w:type="dxa"/>
            <w:shd w:val="clear" w:color="auto" w:fill="C6EFCE"/>
            <w:noWrap/>
          </w:tcPr>
          <w:p w14:paraId="2975959B" w14:textId="77777777" w:rsidR="00A345F4" w:rsidRDefault="00A345F4">
            <w:pPr>
              <w:spacing w:after="0" w:line="240" w:lineRule="auto"/>
              <w:rPr>
                <w:rFonts w:ascii="Times New Roman" w:eastAsia="Times New Roman" w:hAnsi="Times New Roman" w:cs="Times New Roman"/>
                <w:noProof/>
                <w:sz w:val="20"/>
                <w:szCs w:val="20"/>
              </w:rPr>
            </w:pPr>
          </w:p>
        </w:tc>
        <w:tc>
          <w:tcPr>
            <w:tcW w:w="1109" w:type="dxa"/>
            <w:shd w:val="clear" w:color="auto" w:fill="C6EFCE"/>
            <w:noWrap/>
          </w:tcPr>
          <w:p w14:paraId="1EF935C0" w14:textId="77777777" w:rsidR="00A345F4" w:rsidRDefault="00A345F4">
            <w:pPr>
              <w:spacing w:after="0" w:line="240" w:lineRule="auto"/>
              <w:rPr>
                <w:rFonts w:ascii="Times New Roman" w:eastAsia="Times New Roman" w:hAnsi="Times New Roman" w:cs="Times New Roman"/>
                <w:noProof/>
                <w:sz w:val="20"/>
                <w:szCs w:val="20"/>
              </w:rPr>
            </w:pPr>
          </w:p>
        </w:tc>
        <w:tc>
          <w:tcPr>
            <w:tcW w:w="976" w:type="dxa"/>
            <w:shd w:val="clear" w:color="auto" w:fill="C6EFCE"/>
            <w:noWrap/>
          </w:tcPr>
          <w:p w14:paraId="598FC371" w14:textId="77777777" w:rsidR="00A345F4" w:rsidRDefault="00A345F4">
            <w:pPr>
              <w:spacing w:after="0" w:line="240" w:lineRule="auto"/>
              <w:rPr>
                <w:rFonts w:ascii="Times New Roman" w:eastAsia="Times New Roman" w:hAnsi="Times New Roman" w:cs="Times New Roman"/>
                <w:noProof/>
                <w:sz w:val="20"/>
                <w:szCs w:val="20"/>
              </w:rPr>
            </w:pPr>
          </w:p>
        </w:tc>
        <w:tc>
          <w:tcPr>
            <w:tcW w:w="1134" w:type="dxa"/>
            <w:shd w:val="clear" w:color="auto" w:fill="C6EFCE"/>
            <w:noWrap/>
          </w:tcPr>
          <w:p w14:paraId="7B49A4D5" w14:textId="77777777" w:rsidR="00A345F4" w:rsidRDefault="005E2D4E">
            <w:pPr>
              <w:pStyle w:val="P68B1DB1-Normal14"/>
              <w:spacing w:after="0" w:line="240" w:lineRule="auto"/>
              <w:jc w:val="center"/>
              <w:rPr>
                <w:rFonts w:eastAsia="Times New Roman"/>
                <w:noProof/>
              </w:rPr>
            </w:pPr>
            <w:r>
              <w:rPr>
                <w:noProof/>
              </w:rPr>
              <w:t>T4</w:t>
            </w:r>
          </w:p>
        </w:tc>
        <w:tc>
          <w:tcPr>
            <w:tcW w:w="851" w:type="dxa"/>
            <w:shd w:val="clear" w:color="auto" w:fill="C6EFCE"/>
            <w:noWrap/>
          </w:tcPr>
          <w:p w14:paraId="534576F7" w14:textId="77777777" w:rsidR="00A345F4" w:rsidRDefault="005E2D4E">
            <w:pPr>
              <w:pStyle w:val="P68B1DB1-Normal14"/>
              <w:spacing w:after="0" w:line="240" w:lineRule="auto"/>
              <w:jc w:val="center"/>
              <w:rPr>
                <w:rFonts w:eastAsia="Times New Roman"/>
                <w:noProof/>
              </w:rPr>
            </w:pPr>
            <w:r>
              <w:rPr>
                <w:noProof/>
              </w:rPr>
              <w:t>2025</w:t>
            </w:r>
          </w:p>
        </w:tc>
        <w:tc>
          <w:tcPr>
            <w:tcW w:w="2981" w:type="dxa"/>
            <w:shd w:val="clear" w:color="auto" w:fill="C6EFCE"/>
            <w:noWrap/>
          </w:tcPr>
          <w:p w14:paraId="2AF1B7AD" w14:textId="77777777" w:rsidR="00A345F4" w:rsidRDefault="005E2D4E">
            <w:pPr>
              <w:pStyle w:val="P68B1DB1-Normal19"/>
              <w:spacing w:after="0" w:line="240" w:lineRule="auto"/>
              <w:jc w:val="both"/>
              <w:rPr>
                <w:noProof/>
              </w:rPr>
            </w:pPr>
            <w:r>
              <w:rPr>
                <w:noProof/>
              </w:rPr>
              <w:t>renforcement des capacités administratives du personnel des organisations de la société civile grâce à leur participation à des sessions de formation.</w:t>
            </w:r>
          </w:p>
        </w:tc>
      </w:tr>
      <w:tr w:rsidR="00A345F4" w14:paraId="41C3A70D" w14:textId="77777777" w:rsidTr="000D606E">
        <w:trPr>
          <w:trHeight w:val="309"/>
        </w:trPr>
        <w:tc>
          <w:tcPr>
            <w:tcW w:w="822" w:type="dxa"/>
            <w:shd w:val="clear" w:color="auto" w:fill="C6EFCE"/>
            <w:noWrap/>
          </w:tcPr>
          <w:p w14:paraId="6ABC1A31" w14:textId="77777777" w:rsidR="00A345F4" w:rsidRDefault="005E2D4E">
            <w:pPr>
              <w:pStyle w:val="P68B1DB1-Normal14"/>
              <w:spacing w:after="0" w:line="240" w:lineRule="auto"/>
              <w:jc w:val="center"/>
              <w:rPr>
                <w:noProof/>
              </w:rPr>
            </w:pPr>
            <w:r>
              <w:rPr>
                <w:noProof/>
              </w:rPr>
              <w:t>407</w:t>
            </w:r>
          </w:p>
        </w:tc>
        <w:tc>
          <w:tcPr>
            <w:tcW w:w="2166" w:type="dxa"/>
            <w:shd w:val="clear" w:color="auto" w:fill="C6EFCE"/>
            <w:noWrap/>
          </w:tcPr>
          <w:p w14:paraId="4D45AAE8" w14:textId="77777777" w:rsidR="00A345F4" w:rsidRDefault="005E2D4E">
            <w:pPr>
              <w:pStyle w:val="P68B1DB1-Normal14"/>
              <w:spacing w:after="0" w:line="240" w:lineRule="auto"/>
              <w:jc w:val="both"/>
              <w:rPr>
                <w:rFonts w:eastAsia="Times New Roman"/>
                <w:noProof/>
              </w:rPr>
            </w:pPr>
            <w:r>
              <w:rPr>
                <w:noProof/>
              </w:rPr>
              <w:t>Réforme 1. Améliorer la qualité de la prise de décisions gouvernementales</w:t>
            </w:r>
          </w:p>
        </w:tc>
        <w:tc>
          <w:tcPr>
            <w:tcW w:w="1543" w:type="dxa"/>
            <w:shd w:val="clear" w:color="auto" w:fill="C6EFCE"/>
            <w:noWrap/>
          </w:tcPr>
          <w:p w14:paraId="04BA6FB6" w14:textId="77777777" w:rsidR="00A345F4" w:rsidRDefault="005E2D4E">
            <w:pPr>
              <w:pStyle w:val="P68B1DB1-Normal14"/>
              <w:spacing w:after="0" w:line="240" w:lineRule="auto"/>
              <w:rPr>
                <w:noProof/>
              </w:rPr>
            </w:pPr>
            <w:r>
              <w:rPr>
                <w:noProof/>
              </w:rPr>
              <w:t>Étape</w:t>
            </w:r>
          </w:p>
          <w:p w14:paraId="7F5C3C08" w14:textId="77777777" w:rsidR="00A345F4" w:rsidRDefault="00A345F4">
            <w:pPr>
              <w:spacing w:after="0" w:line="240" w:lineRule="auto"/>
              <w:rPr>
                <w:rFonts w:ascii="Times New Roman" w:hAnsi="Times New Roman" w:cs="Times New Roman"/>
                <w:noProof/>
                <w:sz w:val="20"/>
                <w:szCs w:val="20"/>
              </w:rPr>
            </w:pPr>
          </w:p>
        </w:tc>
        <w:tc>
          <w:tcPr>
            <w:tcW w:w="1403" w:type="dxa"/>
            <w:shd w:val="clear" w:color="auto" w:fill="C6EFCE"/>
            <w:noWrap/>
          </w:tcPr>
          <w:p w14:paraId="1077F17A" w14:textId="77777777" w:rsidR="00A345F4" w:rsidRDefault="005E2D4E">
            <w:pPr>
              <w:pStyle w:val="P68B1DB1-Normal14"/>
              <w:spacing w:after="0" w:line="240" w:lineRule="auto"/>
              <w:rPr>
                <w:noProof/>
              </w:rPr>
            </w:pPr>
            <w:r>
              <w:rPr>
                <w:noProof/>
              </w:rPr>
              <w:t>Le plan pour une meilleure réglementation 2026-2030</w:t>
            </w:r>
          </w:p>
          <w:p w14:paraId="64777E74" w14:textId="77777777" w:rsidR="00A345F4" w:rsidRDefault="00A345F4">
            <w:pPr>
              <w:spacing w:after="0" w:line="240" w:lineRule="auto"/>
              <w:rPr>
                <w:rFonts w:ascii="Times New Roman" w:hAnsi="Times New Roman" w:cs="Times New Roman"/>
                <w:noProof/>
                <w:sz w:val="20"/>
                <w:szCs w:val="20"/>
              </w:rPr>
            </w:pPr>
          </w:p>
        </w:tc>
        <w:tc>
          <w:tcPr>
            <w:tcW w:w="1547" w:type="dxa"/>
            <w:shd w:val="clear" w:color="auto" w:fill="C6EFCE"/>
            <w:noWrap/>
          </w:tcPr>
          <w:p w14:paraId="573B1DA1" w14:textId="77777777" w:rsidR="00A345F4" w:rsidRDefault="005E2D4E">
            <w:pPr>
              <w:pStyle w:val="P68B1DB1-Normal14"/>
              <w:spacing w:after="0" w:line="240" w:lineRule="auto"/>
              <w:rPr>
                <w:noProof/>
              </w:rPr>
            </w:pPr>
            <w:r>
              <w:rPr>
                <w:noProof/>
              </w:rPr>
              <w:t>Plan adopté pour une meilleure réglementation 2026-2030</w:t>
            </w:r>
          </w:p>
        </w:tc>
        <w:tc>
          <w:tcPr>
            <w:tcW w:w="1344" w:type="dxa"/>
            <w:shd w:val="clear" w:color="auto" w:fill="C6EFCE"/>
            <w:noWrap/>
          </w:tcPr>
          <w:p w14:paraId="11EC7C23" w14:textId="77777777" w:rsidR="00A345F4" w:rsidRDefault="00A345F4">
            <w:pPr>
              <w:spacing w:after="0" w:line="240" w:lineRule="auto"/>
              <w:rPr>
                <w:rFonts w:ascii="Times New Roman" w:eastAsia="Times New Roman" w:hAnsi="Times New Roman" w:cs="Times New Roman"/>
                <w:noProof/>
                <w:sz w:val="20"/>
                <w:szCs w:val="20"/>
              </w:rPr>
            </w:pPr>
          </w:p>
        </w:tc>
        <w:tc>
          <w:tcPr>
            <w:tcW w:w="1109" w:type="dxa"/>
            <w:shd w:val="clear" w:color="auto" w:fill="C6EFCE"/>
            <w:noWrap/>
          </w:tcPr>
          <w:p w14:paraId="38630B9B" w14:textId="77777777" w:rsidR="00A345F4" w:rsidRDefault="00A345F4">
            <w:pPr>
              <w:spacing w:after="0" w:line="240" w:lineRule="auto"/>
              <w:rPr>
                <w:rFonts w:ascii="Times New Roman" w:eastAsia="Times New Roman" w:hAnsi="Times New Roman" w:cs="Times New Roman"/>
                <w:noProof/>
                <w:sz w:val="20"/>
                <w:szCs w:val="20"/>
              </w:rPr>
            </w:pPr>
          </w:p>
        </w:tc>
        <w:tc>
          <w:tcPr>
            <w:tcW w:w="976" w:type="dxa"/>
            <w:shd w:val="clear" w:color="auto" w:fill="C6EFCE"/>
            <w:noWrap/>
          </w:tcPr>
          <w:p w14:paraId="4AC0F853" w14:textId="77777777" w:rsidR="00A345F4" w:rsidRDefault="00A345F4">
            <w:pPr>
              <w:spacing w:after="0" w:line="240" w:lineRule="auto"/>
              <w:jc w:val="both"/>
              <w:rPr>
                <w:rFonts w:ascii="Times New Roman" w:hAnsi="Times New Roman" w:cs="Times New Roman"/>
                <w:noProof/>
                <w:sz w:val="20"/>
                <w:szCs w:val="20"/>
              </w:rPr>
            </w:pPr>
          </w:p>
        </w:tc>
        <w:tc>
          <w:tcPr>
            <w:tcW w:w="1134" w:type="dxa"/>
            <w:shd w:val="clear" w:color="auto" w:fill="C6EFCE"/>
            <w:noWrap/>
          </w:tcPr>
          <w:p w14:paraId="680358C6" w14:textId="77777777" w:rsidR="00A345F4" w:rsidRDefault="005E2D4E">
            <w:pPr>
              <w:pStyle w:val="P68B1DB1-Normal14"/>
              <w:spacing w:after="0" w:line="240" w:lineRule="auto"/>
              <w:jc w:val="center"/>
              <w:rPr>
                <w:rFonts w:eastAsia="Times New Roman"/>
                <w:noProof/>
              </w:rPr>
            </w:pPr>
            <w:r>
              <w:rPr>
                <w:noProof/>
              </w:rPr>
              <w:t>T2</w:t>
            </w:r>
          </w:p>
          <w:p w14:paraId="63718EDA" w14:textId="77777777" w:rsidR="00A345F4" w:rsidRDefault="00A345F4">
            <w:pPr>
              <w:spacing w:after="0" w:line="240" w:lineRule="auto"/>
              <w:jc w:val="center"/>
              <w:rPr>
                <w:rFonts w:ascii="Times New Roman" w:hAnsi="Times New Roman" w:cs="Times New Roman"/>
                <w:noProof/>
                <w:sz w:val="20"/>
                <w:szCs w:val="20"/>
              </w:rPr>
            </w:pPr>
          </w:p>
        </w:tc>
        <w:tc>
          <w:tcPr>
            <w:tcW w:w="851" w:type="dxa"/>
            <w:shd w:val="clear" w:color="auto" w:fill="C6EFCE"/>
            <w:noWrap/>
          </w:tcPr>
          <w:p w14:paraId="168222C1" w14:textId="77777777" w:rsidR="00A345F4" w:rsidRDefault="005E2D4E">
            <w:pPr>
              <w:pStyle w:val="P68B1DB1-Normal14"/>
              <w:spacing w:after="0" w:line="240" w:lineRule="auto"/>
              <w:jc w:val="center"/>
              <w:rPr>
                <w:rFonts w:eastAsia="Times New Roman"/>
                <w:noProof/>
              </w:rPr>
            </w:pPr>
            <w:r>
              <w:rPr>
                <w:noProof/>
              </w:rPr>
              <w:t>2026</w:t>
            </w:r>
          </w:p>
          <w:p w14:paraId="197C0CA0" w14:textId="77777777" w:rsidR="00A345F4" w:rsidRDefault="00A345F4">
            <w:pPr>
              <w:spacing w:after="0" w:line="240" w:lineRule="auto"/>
              <w:jc w:val="center"/>
              <w:rPr>
                <w:rFonts w:ascii="Times New Roman" w:hAnsi="Times New Roman" w:cs="Times New Roman"/>
                <w:noProof/>
                <w:sz w:val="20"/>
                <w:szCs w:val="20"/>
              </w:rPr>
            </w:pPr>
          </w:p>
        </w:tc>
        <w:tc>
          <w:tcPr>
            <w:tcW w:w="2981" w:type="dxa"/>
            <w:shd w:val="clear" w:color="auto" w:fill="C6EFCE"/>
            <w:noWrap/>
          </w:tcPr>
          <w:p w14:paraId="46FD06AE" w14:textId="77777777" w:rsidR="00A345F4" w:rsidRDefault="005E2D4E">
            <w:pPr>
              <w:pStyle w:val="P68B1DB1-Normal19"/>
              <w:spacing w:after="0" w:line="240" w:lineRule="auto"/>
              <w:rPr>
                <w:noProof/>
              </w:rPr>
            </w:pPr>
            <w:r>
              <w:rPr>
                <w:noProof/>
              </w:rPr>
              <w:t xml:space="preserve">Plan adopté pour une meilleure réglementation 2026-2030 pour la planification des politiques publiques. Au minimum, le plan pour une meilleure réglementation 2026-2030 adopté doit intégrer le cadre de fonctionnement du plan de travail annuel du gouvernement (PALG), y compris la manière dont les initiatives législatives prévues, assorties de délais connexes, sont publiées et accessibles via la plateforme informatique existante </w:t>
            </w:r>
            <w:hyperlink r:id="rId328">
              <w:r>
                <w:rPr>
                  <w:noProof/>
                </w:rPr>
                <w:t>www.e-consultare.gov.ro.</w:t>
              </w:r>
            </w:hyperlink>
          </w:p>
          <w:p w14:paraId="73F60FA8" w14:textId="77777777" w:rsidR="00A345F4" w:rsidRDefault="005E2D4E">
            <w:pPr>
              <w:pStyle w:val="P68B1DB1-Normal58"/>
              <w:spacing w:after="0" w:line="240" w:lineRule="auto"/>
              <w:jc w:val="both"/>
              <w:rPr>
                <w:rFonts w:eastAsia="Times New Roman"/>
                <w:noProof/>
              </w:rPr>
            </w:pPr>
            <w:r>
              <w:rPr>
                <w:noProof/>
              </w:rPr>
              <w:t xml:space="preserve"> </w:t>
            </w:r>
          </w:p>
        </w:tc>
      </w:tr>
      <w:tr w:rsidR="00A345F4" w14:paraId="465BCDCE" w14:textId="77777777" w:rsidTr="000D606E">
        <w:trPr>
          <w:trHeight w:val="309"/>
        </w:trPr>
        <w:tc>
          <w:tcPr>
            <w:tcW w:w="822" w:type="dxa"/>
            <w:shd w:val="clear" w:color="auto" w:fill="C6EFCE"/>
            <w:noWrap/>
          </w:tcPr>
          <w:p w14:paraId="09EC83DB" w14:textId="77777777" w:rsidR="00A345F4" w:rsidRDefault="005E2D4E">
            <w:pPr>
              <w:pStyle w:val="P68B1DB1-Normal14"/>
              <w:spacing w:after="0" w:line="240" w:lineRule="auto"/>
              <w:jc w:val="center"/>
              <w:rPr>
                <w:rFonts w:eastAsia="Times New Roman"/>
                <w:noProof/>
              </w:rPr>
            </w:pPr>
            <w:r>
              <w:rPr>
                <w:noProof/>
              </w:rPr>
              <w:t>410</w:t>
            </w:r>
          </w:p>
        </w:tc>
        <w:tc>
          <w:tcPr>
            <w:tcW w:w="2166" w:type="dxa"/>
            <w:shd w:val="clear" w:color="auto" w:fill="C6EFCE"/>
            <w:noWrap/>
          </w:tcPr>
          <w:p w14:paraId="518B0BC6" w14:textId="77777777" w:rsidR="00A345F4" w:rsidRDefault="005E2D4E">
            <w:pPr>
              <w:pStyle w:val="P68B1DB1-Normal14"/>
              <w:spacing w:after="0" w:line="240" w:lineRule="auto"/>
              <w:jc w:val="both"/>
              <w:rPr>
                <w:noProof/>
              </w:rPr>
            </w:pPr>
            <w:r>
              <w:rPr>
                <w:noProof/>
              </w:rPr>
              <w:t>Réforme 1. Améliorer la qualité de la prise de décisions gouvernementales</w:t>
            </w:r>
          </w:p>
        </w:tc>
        <w:tc>
          <w:tcPr>
            <w:tcW w:w="1543" w:type="dxa"/>
            <w:shd w:val="clear" w:color="auto" w:fill="C6EFCE"/>
            <w:noWrap/>
          </w:tcPr>
          <w:p w14:paraId="5E4F9301"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2DC772AB" w14:textId="77777777" w:rsidR="00A345F4" w:rsidRDefault="005E2D4E">
            <w:pPr>
              <w:pStyle w:val="P68B1DB1-Normal14"/>
              <w:spacing w:after="0" w:line="240" w:lineRule="auto"/>
              <w:jc w:val="both"/>
              <w:rPr>
                <w:noProof/>
              </w:rPr>
            </w:pPr>
            <w:bookmarkStart w:id="28" w:name="_Hlk80360690"/>
            <w:r>
              <w:rPr>
                <w:noProof/>
              </w:rPr>
              <w:t>Entrée en vigueur des lignes directrices pour une utilisation et une application appropriées du registre unique de transparence des intérêts (RUTI)</w:t>
            </w:r>
            <w:bookmarkEnd w:id="28"/>
          </w:p>
        </w:tc>
        <w:tc>
          <w:tcPr>
            <w:tcW w:w="1547" w:type="dxa"/>
            <w:shd w:val="clear" w:color="auto" w:fill="C6EFCE"/>
            <w:noWrap/>
          </w:tcPr>
          <w:p w14:paraId="5786D3C6" w14:textId="77777777" w:rsidR="00A345F4" w:rsidRDefault="005E2D4E">
            <w:pPr>
              <w:pStyle w:val="P68B1DB1-Normal14"/>
              <w:spacing w:after="0" w:line="240" w:lineRule="auto"/>
              <w:jc w:val="both"/>
              <w:rPr>
                <w:noProof/>
              </w:rPr>
            </w:pPr>
            <w:r>
              <w:rPr>
                <w:noProof/>
              </w:rPr>
              <w:t>Disposition des lignes directrices indiquant l’entrée en vigueur des lignes directrices pour l’utilisation et l’application des RUTI</w:t>
            </w:r>
          </w:p>
        </w:tc>
        <w:tc>
          <w:tcPr>
            <w:tcW w:w="1344" w:type="dxa"/>
            <w:shd w:val="clear" w:color="auto" w:fill="C6EFCE"/>
            <w:noWrap/>
          </w:tcPr>
          <w:p w14:paraId="6A7741F9"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7C2ACEA3"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noWrap/>
          </w:tcPr>
          <w:p w14:paraId="1146339C"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4D36ACD5" w14:textId="77777777" w:rsidR="00A345F4" w:rsidRDefault="005E2D4E">
            <w:pPr>
              <w:pStyle w:val="P68B1DB1-Normal14"/>
              <w:spacing w:after="0" w:line="240" w:lineRule="auto"/>
              <w:jc w:val="center"/>
              <w:rPr>
                <w:noProof/>
              </w:rPr>
            </w:pPr>
            <w:r>
              <w:rPr>
                <w:noProof/>
              </w:rPr>
              <w:t>T3</w:t>
            </w:r>
          </w:p>
        </w:tc>
        <w:tc>
          <w:tcPr>
            <w:tcW w:w="851" w:type="dxa"/>
            <w:shd w:val="clear" w:color="auto" w:fill="C6EFCE"/>
            <w:noWrap/>
          </w:tcPr>
          <w:p w14:paraId="459133F5"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6E8309E7" w14:textId="77777777" w:rsidR="00A345F4" w:rsidRDefault="005E2D4E">
            <w:pPr>
              <w:pStyle w:val="P68B1DB1-Normal14"/>
              <w:spacing w:after="0" w:line="240" w:lineRule="auto"/>
              <w:jc w:val="both"/>
              <w:rPr>
                <w:noProof/>
              </w:rPr>
            </w:pPr>
            <w:r>
              <w:rPr>
                <w:noProof/>
              </w:rPr>
              <w:t xml:space="preserve">Les lignes directrices et les procédures associées mettent correctement en œuvre le registre public créé par le gouvernement en 2016, qui dresse la liste des réunions des décideurs (gouvernementaux) avec des représentants d’intérêts, et sert également de registre volontaire pour les groupes d’intérêts. </w:t>
            </w:r>
          </w:p>
          <w:p w14:paraId="341FE332" w14:textId="77777777" w:rsidR="00A345F4" w:rsidRDefault="00A345F4">
            <w:pPr>
              <w:spacing w:after="0" w:line="240" w:lineRule="auto"/>
              <w:rPr>
                <w:rFonts w:ascii="Times New Roman" w:hAnsi="Times New Roman" w:cs="Times New Roman"/>
                <w:noProof/>
                <w:sz w:val="20"/>
                <w:szCs w:val="20"/>
              </w:rPr>
            </w:pPr>
          </w:p>
        </w:tc>
      </w:tr>
      <w:tr w:rsidR="00A345F4" w14:paraId="64AAD51E" w14:textId="77777777" w:rsidTr="000D606E">
        <w:trPr>
          <w:trHeight w:val="309"/>
        </w:trPr>
        <w:tc>
          <w:tcPr>
            <w:tcW w:w="822" w:type="dxa"/>
            <w:shd w:val="clear" w:color="auto" w:fill="C6EFCE"/>
            <w:noWrap/>
          </w:tcPr>
          <w:p w14:paraId="4AF32D1B" w14:textId="77777777" w:rsidR="00A345F4" w:rsidRDefault="005E2D4E">
            <w:pPr>
              <w:pStyle w:val="P68B1DB1-Normal14"/>
              <w:spacing w:after="0" w:line="240" w:lineRule="auto"/>
              <w:jc w:val="center"/>
              <w:rPr>
                <w:rFonts w:eastAsia="Times New Roman"/>
                <w:noProof/>
              </w:rPr>
            </w:pPr>
            <w:r>
              <w:rPr>
                <w:noProof/>
              </w:rPr>
              <w:t>411</w:t>
            </w:r>
          </w:p>
        </w:tc>
        <w:tc>
          <w:tcPr>
            <w:tcW w:w="2166" w:type="dxa"/>
            <w:shd w:val="clear" w:color="auto" w:fill="C6EFCE"/>
            <w:noWrap/>
          </w:tcPr>
          <w:p w14:paraId="6E163368" w14:textId="77777777" w:rsidR="00A345F4" w:rsidRDefault="005E2D4E">
            <w:pPr>
              <w:pStyle w:val="P68B1DB1-Normal14"/>
              <w:spacing w:after="0" w:line="240" w:lineRule="auto"/>
              <w:jc w:val="both"/>
              <w:rPr>
                <w:noProof/>
              </w:rPr>
            </w:pPr>
            <w:r>
              <w:rPr>
                <w:noProof/>
              </w:rPr>
              <w:t>Réforme 1. Améliorer la qualité de la prise de décisions gouvernementales</w:t>
            </w:r>
          </w:p>
          <w:p w14:paraId="64BF0B60" w14:textId="77777777" w:rsidR="00A345F4" w:rsidRDefault="00A345F4">
            <w:pPr>
              <w:spacing w:after="0" w:line="240" w:lineRule="auto"/>
              <w:jc w:val="both"/>
              <w:rPr>
                <w:rFonts w:ascii="Times New Roman" w:hAnsi="Times New Roman" w:cs="Times New Roman"/>
                <w:noProof/>
                <w:sz w:val="20"/>
                <w:szCs w:val="20"/>
              </w:rPr>
            </w:pPr>
          </w:p>
          <w:p w14:paraId="10243F9D" w14:textId="77777777" w:rsidR="00A345F4" w:rsidRDefault="00A345F4">
            <w:pPr>
              <w:spacing w:after="0" w:line="240" w:lineRule="auto"/>
              <w:jc w:val="both"/>
              <w:rPr>
                <w:rFonts w:ascii="Times New Roman" w:hAnsi="Times New Roman" w:cs="Times New Roman"/>
                <w:noProof/>
                <w:sz w:val="20"/>
                <w:szCs w:val="20"/>
              </w:rPr>
            </w:pPr>
          </w:p>
        </w:tc>
        <w:tc>
          <w:tcPr>
            <w:tcW w:w="1543" w:type="dxa"/>
            <w:shd w:val="clear" w:color="auto" w:fill="C6EFCE"/>
            <w:noWrap/>
          </w:tcPr>
          <w:p w14:paraId="59A9266D"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49340CDF" w14:textId="77777777" w:rsidR="00A345F4" w:rsidRDefault="005E2D4E">
            <w:pPr>
              <w:pStyle w:val="P68B1DB1-Normal14"/>
              <w:spacing w:after="0" w:line="240" w:lineRule="auto"/>
              <w:jc w:val="both"/>
              <w:rPr>
                <w:noProof/>
              </w:rPr>
            </w:pPr>
            <w:bookmarkStart w:id="29" w:name="_Hlk80360706"/>
            <w:r>
              <w:rPr>
                <w:noProof/>
              </w:rPr>
              <w:t>Entrée en vigueur de la méthodologie pour l'utilisation des ordonnances d'urgence</w:t>
            </w:r>
            <w:bookmarkEnd w:id="29"/>
          </w:p>
        </w:tc>
        <w:tc>
          <w:tcPr>
            <w:tcW w:w="1547" w:type="dxa"/>
            <w:shd w:val="clear" w:color="auto" w:fill="C6EFCE"/>
            <w:noWrap/>
          </w:tcPr>
          <w:p w14:paraId="6CDEA8B7" w14:textId="77777777" w:rsidR="00A345F4" w:rsidRDefault="005E2D4E">
            <w:pPr>
              <w:pStyle w:val="P68B1DB1-Normal14"/>
              <w:spacing w:after="0" w:line="240" w:lineRule="auto"/>
              <w:jc w:val="both"/>
              <w:rPr>
                <w:noProof/>
              </w:rPr>
            </w:pPr>
            <w:r>
              <w:rPr>
                <w:noProof/>
              </w:rPr>
              <w:t xml:space="preserve">Disposition de la décision gouvernementale indiquant l'entrée en vigueur de la méthode d'utilisation des ordonnances d'urgence </w:t>
            </w:r>
          </w:p>
        </w:tc>
        <w:tc>
          <w:tcPr>
            <w:tcW w:w="1344" w:type="dxa"/>
            <w:shd w:val="clear" w:color="auto" w:fill="C6EFCE"/>
            <w:noWrap/>
          </w:tcPr>
          <w:p w14:paraId="34FB6F4A"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2CE938A2"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noWrap/>
          </w:tcPr>
          <w:p w14:paraId="0A2E7506"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334C1650" w14:textId="77777777" w:rsidR="00A345F4" w:rsidRDefault="005E2D4E">
            <w:pPr>
              <w:pStyle w:val="P68B1DB1-Normal14"/>
              <w:spacing w:after="0" w:line="240" w:lineRule="auto"/>
              <w:jc w:val="center"/>
              <w:rPr>
                <w:noProof/>
              </w:rPr>
            </w:pPr>
            <w:r>
              <w:rPr>
                <w:noProof/>
              </w:rPr>
              <w:t>T3</w:t>
            </w:r>
          </w:p>
        </w:tc>
        <w:tc>
          <w:tcPr>
            <w:tcW w:w="851" w:type="dxa"/>
            <w:shd w:val="clear" w:color="auto" w:fill="C6EFCE"/>
            <w:noWrap/>
          </w:tcPr>
          <w:p w14:paraId="0900B835"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7BA7851E" w14:textId="77777777" w:rsidR="00A345F4" w:rsidRDefault="005E2D4E">
            <w:pPr>
              <w:pStyle w:val="P68B1DB1-Normal14"/>
              <w:spacing w:after="0" w:line="240" w:lineRule="auto"/>
              <w:jc w:val="both"/>
              <w:rPr>
                <w:noProof/>
              </w:rPr>
            </w:pPr>
            <w:r>
              <w:rPr>
                <w:noProof/>
              </w:rPr>
              <w:t xml:space="preserve">La décision du gouvernement sur la méthodologie pour l'utilisation des ordonnances d'urgence (Eos) précise les circonstances dans lesquelles ces ordonnances peuvent être utilisées et comment leur impact doit être évalué (ex post, ex ante), ainsi que les procédures associées pour leur préparation et leur approbation et le rôle du Secrétariat général du gouvernement et du ministère de la Justice pour assurer le contrôle d'accès et le contrôle de qualité global. </w:t>
            </w:r>
          </w:p>
        </w:tc>
      </w:tr>
      <w:tr w:rsidR="00A345F4" w14:paraId="0C564257" w14:textId="77777777" w:rsidTr="000D606E">
        <w:trPr>
          <w:trHeight w:val="309"/>
        </w:trPr>
        <w:tc>
          <w:tcPr>
            <w:tcW w:w="822" w:type="dxa"/>
            <w:shd w:val="clear" w:color="auto" w:fill="C6EFCE"/>
            <w:noWrap/>
          </w:tcPr>
          <w:p w14:paraId="08BEDE9B" w14:textId="77777777" w:rsidR="00A345F4" w:rsidRDefault="005E2D4E">
            <w:pPr>
              <w:pStyle w:val="P68B1DB1-Normal14"/>
              <w:spacing w:after="0" w:line="240" w:lineRule="auto"/>
              <w:jc w:val="center"/>
              <w:rPr>
                <w:rFonts w:eastAsia="Times New Roman"/>
                <w:noProof/>
              </w:rPr>
            </w:pPr>
            <w:r>
              <w:rPr>
                <w:noProof/>
              </w:rPr>
              <w:t>412</w:t>
            </w:r>
          </w:p>
        </w:tc>
        <w:tc>
          <w:tcPr>
            <w:tcW w:w="2166" w:type="dxa"/>
            <w:shd w:val="clear" w:color="auto" w:fill="C6EFCE"/>
            <w:noWrap/>
          </w:tcPr>
          <w:p w14:paraId="1D6E99B5" w14:textId="77777777" w:rsidR="00A345F4" w:rsidRDefault="005E2D4E">
            <w:pPr>
              <w:pStyle w:val="P68B1DB1-Normal14"/>
              <w:spacing w:after="0" w:line="240" w:lineRule="auto"/>
              <w:jc w:val="both"/>
              <w:rPr>
                <w:noProof/>
              </w:rPr>
            </w:pPr>
            <w:r>
              <w:rPr>
                <w:noProof/>
              </w:rPr>
              <w:t>Réforme 1. Améliorer la qualité de la prise de décisions gouvernementales</w:t>
            </w:r>
          </w:p>
        </w:tc>
        <w:tc>
          <w:tcPr>
            <w:tcW w:w="1543" w:type="dxa"/>
            <w:shd w:val="clear" w:color="auto" w:fill="C6EFCE"/>
            <w:noWrap/>
          </w:tcPr>
          <w:p w14:paraId="370B6D7A"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4C73A80D" w14:textId="77777777" w:rsidR="00A345F4" w:rsidRDefault="005E2D4E">
            <w:pPr>
              <w:pStyle w:val="P68B1DB1-Normal14"/>
              <w:spacing w:after="0" w:line="240" w:lineRule="auto"/>
              <w:jc w:val="both"/>
              <w:rPr>
                <w:noProof/>
              </w:rPr>
            </w:pPr>
            <w:bookmarkStart w:id="30" w:name="_Hlk80360715"/>
            <w:r>
              <w:rPr>
                <w:noProof/>
              </w:rPr>
              <w:t>Entrée en vigueur des modifications législatives visant à assurer la publication du texte intégral des lois après les modifications</w:t>
            </w:r>
            <w:bookmarkEnd w:id="30"/>
          </w:p>
        </w:tc>
        <w:tc>
          <w:tcPr>
            <w:tcW w:w="1547" w:type="dxa"/>
            <w:shd w:val="clear" w:color="auto" w:fill="C6EFCE"/>
            <w:noWrap/>
          </w:tcPr>
          <w:p w14:paraId="0C02E68C" w14:textId="77777777" w:rsidR="00A345F4" w:rsidRDefault="005E2D4E">
            <w:pPr>
              <w:pStyle w:val="P68B1DB1-Normal14"/>
              <w:spacing w:after="0" w:line="240" w:lineRule="auto"/>
              <w:jc w:val="both"/>
              <w:rPr>
                <w:noProof/>
              </w:rPr>
            </w:pPr>
            <w:r>
              <w:rPr>
                <w:noProof/>
              </w:rPr>
              <w:t>Disposition de la loi indiquant l'entrée en vigueur de la loi pour la publication du texte intégral des lois après modifications</w:t>
            </w:r>
          </w:p>
        </w:tc>
        <w:tc>
          <w:tcPr>
            <w:tcW w:w="1344" w:type="dxa"/>
            <w:shd w:val="clear" w:color="auto" w:fill="C6EFCE"/>
            <w:noWrap/>
          </w:tcPr>
          <w:p w14:paraId="66534AF2"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246F07B3"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noWrap/>
          </w:tcPr>
          <w:p w14:paraId="52871313"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22F3B0D2" w14:textId="77777777" w:rsidR="00A345F4" w:rsidRDefault="005E2D4E">
            <w:pPr>
              <w:pStyle w:val="P68B1DB1-Normal14"/>
              <w:spacing w:after="0" w:line="240" w:lineRule="auto"/>
              <w:jc w:val="center"/>
              <w:rPr>
                <w:noProof/>
              </w:rPr>
            </w:pPr>
            <w:r>
              <w:rPr>
                <w:noProof/>
              </w:rPr>
              <w:t>T3</w:t>
            </w:r>
          </w:p>
        </w:tc>
        <w:tc>
          <w:tcPr>
            <w:tcW w:w="851" w:type="dxa"/>
            <w:shd w:val="clear" w:color="auto" w:fill="C6EFCE"/>
            <w:noWrap/>
          </w:tcPr>
          <w:p w14:paraId="79D337DC"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3712EF61" w14:textId="77777777" w:rsidR="00A345F4" w:rsidRDefault="005E2D4E">
            <w:pPr>
              <w:pStyle w:val="P68B1DB1-Normal14"/>
              <w:spacing w:after="0" w:line="240" w:lineRule="auto"/>
              <w:jc w:val="both"/>
              <w:rPr>
                <w:noProof/>
              </w:rPr>
            </w:pPr>
            <w:r>
              <w:rPr>
                <w:noProof/>
              </w:rPr>
              <w:t xml:space="preserve">Les modifications apportées à la loi 24/2000 sur la technique législative garantissent la publication du texte intégral de la loi après que des modifications y ont été apportées, ce qui n'est actuellement pas systématique. </w:t>
            </w:r>
          </w:p>
          <w:p w14:paraId="6C762AD6" w14:textId="77777777" w:rsidR="00A345F4" w:rsidRDefault="00A345F4">
            <w:pPr>
              <w:spacing w:after="0" w:line="240" w:lineRule="auto"/>
              <w:rPr>
                <w:rFonts w:ascii="Times New Roman" w:hAnsi="Times New Roman" w:cs="Times New Roman"/>
                <w:noProof/>
                <w:sz w:val="20"/>
                <w:szCs w:val="20"/>
              </w:rPr>
            </w:pPr>
          </w:p>
        </w:tc>
      </w:tr>
      <w:tr w:rsidR="00A345F4" w14:paraId="0A30124B" w14:textId="77777777" w:rsidTr="000D606E">
        <w:trPr>
          <w:trHeight w:val="309"/>
        </w:trPr>
        <w:tc>
          <w:tcPr>
            <w:tcW w:w="822" w:type="dxa"/>
            <w:shd w:val="clear" w:color="auto" w:fill="C6EFCE"/>
            <w:noWrap/>
          </w:tcPr>
          <w:p w14:paraId="643BBAFA" w14:textId="77777777" w:rsidR="00A345F4" w:rsidRDefault="005E2D4E">
            <w:pPr>
              <w:pStyle w:val="P68B1DB1-Normal14"/>
              <w:spacing w:after="0" w:line="240" w:lineRule="auto"/>
              <w:jc w:val="center"/>
              <w:rPr>
                <w:rFonts w:eastAsia="Times New Roman"/>
                <w:noProof/>
              </w:rPr>
            </w:pPr>
            <w:r>
              <w:rPr>
                <w:noProof/>
              </w:rPr>
              <w:t>413</w:t>
            </w:r>
          </w:p>
        </w:tc>
        <w:tc>
          <w:tcPr>
            <w:tcW w:w="2166" w:type="dxa"/>
            <w:shd w:val="clear" w:color="auto" w:fill="C6EFCE"/>
            <w:noWrap/>
          </w:tcPr>
          <w:p w14:paraId="6280EB93" w14:textId="77777777" w:rsidR="00A345F4" w:rsidRDefault="005E2D4E">
            <w:pPr>
              <w:pStyle w:val="P68B1DB1-Normal14"/>
              <w:spacing w:after="0" w:line="240" w:lineRule="auto"/>
              <w:jc w:val="both"/>
              <w:rPr>
                <w:noProof/>
              </w:rPr>
            </w:pPr>
            <w:r>
              <w:rPr>
                <w:noProof/>
              </w:rPr>
              <w:t>Réforme 2. Renforcer la gouvernance stratégique pour le climat, le développement durable et les politiques environnementales</w:t>
            </w:r>
          </w:p>
        </w:tc>
        <w:tc>
          <w:tcPr>
            <w:tcW w:w="1543" w:type="dxa"/>
            <w:shd w:val="clear" w:color="auto" w:fill="C6EFCE"/>
            <w:noWrap/>
          </w:tcPr>
          <w:p w14:paraId="06DA4FAE" w14:textId="77777777" w:rsidR="00A345F4" w:rsidRDefault="005E2D4E">
            <w:pPr>
              <w:pStyle w:val="P68B1DB1-Normal14"/>
              <w:spacing w:after="0" w:line="240" w:lineRule="auto"/>
              <w:rPr>
                <w:noProof/>
              </w:rPr>
            </w:pPr>
            <w:r>
              <w:rPr>
                <w:noProof/>
              </w:rPr>
              <w:t xml:space="preserve">Étape </w:t>
            </w:r>
          </w:p>
        </w:tc>
        <w:tc>
          <w:tcPr>
            <w:tcW w:w="1403" w:type="dxa"/>
            <w:shd w:val="clear" w:color="auto" w:fill="C6EFCE"/>
            <w:noWrap/>
          </w:tcPr>
          <w:p w14:paraId="002F818F" w14:textId="77777777" w:rsidR="00A345F4" w:rsidRDefault="005E2D4E">
            <w:pPr>
              <w:pStyle w:val="P68B1DB1-Normal14"/>
              <w:spacing w:after="0" w:line="240" w:lineRule="auto"/>
              <w:jc w:val="both"/>
              <w:rPr>
                <w:noProof/>
              </w:rPr>
            </w:pPr>
            <w:r>
              <w:rPr>
                <w:noProof/>
              </w:rPr>
              <w:t xml:space="preserve">Mise en place d'un comité interinstitutionnel sur le climat </w:t>
            </w:r>
          </w:p>
        </w:tc>
        <w:tc>
          <w:tcPr>
            <w:tcW w:w="1547" w:type="dxa"/>
            <w:shd w:val="clear" w:color="auto" w:fill="C6EFCE"/>
            <w:noWrap/>
          </w:tcPr>
          <w:p w14:paraId="3989F908" w14:textId="77777777" w:rsidR="00A345F4" w:rsidRDefault="005E2D4E">
            <w:pPr>
              <w:pStyle w:val="P68B1DB1-Normal14"/>
              <w:spacing w:after="0" w:line="240" w:lineRule="auto"/>
              <w:jc w:val="both"/>
              <w:rPr>
                <w:noProof/>
              </w:rPr>
            </w:pPr>
            <w:r>
              <w:rPr>
                <w:noProof/>
              </w:rPr>
              <w:t>Fonctionnement du Comité interinstitutionnel du climata-lised</w:t>
            </w:r>
          </w:p>
        </w:tc>
        <w:tc>
          <w:tcPr>
            <w:tcW w:w="1344" w:type="dxa"/>
            <w:shd w:val="clear" w:color="auto" w:fill="C6EFCE"/>
            <w:noWrap/>
          </w:tcPr>
          <w:p w14:paraId="7D237694"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54890FB7"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noWrap/>
          </w:tcPr>
          <w:p w14:paraId="292CB460"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331098FF" w14:textId="77777777" w:rsidR="00A345F4" w:rsidRDefault="005E2D4E">
            <w:pPr>
              <w:pStyle w:val="P68B1DB1-Normal14"/>
              <w:spacing w:after="0" w:line="240" w:lineRule="auto"/>
              <w:jc w:val="center"/>
              <w:rPr>
                <w:noProof/>
              </w:rPr>
            </w:pPr>
            <w:r>
              <w:rPr>
                <w:noProof/>
              </w:rPr>
              <w:t>T2</w:t>
            </w:r>
          </w:p>
        </w:tc>
        <w:tc>
          <w:tcPr>
            <w:tcW w:w="851" w:type="dxa"/>
            <w:shd w:val="clear" w:color="auto" w:fill="C6EFCE"/>
            <w:noWrap/>
          </w:tcPr>
          <w:p w14:paraId="1ECA4B7A"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51BE3CD2" w14:textId="77777777" w:rsidR="00A345F4" w:rsidRDefault="005E2D4E">
            <w:pPr>
              <w:pStyle w:val="P68B1DB1-Normal14"/>
              <w:spacing w:after="0" w:line="240" w:lineRule="auto"/>
              <w:jc w:val="both"/>
              <w:rPr>
                <w:noProof/>
              </w:rPr>
            </w:pPr>
            <w:r>
              <w:rPr>
                <w:noProof/>
              </w:rPr>
              <w:t xml:space="preserve">Le comité des changements climatiques se concentre, conformément à son mandat proposé, sur i) l’établissement de politiques prioritaires annuelles dans le domaine du changement climatique conformément aux objectifs du pacte vert pour l’Europe et au calendrier retenu par la Roumanie dans le cadre du plan national intégré en matière d’énergie et de changement climatique (PNIESC), ii) la coordination, le suivi et l’évaluation des autorités responsables de la mise en œuvre des politiques et mesures dans le cadre des activités du PNIESC, iii) l’approbation des indicateurs permettant de mesurer les engagements de la Roumanie en matière de climat. Les priorités du comité sont fixées et décidées lors de ses réunions, et celles-ci peuvent être de nature législative, financière ou fiscale, liées à l’élaboration de politiques publiques en matière d’investissements verts ou à la définition du cadre méthodologique ou administratif. Les priorités sont officiellement approuvées chaque année par le gouvernement et un plan d'action est adopté sur les mesures à prendre pour atteindre chaque priorité proposée, des délais clairs pour la mise en œuvre de chaque étape et les institutions responsables. </w:t>
            </w:r>
          </w:p>
        </w:tc>
      </w:tr>
      <w:tr w:rsidR="00A345F4" w14:paraId="1E602EFC" w14:textId="77777777" w:rsidTr="000D606E">
        <w:trPr>
          <w:trHeight w:val="309"/>
        </w:trPr>
        <w:tc>
          <w:tcPr>
            <w:tcW w:w="822" w:type="dxa"/>
            <w:shd w:val="clear" w:color="auto" w:fill="C6EFCE"/>
            <w:noWrap/>
          </w:tcPr>
          <w:p w14:paraId="713A7E17" w14:textId="77777777" w:rsidR="00A345F4" w:rsidRDefault="005E2D4E">
            <w:pPr>
              <w:pStyle w:val="P68B1DB1-Normal14"/>
              <w:spacing w:after="0" w:line="240" w:lineRule="auto"/>
              <w:jc w:val="center"/>
              <w:rPr>
                <w:rFonts w:eastAsia="Times New Roman"/>
                <w:noProof/>
              </w:rPr>
            </w:pPr>
            <w:r>
              <w:rPr>
                <w:noProof/>
              </w:rPr>
              <w:t>415</w:t>
            </w:r>
          </w:p>
        </w:tc>
        <w:tc>
          <w:tcPr>
            <w:tcW w:w="2166" w:type="dxa"/>
            <w:shd w:val="clear" w:color="auto" w:fill="C6EFCE"/>
            <w:noWrap/>
          </w:tcPr>
          <w:p w14:paraId="6C04370F" w14:textId="77777777" w:rsidR="00A345F4" w:rsidRDefault="005E2D4E">
            <w:pPr>
              <w:pStyle w:val="P68B1DB1-Normal14"/>
              <w:spacing w:after="0" w:line="240" w:lineRule="auto"/>
              <w:jc w:val="both"/>
              <w:rPr>
                <w:noProof/>
              </w:rPr>
            </w:pPr>
            <w:r>
              <w:rPr>
                <w:noProof/>
              </w:rPr>
              <w:t>Réforme 2. Renforcer la gouvernance stratégique pour le climat, le développement durable et les politiques environnementales </w:t>
            </w:r>
          </w:p>
        </w:tc>
        <w:tc>
          <w:tcPr>
            <w:tcW w:w="1543" w:type="dxa"/>
            <w:shd w:val="clear" w:color="auto" w:fill="C6EFCE"/>
            <w:noWrap/>
          </w:tcPr>
          <w:p w14:paraId="78C11A48"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231A2249" w14:textId="77777777" w:rsidR="00A345F4" w:rsidRDefault="005E2D4E">
            <w:pPr>
              <w:pStyle w:val="P68B1DB1-Normal14"/>
              <w:spacing w:after="180" w:line="240" w:lineRule="auto"/>
              <w:rPr>
                <w:noProof/>
              </w:rPr>
            </w:pPr>
            <w:r>
              <w:rPr>
                <w:noProof/>
              </w:rPr>
              <w:t xml:space="preserve">Établissement d ' un rôle d ' expert en matière de développement durable et élaboration d ' un programme de formation </w:t>
            </w:r>
          </w:p>
          <w:p w14:paraId="3CA2142D" w14:textId="77777777" w:rsidR="00A345F4" w:rsidRDefault="00A345F4">
            <w:pPr>
              <w:spacing w:after="0" w:line="240" w:lineRule="auto"/>
              <w:jc w:val="both"/>
              <w:rPr>
                <w:rFonts w:ascii="Times New Roman" w:hAnsi="Times New Roman" w:cs="Times New Roman"/>
                <w:noProof/>
                <w:sz w:val="20"/>
                <w:szCs w:val="20"/>
              </w:rPr>
            </w:pPr>
          </w:p>
        </w:tc>
        <w:tc>
          <w:tcPr>
            <w:tcW w:w="1547" w:type="dxa"/>
            <w:shd w:val="clear" w:color="auto" w:fill="C6EFCE"/>
            <w:noWrap/>
          </w:tcPr>
          <w:p w14:paraId="30ECCB08" w14:textId="7219B13B" w:rsidR="00A345F4" w:rsidRDefault="005E2D4E">
            <w:pPr>
              <w:pStyle w:val="P68B1DB1-Normal19"/>
              <w:spacing w:after="0" w:line="240" w:lineRule="auto"/>
              <w:jc w:val="both"/>
              <w:rPr>
                <w:noProof/>
              </w:rPr>
            </w:pPr>
            <w:r>
              <w:rPr>
                <w:noProof/>
              </w:rPr>
              <w:t xml:space="preserve">Disposition de l’acte juridique indiquant l’entrée en vigueur du rôle des experts en développement durable et confirmant l’accréditation du programme de formation des experts en développement durable. </w:t>
            </w:r>
          </w:p>
        </w:tc>
        <w:tc>
          <w:tcPr>
            <w:tcW w:w="1344" w:type="dxa"/>
            <w:shd w:val="clear" w:color="auto" w:fill="C6EFCE"/>
            <w:noWrap/>
          </w:tcPr>
          <w:p w14:paraId="0735ACBB"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3130259A"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noWrap/>
          </w:tcPr>
          <w:p w14:paraId="1F1F4A1B"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0E6ABA63" w14:textId="77777777" w:rsidR="00A345F4" w:rsidRDefault="005E2D4E">
            <w:pPr>
              <w:pStyle w:val="P68B1DB1-Normal14"/>
              <w:spacing w:after="0" w:line="240" w:lineRule="auto"/>
              <w:jc w:val="center"/>
              <w:rPr>
                <w:noProof/>
              </w:rPr>
            </w:pPr>
            <w:r>
              <w:rPr>
                <w:noProof/>
              </w:rPr>
              <w:t>T1</w:t>
            </w:r>
          </w:p>
        </w:tc>
        <w:tc>
          <w:tcPr>
            <w:tcW w:w="851" w:type="dxa"/>
            <w:shd w:val="clear" w:color="auto" w:fill="C6EFCE"/>
            <w:noWrap/>
          </w:tcPr>
          <w:p w14:paraId="2F7D33DE" w14:textId="77777777" w:rsidR="00A345F4" w:rsidRDefault="005E2D4E">
            <w:pPr>
              <w:pStyle w:val="P68B1DB1-Normal14"/>
              <w:spacing w:after="0" w:line="240" w:lineRule="auto"/>
              <w:jc w:val="center"/>
              <w:rPr>
                <w:noProof/>
              </w:rPr>
            </w:pPr>
            <w:r>
              <w:rPr>
                <w:noProof/>
              </w:rPr>
              <w:t>2026</w:t>
            </w:r>
          </w:p>
        </w:tc>
        <w:tc>
          <w:tcPr>
            <w:tcW w:w="2981" w:type="dxa"/>
            <w:shd w:val="clear" w:color="auto" w:fill="C6EFCE"/>
            <w:noWrap/>
          </w:tcPr>
          <w:p w14:paraId="713BA58F" w14:textId="4B89E1F7" w:rsidR="00A345F4" w:rsidRDefault="005E2D4E">
            <w:pPr>
              <w:pStyle w:val="P68B1DB1-Normal14"/>
              <w:spacing w:after="180" w:line="240" w:lineRule="auto"/>
              <w:jc w:val="both"/>
              <w:rPr>
                <w:rFonts w:eastAsia="Times New Roman"/>
                <w:noProof/>
              </w:rPr>
            </w:pPr>
            <w:r>
              <w:rPr>
                <w:noProof/>
              </w:rPr>
              <w:t xml:space="preserve">Ce jalon nécessite l’entrée en vigueur d’actes juridiques définissant le rôle de l’«expert en développement durable» dans l’administration publique. Les experts du développement durable ont suivi un programme de formation accrédité. </w:t>
            </w:r>
          </w:p>
          <w:p w14:paraId="184B5DF5" w14:textId="4C9F9124" w:rsidR="00A345F4" w:rsidRDefault="005E2D4E">
            <w:pPr>
              <w:pStyle w:val="P68B1DB1-Normal14"/>
              <w:spacing w:after="0" w:line="240" w:lineRule="auto"/>
              <w:ind w:left="-21"/>
              <w:jc w:val="both"/>
              <w:rPr>
                <w:noProof/>
              </w:rPr>
            </w:pPr>
            <w:r>
              <w:rPr>
                <w:noProof/>
              </w:rPr>
              <w:t xml:space="preserve"> </w:t>
            </w:r>
          </w:p>
        </w:tc>
      </w:tr>
      <w:tr w:rsidR="00A345F4" w14:paraId="7362FE76" w14:textId="77777777" w:rsidTr="000D606E">
        <w:trPr>
          <w:trHeight w:val="3075"/>
        </w:trPr>
        <w:tc>
          <w:tcPr>
            <w:tcW w:w="822" w:type="dxa"/>
            <w:shd w:val="clear" w:color="auto" w:fill="C6EFCE"/>
            <w:noWrap/>
          </w:tcPr>
          <w:p w14:paraId="6AF74F1D" w14:textId="77777777" w:rsidR="00A345F4" w:rsidRDefault="005E2D4E">
            <w:pPr>
              <w:pStyle w:val="P68B1DB1-Normal14"/>
              <w:spacing w:after="0" w:line="240" w:lineRule="auto"/>
              <w:jc w:val="center"/>
              <w:rPr>
                <w:rFonts w:eastAsia="Times New Roman"/>
                <w:noProof/>
              </w:rPr>
            </w:pPr>
            <w:r>
              <w:rPr>
                <w:noProof/>
              </w:rPr>
              <w:t>416</w:t>
            </w:r>
          </w:p>
          <w:p w14:paraId="2CA2F603" w14:textId="77777777" w:rsidR="00A345F4" w:rsidRDefault="00A345F4">
            <w:pPr>
              <w:spacing w:after="0" w:line="240" w:lineRule="auto"/>
              <w:jc w:val="center"/>
              <w:rPr>
                <w:rFonts w:ascii="Times New Roman" w:hAnsi="Times New Roman" w:cs="Times New Roman"/>
                <w:noProof/>
                <w:sz w:val="20"/>
                <w:szCs w:val="20"/>
              </w:rPr>
            </w:pPr>
          </w:p>
        </w:tc>
        <w:tc>
          <w:tcPr>
            <w:tcW w:w="2166" w:type="dxa"/>
            <w:shd w:val="clear" w:color="auto" w:fill="C6EFCE"/>
            <w:noWrap/>
          </w:tcPr>
          <w:p w14:paraId="02C488EA" w14:textId="20571A22" w:rsidR="00A345F4" w:rsidRDefault="005E2D4E">
            <w:pPr>
              <w:pStyle w:val="P68B1DB1-Normal14"/>
              <w:spacing w:after="0" w:line="240" w:lineRule="auto"/>
              <w:jc w:val="both"/>
              <w:rPr>
                <w:noProof/>
              </w:rPr>
            </w:pPr>
            <w:r>
              <w:rPr>
                <w:noProof/>
              </w:rPr>
              <w:t xml:space="preserve">Réforme 3. Moderniser la gestion des ressources humaines dans le secteur public </w:t>
            </w:r>
          </w:p>
        </w:tc>
        <w:tc>
          <w:tcPr>
            <w:tcW w:w="1543" w:type="dxa"/>
            <w:shd w:val="clear" w:color="auto" w:fill="C6EFCE"/>
            <w:noWrap/>
          </w:tcPr>
          <w:p w14:paraId="48C538D9"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5122AD62" w14:textId="77777777" w:rsidR="00A345F4" w:rsidRDefault="005E2D4E">
            <w:pPr>
              <w:pStyle w:val="P68B1DB1-Normal14"/>
              <w:spacing w:after="0" w:line="240" w:lineRule="auto"/>
              <w:jc w:val="both"/>
              <w:rPr>
                <w:noProof/>
              </w:rPr>
            </w:pPr>
            <w:r>
              <w:rPr>
                <w:noProof/>
              </w:rPr>
              <w:t>Concours pilote et organisation d'un concours national de recrutement de fonctionnaires</w:t>
            </w:r>
          </w:p>
        </w:tc>
        <w:tc>
          <w:tcPr>
            <w:tcW w:w="1547" w:type="dxa"/>
            <w:shd w:val="clear" w:color="auto" w:fill="C6EFCE"/>
            <w:noWrap/>
          </w:tcPr>
          <w:p w14:paraId="3A625D32" w14:textId="77777777" w:rsidR="00A345F4" w:rsidRDefault="005E2D4E">
            <w:pPr>
              <w:pStyle w:val="P68B1DB1-Normal14"/>
              <w:spacing w:after="0" w:line="240" w:lineRule="auto"/>
              <w:jc w:val="both"/>
              <w:rPr>
                <w:noProof/>
              </w:rPr>
            </w:pPr>
            <w:r>
              <w:rPr>
                <w:noProof/>
              </w:rPr>
              <w:t>Publication d'un rapport d'analyse ex post sur le concours pilote.</w:t>
            </w:r>
          </w:p>
          <w:p w14:paraId="6A9E23C6" w14:textId="77777777" w:rsidR="00A345F4" w:rsidRDefault="005E2D4E">
            <w:pPr>
              <w:pStyle w:val="P68B1DB1-Normal14"/>
              <w:spacing w:after="0" w:line="240" w:lineRule="auto"/>
              <w:jc w:val="both"/>
              <w:rPr>
                <w:noProof/>
              </w:rPr>
            </w:pPr>
            <w:r>
              <w:rPr>
                <w:noProof/>
              </w:rPr>
              <w:t>Réalisation du concours national de recrutement de fonctionnaires</w:t>
            </w:r>
          </w:p>
        </w:tc>
        <w:tc>
          <w:tcPr>
            <w:tcW w:w="1344" w:type="dxa"/>
            <w:shd w:val="clear" w:color="auto" w:fill="C6EFCE"/>
            <w:noWrap/>
          </w:tcPr>
          <w:p w14:paraId="4FCF5040"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5F46819D" w14:textId="77777777" w:rsidR="00A345F4" w:rsidRDefault="005E2D4E">
            <w:pPr>
              <w:pStyle w:val="P68B1DB1-Normal14"/>
              <w:spacing w:after="0" w:line="240" w:lineRule="auto"/>
              <w:rPr>
                <w:noProof/>
              </w:rPr>
            </w:pPr>
            <w:r>
              <w:rPr>
                <w:noProof/>
              </w:rPr>
              <w:t xml:space="preserve"> </w:t>
            </w:r>
          </w:p>
        </w:tc>
        <w:tc>
          <w:tcPr>
            <w:tcW w:w="976" w:type="dxa"/>
            <w:shd w:val="clear" w:color="auto" w:fill="C6EFCE"/>
            <w:noWrap/>
          </w:tcPr>
          <w:p w14:paraId="2EE74020" w14:textId="77777777" w:rsidR="00A345F4" w:rsidRDefault="005E2D4E">
            <w:pPr>
              <w:pStyle w:val="P68B1DB1-Normal14"/>
              <w:spacing w:after="0" w:line="240" w:lineRule="auto"/>
              <w:rPr>
                <w:noProof/>
              </w:rPr>
            </w:pPr>
            <w:r>
              <w:rPr>
                <w:noProof/>
              </w:rPr>
              <w:t xml:space="preserve"> </w:t>
            </w:r>
          </w:p>
        </w:tc>
        <w:tc>
          <w:tcPr>
            <w:tcW w:w="1134" w:type="dxa"/>
            <w:shd w:val="clear" w:color="auto" w:fill="C6EFCE"/>
            <w:noWrap/>
          </w:tcPr>
          <w:p w14:paraId="7893C82A" w14:textId="77777777" w:rsidR="00A345F4" w:rsidRDefault="005E2D4E">
            <w:pPr>
              <w:pStyle w:val="P68B1DB1-Normal14"/>
              <w:spacing w:after="0" w:line="240" w:lineRule="auto"/>
              <w:jc w:val="center"/>
              <w:rPr>
                <w:noProof/>
              </w:rPr>
            </w:pPr>
            <w:r>
              <w:rPr>
                <w:noProof/>
              </w:rPr>
              <w:t>T1</w:t>
            </w:r>
          </w:p>
        </w:tc>
        <w:tc>
          <w:tcPr>
            <w:tcW w:w="851" w:type="dxa"/>
            <w:shd w:val="clear" w:color="auto" w:fill="C6EFCE"/>
            <w:noWrap/>
          </w:tcPr>
          <w:p w14:paraId="5872EA78" w14:textId="77777777" w:rsidR="00A345F4" w:rsidRDefault="005E2D4E">
            <w:pPr>
              <w:pStyle w:val="P68B1DB1-Normal14"/>
              <w:spacing w:after="0" w:line="240" w:lineRule="auto"/>
              <w:jc w:val="center"/>
              <w:rPr>
                <w:noProof/>
              </w:rPr>
            </w:pPr>
            <w:r>
              <w:rPr>
                <w:noProof/>
              </w:rPr>
              <w:t>2026</w:t>
            </w:r>
          </w:p>
        </w:tc>
        <w:tc>
          <w:tcPr>
            <w:tcW w:w="2981" w:type="dxa"/>
            <w:shd w:val="clear" w:color="auto" w:fill="C6EFCE"/>
            <w:noWrap/>
          </w:tcPr>
          <w:p w14:paraId="4B99D722" w14:textId="77777777" w:rsidR="00A345F4" w:rsidRDefault="005E2D4E">
            <w:pPr>
              <w:pStyle w:val="P68B1DB1-Normal14"/>
              <w:spacing w:after="0" w:line="240" w:lineRule="auto"/>
              <w:jc w:val="both"/>
              <w:rPr>
                <w:rFonts w:eastAsia="Times New Roman"/>
                <w:noProof/>
              </w:rPr>
            </w:pPr>
            <w:r>
              <w:rPr>
                <w:noProof/>
              </w:rPr>
              <w:t>À la suite de l’exécution d’un concours pilote et de la publication de l’analyse ex post qui l’accompagne, une nouvelle procédure de recrutement dans la fonction publique nationale est introduite et utilisée.</w:t>
            </w:r>
          </w:p>
          <w:p w14:paraId="67DF0F83" w14:textId="77777777" w:rsidR="00A345F4" w:rsidRDefault="00A345F4">
            <w:pPr>
              <w:spacing w:after="0" w:line="240" w:lineRule="auto"/>
              <w:jc w:val="both"/>
              <w:rPr>
                <w:rFonts w:ascii="Times New Roman" w:hAnsi="Times New Roman" w:cs="Times New Roman"/>
                <w:noProof/>
                <w:sz w:val="20"/>
                <w:szCs w:val="20"/>
                <w:highlight w:val="yellow"/>
              </w:rPr>
            </w:pPr>
          </w:p>
        </w:tc>
      </w:tr>
      <w:tr w:rsidR="00A345F4" w14:paraId="550BC7F0" w14:textId="77777777" w:rsidTr="000D606E">
        <w:trPr>
          <w:trHeight w:val="3180"/>
        </w:trPr>
        <w:tc>
          <w:tcPr>
            <w:tcW w:w="822" w:type="dxa"/>
            <w:shd w:val="clear" w:color="auto" w:fill="C6EFCE"/>
            <w:noWrap/>
          </w:tcPr>
          <w:p w14:paraId="37C8E7F5" w14:textId="77777777" w:rsidR="00A345F4" w:rsidRDefault="005E2D4E">
            <w:pPr>
              <w:pStyle w:val="P68B1DB1-Normal14"/>
              <w:spacing w:after="0" w:line="240" w:lineRule="auto"/>
              <w:jc w:val="center"/>
              <w:rPr>
                <w:rFonts w:eastAsia="Times New Roman"/>
                <w:noProof/>
              </w:rPr>
            </w:pPr>
            <w:r>
              <w:rPr>
                <w:noProof/>
              </w:rPr>
              <w:t>418</w:t>
            </w:r>
          </w:p>
          <w:p w14:paraId="31777BD8" w14:textId="77777777" w:rsidR="00A345F4" w:rsidRDefault="00A345F4">
            <w:pPr>
              <w:spacing w:after="0" w:line="240" w:lineRule="auto"/>
              <w:jc w:val="center"/>
              <w:rPr>
                <w:rFonts w:ascii="Times New Roman" w:hAnsi="Times New Roman" w:cs="Times New Roman"/>
                <w:noProof/>
                <w:sz w:val="20"/>
                <w:szCs w:val="20"/>
              </w:rPr>
            </w:pPr>
          </w:p>
        </w:tc>
        <w:tc>
          <w:tcPr>
            <w:tcW w:w="2166" w:type="dxa"/>
            <w:shd w:val="clear" w:color="auto" w:fill="C6EFCE"/>
            <w:noWrap/>
          </w:tcPr>
          <w:p w14:paraId="4FD6DF24" w14:textId="77777777" w:rsidR="00A345F4" w:rsidRDefault="005E2D4E">
            <w:pPr>
              <w:pStyle w:val="P68B1DB1-Normal14"/>
              <w:spacing w:after="0" w:line="240" w:lineRule="auto"/>
              <w:jc w:val="both"/>
              <w:rPr>
                <w:noProof/>
              </w:rPr>
            </w:pPr>
            <w:r>
              <w:rPr>
                <w:noProof/>
              </w:rPr>
              <w:t>Réforme 3. Moderniser la gestion des ressources humaines dans le secteur public</w:t>
            </w:r>
          </w:p>
        </w:tc>
        <w:tc>
          <w:tcPr>
            <w:tcW w:w="1543" w:type="dxa"/>
            <w:shd w:val="clear" w:color="auto" w:fill="C6EFCE"/>
            <w:noWrap/>
          </w:tcPr>
          <w:p w14:paraId="013B4179"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594B66D1" w14:textId="77777777" w:rsidR="00A345F4" w:rsidRDefault="005E2D4E">
            <w:pPr>
              <w:pStyle w:val="P68B1DB1-Normal14"/>
              <w:spacing w:after="0" w:line="240" w:lineRule="auto"/>
              <w:jc w:val="both"/>
              <w:rPr>
                <w:noProof/>
              </w:rPr>
            </w:pPr>
            <w:r>
              <w:rPr>
                <w:noProof/>
              </w:rPr>
              <w:t>Entrée en vigueur d’actes juridiques pour l’adoption de cadres de gestion des ressources humaines et de compétences fondés sur le mérite dans l’administration publique centrale</w:t>
            </w:r>
            <w:r>
              <w:rPr>
                <w:noProof/>
              </w:rPr>
              <w:br/>
            </w:r>
          </w:p>
        </w:tc>
        <w:tc>
          <w:tcPr>
            <w:tcW w:w="1547" w:type="dxa"/>
            <w:shd w:val="clear" w:color="auto" w:fill="C6EFCE"/>
            <w:noWrap/>
          </w:tcPr>
          <w:p w14:paraId="3CB4520B" w14:textId="77777777" w:rsidR="00A345F4" w:rsidRDefault="005E2D4E">
            <w:pPr>
              <w:pStyle w:val="P68B1DB1-Normal14"/>
              <w:spacing w:after="0" w:line="240" w:lineRule="auto"/>
              <w:jc w:val="both"/>
              <w:rPr>
                <w:noProof/>
              </w:rPr>
            </w:pPr>
            <w:r>
              <w:rPr>
                <w:noProof/>
              </w:rPr>
              <w:t>Copies des actes juridiques adoptant des cadres de gestion des ressources humaines et de compétences fondés sur le mérite dans l’administration publique centrale</w:t>
            </w:r>
          </w:p>
        </w:tc>
        <w:tc>
          <w:tcPr>
            <w:tcW w:w="1344" w:type="dxa"/>
            <w:shd w:val="clear" w:color="auto" w:fill="C6EFCE"/>
            <w:noWrap/>
          </w:tcPr>
          <w:p w14:paraId="6CBC476F"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0E0D6C8E" w14:textId="77777777" w:rsidR="00A345F4" w:rsidRDefault="005E2D4E">
            <w:pPr>
              <w:pStyle w:val="P68B1DB1-Normal14"/>
              <w:spacing w:after="0" w:line="240" w:lineRule="auto"/>
              <w:rPr>
                <w:noProof/>
              </w:rPr>
            </w:pPr>
            <w:r>
              <w:rPr>
                <w:noProof/>
              </w:rPr>
              <w:t xml:space="preserve"> </w:t>
            </w:r>
          </w:p>
        </w:tc>
        <w:tc>
          <w:tcPr>
            <w:tcW w:w="976" w:type="dxa"/>
            <w:shd w:val="clear" w:color="auto" w:fill="C6EFCE"/>
            <w:noWrap/>
          </w:tcPr>
          <w:p w14:paraId="340A478C" w14:textId="77777777" w:rsidR="00A345F4" w:rsidRDefault="005E2D4E">
            <w:pPr>
              <w:pStyle w:val="P68B1DB1-Normal14"/>
              <w:spacing w:after="0" w:line="240" w:lineRule="auto"/>
              <w:rPr>
                <w:noProof/>
              </w:rPr>
            </w:pPr>
            <w:r>
              <w:rPr>
                <w:noProof/>
              </w:rPr>
              <w:t xml:space="preserve"> </w:t>
            </w:r>
          </w:p>
        </w:tc>
        <w:tc>
          <w:tcPr>
            <w:tcW w:w="1134" w:type="dxa"/>
            <w:shd w:val="clear" w:color="auto" w:fill="C6EFCE"/>
            <w:noWrap/>
          </w:tcPr>
          <w:p w14:paraId="09679609" w14:textId="77777777" w:rsidR="00A345F4" w:rsidRDefault="005E2D4E">
            <w:pPr>
              <w:pStyle w:val="P68B1DB1-Normal14"/>
              <w:spacing w:after="0" w:line="240" w:lineRule="auto"/>
              <w:jc w:val="center"/>
              <w:rPr>
                <w:noProof/>
              </w:rPr>
            </w:pPr>
            <w:r>
              <w:rPr>
                <w:noProof/>
              </w:rPr>
              <w:t>T2</w:t>
            </w:r>
          </w:p>
        </w:tc>
        <w:tc>
          <w:tcPr>
            <w:tcW w:w="851" w:type="dxa"/>
            <w:shd w:val="clear" w:color="auto" w:fill="C6EFCE"/>
            <w:noWrap/>
          </w:tcPr>
          <w:p w14:paraId="65F39861" w14:textId="77777777" w:rsidR="00A345F4" w:rsidRDefault="005E2D4E">
            <w:pPr>
              <w:pStyle w:val="P68B1DB1-Normal14"/>
              <w:spacing w:after="0" w:line="240" w:lineRule="auto"/>
              <w:jc w:val="center"/>
              <w:rPr>
                <w:noProof/>
              </w:rPr>
            </w:pPr>
            <w:r>
              <w:rPr>
                <w:noProof/>
              </w:rPr>
              <w:t>2026</w:t>
            </w:r>
          </w:p>
        </w:tc>
        <w:tc>
          <w:tcPr>
            <w:tcW w:w="2981" w:type="dxa"/>
            <w:shd w:val="clear" w:color="auto" w:fill="C6EFCE"/>
            <w:noWrap/>
          </w:tcPr>
          <w:p w14:paraId="4D29BB85" w14:textId="77777777" w:rsidR="00A345F4" w:rsidRDefault="005E2D4E">
            <w:pPr>
              <w:pStyle w:val="P68B1DB1-Normal14"/>
              <w:spacing w:after="0" w:line="240" w:lineRule="auto"/>
              <w:rPr>
                <w:noProof/>
              </w:rPr>
            </w:pPr>
            <w:r>
              <w:rPr>
                <w:noProof/>
              </w:rPr>
              <w:t>Les actes juridiques entrent en vigueur pour soutenir l’évolution de carrière fondée sur le mérite des fonctionnaires et de la gestion des agents contractuels. Un cadre de compétences est adopté pour les procédures de recrutement et d’évaluation des performances dans l’administration publique centrale.</w:t>
            </w:r>
          </w:p>
        </w:tc>
      </w:tr>
      <w:tr w:rsidR="00A345F4" w14:paraId="4915E462" w14:textId="77777777" w:rsidTr="000D606E">
        <w:trPr>
          <w:trHeight w:val="309"/>
        </w:trPr>
        <w:tc>
          <w:tcPr>
            <w:tcW w:w="822" w:type="dxa"/>
            <w:shd w:val="clear" w:color="auto" w:fill="C6EFCE"/>
            <w:noWrap/>
          </w:tcPr>
          <w:p w14:paraId="40022E3C" w14:textId="77777777" w:rsidR="00A345F4" w:rsidRDefault="005E2D4E">
            <w:pPr>
              <w:pStyle w:val="P68B1DB1-Normal14"/>
              <w:spacing w:after="0" w:line="240" w:lineRule="auto"/>
              <w:jc w:val="center"/>
              <w:rPr>
                <w:rFonts w:eastAsia="Times New Roman"/>
                <w:noProof/>
              </w:rPr>
            </w:pPr>
            <w:r>
              <w:rPr>
                <w:noProof/>
              </w:rPr>
              <w:t>420</w:t>
            </w:r>
          </w:p>
        </w:tc>
        <w:tc>
          <w:tcPr>
            <w:tcW w:w="2166" w:type="dxa"/>
            <w:shd w:val="clear" w:color="auto" w:fill="C6EFCE"/>
            <w:noWrap/>
          </w:tcPr>
          <w:p w14:paraId="2EB48ACA" w14:textId="77777777" w:rsidR="00A345F4" w:rsidRDefault="005E2D4E">
            <w:pPr>
              <w:pStyle w:val="P68B1DB1-Normal14"/>
              <w:spacing w:after="0" w:line="240" w:lineRule="auto"/>
              <w:jc w:val="both"/>
              <w:rPr>
                <w:noProof/>
              </w:rPr>
            </w:pPr>
            <w:r>
              <w:rPr>
                <w:noProof/>
              </w:rPr>
              <w:t>Réforme 4. Développement d'un système de rémunération unitaire équitable dans le secteur public</w:t>
            </w:r>
          </w:p>
        </w:tc>
        <w:tc>
          <w:tcPr>
            <w:tcW w:w="1543" w:type="dxa"/>
            <w:shd w:val="clear" w:color="auto" w:fill="C6EFCE"/>
            <w:noWrap/>
          </w:tcPr>
          <w:p w14:paraId="5F3D3CCD"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4B526102" w14:textId="77777777" w:rsidR="00A345F4" w:rsidRDefault="005E2D4E">
            <w:pPr>
              <w:pStyle w:val="P68B1DB1-Normal19"/>
              <w:spacing w:after="0" w:line="240" w:lineRule="auto"/>
              <w:jc w:val="both"/>
              <w:rPr>
                <w:noProof/>
              </w:rPr>
            </w:pPr>
            <w:r>
              <w:rPr>
                <w:noProof/>
              </w:rPr>
              <w:t>Publication au Journal officiel des actes juridiques relatifs à la rémunération des agents du secteur public</w:t>
            </w:r>
          </w:p>
        </w:tc>
        <w:tc>
          <w:tcPr>
            <w:tcW w:w="1547" w:type="dxa"/>
            <w:shd w:val="clear" w:color="auto" w:fill="C6EFCE"/>
            <w:noWrap/>
          </w:tcPr>
          <w:p w14:paraId="32607014" w14:textId="77777777" w:rsidR="00A345F4" w:rsidRDefault="005E2D4E">
            <w:pPr>
              <w:pStyle w:val="P68B1DB1-Normal14"/>
              <w:spacing w:after="0" w:line="240" w:lineRule="auto"/>
              <w:jc w:val="both"/>
              <w:rPr>
                <w:noProof/>
              </w:rPr>
            </w:pPr>
            <w:r>
              <w:rPr>
                <w:noProof/>
              </w:rPr>
              <w:t>Actes juridiques publiés au Journal officiel</w:t>
            </w:r>
          </w:p>
        </w:tc>
        <w:tc>
          <w:tcPr>
            <w:tcW w:w="1344" w:type="dxa"/>
            <w:shd w:val="clear" w:color="auto" w:fill="C6EFCE"/>
            <w:noWrap/>
          </w:tcPr>
          <w:p w14:paraId="38B88DC0"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1B22DA77" w14:textId="77777777" w:rsidR="00A345F4" w:rsidRDefault="005E2D4E">
            <w:pPr>
              <w:pStyle w:val="P68B1DB1-Normal14"/>
              <w:spacing w:after="0" w:line="240" w:lineRule="auto"/>
              <w:rPr>
                <w:noProof/>
              </w:rPr>
            </w:pPr>
            <w:r>
              <w:rPr>
                <w:noProof/>
              </w:rPr>
              <w:t xml:space="preserve"> </w:t>
            </w:r>
          </w:p>
        </w:tc>
        <w:tc>
          <w:tcPr>
            <w:tcW w:w="976" w:type="dxa"/>
            <w:shd w:val="clear" w:color="auto" w:fill="C6EFCE"/>
            <w:noWrap/>
          </w:tcPr>
          <w:p w14:paraId="2323C74C" w14:textId="77777777" w:rsidR="00A345F4" w:rsidRDefault="005E2D4E">
            <w:pPr>
              <w:pStyle w:val="P68B1DB1-Normal14"/>
              <w:spacing w:after="0" w:line="240" w:lineRule="auto"/>
              <w:rPr>
                <w:noProof/>
              </w:rPr>
            </w:pPr>
            <w:r>
              <w:rPr>
                <w:noProof/>
              </w:rPr>
              <w:t xml:space="preserve"> </w:t>
            </w:r>
          </w:p>
        </w:tc>
        <w:tc>
          <w:tcPr>
            <w:tcW w:w="1134" w:type="dxa"/>
            <w:shd w:val="clear" w:color="auto" w:fill="C6EFCE"/>
            <w:noWrap/>
          </w:tcPr>
          <w:p w14:paraId="2EA16DB3" w14:textId="77777777" w:rsidR="00A345F4" w:rsidRDefault="005E2D4E">
            <w:pPr>
              <w:pStyle w:val="P68B1DB1-Normal14"/>
              <w:spacing w:after="0" w:line="240" w:lineRule="auto"/>
              <w:jc w:val="center"/>
              <w:rPr>
                <w:noProof/>
              </w:rPr>
            </w:pPr>
            <w:r>
              <w:rPr>
                <w:noProof/>
              </w:rPr>
              <w:t>T2</w:t>
            </w:r>
          </w:p>
        </w:tc>
        <w:tc>
          <w:tcPr>
            <w:tcW w:w="851" w:type="dxa"/>
            <w:shd w:val="clear" w:color="auto" w:fill="C6EFCE"/>
            <w:noWrap/>
          </w:tcPr>
          <w:p w14:paraId="01FA439F" w14:textId="77777777" w:rsidR="00A345F4" w:rsidRDefault="005E2D4E">
            <w:pPr>
              <w:pStyle w:val="P68B1DB1-Normal14"/>
              <w:spacing w:after="0" w:line="240" w:lineRule="auto"/>
              <w:jc w:val="center"/>
              <w:rPr>
                <w:noProof/>
              </w:rPr>
            </w:pPr>
            <w:r>
              <w:rPr>
                <w:noProof/>
              </w:rPr>
              <w:t>2026</w:t>
            </w:r>
          </w:p>
        </w:tc>
        <w:tc>
          <w:tcPr>
            <w:tcW w:w="2981" w:type="dxa"/>
            <w:shd w:val="clear" w:color="auto" w:fill="C6EFCE"/>
            <w:noWrap/>
          </w:tcPr>
          <w:p w14:paraId="7900EB32" w14:textId="77777777" w:rsidR="00A345F4" w:rsidRDefault="005E2D4E">
            <w:pPr>
              <w:pStyle w:val="P68B1DB1-Normal14"/>
              <w:spacing w:after="0" w:line="240" w:lineRule="auto"/>
              <w:jc w:val="both"/>
              <w:rPr>
                <w:noProof/>
              </w:rPr>
            </w:pPr>
            <w:r>
              <w:rPr>
                <w:noProof/>
              </w:rPr>
              <w:t>Publication au Journal officiel des actes juridiques relatifs à la rémunération des agents du secteur public. Les nouveaux actes juridiques entrent en vigueur après un délai raisonnable et au plus tard le 31 décembre 2026. Cette entrée en vigueur est automatique et n'entraîne pas d'autres mesures juridiques d'exécution.</w:t>
            </w:r>
          </w:p>
          <w:p w14:paraId="334BE576" w14:textId="2D40E0DA" w:rsidR="00A345F4" w:rsidRDefault="005E2D4E">
            <w:pPr>
              <w:pStyle w:val="P68B1DB1-Normal14"/>
              <w:spacing w:after="0" w:line="240" w:lineRule="auto"/>
              <w:jc w:val="both"/>
              <w:rPr>
                <w:noProof/>
              </w:rPr>
            </w:pPr>
            <w:r>
              <w:rPr>
                <w:noProof/>
              </w:rPr>
              <w:t xml:space="preserve">Les nouveaux actes juridiques relatifs à la rémunération des employés du secteur public établissent une méthode de calcul unifiée afin de garantir un système salarial viable sur le plan budgétaire, équitable et axé sur les performances. </w:t>
            </w:r>
          </w:p>
          <w:p w14:paraId="01AEB9DC" w14:textId="77777777" w:rsidR="00A345F4" w:rsidRDefault="005E2D4E">
            <w:pPr>
              <w:pStyle w:val="P68B1DB1-Normal19"/>
              <w:spacing w:after="0" w:line="240" w:lineRule="auto"/>
              <w:jc w:val="both"/>
              <w:rPr>
                <w:noProof/>
              </w:rPr>
            </w:pPr>
            <w:r>
              <w:rPr>
                <w:noProof/>
              </w:rPr>
              <w:t>Les niveaux des salaires de base du secteur public en vigueur en août 2025 restent inchangés et constituent le point de départ de la conception de la réforme.</w:t>
            </w:r>
          </w:p>
          <w:p w14:paraId="271CE62B" w14:textId="77777777" w:rsidR="00A345F4" w:rsidRDefault="005E2D4E">
            <w:pPr>
              <w:pStyle w:val="P68B1DB1-Normal19"/>
              <w:spacing w:after="0" w:line="240" w:lineRule="auto"/>
              <w:jc w:val="both"/>
              <w:rPr>
                <w:noProof/>
              </w:rPr>
            </w:pPr>
            <w:r>
              <w:rPr>
                <w:noProof/>
              </w:rPr>
              <w:t>En 2027, l’augmentation nominale de la masse salariale totale ne dépassera pas la croissance du PIB nominal pour 2027, comme prévu par la Commission européenne dans ses prévisions du printemps 2026. Elle est également cohérente avec l’objectif du plan stratégique pluriannuel visant à réduire la masse salariale publique, en pourcentage du PIB, d’au moins 1,5 point de pourcentage entre 2024 et 2031. La réforme soutient l’objectif de déficit public pour 2027 de 5,3 % du PIB implicite dans la recommandation révisée du Conseil au titre de l’article 126, paragraphe 7, du TFUE.</w:t>
            </w:r>
          </w:p>
          <w:p w14:paraId="1AB6D0C6" w14:textId="77777777" w:rsidR="00A345F4" w:rsidRDefault="005E2D4E">
            <w:pPr>
              <w:pStyle w:val="P68B1DB1-Normal14"/>
              <w:spacing w:after="0" w:line="240" w:lineRule="auto"/>
              <w:ind w:left="37" w:hanging="37"/>
              <w:jc w:val="both"/>
              <w:rPr>
                <w:noProof/>
              </w:rPr>
            </w:pPr>
            <w:r>
              <w:rPr>
                <w:noProof/>
              </w:rPr>
              <w:t>La méthode proposée pour le nouveau calcul des salaires est fondée sur:</w:t>
            </w:r>
          </w:p>
          <w:p w14:paraId="7273FB8B" w14:textId="77777777" w:rsidR="00A345F4" w:rsidRDefault="005E2D4E">
            <w:pPr>
              <w:pStyle w:val="P68B1DB1-ListParagraph29"/>
              <w:numPr>
                <w:ilvl w:val="0"/>
                <w:numId w:val="63"/>
              </w:numPr>
              <w:spacing w:after="0" w:line="240" w:lineRule="auto"/>
              <w:ind w:left="179" w:hanging="142"/>
              <w:jc w:val="both"/>
              <w:rPr>
                <w:noProof/>
              </w:rPr>
            </w:pPr>
            <w:r>
              <w:rPr>
                <w:noProof/>
              </w:rPr>
              <w:t>une structure de classement unique pour toutes les familles d’emplois professionnels et un classement révisé des emplois dans le secteur public, conçu sur la base d’une méthode analytique d’évaluation des emplois;</w:t>
            </w:r>
          </w:p>
          <w:p w14:paraId="6685E580" w14:textId="77777777" w:rsidR="00A345F4" w:rsidRDefault="005E2D4E">
            <w:pPr>
              <w:pStyle w:val="P68B1DB1-ListParagraph29"/>
              <w:numPr>
                <w:ilvl w:val="0"/>
                <w:numId w:val="63"/>
              </w:numPr>
              <w:spacing w:after="0" w:line="240" w:lineRule="auto"/>
              <w:ind w:left="179" w:hanging="142"/>
              <w:jc w:val="both"/>
              <w:rPr>
                <w:noProof/>
              </w:rPr>
            </w:pPr>
            <w:r>
              <w:rPr>
                <w:noProof/>
              </w:rPr>
              <w:t>une échelle de rémunération unique pour le secteur public, correspondant à tous les emplois du secteur public couverts par l’actuelle loi sur les rémunérations (loi-cadre no 153/2017);</w:t>
            </w:r>
          </w:p>
          <w:p w14:paraId="39C24FD1" w14:textId="77777777" w:rsidR="00A345F4" w:rsidRDefault="005E2D4E">
            <w:pPr>
              <w:pStyle w:val="P68B1DB1-ListParagraph29"/>
              <w:numPr>
                <w:ilvl w:val="0"/>
                <w:numId w:val="63"/>
              </w:numPr>
              <w:spacing w:after="0" w:line="240" w:lineRule="auto"/>
              <w:ind w:left="179" w:hanging="142"/>
              <w:jc w:val="both"/>
              <w:rPr>
                <w:noProof/>
              </w:rPr>
            </w:pPr>
            <w:r>
              <w:rPr>
                <w:noProof/>
              </w:rPr>
              <w:t>la révision du système de rémunération variable, qui couvre tous les droits salariaux en dehors du traitement de base, et le plafonnement du montant des primes à 20 % du traitement de base, au niveau de chaque ordonnateur principal de crédit.</w:t>
            </w:r>
          </w:p>
          <w:p w14:paraId="6E7CE97A" w14:textId="77777777" w:rsidR="00A345F4" w:rsidRDefault="005E2D4E">
            <w:pPr>
              <w:pStyle w:val="P68B1DB1-Normal14"/>
              <w:spacing w:after="0" w:line="240" w:lineRule="auto"/>
              <w:jc w:val="both"/>
              <w:rPr>
                <w:noProof/>
              </w:rPr>
            </w:pPr>
            <w:r>
              <w:rPr>
                <w:noProof/>
              </w:rPr>
              <w:t xml:space="preserve">Les nouveaux actes juridiques comprennent des mécanismes institutionnels visant à prévenir les augmentations ad hoc des composantes de base et variable des salaires. Parmi ceux-ci, les actes juridiques établissent clairement le mandat institutionnel conjoint et la responsabilité du ministère du Travail et du ministère des Finances pour la conception, l'application, le suivi, la gestion et la révision de la politique salariale du secteur public. Les actes juridiques définissent une feuille de route sur l’évolution des niveaux de salaire de base pour chaque famille d’emplois pour les cinq prochaines années. </w:t>
            </w:r>
          </w:p>
        </w:tc>
      </w:tr>
      <w:tr w:rsidR="00A345F4" w14:paraId="52E6CB15" w14:textId="77777777" w:rsidTr="000D606E">
        <w:trPr>
          <w:trHeight w:val="309"/>
        </w:trPr>
        <w:tc>
          <w:tcPr>
            <w:tcW w:w="822" w:type="dxa"/>
            <w:shd w:val="clear" w:color="auto" w:fill="C6EFCE"/>
            <w:noWrap/>
          </w:tcPr>
          <w:p w14:paraId="67E74F34" w14:textId="77777777" w:rsidR="00A345F4" w:rsidRDefault="005E2D4E">
            <w:pPr>
              <w:pStyle w:val="P68B1DB1-Normal14"/>
              <w:spacing w:after="0" w:line="240" w:lineRule="auto"/>
              <w:jc w:val="center"/>
              <w:rPr>
                <w:rFonts w:eastAsia="Times New Roman"/>
                <w:noProof/>
              </w:rPr>
            </w:pPr>
            <w:r>
              <w:rPr>
                <w:noProof/>
              </w:rPr>
              <w:t>421</w:t>
            </w:r>
          </w:p>
        </w:tc>
        <w:tc>
          <w:tcPr>
            <w:tcW w:w="2166" w:type="dxa"/>
            <w:shd w:val="clear" w:color="auto" w:fill="C6EFCE"/>
            <w:noWrap/>
          </w:tcPr>
          <w:p w14:paraId="2FD6624C" w14:textId="77777777" w:rsidR="00A345F4" w:rsidRDefault="005E2D4E">
            <w:pPr>
              <w:pStyle w:val="P68B1DB1-Normal14"/>
              <w:spacing w:after="0" w:line="240" w:lineRule="auto"/>
              <w:jc w:val="both"/>
              <w:rPr>
                <w:noProof/>
              </w:rPr>
            </w:pPr>
            <w:r>
              <w:rPr>
                <w:noProof/>
              </w:rPr>
              <w:t>Réforme 5. Garantir l’indépendance du pouvoir judiciaire, améliorer sa qualité et son efficacité</w:t>
            </w:r>
          </w:p>
        </w:tc>
        <w:tc>
          <w:tcPr>
            <w:tcW w:w="1543" w:type="dxa"/>
            <w:shd w:val="clear" w:color="auto" w:fill="C6EFCE"/>
            <w:noWrap/>
          </w:tcPr>
          <w:p w14:paraId="4E85C05F"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7C31D047" w14:textId="77777777" w:rsidR="00A345F4" w:rsidRDefault="005E2D4E">
            <w:pPr>
              <w:pStyle w:val="P68B1DB1-Normal14"/>
              <w:spacing w:after="0" w:line="240" w:lineRule="auto"/>
              <w:jc w:val="both"/>
              <w:rPr>
                <w:noProof/>
              </w:rPr>
            </w:pPr>
            <w:r>
              <w:rPr>
                <w:noProof/>
              </w:rPr>
              <w:t xml:space="preserve">Entrée en vigueur de la décision du gouvernement approuvant la stratégie pour le développement du système judiciaire 2022-2025 </w:t>
            </w:r>
          </w:p>
        </w:tc>
        <w:tc>
          <w:tcPr>
            <w:tcW w:w="1547" w:type="dxa"/>
            <w:shd w:val="clear" w:color="auto" w:fill="C6EFCE"/>
            <w:noWrap/>
          </w:tcPr>
          <w:p w14:paraId="1E1036D8" w14:textId="77777777" w:rsidR="00A345F4" w:rsidRDefault="005E2D4E">
            <w:pPr>
              <w:pStyle w:val="P68B1DB1-Normal14"/>
              <w:spacing w:after="0" w:line="240" w:lineRule="auto"/>
              <w:jc w:val="both"/>
              <w:rPr>
                <w:noProof/>
              </w:rPr>
            </w:pPr>
            <w:r>
              <w:rPr>
                <w:noProof/>
              </w:rPr>
              <w:t>Disposition de la décision du gouvernement indiquant l'adoption de la stratégie de développement du pouvoir judiciaire</w:t>
            </w:r>
          </w:p>
        </w:tc>
        <w:tc>
          <w:tcPr>
            <w:tcW w:w="1344" w:type="dxa"/>
            <w:shd w:val="clear" w:color="auto" w:fill="C6EFCE"/>
            <w:noWrap/>
          </w:tcPr>
          <w:p w14:paraId="6F14CA77"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0BA83ACF" w14:textId="77777777" w:rsidR="00A345F4" w:rsidRDefault="005E2D4E">
            <w:pPr>
              <w:pStyle w:val="P68B1DB1-Normal14"/>
              <w:spacing w:after="0" w:line="240" w:lineRule="auto"/>
              <w:rPr>
                <w:noProof/>
              </w:rPr>
            </w:pPr>
            <w:r>
              <w:rPr>
                <w:noProof/>
              </w:rPr>
              <w:t xml:space="preserve"> </w:t>
            </w:r>
          </w:p>
        </w:tc>
        <w:tc>
          <w:tcPr>
            <w:tcW w:w="976" w:type="dxa"/>
            <w:shd w:val="clear" w:color="auto" w:fill="C6EFCE"/>
            <w:noWrap/>
          </w:tcPr>
          <w:p w14:paraId="4FE4C92D" w14:textId="77777777" w:rsidR="00A345F4" w:rsidRDefault="005E2D4E">
            <w:pPr>
              <w:pStyle w:val="P68B1DB1-Normal14"/>
              <w:spacing w:after="0" w:line="240" w:lineRule="auto"/>
              <w:rPr>
                <w:noProof/>
              </w:rPr>
            </w:pPr>
            <w:r>
              <w:rPr>
                <w:noProof/>
              </w:rPr>
              <w:t xml:space="preserve"> </w:t>
            </w:r>
          </w:p>
        </w:tc>
        <w:tc>
          <w:tcPr>
            <w:tcW w:w="1134" w:type="dxa"/>
            <w:shd w:val="clear" w:color="auto" w:fill="C6EFCE"/>
            <w:noWrap/>
          </w:tcPr>
          <w:p w14:paraId="1706A31C" w14:textId="77777777" w:rsidR="00A345F4" w:rsidRDefault="005E2D4E">
            <w:pPr>
              <w:pStyle w:val="P68B1DB1-Normal14"/>
              <w:spacing w:after="0" w:line="240" w:lineRule="auto"/>
              <w:jc w:val="center"/>
              <w:rPr>
                <w:noProof/>
              </w:rPr>
            </w:pPr>
            <w:r>
              <w:rPr>
                <w:noProof/>
              </w:rPr>
              <w:t>T1</w:t>
            </w:r>
          </w:p>
        </w:tc>
        <w:tc>
          <w:tcPr>
            <w:tcW w:w="851" w:type="dxa"/>
            <w:shd w:val="clear" w:color="auto" w:fill="C6EFCE"/>
            <w:noWrap/>
          </w:tcPr>
          <w:p w14:paraId="74AC21E4"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7B470215" w14:textId="77777777" w:rsidR="00A345F4" w:rsidRDefault="005E2D4E">
            <w:pPr>
              <w:pStyle w:val="P68B1DB1-Normal14"/>
              <w:spacing w:after="0" w:line="240" w:lineRule="auto"/>
              <w:jc w:val="both"/>
              <w:rPr>
                <w:noProof/>
              </w:rPr>
            </w:pPr>
            <w:r>
              <w:rPr>
                <w:noProof/>
              </w:rPr>
              <w:t>Le ministère de la justice élabore la nouvelle stratégie sur la base des analyses internes et des propositions reçues au cours du processus de consultation publique, après quoi la stratégie est approuvée et entre en vigueur.</w:t>
            </w:r>
          </w:p>
          <w:p w14:paraId="0A9D14ED" w14:textId="324424DD" w:rsidR="00A345F4" w:rsidRDefault="005E2D4E">
            <w:pPr>
              <w:pStyle w:val="P68B1DB1-Normal14"/>
              <w:spacing w:after="0" w:line="240" w:lineRule="auto"/>
              <w:jc w:val="both"/>
              <w:rPr>
                <w:noProof/>
              </w:rPr>
            </w:pPr>
            <w:r>
              <w:rPr>
                <w:noProof/>
              </w:rPr>
              <w:br/>
              <w:t xml:space="preserve">La stratégie comporte deux piliers: </w:t>
            </w:r>
          </w:p>
          <w:p w14:paraId="47388D8E" w14:textId="77777777" w:rsidR="00A345F4" w:rsidRDefault="005E2D4E">
            <w:pPr>
              <w:pStyle w:val="P68B1DB1-Normal14"/>
              <w:spacing w:after="0" w:line="240" w:lineRule="auto"/>
              <w:jc w:val="both"/>
              <w:rPr>
                <w:noProof/>
              </w:rPr>
            </w:pPr>
            <w:r>
              <w:rPr>
                <w:noProof/>
              </w:rPr>
              <w:t xml:space="preserve">(1) le premier pilier concerne les politiques visant à renforcer l'indépendance du pouvoir judiciaire et l'État de droit. Les résultats des politiques relatives au renforcement de l’état de droit sont évalués objectivement au moyen d’indicateurs de réalisation spécifiques, qui sont élaborés dans le cadre de la stratégie. Les mesures et indicateurs sont élaborés en tenant compte des conclusions du rapport sur l’état de droit. </w:t>
            </w:r>
          </w:p>
          <w:p w14:paraId="5F9B6909" w14:textId="77777777" w:rsidR="00A345F4" w:rsidRDefault="005E2D4E">
            <w:pPr>
              <w:pStyle w:val="P68B1DB1-Normal14"/>
              <w:spacing w:after="0" w:line="240" w:lineRule="auto"/>
              <w:jc w:val="both"/>
              <w:rPr>
                <w:noProof/>
              </w:rPr>
            </w:pPr>
            <w:r>
              <w:rPr>
                <w:noProof/>
              </w:rPr>
              <w:t>2) le deuxième pilier comprend des politiques visant à renforcer les capacités institutionnelles en matière de ressources, de processus et de gestion, ainsi que des politiques relatives à la qualité et à l'efficacité des services dans le système judiciaire, telles que: a) l'utilisation efficace des ressources humaines (par exemple, la charge de travail); b) la politique d'optimisation de l'infrastructure judiciaire, y compris l'infrastructure physique; c) la transformation numérique – au moyen des mesures suivantes:</w:t>
            </w:r>
          </w:p>
          <w:p w14:paraId="6819600D" w14:textId="77777777" w:rsidR="00A345F4" w:rsidRDefault="005E2D4E">
            <w:pPr>
              <w:pStyle w:val="P68B1DB1-Normal14"/>
              <w:numPr>
                <w:ilvl w:val="0"/>
                <w:numId w:val="41"/>
              </w:numPr>
              <w:spacing w:after="0" w:line="240" w:lineRule="auto"/>
              <w:ind w:left="179" w:hanging="179"/>
              <w:jc w:val="both"/>
              <w:rPr>
                <w:noProof/>
              </w:rPr>
            </w:pPr>
            <w:r>
              <w:rPr>
                <w:noProof/>
              </w:rPr>
              <w:t xml:space="preserve">l’interaction numérique du justiciable et de toute entité intéressée avec le pouvoir judiciaire, </w:t>
            </w:r>
          </w:p>
          <w:p w14:paraId="3086AE23" w14:textId="77777777" w:rsidR="00A345F4" w:rsidRDefault="005E2D4E">
            <w:pPr>
              <w:pStyle w:val="P68B1DB1-Normal14"/>
              <w:numPr>
                <w:ilvl w:val="0"/>
                <w:numId w:val="41"/>
              </w:numPr>
              <w:spacing w:after="0" w:line="240" w:lineRule="auto"/>
              <w:ind w:left="179" w:hanging="179"/>
              <w:jc w:val="both"/>
              <w:rPr>
                <w:noProof/>
              </w:rPr>
            </w:pPr>
            <w:r>
              <w:rPr>
                <w:noProof/>
              </w:rPr>
              <w:t xml:space="preserve">signature électronique et cachet électronique. </w:t>
            </w:r>
          </w:p>
          <w:p w14:paraId="39D33F45" w14:textId="77777777" w:rsidR="00A345F4" w:rsidRDefault="005E2D4E">
            <w:pPr>
              <w:pStyle w:val="P68B1DB1-Normal14"/>
              <w:numPr>
                <w:ilvl w:val="0"/>
                <w:numId w:val="64"/>
              </w:numPr>
              <w:spacing w:after="0" w:line="240" w:lineRule="auto"/>
              <w:ind w:left="179" w:hanging="179"/>
              <w:jc w:val="both"/>
              <w:rPr>
                <w:noProof/>
              </w:rPr>
            </w:pPr>
            <w:r>
              <w:rPr>
                <w:noProof/>
              </w:rPr>
              <w:t xml:space="preserve">la disponibilité d’une meilleure communication des données pour le dossier électronique (qui est une possibilité pour les justiciables d’accéder électroniquement aux dossiers judiciaires). </w:t>
            </w:r>
          </w:p>
          <w:p w14:paraId="782F09A3" w14:textId="77777777" w:rsidR="00A345F4" w:rsidRDefault="005E2D4E">
            <w:pPr>
              <w:pStyle w:val="P68B1DB1-Normal14"/>
              <w:numPr>
                <w:ilvl w:val="0"/>
                <w:numId w:val="64"/>
              </w:numPr>
              <w:spacing w:after="0" w:line="240" w:lineRule="auto"/>
              <w:ind w:left="179" w:hanging="179"/>
              <w:jc w:val="both"/>
              <w:rPr>
                <w:noProof/>
              </w:rPr>
            </w:pPr>
            <w:r>
              <w:rPr>
                <w:noProof/>
              </w:rPr>
              <w:t>l’élaboration d’une stratégie sectorielle transfrontalière pour la numérisation des archives physiques.</w:t>
            </w:r>
          </w:p>
          <w:p w14:paraId="3F91AEAC" w14:textId="77777777" w:rsidR="00A345F4" w:rsidRDefault="005E2D4E">
            <w:pPr>
              <w:pStyle w:val="P68B1DB1-Normal14"/>
              <w:spacing w:after="0" w:line="240" w:lineRule="auto"/>
              <w:jc w:val="both"/>
              <w:rPr>
                <w:noProof/>
              </w:rPr>
            </w:pPr>
            <w:r>
              <w:rPr>
                <w:noProof/>
              </w:rPr>
              <w:t>Les progrès accomplis dans la mise en œuvre de la stratégie font l’objet d’un suivi et d’une évaluation à l’aide d’un ensemble d’indicateurs élaborés sur la base de ressources objectives telles que le tableau de bord de la justice dans l’UE et le rapport de la CE sur l’état de droit.</w:t>
            </w:r>
          </w:p>
        </w:tc>
      </w:tr>
      <w:tr w:rsidR="00A345F4" w14:paraId="6C29003D" w14:textId="77777777" w:rsidTr="000D606E">
        <w:trPr>
          <w:trHeight w:val="309"/>
        </w:trPr>
        <w:tc>
          <w:tcPr>
            <w:tcW w:w="822" w:type="dxa"/>
            <w:shd w:val="clear" w:color="auto" w:fill="C6EFCE"/>
            <w:noWrap/>
          </w:tcPr>
          <w:p w14:paraId="7B09D338" w14:textId="77777777" w:rsidR="00A345F4" w:rsidRDefault="005E2D4E">
            <w:pPr>
              <w:pStyle w:val="P68B1DB1-Normal14"/>
              <w:spacing w:after="0" w:line="240" w:lineRule="auto"/>
              <w:jc w:val="center"/>
              <w:rPr>
                <w:rFonts w:eastAsia="Times New Roman"/>
                <w:noProof/>
              </w:rPr>
            </w:pPr>
            <w:r>
              <w:rPr>
                <w:noProof/>
              </w:rPr>
              <w:t>422</w:t>
            </w:r>
          </w:p>
        </w:tc>
        <w:tc>
          <w:tcPr>
            <w:tcW w:w="2166" w:type="dxa"/>
            <w:shd w:val="clear" w:color="auto" w:fill="C6EFCE"/>
            <w:noWrap/>
          </w:tcPr>
          <w:p w14:paraId="42F90F71" w14:textId="77777777" w:rsidR="00A345F4" w:rsidRDefault="005E2D4E">
            <w:pPr>
              <w:pStyle w:val="P68B1DB1-Normal14"/>
              <w:spacing w:after="0" w:line="240" w:lineRule="auto"/>
              <w:jc w:val="both"/>
              <w:rPr>
                <w:noProof/>
              </w:rPr>
            </w:pPr>
            <w:r>
              <w:rPr>
                <w:noProof/>
              </w:rPr>
              <w:t>Réforme 5. Garantir l’indépendance du pouvoir judiciaire, améliorer sa qualité et son efficacité</w:t>
            </w:r>
          </w:p>
        </w:tc>
        <w:tc>
          <w:tcPr>
            <w:tcW w:w="1543" w:type="dxa"/>
            <w:shd w:val="clear" w:color="auto" w:fill="C6EFCE"/>
            <w:noWrap/>
          </w:tcPr>
          <w:p w14:paraId="67D244E1"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08A95BFC" w14:textId="77777777" w:rsidR="00A345F4" w:rsidRDefault="005E2D4E">
            <w:pPr>
              <w:pStyle w:val="P68B1DB1-Normal14"/>
              <w:spacing w:after="0" w:line="240" w:lineRule="auto"/>
              <w:jc w:val="both"/>
              <w:rPr>
                <w:noProof/>
              </w:rPr>
            </w:pPr>
            <w:r>
              <w:rPr>
                <w:noProof/>
              </w:rPr>
              <w:t>Entrée en vigueur de la loi modifiant les pouvoirs de l'Agence nationale pour la gestion des biens saisis</w:t>
            </w:r>
          </w:p>
        </w:tc>
        <w:tc>
          <w:tcPr>
            <w:tcW w:w="1547" w:type="dxa"/>
            <w:shd w:val="clear" w:color="auto" w:fill="C6EFCE"/>
            <w:noWrap/>
          </w:tcPr>
          <w:p w14:paraId="643A89C4" w14:textId="77777777" w:rsidR="00A345F4" w:rsidRDefault="005E2D4E">
            <w:pPr>
              <w:pStyle w:val="P68B1DB1-Normal14"/>
              <w:spacing w:after="0" w:line="240" w:lineRule="auto"/>
              <w:jc w:val="both"/>
              <w:rPr>
                <w:noProof/>
              </w:rPr>
            </w:pPr>
            <w:r>
              <w:rPr>
                <w:noProof/>
              </w:rPr>
              <w:t>Disposition de la loi indiquant l'entrée en vigueur de la loi modifiant les pouvoirs de l'Agence nationale pour la gestion des biens saisis</w:t>
            </w:r>
          </w:p>
        </w:tc>
        <w:tc>
          <w:tcPr>
            <w:tcW w:w="1344" w:type="dxa"/>
            <w:shd w:val="clear" w:color="auto" w:fill="C6EFCE"/>
            <w:noWrap/>
          </w:tcPr>
          <w:p w14:paraId="34C41F63"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62F4E41E" w14:textId="77777777" w:rsidR="00A345F4" w:rsidRDefault="005E2D4E">
            <w:pPr>
              <w:pStyle w:val="P68B1DB1-Normal14"/>
              <w:spacing w:after="0" w:line="240" w:lineRule="auto"/>
              <w:rPr>
                <w:noProof/>
              </w:rPr>
            </w:pPr>
            <w:r>
              <w:rPr>
                <w:noProof/>
              </w:rPr>
              <w:t xml:space="preserve"> </w:t>
            </w:r>
          </w:p>
        </w:tc>
        <w:tc>
          <w:tcPr>
            <w:tcW w:w="976" w:type="dxa"/>
            <w:shd w:val="clear" w:color="auto" w:fill="C6EFCE"/>
            <w:noWrap/>
          </w:tcPr>
          <w:p w14:paraId="67E033DB" w14:textId="77777777" w:rsidR="00A345F4" w:rsidRDefault="005E2D4E">
            <w:pPr>
              <w:pStyle w:val="P68B1DB1-Normal14"/>
              <w:spacing w:after="0" w:line="240" w:lineRule="auto"/>
              <w:rPr>
                <w:noProof/>
              </w:rPr>
            </w:pPr>
            <w:r>
              <w:rPr>
                <w:noProof/>
              </w:rPr>
              <w:t xml:space="preserve"> </w:t>
            </w:r>
          </w:p>
        </w:tc>
        <w:tc>
          <w:tcPr>
            <w:tcW w:w="1134" w:type="dxa"/>
            <w:shd w:val="clear" w:color="auto" w:fill="C6EFCE"/>
            <w:noWrap/>
          </w:tcPr>
          <w:p w14:paraId="1F32340C" w14:textId="77777777" w:rsidR="00A345F4" w:rsidRDefault="005E2D4E">
            <w:pPr>
              <w:pStyle w:val="P68B1DB1-Normal14"/>
              <w:spacing w:after="0" w:line="240" w:lineRule="auto"/>
              <w:jc w:val="center"/>
              <w:rPr>
                <w:noProof/>
              </w:rPr>
            </w:pPr>
            <w:r>
              <w:rPr>
                <w:noProof/>
              </w:rPr>
              <w:t>T2</w:t>
            </w:r>
          </w:p>
        </w:tc>
        <w:tc>
          <w:tcPr>
            <w:tcW w:w="851" w:type="dxa"/>
            <w:shd w:val="clear" w:color="auto" w:fill="C6EFCE"/>
            <w:noWrap/>
          </w:tcPr>
          <w:p w14:paraId="640381E1"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759A868D" w14:textId="77777777" w:rsidR="00A345F4" w:rsidRDefault="005E2D4E">
            <w:pPr>
              <w:pStyle w:val="P68B1DB1-Normal14"/>
              <w:spacing w:after="0" w:line="240" w:lineRule="auto"/>
              <w:jc w:val="both"/>
              <w:rPr>
                <w:noProof/>
              </w:rPr>
            </w:pPr>
            <w:r>
              <w:rPr>
                <w:noProof/>
              </w:rPr>
              <w:t xml:space="preserve">L’acte législatif transpose la directive (UE) 2019/1153 et introduit plusieurs modifications liées à l’extension du mandat institutionnel, en abordant des questions telles que: l'administration et la valorisation des biens saisis et la collaboration avec d'autres organismes compétents dans le processus de recouvrement des dommages-intérêts. </w:t>
            </w:r>
          </w:p>
          <w:p w14:paraId="4428CC0E" w14:textId="77777777" w:rsidR="00A345F4" w:rsidRDefault="00A345F4">
            <w:pPr>
              <w:spacing w:after="0" w:line="240" w:lineRule="auto"/>
              <w:rPr>
                <w:rFonts w:ascii="Times New Roman" w:hAnsi="Times New Roman" w:cs="Times New Roman"/>
                <w:noProof/>
                <w:sz w:val="20"/>
                <w:szCs w:val="20"/>
              </w:rPr>
            </w:pPr>
          </w:p>
        </w:tc>
      </w:tr>
      <w:tr w:rsidR="00A345F4" w14:paraId="44A599E5" w14:textId="77777777" w:rsidTr="000D606E">
        <w:trPr>
          <w:trHeight w:val="309"/>
        </w:trPr>
        <w:tc>
          <w:tcPr>
            <w:tcW w:w="822" w:type="dxa"/>
            <w:shd w:val="clear" w:color="auto" w:fill="C6EFCE"/>
            <w:noWrap/>
          </w:tcPr>
          <w:p w14:paraId="7BFB051D" w14:textId="77777777" w:rsidR="00A345F4" w:rsidRDefault="005E2D4E">
            <w:pPr>
              <w:pStyle w:val="P68B1DB1-Normal59"/>
              <w:spacing w:after="0" w:line="240" w:lineRule="auto"/>
              <w:jc w:val="center"/>
              <w:rPr>
                <w:noProof/>
              </w:rPr>
            </w:pPr>
            <w:r>
              <w:rPr>
                <w:noProof/>
              </w:rPr>
              <w:t>423</w:t>
            </w:r>
          </w:p>
        </w:tc>
        <w:tc>
          <w:tcPr>
            <w:tcW w:w="2166" w:type="dxa"/>
            <w:shd w:val="clear" w:color="auto" w:fill="C6EFCE"/>
            <w:noWrap/>
          </w:tcPr>
          <w:p w14:paraId="68002B89" w14:textId="77777777" w:rsidR="00A345F4" w:rsidRDefault="005E2D4E">
            <w:pPr>
              <w:pStyle w:val="P68B1DB1-Normal59"/>
              <w:spacing w:after="0" w:line="240" w:lineRule="auto"/>
              <w:jc w:val="both"/>
              <w:rPr>
                <w:noProof/>
              </w:rPr>
            </w:pPr>
            <w:r>
              <w:rPr>
                <w:noProof/>
              </w:rPr>
              <w:t>Réforme 5. Garantir l’indépendance du pouvoir judiciaire, améliorer sa qualité et son efficacité</w:t>
            </w:r>
          </w:p>
        </w:tc>
        <w:tc>
          <w:tcPr>
            <w:tcW w:w="1543" w:type="dxa"/>
            <w:shd w:val="clear" w:color="auto" w:fill="C6EFCE"/>
            <w:noWrap/>
          </w:tcPr>
          <w:p w14:paraId="6993064D" w14:textId="77777777" w:rsidR="00A345F4" w:rsidRDefault="005E2D4E">
            <w:pPr>
              <w:pStyle w:val="P68B1DB1-Normal59"/>
              <w:spacing w:after="0" w:line="240" w:lineRule="auto"/>
              <w:rPr>
                <w:noProof/>
              </w:rPr>
            </w:pPr>
            <w:r>
              <w:rPr>
                <w:noProof/>
              </w:rPr>
              <w:t>Étape</w:t>
            </w:r>
          </w:p>
        </w:tc>
        <w:tc>
          <w:tcPr>
            <w:tcW w:w="1403" w:type="dxa"/>
            <w:shd w:val="clear" w:color="auto" w:fill="C6EFCE"/>
            <w:noWrap/>
          </w:tcPr>
          <w:p w14:paraId="4865A884" w14:textId="77777777" w:rsidR="00A345F4" w:rsidRDefault="005E2D4E">
            <w:pPr>
              <w:pStyle w:val="P68B1DB1-Normal59"/>
              <w:spacing w:after="0" w:line="240" w:lineRule="auto"/>
              <w:jc w:val="both"/>
              <w:rPr>
                <w:noProof/>
              </w:rPr>
            </w:pPr>
            <w:r>
              <w:rPr>
                <w:noProof/>
              </w:rPr>
              <w:t>Entrée en vigueur des «lois sur la justice» (lois sur le statut des magistrats, organisation judiciaire, Conseil supérieur de la magistrature)</w:t>
            </w:r>
          </w:p>
        </w:tc>
        <w:tc>
          <w:tcPr>
            <w:tcW w:w="1547" w:type="dxa"/>
            <w:shd w:val="clear" w:color="auto" w:fill="C6EFCE"/>
            <w:noWrap/>
          </w:tcPr>
          <w:p w14:paraId="7EFEA30C" w14:textId="77777777" w:rsidR="00A345F4" w:rsidRDefault="005E2D4E">
            <w:pPr>
              <w:pStyle w:val="P68B1DB1-Normal59"/>
              <w:spacing w:after="0" w:line="240" w:lineRule="auto"/>
              <w:jc w:val="both"/>
              <w:rPr>
                <w:noProof/>
              </w:rPr>
            </w:pPr>
            <w:r>
              <w:rPr>
                <w:noProof/>
              </w:rPr>
              <w:t xml:space="preserve">Disposition de chaque loi indiquant son entrée en vigueur </w:t>
            </w:r>
          </w:p>
        </w:tc>
        <w:tc>
          <w:tcPr>
            <w:tcW w:w="1344" w:type="dxa"/>
            <w:shd w:val="clear" w:color="auto" w:fill="C6EFCE"/>
            <w:noWrap/>
          </w:tcPr>
          <w:p w14:paraId="09C1EE10" w14:textId="77777777" w:rsidR="00A345F4" w:rsidRDefault="005E2D4E">
            <w:pPr>
              <w:pStyle w:val="P68B1DB1-Normal59"/>
              <w:spacing w:after="0" w:line="240" w:lineRule="auto"/>
              <w:rPr>
                <w:noProof/>
              </w:rPr>
            </w:pPr>
            <w:r>
              <w:rPr>
                <w:noProof/>
              </w:rPr>
              <w:t xml:space="preserve"> </w:t>
            </w:r>
          </w:p>
        </w:tc>
        <w:tc>
          <w:tcPr>
            <w:tcW w:w="1109" w:type="dxa"/>
            <w:shd w:val="clear" w:color="auto" w:fill="C6EFCE"/>
            <w:noWrap/>
          </w:tcPr>
          <w:p w14:paraId="6FD68219" w14:textId="77777777" w:rsidR="00A345F4" w:rsidRDefault="005E2D4E">
            <w:pPr>
              <w:pStyle w:val="P68B1DB1-Normal59"/>
              <w:spacing w:after="0" w:line="240" w:lineRule="auto"/>
              <w:rPr>
                <w:noProof/>
              </w:rPr>
            </w:pPr>
            <w:r>
              <w:rPr>
                <w:noProof/>
              </w:rPr>
              <w:t xml:space="preserve"> </w:t>
            </w:r>
          </w:p>
        </w:tc>
        <w:tc>
          <w:tcPr>
            <w:tcW w:w="976" w:type="dxa"/>
            <w:shd w:val="clear" w:color="auto" w:fill="C6EFCE"/>
            <w:noWrap/>
          </w:tcPr>
          <w:p w14:paraId="1349F252" w14:textId="77777777" w:rsidR="00A345F4" w:rsidRDefault="005E2D4E">
            <w:pPr>
              <w:pStyle w:val="P68B1DB1-Normal59"/>
              <w:spacing w:after="0" w:line="240" w:lineRule="auto"/>
              <w:rPr>
                <w:noProof/>
              </w:rPr>
            </w:pPr>
            <w:r>
              <w:rPr>
                <w:noProof/>
              </w:rPr>
              <w:t xml:space="preserve"> </w:t>
            </w:r>
          </w:p>
        </w:tc>
        <w:tc>
          <w:tcPr>
            <w:tcW w:w="1134" w:type="dxa"/>
            <w:shd w:val="clear" w:color="auto" w:fill="C6EFCE"/>
            <w:noWrap/>
          </w:tcPr>
          <w:p w14:paraId="16E1E35F" w14:textId="77777777" w:rsidR="00A345F4" w:rsidRDefault="005E2D4E">
            <w:pPr>
              <w:pStyle w:val="P68B1DB1-Normal59"/>
              <w:spacing w:after="0" w:line="240" w:lineRule="auto"/>
              <w:jc w:val="center"/>
              <w:rPr>
                <w:noProof/>
              </w:rPr>
            </w:pPr>
            <w:r>
              <w:rPr>
                <w:noProof/>
              </w:rPr>
              <w:t>T2</w:t>
            </w:r>
          </w:p>
        </w:tc>
        <w:tc>
          <w:tcPr>
            <w:tcW w:w="851" w:type="dxa"/>
            <w:shd w:val="clear" w:color="auto" w:fill="C6EFCE"/>
            <w:noWrap/>
          </w:tcPr>
          <w:p w14:paraId="72DC7419" w14:textId="77777777" w:rsidR="00A345F4" w:rsidRDefault="005E2D4E">
            <w:pPr>
              <w:pStyle w:val="P68B1DB1-Normal59"/>
              <w:spacing w:after="0" w:line="240" w:lineRule="auto"/>
              <w:rPr>
                <w:noProof/>
              </w:rPr>
            </w:pPr>
            <w:r>
              <w:rPr>
                <w:noProof/>
              </w:rPr>
              <w:t>2023</w:t>
            </w:r>
          </w:p>
        </w:tc>
        <w:tc>
          <w:tcPr>
            <w:tcW w:w="2981" w:type="dxa"/>
            <w:shd w:val="clear" w:color="auto" w:fill="C6EFCE"/>
            <w:noWrap/>
          </w:tcPr>
          <w:p w14:paraId="0E5ED2F4" w14:textId="77777777" w:rsidR="00A345F4" w:rsidRDefault="005E2D4E">
            <w:pPr>
              <w:pStyle w:val="P68B1DB1-Normal19"/>
              <w:spacing w:after="0" w:line="240" w:lineRule="auto"/>
              <w:jc w:val="both"/>
              <w:rPr>
                <w:noProof/>
                <w:color w:val="000000" w:themeColor="text1"/>
              </w:rPr>
            </w:pPr>
            <w:r>
              <w:rPr>
                <w:noProof/>
                <w:color w:val="000000" w:themeColor="text1"/>
              </w:rPr>
              <w:t xml:space="preserve">Les nouvelles lois sur la justice prévoient une plus grande indépendance des juges et des procureurs et l'admission à la profession de magistrat. </w:t>
            </w:r>
          </w:p>
          <w:p w14:paraId="66CF9575" w14:textId="77777777" w:rsidR="00A345F4" w:rsidRDefault="005E2D4E">
            <w:pPr>
              <w:pStyle w:val="P68B1DB1-Normal59"/>
              <w:spacing w:after="0" w:line="240" w:lineRule="auto"/>
              <w:jc w:val="both"/>
              <w:rPr>
                <w:noProof/>
              </w:rPr>
            </w:pPr>
            <w:r>
              <w:rPr>
                <w:noProof/>
              </w:rPr>
              <w:t>et l’avancement professionnel pour des motifs méritocratiques, la responsabilité des magistrats, ainsi que leur protection contre toute ingérence et tout abus.</w:t>
            </w:r>
          </w:p>
        </w:tc>
      </w:tr>
      <w:tr w:rsidR="00A345F4" w14:paraId="232A7AC1" w14:textId="77777777" w:rsidTr="000D606E">
        <w:trPr>
          <w:trHeight w:val="309"/>
        </w:trPr>
        <w:tc>
          <w:tcPr>
            <w:tcW w:w="822" w:type="dxa"/>
            <w:shd w:val="clear" w:color="auto" w:fill="C6EFCE"/>
            <w:noWrap/>
          </w:tcPr>
          <w:p w14:paraId="200DD1B7" w14:textId="77777777" w:rsidR="00A345F4" w:rsidRDefault="005E2D4E">
            <w:pPr>
              <w:pStyle w:val="P68B1DB1-Normal14"/>
              <w:spacing w:after="0" w:line="240" w:lineRule="auto"/>
              <w:jc w:val="center"/>
              <w:rPr>
                <w:rFonts w:eastAsia="Times New Roman"/>
                <w:noProof/>
              </w:rPr>
            </w:pPr>
            <w:r>
              <w:rPr>
                <w:noProof/>
              </w:rPr>
              <w:t>424</w:t>
            </w:r>
          </w:p>
        </w:tc>
        <w:tc>
          <w:tcPr>
            <w:tcW w:w="2166" w:type="dxa"/>
            <w:shd w:val="clear" w:color="auto" w:fill="C6EFCE"/>
            <w:noWrap/>
          </w:tcPr>
          <w:p w14:paraId="4D33260F" w14:textId="77777777" w:rsidR="00A345F4" w:rsidRDefault="005E2D4E">
            <w:pPr>
              <w:pStyle w:val="P68B1DB1-Normal14"/>
              <w:spacing w:after="0" w:line="240" w:lineRule="auto"/>
              <w:jc w:val="both"/>
              <w:rPr>
                <w:noProof/>
              </w:rPr>
            </w:pPr>
            <w:r>
              <w:rPr>
                <w:noProof/>
              </w:rPr>
              <w:t>Réforme 5. Garantir l’indépendance du pouvoir judiciaire, améliorer sa qualité et son efficacité</w:t>
            </w:r>
          </w:p>
        </w:tc>
        <w:tc>
          <w:tcPr>
            <w:tcW w:w="1543" w:type="dxa"/>
            <w:shd w:val="clear" w:color="auto" w:fill="C6EFCE"/>
            <w:noWrap/>
          </w:tcPr>
          <w:p w14:paraId="3E47D95A"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656A2B9B" w14:textId="77777777" w:rsidR="00A345F4" w:rsidRDefault="005E2D4E">
            <w:pPr>
              <w:pStyle w:val="P68B1DB1-Normal14"/>
              <w:spacing w:after="0" w:line="240" w:lineRule="auto"/>
              <w:jc w:val="both"/>
              <w:rPr>
                <w:noProof/>
              </w:rPr>
            </w:pPr>
            <w:bookmarkStart w:id="31" w:name="_Hlk80360815"/>
            <w:r>
              <w:rPr>
                <w:noProof/>
              </w:rPr>
              <w:t xml:space="preserve">Modification du Code pénal et du Code de procédure pénale </w:t>
            </w:r>
            <w:bookmarkEnd w:id="31"/>
          </w:p>
        </w:tc>
        <w:tc>
          <w:tcPr>
            <w:tcW w:w="1547" w:type="dxa"/>
            <w:shd w:val="clear" w:color="auto" w:fill="C6EFCE"/>
            <w:noWrap/>
          </w:tcPr>
          <w:p w14:paraId="3517D850" w14:textId="77777777" w:rsidR="00A345F4" w:rsidRDefault="005E2D4E">
            <w:pPr>
              <w:pStyle w:val="P68B1DB1-Normal14"/>
              <w:spacing w:after="0" w:line="240" w:lineRule="auto"/>
              <w:jc w:val="both"/>
              <w:rPr>
                <w:noProof/>
              </w:rPr>
            </w:pPr>
            <w:r>
              <w:rPr>
                <w:noProof/>
              </w:rPr>
              <w:t xml:space="preserve">Disposition de la loi indiquant l'entrée en vigueur de la loi </w:t>
            </w:r>
          </w:p>
        </w:tc>
        <w:tc>
          <w:tcPr>
            <w:tcW w:w="1344" w:type="dxa"/>
            <w:shd w:val="clear" w:color="auto" w:fill="C6EFCE"/>
            <w:noWrap/>
          </w:tcPr>
          <w:p w14:paraId="6ED24A54"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147A6D7B"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noWrap/>
          </w:tcPr>
          <w:p w14:paraId="37C6CFFD"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6126019D" w14:textId="77777777" w:rsidR="00A345F4" w:rsidRDefault="005E2D4E">
            <w:pPr>
              <w:pStyle w:val="P68B1DB1-Normal14"/>
              <w:spacing w:after="0" w:line="240" w:lineRule="auto"/>
              <w:jc w:val="center"/>
              <w:rPr>
                <w:noProof/>
              </w:rPr>
            </w:pPr>
            <w:r>
              <w:rPr>
                <w:noProof/>
              </w:rPr>
              <w:t>T4</w:t>
            </w:r>
          </w:p>
        </w:tc>
        <w:tc>
          <w:tcPr>
            <w:tcW w:w="851" w:type="dxa"/>
            <w:shd w:val="clear" w:color="auto" w:fill="C6EFCE"/>
            <w:noWrap/>
          </w:tcPr>
          <w:p w14:paraId="0A18C2AC"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72F103C4" w14:textId="77777777" w:rsidR="00A345F4" w:rsidRDefault="005E2D4E">
            <w:pPr>
              <w:pStyle w:val="P68B1DB1-Normal14"/>
              <w:spacing w:after="0" w:line="240" w:lineRule="auto"/>
              <w:jc w:val="both"/>
              <w:rPr>
                <w:noProof/>
              </w:rPr>
            </w:pPr>
            <w:r>
              <w:rPr>
                <w:noProof/>
              </w:rPr>
              <w:t xml:space="preserve">Les modifications nécessaires du Code pénal et du Code de procédure pénale seront adoptées et entreront en vigueur afin de mettre les dispositions du Code pénal et du Code de procédure pénale entrés en vigueur en 2014 en conformité avec les dispositions constitutionnelles, conformément aux décisions pertinentes de la Cour constitutionnelle nationale sur les aspects constitutionnels des récentes modifications apportées au Code pénal et à la procédure pénale. </w:t>
            </w:r>
          </w:p>
        </w:tc>
      </w:tr>
      <w:tr w:rsidR="00A345F4" w14:paraId="2FFF31C6" w14:textId="77777777" w:rsidTr="000D606E">
        <w:trPr>
          <w:trHeight w:val="309"/>
        </w:trPr>
        <w:tc>
          <w:tcPr>
            <w:tcW w:w="822" w:type="dxa"/>
            <w:shd w:val="clear" w:color="auto" w:fill="C6EFCE"/>
            <w:noWrap/>
          </w:tcPr>
          <w:p w14:paraId="2FB3FE07" w14:textId="77777777" w:rsidR="00A345F4" w:rsidRDefault="005E2D4E">
            <w:pPr>
              <w:pStyle w:val="P68B1DB1-Normal14"/>
              <w:spacing w:after="0" w:line="240" w:lineRule="auto"/>
              <w:jc w:val="center"/>
              <w:rPr>
                <w:rFonts w:eastAsia="Times New Roman"/>
                <w:noProof/>
              </w:rPr>
            </w:pPr>
            <w:r>
              <w:rPr>
                <w:noProof/>
              </w:rPr>
              <w:t>426</w:t>
            </w:r>
          </w:p>
        </w:tc>
        <w:tc>
          <w:tcPr>
            <w:tcW w:w="2166" w:type="dxa"/>
            <w:shd w:val="clear" w:color="auto" w:fill="C6EFCE"/>
            <w:noWrap/>
          </w:tcPr>
          <w:p w14:paraId="27252A10" w14:textId="77777777" w:rsidR="00A345F4" w:rsidRDefault="005E2D4E">
            <w:pPr>
              <w:pStyle w:val="P68B1DB1-Normal14"/>
              <w:spacing w:after="0" w:line="240" w:lineRule="auto"/>
              <w:jc w:val="both"/>
              <w:rPr>
                <w:noProof/>
              </w:rPr>
            </w:pPr>
            <w:r>
              <w:rPr>
                <w:noProof/>
              </w:rPr>
              <w:t xml:space="preserve">Réforme 6. Intensifier la lutte contre la corruption </w:t>
            </w:r>
          </w:p>
        </w:tc>
        <w:tc>
          <w:tcPr>
            <w:tcW w:w="1543" w:type="dxa"/>
            <w:shd w:val="clear" w:color="auto" w:fill="C6EFCE"/>
            <w:noWrap/>
          </w:tcPr>
          <w:p w14:paraId="57CB6148"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305FED36" w14:textId="77777777" w:rsidR="00A345F4" w:rsidRDefault="005E2D4E">
            <w:pPr>
              <w:pStyle w:val="P68B1DB1-Normal14"/>
              <w:spacing w:after="0" w:line="240" w:lineRule="auto"/>
              <w:jc w:val="both"/>
              <w:rPr>
                <w:noProof/>
              </w:rPr>
            </w:pPr>
            <w:r>
              <w:rPr>
                <w:noProof/>
              </w:rPr>
              <w:t xml:space="preserve">Entrée en vigueur de la décision du gouvernement approuvant la nouvelle stratégie nationale de lutte contre la corruption </w:t>
            </w:r>
          </w:p>
        </w:tc>
        <w:tc>
          <w:tcPr>
            <w:tcW w:w="1547" w:type="dxa"/>
            <w:shd w:val="clear" w:color="auto" w:fill="C6EFCE"/>
            <w:noWrap/>
          </w:tcPr>
          <w:p w14:paraId="6B1BF33A" w14:textId="77777777" w:rsidR="00A345F4" w:rsidRDefault="005E2D4E">
            <w:pPr>
              <w:pStyle w:val="P68B1DB1-Normal14"/>
              <w:spacing w:after="0" w:line="240" w:lineRule="auto"/>
              <w:jc w:val="both"/>
              <w:rPr>
                <w:noProof/>
              </w:rPr>
            </w:pPr>
            <w:r>
              <w:rPr>
                <w:noProof/>
              </w:rPr>
              <w:t>Disposition de la décision du gouvernement indiquant l’adoption de la stratégie de lutte contre la corruption</w:t>
            </w:r>
          </w:p>
        </w:tc>
        <w:tc>
          <w:tcPr>
            <w:tcW w:w="1344" w:type="dxa"/>
            <w:shd w:val="clear" w:color="auto" w:fill="C6EFCE"/>
            <w:noWrap/>
          </w:tcPr>
          <w:p w14:paraId="2A4EE445"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2F97E9A2" w14:textId="77777777" w:rsidR="00A345F4" w:rsidRDefault="005E2D4E">
            <w:pPr>
              <w:pStyle w:val="P68B1DB1-Normal14"/>
              <w:spacing w:after="0" w:line="240" w:lineRule="auto"/>
              <w:rPr>
                <w:noProof/>
              </w:rPr>
            </w:pPr>
            <w:r>
              <w:rPr>
                <w:noProof/>
              </w:rPr>
              <w:t xml:space="preserve"> </w:t>
            </w:r>
          </w:p>
        </w:tc>
        <w:tc>
          <w:tcPr>
            <w:tcW w:w="976" w:type="dxa"/>
            <w:shd w:val="clear" w:color="auto" w:fill="C6EFCE"/>
            <w:noWrap/>
          </w:tcPr>
          <w:p w14:paraId="71EAB906" w14:textId="77777777" w:rsidR="00A345F4" w:rsidRDefault="005E2D4E">
            <w:pPr>
              <w:pStyle w:val="P68B1DB1-Normal14"/>
              <w:spacing w:after="0" w:line="240" w:lineRule="auto"/>
              <w:rPr>
                <w:noProof/>
              </w:rPr>
            </w:pPr>
            <w:r>
              <w:rPr>
                <w:noProof/>
              </w:rPr>
              <w:t xml:space="preserve"> </w:t>
            </w:r>
          </w:p>
        </w:tc>
        <w:tc>
          <w:tcPr>
            <w:tcW w:w="1134" w:type="dxa"/>
            <w:shd w:val="clear" w:color="auto" w:fill="C6EFCE"/>
            <w:noWrap/>
          </w:tcPr>
          <w:p w14:paraId="54C91ED4" w14:textId="77777777" w:rsidR="00A345F4" w:rsidRDefault="005E2D4E">
            <w:pPr>
              <w:pStyle w:val="P68B1DB1-Normal14"/>
              <w:spacing w:after="0" w:line="240" w:lineRule="auto"/>
              <w:jc w:val="center"/>
              <w:rPr>
                <w:noProof/>
              </w:rPr>
            </w:pPr>
            <w:r>
              <w:rPr>
                <w:noProof/>
              </w:rPr>
              <w:t>T4</w:t>
            </w:r>
          </w:p>
        </w:tc>
        <w:tc>
          <w:tcPr>
            <w:tcW w:w="851" w:type="dxa"/>
            <w:shd w:val="clear" w:color="auto" w:fill="C6EFCE"/>
            <w:noWrap/>
          </w:tcPr>
          <w:p w14:paraId="42B08A66" w14:textId="77777777" w:rsidR="00A345F4" w:rsidRDefault="005E2D4E">
            <w:pPr>
              <w:pStyle w:val="P68B1DB1-Normal14"/>
              <w:spacing w:after="0" w:line="240" w:lineRule="auto"/>
              <w:jc w:val="center"/>
              <w:rPr>
                <w:noProof/>
              </w:rPr>
            </w:pPr>
            <w:r>
              <w:rPr>
                <w:noProof/>
              </w:rPr>
              <w:t>2021</w:t>
            </w:r>
          </w:p>
        </w:tc>
        <w:tc>
          <w:tcPr>
            <w:tcW w:w="2981" w:type="dxa"/>
            <w:shd w:val="clear" w:color="auto" w:fill="C6EFCE"/>
            <w:noWrap/>
          </w:tcPr>
          <w:p w14:paraId="09BA4DAA" w14:textId="77777777" w:rsidR="00A345F4" w:rsidRDefault="005E2D4E">
            <w:pPr>
              <w:pStyle w:val="P68B1DB1-Normal14"/>
              <w:spacing w:after="0" w:line="240" w:lineRule="auto"/>
              <w:jc w:val="both"/>
              <w:rPr>
                <w:noProof/>
              </w:rPr>
            </w:pPr>
            <w:r>
              <w:rPr>
                <w:noProof/>
              </w:rPr>
              <w:t xml:space="preserve">Les objectifs généraux de la nouvelle stratégie de lutte contre la corruption sont les suivants: </w:t>
            </w:r>
            <w:r>
              <w:rPr>
                <w:noProof/>
              </w:rPr>
              <w:br/>
              <w:t>1) Réduire l'impact de la corruption sur les citoyens;</w:t>
            </w:r>
          </w:p>
          <w:p w14:paraId="4B4227BB" w14:textId="77777777" w:rsidR="00A345F4" w:rsidRDefault="005E2D4E">
            <w:pPr>
              <w:pStyle w:val="P68B1DB1-Normal14"/>
              <w:spacing w:line="240" w:lineRule="auto"/>
              <w:jc w:val="both"/>
              <w:rPr>
                <w:noProof/>
              </w:rPr>
            </w:pPr>
            <w:r>
              <w:rPr>
                <w:noProof/>
              </w:rPr>
              <w:t xml:space="preserve">(2) Renforcer la gestion de l'intégrité et les capacités administratives pour prévenir et combattre la corruption; </w:t>
            </w:r>
            <w:r>
              <w:rPr>
                <w:noProof/>
              </w:rPr>
              <w:br/>
              <w:t xml:space="preserve">3) Renforcer l'intégrité dans les domaines prioritaires; </w:t>
            </w:r>
            <w:r>
              <w:rPr>
                <w:noProof/>
              </w:rPr>
              <w:br/>
              <w:t xml:space="preserve">4) Améliorer les résultats de la lutte contre la corruption par des moyens criminels et administratifs; </w:t>
            </w:r>
            <w:r>
              <w:rPr>
                <w:noProof/>
              </w:rPr>
              <w:br/>
              <w:t>(5) Accroître la mise en œuvre des mesures de lutte contre la corruption.</w:t>
            </w:r>
          </w:p>
          <w:p w14:paraId="43FB1AE2" w14:textId="77777777" w:rsidR="00A345F4" w:rsidRDefault="005E2D4E">
            <w:pPr>
              <w:pStyle w:val="P68B1DB1-Normal14"/>
              <w:spacing w:after="0" w:line="240" w:lineRule="auto"/>
              <w:jc w:val="both"/>
              <w:rPr>
                <w:noProof/>
              </w:rPr>
            </w:pPr>
            <w:r>
              <w:rPr>
                <w:noProof/>
              </w:rPr>
              <w:t>Les objectifs spécifiques de la nouvelle stratégie de lutte contre la corruption sont les suivants:</w:t>
            </w:r>
          </w:p>
          <w:p w14:paraId="134323CD" w14:textId="77777777" w:rsidR="00A345F4" w:rsidRDefault="005E2D4E">
            <w:pPr>
              <w:pStyle w:val="P68B1DB1-Normal14"/>
              <w:spacing w:after="0" w:line="240" w:lineRule="auto"/>
              <w:jc w:val="both"/>
              <w:rPr>
                <w:noProof/>
              </w:rPr>
            </w:pPr>
            <w:r>
              <w:rPr>
                <w:noProof/>
              </w:rPr>
              <w:t xml:space="preserve">1) la formation des praticiens impliqués dans la prévention et la lutte contre la criminalité environnementale; </w:t>
            </w:r>
          </w:p>
          <w:p w14:paraId="11C11ED5" w14:textId="77777777" w:rsidR="00A345F4" w:rsidRDefault="005E2D4E">
            <w:pPr>
              <w:pStyle w:val="P68B1DB1-Normal14"/>
              <w:spacing w:after="0" w:line="240" w:lineRule="auto"/>
              <w:jc w:val="both"/>
              <w:rPr>
                <w:noProof/>
              </w:rPr>
            </w:pPr>
            <w:r>
              <w:rPr>
                <w:noProof/>
              </w:rPr>
              <w:t xml:space="preserve">(2) allouer les ressources nécessaires au fonctionnement optimal de l'ADN (direction nationale anticorruption), à la structure d'appui du Parquet européen, au service technique et au renforcement des officiers de police judiciaire; </w:t>
            </w:r>
          </w:p>
          <w:p w14:paraId="38C87D10" w14:textId="77777777" w:rsidR="00A345F4" w:rsidRDefault="005E2D4E">
            <w:pPr>
              <w:pStyle w:val="P68B1DB1-Normal14"/>
              <w:spacing w:after="0" w:line="240" w:lineRule="auto"/>
              <w:jc w:val="both"/>
              <w:rPr>
                <w:noProof/>
              </w:rPr>
            </w:pPr>
            <w:r>
              <w:rPr>
                <w:noProof/>
              </w:rPr>
              <w:t xml:space="preserve">3) promouvoir l'unification de la pratique judiciaire en matière de corruption. À cet égard, la NAD procède à une analyse de la pratique judiciaire concernant les affaires de corruption. </w:t>
            </w:r>
            <w:r>
              <w:rPr>
                <w:noProof/>
              </w:rPr>
              <w:br/>
              <w:t>La nouvelle stratégie définit de nouveaux domaines prioritaires: la corruption environnementale, le lien entre corruption et criminalité organisée et l'intégrité dans la protection des biens culturels. Elle réexamine également la législation relative à l'intégrité et, par conséquent, des améliorations éventuelles sont apportées en ce qui concerne la législation spécifique relative:</w:t>
            </w:r>
          </w:p>
          <w:p w14:paraId="7E72A4AD" w14:textId="77777777" w:rsidR="00A345F4" w:rsidRDefault="005E2D4E">
            <w:pPr>
              <w:pStyle w:val="P68B1DB1-Normal14"/>
              <w:spacing w:after="0" w:line="240" w:lineRule="auto"/>
              <w:jc w:val="both"/>
              <w:rPr>
                <w:noProof/>
              </w:rPr>
            </w:pPr>
            <w:r>
              <w:rPr>
                <w:noProof/>
              </w:rPr>
              <w:t>- conflits d'intérêts, incompatibilités;</w:t>
            </w:r>
          </w:p>
          <w:p w14:paraId="0F248733" w14:textId="77777777" w:rsidR="00A345F4" w:rsidRDefault="005E2D4E">
            <w:pPr>
              <w:pStyle w:val="P68B1DB1-Normal14"/>
              <w:spacing w:after="0" w:line="240" w:lineRule="auto"/>
              <w:jc w:val="both"/>
              <w:rPr>
                <w:noProof/>
              </w:rPr>
            </w:pPr>
            <w:r>
              <w:rPr>
                <w:noProof/>
              </w:rPr>
              <w:t>- déclaration de patrimoine;</w:t>
            </w:r>
          </w:p>
          <w:p w14:paraId="076356DE" w14:textId="77777777" w:rsidR="00A345F4" w:rsidRDefault="005E2D4E">
            <w:pPr>
              <w:pStyle w:val="P68B1DB1-Normal14"/>
              <w:spacing w:after="0" w:line="240" w:lineRule="auto"/>
              <w:jc w:val="both"/>
              <w:rPr>
                <w:noProof/>
              </w:rPr>
            </w:pPr>
            <w:r>
              <w:rPr>
                <w:noProof/>
              </w:rPr>
              <w:t>- porte tournante (pantouflage);</w:t>
            </w:r>
          </w:p>
          <w:p w14:paraId="090843FD" w14:textId="77777777" w:rsidR="00A345F4" w:rsidRDefault="005E2D4E">
            <w:pPr>
              <w:pStyle w:val="P68B1DB1-Normal14"/>
              <w:spacing w:after="0" w:line="240" w:lineRule="auto"/>
              <w:jc w:val="both"/>
              <w:rPr>
                <w:noProof/>
              </w:rPr>
            </w:pPr>
            <w:r>
              <w:rPr>
                <w:noProof/>
              </w:rPr>
              <w:t>- le conseiller en éthique;</w:t>
            </w:r>
          </w:p>
          <w:p w14:paraId="1D250360" w14:textId="77777777" w:rsidR="00A345F4" w:rsidRDefault="005E2D4E">
            <w:pPr>
              <w:pStyle w:val="P68B1DB1-Normal14"/>
              <w:spacing w:after="0" w:line="240" w:lineRule="auto"/>
              <w:jc w:val="both"/>
              <w:rPr>
                <w:noProof/>
              </w:rPr>
            </w:pPr>
            <w:r>
              <w:rPr>
                <w:noProof/>
              </w:rPr>
              <w:t>- la norme générale pour la publication d’office d’informations d’intérêt public au niveau des autorités publiques centrales et locales (afin d’assurer la cohérence de l’application).</w:t>
            </w:r>
          </w:p>
        </w:tc>
      </w:tr>
      <w:tr w:rsidR="00A345F4" w14:paraId="5B687CF5" w14:textId="77777777" w:rsidTr="000D606E">
        <w:trPr>
          <w:trHeight w:val="309"/>
        </w:trPr>
        <w:tc>
          <w:tcPr>
            <w:tcW w:w="822" w:type="dxa"/>
            <w:shd w:val="clear" w:color="auto" w:fill="C6EFCE"/>
            <w:noWrap/>
          </w:tcPr>
          <w:p w14:paraId="6C253FBC" w14:textId="77777777" w:rsidR="00A345F4" w:rsidRDefault="005E2D4E">
            <w:pPr>
              <w:pStyle w:val="P68B1DB1-Normal14"/>
              <w:spacing w:after="0" w:line="240" w:lineRule="auto"/>
              <w:jc w:val="center"/>
              <w:rPr>
                <w:rFonts w:eastAsia="Times New Roman"/>
                <w:noProof/>
              </w:rPr>
            </w:pPr>
            <w:r>
              <w:rPr>
                <w:noProof/>
              </w:rPr>
              <w:t>427</w:t>
            </w:r>
          </w:p>
        </w:tc>
        <w:tc>
          <w:tcPr>
            <w:tcW w:w="2166" w:type="dxa"/>
            <w:shd w:val="clear" w:color="auto" w:fill="C6EFCE"/>
            <w:noWrap/>
          </w:tcPr>
          <w:p w14:paraId="6C0B0216" w14:textId="77777777" w:rsidR="00A345F4" w:rsidRDefault="005E2D4E">
            <w:pPr>
              <w:pStyle w:val="P68B1DB1-Normal14"/>
              <w:spacing w:after="0" w:line="240" w:lineRule="auto"/>
              <w:jc w:val="both"/>
              <w:rPr>
                <w:noProof/>
              </w:rPr>
            </w:pPr>
            <w:r>
              <w:rPr>
                <w:noProof/>
              </w:rPr>
              <w:t xml:space="preserve">Réforme 6. Intensifier la lutte contre la corruption </w:t>
            </w:r>
          </w:p>
        </w:tc>
        <w:tc>
          <w:tcPr>
            <w:tcW w:w="1543" w:type="dxa"/>
            <w:shd w:val="clear" w:color="auto" w:fill="C6EFCE"/>
            <w:noWrap/>
          </w:tcPr>
          <w:p w14:paraId="7D5BEA51" w14:textId="77777777" w:rsidR="00A345F4" w:rsidRDefault="005E2D4E">
            <w:pPr>
              <w:pStyle w:val="P68B1DB1-Normal14"/>
              <w:spacing w:after="0" w:line="240" w:lineRule="auto"/>
              <w:rPr>
                <w:noProof/>
              </w:rPr>
            </w:pPr>
            <w:r>
              <w:rPr>
                <w:noProof/>
              </w:rPr>
              <w:t>Objectif</w:t>
            </w:r>
          </w:p>
        </w:tc>
        <w:tc>
          <w:tcPr>
            <w:tcW w:w="1403" w:type="dxa"/>
            <w:shd w:val="clear" w:color="auto" w:fill="C6EFCE"/>
            <w:noWrap/>
          </w:tcPr>
          <w:p w14:paraId="4A392E05" w14:textId="77777777" w:rsidR="00A345F4" w:rsidRDefault="005E2D4E">
            <w:pPr>
              <w:pStyle w:val="P68B1DB1-Normal14"/>
              <w:spacing w:after="0" w:line="240" w:lineRule="auto"/>
              <w:jc w:val="both"/>
              <w:rPr>
                <w:noProof/>
              </w:rPr>
            </w:pPr>
            <w:r>
              <w:rPr>
                <w:noProof/>
              </w:rPr>
              <w:t>Augmentation de la valeur des avoirs saisis gérés par l'Agence nationale de gestion des avoirs saisis</w:t>
            </w:r>
          </w:p>
        </w:tc>
        <w:tc>
          <w:tcPr>
            <w:tcW w:w="1547" w:type="dxa"/>
            <w:shd w:val="clear" w:color="auto" w:fill="C6EFCE"/>
            <w:noWrap/>
          </w:tcPr>
          <w:p w14:paraId="0EA754C1" w14:textId="77777777" w:rsidR="00A345F4" w:rsidRDefault="005E2D4E">
            <w:pPr>
              <w:pStyle w:val="P68B1DB1-Normal14"/>
              <w:spacing w:after="0" w:line="240" w:lineRule="auto"/>
              <w:jc w:val="both"/>
              <w:rPr>
                <w:noProof/>
              </w:rPr>
            </w:pPr>
            <w:r>
              <w:rPr>
                <w:noProof/>
              </w:rPr>
              <w:t xml:space="preserve"> </w:t>
            </w:r>
          </w:p>
        </w:tc>
        <w:tc>
          <w:tcPr>
            <w:tcW w:w="1344" w:type="dxa"/>
            <w:shd w:val="clear" w:color="auto" w:fill="C6EFCE"/>
            <w:noWrap/>
          </w:tcPr>
          <w:p w14:paraId="446B28E9" w14:textId="77777777" w:rsidR="00A345F4" w:rsidRDefault="005E2D4E">
            <w:pPr>
              <w:pStyle w:val="P68B1DB1-Normal14"/>
              <w:spacing w:after="0" w:line="240" w:lineRule="auto"/>
              <w:rPr>
                <w:noProof/>
              </w:rPr>
            </w:pPr>
            <w:r>
              <w:rPr>
                <w:noProof/>
              </w:rPr>
              <w:t>Pourcentage (%)</w:t>
            </w:r>
          </w:p>
        </w:tc>
        <w:tc>
          <w:tcPr>
            <w:tcW w:w="1109" w:type="dxa"/>
            <w:shd w:val="clear" w:color="auto" w:fill="C6EFCE"/>
            <w:noWrap/>
          </w:tcPr>
          <w:p w14:paraId="5E0D4058" w14:textId="77777777" w:rsidR="00A345F4" w:rsidRDefault="005E2D4E">
            <w:pPr>
              <w:pStyle w:val="P68B1DB1-Normal14"/>
              <w:spacing w:after="0" w:line="240" w:lineRule="auto"/>
              <w:rPr>
                <w:noProof/>
              </w:rPr>
            </w:pPr>
            <w:r>
              <w:rPr>
                <w:noProof/>
              </w:rPr>
              <w:t>0</w:t>
            </w:r>
          </w:p>
        </w:tc>
        <w:tc>
          <w:tcPr>
            <w:tcW w:w="976" w:type="dxa"/>
            <w:shd w:val="clear" w:color="auto" w:fill="C6EFCE"/>
            <w:noWrap/>
          </w:tcPr>
          <w:p w14:paraId="3D6A57AC" w14:textId="77777777" w:rsidR="00A345F4" w:rsidRDefault="005E2D4E">
            <w:pPr>
              <w:pStyle w:val="P68B1DB1-Normal14"/>
              <w:spacing w:after="0" w:line="240" w:lineRule="auto"/>
              <w:rPr>
                <w:noProof/>
              </w:rPr>
            </w:pPr>
            <w:r>
              <w:rPr>
                <w:noProof/>
              </w:rPr>
              <w:t>50</w:t>
            </w:r>
          </w:p>
        </w:tc>
        <w:tc>
          <w:tcPr>
            <w:tcW w:w="1134" w:type="dxa"/>
            <w:shd w:val="clear" w:color="auto" w:fill="C6EFCE"/>
            <w:noWrap/>
          </w:tcPr>
          <w:p w14:paraId="33B223F2" w14:textId="77777777" w:rsidR="00A345F4" w:rsidRDefault="005E2D4E">
            <w:pPr>
              <w:pStyle w:val="P68B1DB1-Normal14"/>
              <w:spacing w:after="0" w:line="240" w:lineRule="auto"/>
              <w:jc w:val="center"/>
              <w:rPr>
                <w:noProof/>
              </w:rPr>
            </w:pPr>
            <w:r>
              <w:rPr>
                <w:noProof/>
              </w:rPr>
              <w:t>T4</w:t>
            </w:r>
          </w:p>
        </w:tc>
        <w:tc>
          <w:tcPr>
            <w:tcW w:w="851" w:type="dxa"/>
            <w:shd w:val="clear" w:color="auto" w:fill="C6EFCE"/>
            <w:noWrap/>
          </w:tcPr>
          <w:p w14:paraId="5419D92C" w14:textId="77777777" w:rsidR="00A345F4" w:rsidRDefault="005E2D4E">
            <w:pPr>
              <w:pStyle w:val="P68B1DB1-Normal14"/>
              <w:spacing w:after="0" w:line="240" w:lineRule="auto"/>
              <w:jc w:val="center"/>
              <w:rPr>
                <w:noProof/>
              </w:rPr>
            </w:pPr>
            <w:r>
              <w:rPr>
                <w:noProof/>
              </w:rPr>
              <w:t>2025</w:t>
            </w:r>
          </w:p>
        </w:tc>
        <w:tc>
          <w:tcPr>
            <w:tcW w:w="2981" w:type="dxa"/>
            <w:shd w:val="clear" w:color="auto" w:fill="C6EFCE"/>
            <w:noWrap/>
          </w:tcPr>
          <w:p w14:paraId="7EAD5A27" w14:textId="2979775C" w:rsidR="00A345F4" w:rsidRDefault="005E2D4E">
            <w:pPr>
              <w:pStyle w:val="P68B1DB1-Normal14"/>
              <w:spacing w:after="0" w:line="240" w:lineRule="auto"/>
              <w:jc w:val="both"/>
              <w:rPr>
                <w:noProof/>
              </w:rPr>
            </w:pPr>
            <w:r>
              <w:rPr>
                <w:noProof/>
              </w:rPr>
              <w:t xml:space="preserve">Une augmentation de la valeur des avoirs saisis gérés par l'Agence nationale pour la gestion des avoirs saisis doit être atteinte. La valeur de référence pour cet objectif est la valeur des actifs saisis, gérés par l’Agence, en juin 2021 (environ 45 millions d’euros). </w:t>
            </w:r>
          </w:p>
        </w:tc>
      </w:tr>
      <w:tr w:rsidR="00A345F4" w14:paraId="4A637226" w14:textId="77777777" w:rsidTr="000D606E">
        <w:trPr>
          <w:trHeight w:val="309"/>
        </w:trPr>
        <w:tc>
          <w:tcPr>
            <w:tcW w:w="822" w:type="dxa"/>
            <w:shd w:val="clear" w:color="auto" w:fill="C6EFCE"/>
            <w:noWrap/>
          </w:tcPr>
          <w:p w14:paraId="528EA755" w14:textId="77777777" w:rsidR="00A345F4" w:rsidRDefault="005E2D4E">
            <w:pPr>
              <w:pStyle w:val="P68B1DB1-Normal14"/>
              <w:spacing w:after="0" w:line="240" w:lineRule="auto"/>
              <w:jc w:val="center"/>
              <w:rPr>
                <w:rFonts w:eastAsia="Times New Roman"/>
                <w:noProof/>
              </w:rPr>
            </w:pPr>
            <w:r>
              <w:rPr>
                <w:noProof/>
              </w:rPr>
              <w:t>429</w:t>
            </w:r>
          </w:p>
        </w:tc>
        <w:tc>
          <w:tcPr>
            <w:tcW w:w="2166" w:type="dxa"/>
            <w:shd w:val="clear" w:color="auto" w:fill="C6EFCE"/>
            <w:noWrap/>
          </w:tcPr>
          <w:p w14:paraId="45B64A09" w14:textId="77777777" w:rsidR="00A345F4" w:rsidRDefault="005E2D4E">
            <w:pPr>
              <w:pStyle w:val="P68B1DB1-Normal14"/>
              <w:spacing w:after="0" w:line="240" w:lineRule="auto"/>
              <w:jc w:val="both"/>
              <w:rPr>
                <w:rFonts w:eastAsia="Times New Roman"/>
                <w:noProof/>
              </w:rPr>
            </w:pPr>
            <w:r>
              <w:rPr>
                <w:noProof/>
              </w:rPr>
              <w:t xml:space="preserve">Réforme 6. Intensifier la lutte contre la corruption </w:t>
            </w:r>
          </w:p>
        </w:tc>
        <w:tc>
          <w:tcPr>
            <w:tcW w:w="1543" w:type="dxa"/>
            <w:shd w:val="clear" w:color="auto" w:fill="C6EFCE"/>
            <w:noWrap/>
          </w:tcPr>
          <w:p w14:paraId="7D431328" w14:textId="77777777" w:rsidR="00A345F4" w:rsidRDefault="005E2D4E">
            <w:pPr>
              <w:pStyle w:val="P68B1DB1-Normal14"/>
              <w:spacing w:after="0" w:line="240" w:lineRule="auto"/>
              <w:rPr>
                <w:rFonts w:eastAsia="Times New Roman"/>
                <w:noProof/>
              </w:rPr>
            </w:pPr>
            <w:r>
              <w:rPr>
                <w:noProof/>
              </w:rPr>
              <w:t xml:space="preserve">Objectif </w:t>
            </w:r>
          </w:p>
        </w:tc>
        <w:tc>
          <w:tcPr>
            <w:tcW w:w="1403" w:type="dxa"/>
            <w:shd w:val="clear" w:color="auto" w:fill="C6EFCE"/>
            <w:noWrap/>
          </w:tcPr>
          <w:p w14:paraId="1142E836" w14:textId="77777777" w:rsidR="00A345F4" w:rsidRDefault="005E2D4E">
            <w:pPr>
              <w:pStyle w:val="P68B1DB1-Normal14"/>
              <w:spacing w:after="0" w:line="240" w:lineRule="auto"/>
              <w:jc w:val="both"/>
              <w:rPr>
                <w:noProof/>
              </w:rPr>
            </w:pPr>
            <w:r>
              <w:rPr>
                <w:noProof/>
              </w:rPr>
              <w:t xml:space="preserve">Taux d ' occupation de 85 % des postes de procureur de la Direction nationale de lutte contre la corruption </w:t>
            </w:r>
          </w:p>
        </w:tc>
        <w:tc>
          <w:tcPr>
            <w:tcW w:w="1547" w:type="dxa"/>
            <w:shd w:val="clear" w:color="auto" w:fill="C6EFCE"/>
            <w:noWrap/>
          </w:tcPr>
          <w:p w14:paraId="4ED30AB3" w14:textId="77777777" w:rsidR="00A345F4" w:rsidRDefault="00A345F4">
            <w:pPr>
              <w:spacing w:after="0" w:line="240" w:lineRule="auto"/>
              <w:jc w:val="both"/>
              <w:rPr>
                <w:rFonts w:ascii="Times New Roman" w:eastAsia="Times New Roman" w:hAnsi="Times New Roman" w:cs="Times New Roman"/>
                <w:noProof/>
                <w:sz w:val="20"/>
                <w:szCs w:val="20"/>
              </w:rPr>
            </w:pPr>
          </w:p>
        </w:tc>
        <w:tc>
          <w:tcPr>
            <w:tcW w:w="1344" w:type="dxa"/>
            <w:shd w:val="clear" w:color="auto" w:fill="C6EFCE"/>
            <w:noWrap/>
          </w:tcPr>
          <w:p w14:paraId="114E5FE1" w14:textId="77777777" w:rsidR="00A345F4" w:rsidRDefault="005E2D4E">
            <w:pPr>
              <w:pStyle w:val="P68B1DB1-Normal14"/>
              <w:spacing w:after="0" w:line="240" w:lineRule="auto"/>
              <w:rPr>
                <w:rFonts w:eastAsia="Times New Roman"/>
                <w:noProof/>
              </w:rPr>
            </w:pPr>
            <w:r>
              <w:rPr>
                <w:noProof/>
              </w:rPr>
              <w:t>Pourcentage (%)</w:t>
            </w:r>
          </w:p>
          <w:p w14:paraId="06C0EEF8" w14:textId="77777777" w:rsidR="00A345F4" w:rsidRDefault="00A345F4">
            <w:pPr>
              <w:spacing w:after="0" w:line="240" w:lineRule="auto"/>
              <w:rPr>
                <w:rFonts w:ascii="Times New Roman" w:eastAsia="Times New Roman" w:hAnsi="Times New Roman" w:cs="Times New Roman"/>
                <w:noProof/>
                <w:sz w:val="20"/>
                <w:szCs w:val="20"/>
              </w:rPr>
            </w:pPr>
          </w:p>
        </w:tc>
        <w:tc>
          <w:tcPr>
            <w:tcW w:w="1109" w:type="dxa"/>
            <w:shd w:val="clear" w:color="auto" w:fill="C6EFCE"/>
            <w:noWrap/>
          </w:tcPr>
          <w:p w14:paraId="329C445C" w14:textId="77777777" w:rsidR="00A345F4" w:rsidRDefault="005E2D4E">
            <w:pPr>
              <w:pStyle w:val="P68B1DB1-Normal14"/>
              <w:spacing w:after="0" w:line="240" w:lineRule="auto"/>
              <w:rPr>
                <w:rFonts w:eastAsia="Times New Roman"/>
                <w:noProof/>
              </w:rPr>
            </w:pPr>
            <w:r>
              <w:rPr>
                <w:noProof/>
              </w:rPr>
              <w:t>0</w:t>
            </w:r>
          </w:p>
        </w:tc>
        <w:tc>
          <w:tcPr>
            <w:tcW w:w="976" w:type="dxa"/>
            <w:shd w:val="clear" w:color="auto" w:fill="C6EFCE"/>
          </w:tcPr>
          <w:p w14:paraId="2FF753F7" w14:textId="77777777" w:rsidR="00A345F4" w:rsidRDefault="005E2D4E">
            <w:pPr>
              <w:pStyle w:val="P68B1DB1-Normal14"/>
              <w:spacing w:after="0" w:line="240" w:lineRule="auto"/>
              <w:rPr>
                <w:rFonts w:eastAsia="Times New Roman"/>
                <w:noProof/>
              </w:rPr>
            </w:pPr>
            <w:r>
              <w:rPr>
                <w:noProof/>
              </w:rPr>
              <w:t>85</w:t>
            </w:r>
          </w:p>
        </w:tc>
        <w:tc>
          <w:tcPr>
            <w:tcW w:w="1134" w:type="dxa"/>
            <w:shd w:val="clear" w:color="auto" w:fill="C6EFCE"/>
            <w:noWrap/>
          </w:tcPr>
          <w:p w14:paraId="3E5CFCB4" w14:textId="77777777" w:rsidR="00A345F4" w:rsidRDefault="005E2D4E">
            <w:pPr>
              <w:pStyle w:val="P68B1DB1-Normal14"/>
              <w:spacing w:after="0" w:line="240" w:lineRule="auto"/>
              <w:rPr>
                <w:rFonts w:eastAsia="Times New Roman"/>
                <w:noProof/>
              </w:rPr>
            </w:pPr>
            <w:r>
              <w:rPr>
                <w:noProof/>
              </w:rPr>
              <w:t>T2</w:t>
            </w:r>
          </w:p>
        </w:tc>
        <w:tc>
          <w:tcPr>
            <w:tcW w:w="851" w:type="dxa"/>
            <w:shd w:val="clear" w:color="auto" w:fill="C6EFCE"/>
            <w:noWrap/>
          </w:tcPr>
          <w:p w14:paraId="1057544B" w14:textId="77777777" w:rsidR="00A345F4" w:rsidRDefault="005E2D4E">
            <w:pPr>
              <w:pStyle w:val="P68B1DB1-Normal14"/>
              <w:spacing w:after="0" w:line="240" w:lineRule="auto"/>
              <w:jc w:val="center"/>
              <w:rPr>
                <w:rFonts w:eastAsia="Times New Roman"/>
                <w:noProof/>
              </w:rPr>
            </w:pPr>
            <w:r>
              <w:rPr>
                <w:noProof/>
              </w:rPr>
              <w:t>2023</w:t>
            </w:r>
          </w:p>
        </w:tc>
        <w:tc>
          <w:tcPr>
            <w:tcW w:w="2981" w:type="dxa"/>
            <w:shd w:val="clear" w:color="auto" w:fill="C6EFCE"/>
            <w:noWrap/>
          </w:tcPr>
          <w:p w14:paraId="01497EFE" w14:textId="77777777" w:rsidR="00A345F4" w:rsidRDefault="005E2D4E">
            <w:pPr>
              <w:pStyle w:val="P68B1DB1-Normal14"/>
              <w:spacing w:after="0" w:line="240" w:lineRule="auto"/>
              <w:jc w:val="both"/>
              <w:rPr>
                <w:noProof/>
              </w:rPr>
            </w:pPr>
            <w:r>
              <w:rPr>
                <w:noProof/>
              </w:rPr>
              <w:t xml:space="preserve">Taux d'occupation de 85 % des postes de procureur de la Direction nationale de lutte contre la corruption. </w:t>
            </w:r>
          </w:p>
          <w:p w14:paraId="7B997D28" w14:textId="77777777" w:rsidR="00A345F4" w:rsidRDefault="00A345F4">
            <w:pPr>
              <w:spacing w:after="0" w:line="240" w:lineRule="auto"/>
              <w:rPr>
                <w:rFonts w:ascii="Times New Roman" w:eastAsia="Times New Roman" w:hAnsi="Times New Roman" w:cs="Times New Roman"/>
                <w:noProof/>
                <w:sz w:val="20"/>
                <w:szCs w:val="20"/>
              </w:rPr>
            </w:pPr>
          </w:p>
        </w:tc>
      </w:tr>
      <w:tr w:rsidR="00A345F4" w14:paraId="3BC17567" w14:textId="77777777" w:rsidTr="000D606E">
        <w:trPr>
          <w:trHeight w:val="309"/>
        </w:trPr>
        <w:tc>
          <w:tcPr>
            <w:tcW w:w="822" w:type="dxa"/>
            <w:shd w:val="clear" w:color="auto" w:fill="C6EFCE"/>
            <w:noWrap/>
          </w:tcPr>
          <w:p w14:paraId="641F0288" w14:textId="77777777" w:rsidR="00A345F4" w:rsidRDefault="005E2D4E">
            <w:pPr>
              <w:pStyle w:val="P68B1DB1-Normal14"/>
              <w:spacing w:after="0" w:line="240" w:lineRule="auto"/>
              <w:jc w:val="center"/>
              <w:rPr>
                <w:noProof/>
              </w:rPr>
            </w:pPr>
            <w:r>
              <w:rPr>
                <w:noProof/>
              </w:rPr>
              <w:t>430</w:t>
            </w:r>
          </w:p>
        </w:tc>
        <w:tc>
          <w:tcPr>
            <w:tcW w:w="2166" w:type="dxa"/>
            <w:shd w:val="clear" w:color="auto" w:fill="C6EFCE"/>
            <w:noWrap/>
          </w:tcPr>
          <w:p w14:paraId="14B0F65F" w14:textId="77777777" w:rsidR="00A345F4" w:rsidRDefault="005E2D4E">
            <w:pPr>
              <w:pStyle w:val="P68B1DB1-Normal14"/>
              <w:spacing w:after="0" w:line="240" w:lineRule="auto"/>
              <w:jc w:val="both"/>
              <w:rPr>
                <w:noProof/>
              </w:rPr>
            </w:pPr>
            <w:r>
              <w:rPr>
                <w:noProof/>
              </w:rPr>
              <w:t xml:space="preserve">Réforme 6. Intensifier la lutte contre la corruption </w:t>
            </w:r>
          </w:p>
        </w:tc>
        <w:tc>
          <w:tcPr>
            <w:tcW w:w="1543" w:type="dxa"/>
            <w:shd w:val="clear" w:color="auto" w:fill="C6EFCE"/>
            <w:noWrap/>
          </w:tcPr>
          <w:p w14:paraId="63E8619E" w14:textId="77777777" w:rsidR="00A345F4" w:rsidRDefault="005E2D4E">
            <w:pPr>
              <w:pStyle w:val="P68B1DB1-Normal14"/>
              <w:spacing w:after="0" w:line="240" w:lineRule="auto"/>
              <w:jc w:val="both"/>
              <w:rPr>
                <w:noProof/>
              </w:rPr>
            </w:pPr>
            <w:r>
              <w:rPr>
                <w:noProof/>
              </w:rPr>
              <w:t xml:space="preserve">Étape </w:t>
            </w:r>
          </w:p>
          <w:p w14:paraId="64F5D2B2" w14:textId="77777777" w:rsidR="00A345F4" w:rsidRDefault="00A345F4">
            <w:pPr>
              <w:spacing w:after="0" w:line="240" w:lineRule="auto"/>
              <w:jc w:val="both"/>
              <w:rPr>
                <w:rFonts w:ascii="Times New Roman" w:hAnsi="Times New Roman" w:cs="Times New Roman"/>
                <w:noProof/>
                <w:sz w:val="20"/>
                <w:szCs w:val="20"/>
              </w:rPr>
            </w:pPr>
          </w:p>
          <w:p w14:paraId="45A0F0DF" w14:textId="77777777" w:rsidR="00A345F4" w:rsidRDefault="00A345F4">
            <w:pPr>
              <w:spacing w:after="0" w:line="240" w:lineRule="auto"/>
              <w:rPr>
                <w:rFonts w:ascii="Times New Roman" w:hAnsi="Times New Roman" w:cs="Times New Roman"/>
                <w:noProof/>
                <w:sz w:val="20"/>
                <w:szCs w:val="20"/>
              </w:rPr>
            </w:pPr>
          </w:p>
        </w:tc>
        <w:tc>
          <w:tcPr>
            <w:tcW w:w="1403" w:type="dxa"/>
            <w:shd w:val="clear" w:color="auto" w:fill="C6EFCE"/>
            <w:noWrap/>
          </w:tcPr>
          <w:p w14:paraId="4A457EAB" w14:textId="77777777" w:rsidR="00A345F4" w:rsidRDefault="005E2D4E">
            <w:pPr>
              <w:pStyle w:val="P68B1DB1-Normal14"/>
              <w:spacing w:after="0" w:line="240" w:lineRule="auto"/>
              <w:jc w:val="both"/>
              <w:rPr>
                <w:noProof/>
              </w:rPr>
            </w:pPr>
            <w:r>
              <w:rPr>
                <w:noProof/>
              </w:rPr>
              <w:t>Entrée en vigueur de la loi sur la protection des lanceurs d’alerte</w:t>
            </w:r>
          </w:p>
          <w:p w14:paraId="67192FEC" w14:textId="77777777" w:rsidR="00A345F4" w:rsidRDefault="00A345F4">
            <w:pPr>
              <w:spacing w:after="0" w:line="240" w:lineRule="auto"/>
              <w:jc w:val="both"/>
              <w:rPr>
                <w:rFonts w:ascii="Times New Roman" w:hAnsi="Times New Roman" w:cs="Times New Roman"/>
                <w:strike/>
                <w:noProof/>
                <w:sz w:val="20"/>
                <w:szCs w:val="20"/>
              </w:rPr>
            </w:pPr>
          </w:p>
        </w:tc>
        <w:tc>
          <w:tcPr>
            <w:tcW w:w="1547" w:type="dxa"/>
            <w:shd w:val="clear" w:color="auto" w:fill="C6EFCE"/>
            <w:noWrap/>
          </w:tcPr>
          <w:p w14:paraId="4C506DB7" w14:textId="77777777" w:rsidR="00A345F4" w:rsidRDefault="005E2D4E">
            <w:pPr>
              <w:pStyle w:val="P68B1DB1-Normal14"/>
              <w:spacing w:after="0" w:line="240" w:lineRule="auto"/>
              <w:jc w:val="both"/>
              <w:rPr>
                <w:rFonts w:eastAsia="Times New Roman"/>
                <w:noProof/>
              </w:rPr>
            </w:pPr>
            <w:r>
              <w:rPr>
                <w:noProof/>
              </w:rPr>
              <w:t>Disposition de la loi indiquant l'entrée en vigueur de la loi</w:t>
            </w:r>
          </w:p>
        </w:tc>
        <w:tc>
          <w:tcPr>
            <w:tcW w:w="1344" w:type="dxa"/>
            <w:shd w:val="clear" w:color="auto" w:fill="C6EFCE"/>
            <w:noWrap/>
          </w:tcPr>
          <w:p w14:paraId="448DDE6C"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119AA004"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tcPr>
          <w:p w14:paraId="73F97791"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446CE5C5" w14:textId="77777777" w:rsidR="00A345F4" w:rsidRDefault="005E2D4E">
            <w:pPr>
              <w:pStyle w:val="P68B1DB1-Normal14"/>
              <w:spacing w:after="0" w:line="240" w:lineRule="auto"/>
              <w:rPr>
                <w:noProof/>
              </w:rPr>
            </w:pPr>
            <w:r>
              <w:rPr>
                <w:noProof/>
              </w:rPr>
              <w:t>T1</w:t>
            </w:r>
          </w:p>
        </w:tc>
        <w:tc>
          <w:tcPr>
            <w:tcW w:w="851" w:type="dxa"/>
            <w:shd w:val="clear" w:color="auto" w:fill="C6EFCE"/>
            <w:noWrap/>
          </w:tcPr>
          <w:p w14:paraId="20B78638"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3BA4C90B" w14:textId="77777777" w:rsidR="00A345F4" w:rsidRDefault="005E2D4E">
            <w:pPr>
              <w:pStyle w:val="P68B1DB1-Normal14"/>
              <w:spacing w:after="0" w:line="240" w:lineRule="auto"/>
              <w:jc w:val="both"/>
              <w:rPr>
                <w:noProof/>
              </w:rPr>
            </w:pPr>
            <w:r>
              <w:rPr>
                <w:noProof/>
              </w:rPr>
              <w:t xml:space="preserve">Entrée en vigueur de la loi sur la protection des lanceurs d’alerte. La législation transpose la directive (UE) 2019/1937 relative à la protection des personnes qui signalent des violations du droit de l’Union et comprend des dispositions supplémentaires, spécifiques au contexte national, afin de traiter efficacement les questions de politique d’intégrité. </w:t>
            </w:r>
          </w:p>
        </w:tc>
      </w:tr>
      <w:tr w:rsidR="00A345F4" w14:paraId="535857A4" w14:textId="77777777" w:rsidTr="000D606E">
        <w:trPr>
          <w:trHeight w:val="309"/>
        </w:trPr>
        <w:tc>
          <w:tcPr>
            <w:tcW w:w="822" w:type="dxa"/>
            <w:shd w:val="clear" w:color="auto" w:fill="C6EFCE"/>
            <w:noWrap/>
          </w:tcPr>
          <w:p w14:paraId="07C1B20F" w14:textId="77777777" w:rsidR="00A345F4" w:rsidRDefault="005E2D4E">
            <w:pPr>
              <w:pStyle w:val="P68B1DB1-Normal14"/>
              <w:spacing w:after="0" w:line="240" w:lineRule="auto"/>
              <w:jc w:val="center"/>
              <w:rPr>
                <w:noProof/>
              </w:rPr>
            </w:pPr>
            <w:r>
              <w:rPr>
                <w:noProof/>
              </w:rPr>
              <w:t>431</w:t>
            </w:r>
          </w:p>
        </w:tc>
        <w:tc>
          <w:tcPr>
            <w:tcW w:w="2166" w:type="dxa"/>
            <w:shd w:val="clear" w:color="auto" w:fill="C6EFCE"/>
            <w:noWrap/>
          </w:tcPr>
          <w:p w14:paraId="2CD8A16C" w14:textId="77777777" w:rsidR="00A345F4" w:rsidRDefault="005E2D4E">
            <w:pPr>
              <w:pStyle w:val="P68B1DB1-Normal14"/>
              <w:spacing w:after="0" w:line="240" w:lineRule="auto"/>
              <w:jc w:val="both"/>
              <w:rPr>
                <w:noProof/>
              </w:rPr>
            </w:pPr>
            <w:r>
              <w:rPr>
                <w:noProof/>
              </w:rPr>
              <w:t>Réforme 7. Mise à jour du cadre juridique relatif à l'intégrité de la fonction publique</w:t>
            </w:r>
          </w:p>
        </w:tc>
        <w:tc>
          <w:tcPr>
            <w:tcW w:w="1543" w:type="dxa"/>
            <w:shd w:val="clear" w:color="auto" w:fill="C6EFCE"/>
            <w:noWrap/>
          </w:tcPr>
          <w:p w14:paraId="0DB57A03" w14:textId="77777777" w:rsidR="00A345F4" w:rsidRDefault="005E2D4E">
            <w:pPr>
              <w:pStyle w:val="P68B1DB1-Normal14"/>
              <w:spacing w:after="0" w:line="240" w:lineRule="auto"/>
              <w:jc w:val="both"/>
              <w:rPr>
                <w:noProof/>
              </w:rPr>
            </w:pPr>
            <w:r>
              <w:rPr>
                <w:noProof/>
              </w:rPr>
              <w:t>Étape</w:t>
            </w:r>
          </w:p>
        </w:tc>
        <w:tc>
          <w:tcPr>
            <w:tcW w:w="1403" w:type="dxa"/>
            <w:shd w:val="clear" w:color="auto" w:fill="C6EFCE"/>
            <w:noWrap/>
          </w:tcPr>
          <w:p w14:paraId="06168D66" w14:textId="77777777" w:rsidR="00A345F4" w:rsidRDefault="005E2D4E">
            <w:pPr>
              <w:pStyle w:val="P68B1DB1-Normal60"/>
              <w:spacing w:after="0" w:line="240" w:lineRule="auto"/>
              <w:jc w:val="both"/>
              <w:rPr>
                <w:noProof/>
              </w:rPr>
            </w:pPr>
            <w:r>
              <w:rPr>
                <w:noProof/>
              </w:rPr>
              <w:t>Entrée en vigueur de l’acte juridique relatif à la mise à jour du cadre législatif en matière d’intégrité</w:t>
            </w:r>
          </w:p>
        </w:tc>
        <w:tc>
          <w:tcPr>
            <w:tcW w:w="1547" w:type="dxa"/>
            <w:shd w:val="clear" w:color="auto" w:fill="C6EFCE"/>
            <w:noWrap/>
          </w:tcPr>
          <w:p w14:paraId="2A3B4066" w14:textId="4DD5D6F9" w:rsidR="00A345F4" w:rsidRDefault="005E2D4E">
            <w:pPr>
              <w:pStyle w:val="P68B1DB1-Normal14"/>
              <w:spacing w:after="0" w:line="240" w:lineRule="auto"/>
              <w:jc w:val="both"/>
              <w:rPr>
                <w:rFonts w:eastAsia="Times New Roman"/>
                <w:noProof/>
              </w:rPr>
            </w:pPr>
            <w:r>
              <w:rPr>
                <w:noProof/>
              </w:rPr>
              <w:t>Disposition de l’acte juridique indiquant son entrée en vigueur</w:t>
            </w:r>
          </w:p>
        </w:tc>
        <w:tc>
          <w:tcPr>
            <w:tcW w:w="1344" w:type="dxa"/>
            <w:shd w:val="clear" w:color="auto" w:fill="C6EFCE"/>
            <w:noWrap/>
          </w:tcPr>
          <w:p w14:paraId="3E224154"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4330F6CD"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tcPr>
          <w:p w14:paraId="4878F4A8"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634EB73B" w14:textId="77777777" w:rsidR="00A345F4" w:rsidRDefault="005E2D4E">
            <w:pPr>
              <w:pStyle w:val="P68B1DB1-Normal14"/>
              <w:spacing w:after="0" w:line="240" w:lineRule="auto"/>
              <w:rPr>
                <w:noProof/>
              </w:rPr>
            </w:pPr>
            <w:r>
              <w:rPr>
                <w:noProof/>
              </w:rPr>
              <w:t>T2</w:t>
            </w:r>
          </w:p>
          <w:p w14:paraId="5DD84958" w14:textId="77777777" w:rsidR="00A345F4" w:rsidRDefault="00A345F4">
            <w:pPr>
              <w:spacing w:after="0" w:line="240" w:lineRule="auto"/>
              <w:rPr>
                <w:rFonts w:ascii="Times New Roman" w:hAnsi="Times New Roman" w:cs="Times New Roman"/>
                <w:noProof/>
                <w:sz w:val="20"/>
                <w:szCs w:val="20"/>
              </w:rPr>
            </w:pPr>
          </w:p>
        </w:tc>
        <w:tc>
          <w:tcPr>
            <w:tcW w:w="851" w:type="dxa"/>
            <w:shd w:val="clear" w:color="auto" w:fill="C6EFCE"/>
            <w:noWrap/>
          </w:tcPr>
          <w:p w14:paraId="4D8298EC" w14:textId="77777777" w:rsidR="00A345F4" w:rsidRDefault="005E2D4E">
            <w:pPr>
              <w:pStyle w:val="P68B1DB1-Normal14"/>
              <w:spacing w:after="0" w:line="240" w:lineRule="auto"/>
              <w:jc w:val="center"/>
              <w:rPr>
                <w:noProof/>
              </w:rPr>
            </w:pPr>
            <w:r>
              <w:rPr>
                <w:noProof/>
              </w:rPr>
              <w:t>2026</w:t>
            </w:r>
          </w:p>
        </w:tc>
        <w:tc>
          <w:tcPr>
            <w:tcW w:w="2981" w:type="dxa"/>
            <w:shd w:val="clear" w:color="auto" w:fill="C6EFCE"/>
            <w:noWrap/>
          </w:tcPr>
          <w:p w14:paraId="26317B6A" w14:textId="77777777" w:rsidR="00A345F4" w:rsidRDefault="005E2D4E">
            <w:pPr>
              <w:pStyle w:val="P68B1DB1-Normal60"/>
              <w:spacing w:after="0" w:line="240" w:lineRule="auto"/>
              <w:jc w:val="both"/>
              <w:rPr>
                <w:noProof/>
              </w:rPr>
            </w:pPr>
            <w:r>
              <w:rPr>
                <w:noProof/>
              </w:rPr>
              <w:t>L’acte juridique relatif à la mise à jour du cadre législatif sur l’intégrité entre en vigueur, à la suite d’une évaluation et d’une analyse préalables des lois existantes sur l’intégrité.</w:t>
            </w:r>
          </w:p>
        </w:tc>
      </w:tr>
      <w:tr w:rsidR="00A345F4" w14:paraId="655E49E7" w14:textId="77777777" w:rsidTr="000D606E">
        <w:trPr>
          <w:trHeight w:val="309"/>
        </w:trPr>
        <w:tc>
          <w:tcPr>
            <w:tcW w:w="822" w:type="dxa"/>
            <w:shd w:val="clear" w:color="auto" w:fill="C6EFCE"/>
            <w:noWrap/>
          </w:tcPr>
          <w:p w14:paraId="7F270903" w14:textId="77777777" w:rsidR="00A345F4" w:rsidRDefault="005E2D4E">
            <w:pPr>
              <w:pStyle w:val="P68B1DB1-Normal14"/>
              <w:spacing w:after="0" w:line="240" w:lineRule="auto"/>
              <w:jc w:val="center"/>
              <w:rPr>
                <w:noProof/>
              </w:rPr>
            </w:pPr>
            <w:r>
              <w:rPr>
                <w:noProof/>
              </w:rPr>
              <w:t>432</w:t>
            </w:r>
          </w:p>
        </w:tc>
        <w:tc>
          <w:tcPr>
            <w:tcW w:w="2166" w:type="dxa"/>
            <w:shd w:val="clear" w:color="auto" w:fill="C6EFCE"/>
            <w:noWrap/>
          </w:tcPr>
          <w:p w14:paraId="1791C183" w14:textId="77777777" w:rsidR="00A345F4" w:rsidRDefault="005E2D4E">
            <w:pPr>
              <w:pStyle w:val="P68B1DB1-Normal14"/>
              <w:spacing w:after="0" w:line="240" w:lineRule="auto"/>
              <w:jc w:val="both"/>
              <w:rPr>
                <w:noProof/>
              </w:rPr>
            </w:pPr>
            <w:r>
              <w:rPr>
                <w:noProof/>
              </w:rPr>
              <w:t>Réforme 7. Mise à jour du cadre juridique relatif à l'intégrité de la fonction publique</w:t>
            </w:r>
          </w:p>
        </w:tc>
        <w:tc>
          <w:tcPr>
            <w:tcW w:w="1543" w:type="dxa"/>
            <w:shd w:val="clear" w:color="auto" w:fill="C6EFCE"/>
            <w:noWrap/>
          </w:tcPr>
          <w:p w14:paraId="4DB97729" w14:textId="77777777" w:rsidR="00A345F4" w:rsidRDefault="005E2D4E">
            <w:pPr>
              <w:pStyle w:val="P68B1DB1-Normal14"/>
              <w:spacing w:after="0" w:line="240" w:lineRule="auto"/>
              <w:jc w:val="both"/>
              <w:rPr>
                <w:noProof/>
              </w:rPr>
            </w:pPr>
            <w:r>
              <w:rPr>
                <w:noProof/>
              </w:rPr>
              <w:t xml:space="preserve">Étape </w:t>
            </w:r>
          </w:p>
        </w:tc>
        <w:tc>
          <w:tcPr>
            <w:tcW w:w="1403" w:type="dxa"/>
            <w:shd w:val="clear" w:color="auto" w:fill="C6EFCE"/>
            <w:noWrap/>
          </w:tcPr>
          <w:p w14:paraId="5F1D3F0D" w14:textId="77777777" w:rsidR="00A345F4" w:rsidRDefault="005E2D4E">
            <w:pPr>
              <w:pStyle w:val="P68B1DB1-Normal14"/>
              <w:spacing w:after="0" w:line="240" w:lineRule="auto"/>
              <w:jc w:val="both"/>
              <w:rPr>
                <w:noProof/>
              </w:rPr>
            </w:pPr>
            <w:r>
              <w:rPr>
                <w:noProof/>
              </w:rPr>
              <w:t xml:space="preserve">Approuvé des lois révisées sur la déontologie et la conduite pour le Gouvernement </w:t>
            </w:r>
          </w:p>
        </w:tc>
        <w:tc>
          <w:tcPr>
            <w:tcW w:w="1547" w:type="dxa"/>
            <w:shd w:val="clear" w:color="auto" w:fill="C6EFCE"/>
            <w:noWrap/>
          </w:tcPr>
          <w:p w14:paraId="0008C9CA" w14:textId="2D5B661E" w:rsidR="00A345F4" w:rsidRDefault="005E2D4E">
            <w:pPr>
              <w:pStyle w:val="P68B1DB1-Normal14"/>
              <w:spacing w:after="0" w:line="240" w:lineRule="auto"/>
              <w:jc w:val="both"/>
              <w:rPr>
                <w:rFonts w:eastAsia="Times New Roman"/>
                <w:noProof/>
              </w:rPr>
            </w:pPr>
            <w:r>
              <w:rPr>
                <w:noProof/>
              </w:rPr>
              <w:t xml:space="preserve">Disposition de chaque loi révisée sur la déontologie et la conduite du Gouvernement indiquant son entrée en vigueur </w:t>
            </w:r>
          </w:p>
        </w:tc>
        <w:tc>
          <w:tcPr>
            <w:tcW w:w="1344" w:type="dxa"/>
            <w:shd w:val="clear" w:color="auto" w:fill="C6EFCE"/>
            <w:noWrap/>
          </w:tcPr>
          <w:p w14:paraId="6C320BB8"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56F87AAB"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tcPr>
          <w:p w14:paraId="1586DE18"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72030EBD" w14:textId="77777777" w:rsidR="00A345F4" w:rsidRDefault="005E2D4E">
            <w:pPr>
              <w:pStyle w:val="P68B1DB1-Normal14"/>
              <w:spacing w:after="0" w:line="240" w:lineRule="auto"/>
              <w:rPr>
                <w:noProof/>
              </w:rPr>
            </w:pPr>
            <w:r>
              <w:rPr>
                <w:noProof/>
              </w:rPr>
              <w:t>T1</w:t>
            </w:r>
          </w:p>
        </w:tc>
        <w:tc>
          <w:tcPr>
            <w:tcW w:w="851" w:type="dxa"/>
            <w:shd w:val="clear" w:color="auto" w:fill="C6EFCE"/>
            <w:noWrap/>
          </w:tcPr>
          <w:p w14:paraId="7A59688F" w14:textId="77777777" w:rsidR="00A345F4" w:rsidRDefault="005E2D4E">
            <w:pPr>
              <w:pStyle w:val="P68B1DB1-Normal14"/>
              <w:spacing w:after="0" w:line="240" w:lineRule="auto"/>
              <w:jc w:val="center"/>
              <w:rPr>
                <w:noProof/>
              </w:rPr>
            </w:pPr>
            <w:r>
              <w:rPr>
                <w:noProof/>
              </w:rPr>
              <w:t>2026</w:t>
            </w:r>
          </w:p>
        </w:tc>
        <w:tc>
          <w:tcPr>
            <w:tcW w:w="2981" w:type="dxa"/>
            <w:shd w:val="clear" w:color="auto" w:fill="C6EFCE"/>
            <w:noWrap/>
          </w:tcPr>
          <w:p w14:paraId="530D388C" w14:textId="77777777" w:rsidR="00A345F4" w:rsidRDefault="005E2D4E">
            <w:pPr>
              <w:pStyle w:val="P68B1DB1-Normal14"/>
              <w:spacing w:after="0" w:line="240" w:lineRule="auto"/>
              <w:jc w:val="both"/>
              <w:rPr>
                <w:noProof/>
              </w:rPr>
            </w:pPr>
            <w:r>
              <w:rPr>
                <w:noProof/>
              </w:rPr>
              <w:t>Le code de déontologie et de conduite révisé:</w:t>
            </w:r>
          </w:p>
          <w:p w14:paraId="3D3F43C7" w14:textId="77777777" w:rsidR="00A345F4" w:rsidRDefault="005E2D4E">
            <w:pPr>
              <w:pStyle w:val="P68B1DB1-ListParagraph29"/>
              <w:numPr>
                <w:ilvl w:val="0"/>
                <w:numId w:val="65"/>
              </w:numPr>
              <w:spacing w:after="0" w:line="240" w:lineRule="auto"/>
              <w:jc w:val="both"/>
              <w:rPr>
                <w:noProof/>
              </w:rPr>
            </w:pPr>
            <w:r>
              <w:rPr>
                <w:noProof/>
              </w:rPr>
              <w:t xml:space="preserve">clarifier les implications pour les membres du gouvernement des dispositions actuelles sur les conflits d’intérêts; </w:t>
            </w:r>
          </w:p>
          <w:p w14:paraId="3F17F8DE" w14:textId="77777777" w:rsidR="00A345F4" w:rsidRDefault="005E2D4E">
            <w:pPr>
              <w:pStyle w:val="P68B1DB1-ListParagraph29"/>
              <w:numPr>
                <w:ilvl w:val="0"/>
                <w:numId w:val="65"/>
              </w:numPr>
              <w:spacing w:after="0" w:line="240" w:lineRule="auto"/>
              <w:jc w:val="both"/>
              <w:rPr>
                <w:noProof/>
              </w:rPr>
            </w:pPr>
            <w:r>
              <w:rPr>
                <w:noProof/>
              </w:rPr>
              <w:t>étendre la définition du conflit d'intérêts au-delà des intérêts financiers personnels;</w:t>
            </w:r>
          </w:p>
          <w:p w14:paraId="15B332BE" w14:textId="77777777" w:rsidR="00A345F4" w:rsidRDefault="005E2D4E">
            <w:pPr>
              <w:pStyle w:val="P68B1DB1-ListParagraph29"/>
              <w:numPr>
                <w:ilvl w:val="0"/>
                <w:numId w:val="65"/>
              </w:numPr>
              <w:spacing w:after="0" w:line="240" w:lineRule="auto"/>
              <w:jc w:val="both"/>
              <w:rPr>
                <w:noProof/>
              </w:rPr>
            </w:pPr>
            <w:r>
              <w:rPr>
                <w:noProof/>
              </w:rPr>
              <w:t xml:space="preserve">introduire une obligation de divulgation </w:t>
            </w:r>
            <w:r>
              <w:rPr>
                <w:i/>
                <w:noProof/>
              </w:rPr>
              <w:t>ad hoc</w:t>
            </w:r>
            <w:r>
              <w:rPr>
                <w:noProof/>
              </w:rPr>
              <w:t xml:space="preserve"> en cas de conflit d’intérêts;</w:t>
            </w:r>
          </w:p>
          <w:p w14:paraId="16AE718D" w14:textId="77777777" w:rsidR="00A345F4" w:rsidRDefault="005E2D4E">
            <w:pPr>
              <w:pStyle w:val="P68B1DB1-ListParagraph29"/>
              <w:numPr>
                <w:ilvl w:val="0"/>
                <w:numId w:val="65"/>
              </w:numPr>
              <w:spacing w:after="0" w:line="240" w:lineRule="auto"/>
              <w:jc w:val="both"/>
              <w:rPr>
                <w:noProof/>
              </w:rPr>
            </w:pPr>
            <w:r>
              <w:rPr>
                <w:noProof/>
              </w:rPr>
              <w:t>établir un ensemble de restrictions concernant les cadeaux, l'hospitalité, les faveurs et autres avantages pour les membres du gouvernement;</w:t>
            </w:r>
          </w:p>
          <w:p w14:paraId="3D46EF7C" w14:textId="77777777" w:rsidR="00A345F4" w:rsidRDefault="005E2D4E">
            <w:pPr>
              <w:pStyle w:val="P68B1DB1-ListParagraph29"/>
              <w:numPr>
                <w:ilvl w:val="0"/>
                <w:numId w:val="65"/>
              </w:numPr>
              <w:spacing w:after="0" w:line="240" w:lineRule="auto"/>
              <w:jc w:val="both"/>
              <w:rPr>
                <w:noProof/>
              </w:rPr>
            </w:pPr>
            <w:r>
              <w:rPr>
                <w:noProof/>
              </w:rPr>
              <w:t>introduire des règles sur la manière dont les membres du gouvernement interagissent avec les lobbyistes et d’autres tiers.</w:t>
            </w:r>
          </w:p>
        </w:tc>
      </w:tr>
      <w:tr w:rsidR="00A345F4" w14:paraId="08BBB7B5" w14:textId="77777777" w:rsidTr="000D606E">
        <w:trPr>
          <w:trHeight w:val="1466"/>
        </w:trPr>
        <w:tc>
          <w:tcPr>
            <w:tcW w:w="822" w:type="dxa"/>
            <w:tcBorders>
              <w:top w:val="single" w:sz="4" w:space="0" w:color="auto"/>
              <w:left w:val="single" w:sz="4" w:space="0" w:color="auto"/>
              <w:bottom w:val="single" w:sz="4" w:space="0" w:color="auto"/>
              <w:right w:val="single" w:sz="4" w:space="0" w:color="auto"/>
            </w:tcBorders>
            <w:shd w:val="clear" w:color="auto" w:fill="C6EFCE"/>
            <w:noWrap/>
          </w:tcPr>
          <w:p w14:paraId="6D46054C" w14:textId="77777777" w:rsidR="00A345F4" w:rsidRDefault="005E2D4E">
            <w:pPr>
              <w:pStyle w:val="P68B1DB1-Normal14"/>
              <w:spacing w:after="0" w:line="240" w:lineRule="auto"/>
              <w:jc w:val="center"/>
              <w:rPr>
                <w:noProof/>
              </w:rPr>
            </w:pPr>
            <w:r>
              <w:rPr>
                <w:noProof/>
              </w:rPr>
              <w:t>433</w:t>
            </w:r>
          </w:p>
        </w:tc>
        <w:tc>
          <w:tcPr>
            <w:tcW w:w="2166" w:type="dxa"/>
            <w:tcBorders>
              <w:top w:val="single" w:sz="4" w:space="0" w:color="auto"/>
              <w:left w:val="single" w:sz="4" w:space="0" w:color="auto"/>
              <w:bottom w:val="single" w:sz="4" w:space="0" w:color="auto"/>
              <w:right w:val="single" w:sz="4" w:space="0" w:color="auto"/>
            </w:tcBorders>
            <w:shd w:val="clear" w:color="auto" w:fill="C6EFCE"/>
            <w:noWrap/>
          </w:tcPr>
          <w:p w14:paraId="32462168" w14:textId="34B1112B" w:rsidR="00A345F4" w:rsidRDefault="005E2D4E">
            <w:pPr>
              <w:pStyle w:val="P68B1DB1-Normal14"/>
              <w:spacing w:after="0" w:line="240" w:lineRule="auto"/>
              <w:jc w:val="both"/>
              <w:rPr>
                <w:noProof/>
              </w:rPr>
            </w:pPr>
            <w:r>
              <w:rPr>
                <w:noProof/>
              </w:rPr>
              <w:t>Réforme 8. Modernisation et rationalisation du système national de passation des marchés publics</w:t>
            </w:r>
          </w:p>
        </w:tc>
        <w:tc>
          <w:tcPr>
            <w:tcW w:w="1543" w:type="dxa"/>
            <w:tcBorders>
              <w:top w:val="single" w:sz="4" w:space="0" w:color="auto"/>
              <w:left w:val="single" w:sz="4" w:space="0" w:color="auto"/>
              <w:bottom w:val="single" w:sz="4" w:space="0" w:color="auto"/>
              <w:right w:val="single" w:sz="4" w:space="0" w:color="auto"/>
            </w:tcBorders>
            <w:shd w:val="clear" w:color="auto" w:fill="C6EFCE"/>
            <w:noWrap/>
          </w:tcPr>
          <w:p w14:paraId="477C62BB" w14:textId="77777777" w:rsidR="00A345F4" w:rsidRDefault="005E2D4E">
            <w:pPr>
              <w:pStyle w:val="P68B1DB1-Normal14"/>
              <w:spacing w:after="0" w:line="240" w:lineRule="auto"/>
              <w:rPr>
                <w:noProof/>
              </w:rPr>
            </w:pPr>
            <w:r>
              <w:rPr>
                <w:noProof/>
              </w:rPr>
              <w:t>Étape</w:t>
            </w:r>
          </w:p>
        </w:tc>
        <w:tc>
          <w:tcPr>
            <w:tcW w:w="1403" w:type="dxa"/>
            <w:tcBorders>
              <w:top w:val="single" w:sz="4" w:space="0" w:color="auto"/>
              <w:left w:val="single" w:sz="4" w:space="0" w:color="auto"/>
              <w:bottom w:val="single" w:sz="4" w:space="0" w:color="auto"/>
              <w:right w:val="single" w:sz="4" w:space="0" w:color="auto"/>
            </w:tcBorders>
            <w:shd w:val="clear" w:color="auto" w:fill="C6EFCE"/>
            <w:noWrap/>
          </w:tcPr>
          <w:p w14:paraId="09E47282" w14:textId="77777777" w:rsidR="00A345F4" w:rsidRDefault="005E2D4E">
            <w:pPr>
              <w:pStyle w:val="P68B1DB1-Normal14"/>
              <w:spacing w:after="0" w:line="240" w:lineRule="auto"/>
              <w:jc w:val="both"/>
              <w:rPr>
                <w:noProof/>
              </w:rPr>
            </w:pPr>
            <w:r>
              <w:rPr>
                <w:noProof/>
              </w:rPr>
              <w:t xml:space="preserve">Entrée en vigueur de la modification de la législation nationale sur les recours (loi no 101/2016) </w:t>
            </w:r>
          </w:p>
        </w:tc>
        <w:tc>
          <w:tcPr>
            <w:tcW w:w="1547" w:type="dxa"/>
            <w:tcBorders>
              <w:top w:val="single" w:sz="4" w:space="0" w:color="auto"/>
              <w:left w:val="single" w:sz="4" w:space="0" w:color="auto"/>
              <w:bottom w:val="single" w:sz="4" w:space="0" w:color="auto"/>
              <w:right w:val="single" w:sz="4" w:space="0" w:color="auto"/>
            </w:tcBorders>
            <w:shd w:val="clear" w:color="auto" w:fill="C6EFCE"/>
            <w:noWrap/>
          </w:tcPr>
          <w:p w14:paraId="1C099F26" w14:textId="77777777" w:rsidR="00A345F4" w:rsidRDefault="005E2D4E">
            <w:pPr>
              <w:pStyle w:val="P68B1DB1-Normal14"/>
              <w:spacing w:after="0" w:line="240" w:lineRule="auto"/>
              <w:jc w:val="both"/>
              <w:rPr>
                <w:noProof/>
              </w:rPr>
            </w:pPr>
            <w:r>
              <w:rPr>
                <w:noProof/>
              </w:rPr>
              <w:t>Disposition de la loi indiquant l'entrée en vigueur de la loi sur les recours</w:t>
            </w:r>
          </w:p>
        </w:tc>
        <w:tc>
          <w:tcPr>
            <w:tcW w:w="1344" w:type="dxa"/>
            <w:tcBorders>
              <w:top w:val="single" w:sz="4" w:space="0" w:color="auto"/>
              <w:left w:val="single" w:sz="4" w:space="0" w:color="auto"/>
              <w:bottom w:val="single" w:sz="4" w:space="0" w:color="auto"/>
              <w:right w:val="single" w:sz="4" w:space="0" w:color="auto"/>
            </w:tcBorders>
            <w:shd w:val="clear" w:color="auto" w:fill="C6EFCE"/>
            <w:noWrap/>
          </w:tcPr>
          <w:p w14:paraId="382B37F1" w14:textId="77777777" w:rsidR="00A345F4" w:rsidRDefault="005E2D4E">
            <w:pPr>
              <w:pStyle w:val="P68B1DB1-Normal14"/>
              <w:spacing w:after="0" w:line="240" w:lineRule="auto"/>
              <w:rPr>
                <w:noProof/>
              </w:rPr>
            </w:pPr>
            <w:r>
              <w:rPr>
                <w:noProof/>
              </w:rPr>
              <w:t xml:space="preserve"> </w:t>
            </w:r>
          </w:p>
        </w:tc>
        <w:tc>
          <w:tcPr>
            <w:tcW w:w="1109" w:type="dxa"/>
            <w:tcBorders>
              <w:top w:val="single" w:sz="4" w:space="0" w:color="auto"/>
              <w:left w:val="single" w:sz="4" w:space="0" w:color="auto"/>
              <w:bottom w:val="single" w:sz="4" w:space="0" w:color="auto"/>
              <w:right w:val="single" w:sz="4" w:space="0" w:color="auto"/>
            </w:tcBorders>
            <w:shd w:val="clear" w:color="auto" w:fill="C6EFCE"/>
            <w:noWrap/>
          </w:tcPr>
          <w:p w14:paraId="6D0DE8CC" w14:textId="77777777" w:rsidR="00A345F4" w:rsidRDefault="005E2D4E">
            <w:pPr>
              <w:pStyle w:val="P68B1DB1-Normal14"/>
              <w:spacing w:after="0" w:line="240" w:lineRule="auto"/>
              <w:rPr>
                <w:noProof/>
              </w:rPr>
            </w:pPr>
            <w:r>
              <w:rPr>
                <w:noProof/>
              </w:rPr>
              <w:t xml:space="preserve"> </w:t>
            </w:r>
          </w:p>
        </w:tc>
        <w:tc>
          <w:tcPr>
            <w:tcW w:w="976" w:type="dxa"/>
            <w:tcBorders>
              <w:top w:val="single" w:sz="4" w:space="0" w:color="auto"/>
              <w:left w:val="single" w:sz="4" w:space="0" w:color="auto"/>
              <w:bottom w:val="single" w:sz="4" w:space="0" w:color="auto"/>
              <w:right w:val="single" w:sz="4" w:space="0" w:color="auto"/>
            </w:tcBorders>
            <w:shd w:val="clear" w:color="auto" w:fill="C6EFCE"/>
          </w:tcPr>
          <w:p w14:paraId="49A8C88E" w14:textId="77777777" w:rsidR="00A345F4" w:rsidRDefault="00A345F4">
            <w:pPr>
              <w:spacing w:after="0" w:line="240" w:lineRule="auto"/>
              <w:rPr>
                <w:rFonts w:ascii="Times New Roman"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B22BF88" w14:textId="77777777" w:rsidR="00A345F4" w:rsidRDefault="005E2D4E">
            <w:pPr>
              <w:pStyle w:val="P68B1DB1-Normal14"/>
              <w:spacing w:after="0" w:line="240" w:lineRule="auto"/>
              <w:rPr>
                <w:noProof/>
              </w:rPr>
            </w:pPr>
            <w:r>
              <w:rPr>
                <w:noProof/>
              </w:rPr>
              <w:t> T1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F1ABD58" w14:textId="77777777" w:rsidR="00A345F4" w:rsidRDefault="005E2D4E">
            <w:pPr>
              <w:pStyle w:val="P68B1DB1-Normal14"/>
              <w:spacing w:after="0" w:line="240" w:lineRule="auto"/>
              <w:jc w:val="center"/>
              <w:rPr>
                <w:noProof/>
              </w:rPr>
            </w:pPr>
            <w:r>
              <w:rPr>
                <w:noProof/>
              </w:rPr>
              <w:t>2022</w:t>
            </w:r>
          </w:p>
        </w:tc>
        <w:tc>
          <w:tcPr>
            <w:tcW w:w="2981" w:type="dxa"/>
            <w:tcBorders>
              <w:top w:val="single" w:sz="4" w:space="0" w:color="auto"/>
              <w:left w:val="single" w:sz="4" w:space="0" w:color="auto"/>
              <w:bottom w:val="single" w:sz="4" w:space="0" w:color="auto"/>
              <w:right w:val="single" w:sz="4" w:space="0" w:color="auto"/>
            </w:tcBorders>
            <w:shd w:val="clear" w:color="auto" w:fill="C6EFCE"/>
            <w:noWrap/>
          </w:tcPr>
          <w:p w14:paraId="2FDE930A" w14:textId="77777777" w:rsidR="00A345F4" w:rsidRDefault="005E2D4E">
            <w:pPr>
              <w:pStyle w:val="P68B1DB1-Normal14"/>
              <w:spacing w:after="0" w:line="240" w:lineRule="auto"/>
              <w:jc w:val="both"/>
              <w:rPr>
                <w:noProof/>
              </w:rPr>
            </w:pPr>
            <w:r>
              <w:rPr>
                <w:noProof/>
              </w:rPr>
              <w:t xml:space="preserve">La modification législative de la législation nationale sur les voies de recours (loi no 101/2016) introduit l’obligation de signer le contrat avec le soumissionnaire retenu immédiatement après l’adoption de la décision du Conseil national pour le règlement des litiges (CNSC), avant une résolution judiciaire en cas de plainte contre une décision du Conseil. </w:t>
            </w:r>
          </w:p>
        </w:tc>
      </w:tr>
      <w:tr w:rsidR="00A345F4" w14:paraId="32AAB5A8" w14:textId="77777777" w:rsidTr="000D606E">
        <w:trPr>
          <w:trHeight w:val="300"/>
        </w:trPr>
        <w:tc>
          <w:tcPr>
            <w:tcW w:w="822" w:type="dxa"/>
            <w:tcBorders>
              <w:top w:val="single" w:sz="4" w:space="0" w:color="auto"/>
              <w:left w:val="single" w:sz="4" w:space="0" w:color="auto"/>
              <w:bottom w:val="single" w:sz="4" w:space="0" w:color="auto"/>
              <w:right w:val="single" w:sz="4" w:space="0" w:color="auto"/>
            </w:tcBorders>
            <w:shd w:val="clear" w:color="auto" w:fill="C6EFCE"/>
            <w:noWrap/>
          </w:tcPr>
          <w:p w14:paraId="248362C3" w14:textId="77777777" w:rsidR="00A345F4" w:rsidRDefault="005E2D4E">
            <w:pPr>
              <w:pStyle w:val="P68B1DB1-Normal14"/>
              <w:spacing w:after="0" w:line="240" w:lineRule="auto"/>
              <w:jc w:val="center"/>
              <w:rPr>
                <w:noProof/>
              </w:rPr>
            </w:pPr>
            <w:r>
              <w:rPr>
                <w:noProof/>
              </w:rPr>
              <w:t>435</w:t>
            </w:r>
          </w:p>
        </w:tc>
        <w:tc>
          <w:tcPr>
            <w:tcW w:w="2166" w:type="dxa"/>
            <w:tcBorders>
              <w:top w:val="single" w:sz="4" w:space="0" w:color="auto"/>
              <w:left w:val="single" w:sz="4" w:space="0" w:color="auto"/>
              <w:bottom w:val="single" w:sz="4" w:space="0" w:color="auto"/>
              <w:right w:val="single" w:sz="4" w:space="0" w:color="auto"/>
            </w:tcBorders>
            <w:shd w:val="clear" w:color="auto" w:fill="C6EFCE"/>
            <w:noWrap/>
          </w:tcPr>
          <w:p w14:paraId="5F709BAB" w14:textId="31713823" w:rsidR="00A345F4" w:rsidRDefault="005E2D4E">
            <w:pPr>
              <w:pStyle w:val="P68B1DB1-Normal14"/>
              <w:spacing w:after="0" w:line="240" w:lineRule="auto"/>
              <w:jc w:val="both"/>
              <w:rPr>
                <w:noProof/>
              </w:rPr>
            </w:pPr>
            <w:r>
              <w:rPr>
                <w:noProof/>
              </w:rPr>
              <w:t xml:space="preserve">Réforme 8. Modernisation et rationalisation du système national de passation des marchés publics </w:t>
            </w:r>
          </w:p>
        </w:tc>
        <w:tc>
          <w:tcPr>
            <w:tcW w:w="1543" w:type="dxa"/>
            <w:tcBorders>
              <w:top w:val="single" w:sz="4" w:space="0" w:color="auto"/>
              <w:left w:val="single" w:sz="4" w:space="0" w:color="auto"/>
              <w:bottom w:val="single" w:sz="4" w:space="0" w:color="auto"/>
              <w:right w:val="single" w:sz="4" w:space="0" w:color="auto"/>
            </w:tcBorders>
            <w:shd w:val="clear" w:color="auto" w:fill="C6EFCE"/>
            <w:noWrap/>
          </w:tcPr>
          <w:p w14:paraId="7E10DE3C" w14:textId="77777777" w:rsidR="00A345F4" w:rsidRDefault="005E2D4E">
            <w:pPr>
              <w:pStyle w:val="P68B1DB1-Normal14"/>
              <w:spacing w:after="0" w:line="240" w:lineRule="auto"/>
              <w:rPr>
                <w:noProof/>
              </w:rPr>
            </w:pPr>
            <w:r>
              <w:rPr>
                <w:noProof/>
              </w:rPr>
              <w:t>Objectif</w:t>
            </w:r>
          </w:p>
        </w:tc>
        <w:tc>
          <w:tcPr>
            <w:tcW w:w="1403" w:type="dxa"/>
            <w:tcBorders>
              <w:top w:val="single" w:sz="4" w:space="0" w:color="auto"/>
              <w:left w:val="single" w:sz="4" w:space="0" w:color="auto"/>
              <w:bottom w:val="single" w:sz="4" w:space="0" w:color="auto"/>
              <w:right w:val="single" w:sz="4" w:space="0" w:color="auto"/>
            </w:tcBorders>
            <w:shd w:val="clear" w:color="auto" w:fill="C6EFCE"/>
            <w:noWrap/>
          </w:tcPr>
          <w:p w14:paraId="682AB24F" w14:textId="77777777" w:rsidR="00A345F4" w:rsidRDefault="005E2D4E">
            <w:pPr>
              <w:pStyle w:val="P68B1DB1-Normal14"/>
              <w:spacing w:after="0" w:line="240" w:lineRule="auto"/>
              <w:jc w:val="both"/>
              <w:rPr>
                <w:noProof/>
              </w:rPr>
            </w:pPr>
            <w:r>
              <w:rPr>
                <w:noProof/>
              </w:rPr>
              <w:t>Les autorités locales ont recours à des organismes de passation de marchés centralisés (OPC)</w:t>
            </w:r>
          </w:p>
        </w:tc>
        <w:tc>
          <w:tcPr>
            <w:tcW w:w="1547" w:type="dxa"/>
            <w:tcBorders>
              <w:top w:val="single" w:sz="4" w:space="0" w:color="auto"/>
              <w:left w:val="single" w:sz="4" w:space="0" w:color="auto"/>
              <w:bottom w:val="single" w:sz="4" w:space="0" w:color="auto"/>
              <w:right w:val="single" w:sz="4" w:space="0" w:color="auto"/>
            </w:tcBorders>
            <w:shd w:val="clear" w:color="auto" w:fill="C6EFCE"/>
            <w:noWrap/>
          </w:tcPr>
          <w:p w14:paraId="49076D1F" w14:textId="77777777" w:rsidR="00A345F4" w:rsidRDefault="00A345F4">
            <w:pPr>
              <w:spacing w:after="0" w:line="240" w:lineRule="auto"/>
              <w:jc w:val="both"/>
              <w:rPr>
                <w:rFonts w:ascii="Times New Roman" w:hAnsi="Times New Roman" w:cs="Times New Roman"/>
                <w:noProof/>
                <w:sz w:val="20"/>
                <w:szCs w:val="20"/>
              </w:rPr>
            </w:pPr>
          </w:p>
        </w:tc>
        <w:tc>
          <w:tcPr>
            <w:tcW w:w="1344" w:type="dxa"/>
            <w:tcBorders>
              <w:top w:val="single" w:sz="4" w:space="0" w:color="auto"/>
              <w:left w:val="single" w:sz="4" w:space="0" w:color="auto"/>
              <w:bottom w:val="single" w:sz="4" w:space="0" w:color="auto"/>
              <w:right w:val="single" w:sz="4" w:space="0" w:color="auto"/>
            </w:tcBorders>
            <w:shd w:val="clear" w:color="auto" w:fill="C6EFCE"/>
            <w:noWrap/>
          </w:tcPr>
          <w:p w14:paraId="3CF211BB" w14:textId="77777777" w:rsidR="00A345F4" w:rsidRDefault="005E2D4E">
            <w:pPr>
              <w:pStyle w:val="P68B1DB1-Normal14"/>
              <w:spacing w:after="0" w:line="240" w:lineRule="auto"/>
              <w:rPr>
                <w:noProof/>
              </w:rPr>
            </w:pPr>
            <w:r>
              <w:rPr>
                <w:noProof/>
              </w:rPr>
              <w:t>Nombre d’organismes centralisés de passation des marchés (OCP) pour les autorités locales</w:t>
            </w:r>
          </w:p>
        </w:tc>
        <w:tc>
          <w:tcPr>
            <w:tcW w:w="1109" w:type="dxa"/>
            <w:tcBorders>
              <w:top w:val="single" w:sz="4" w:space="0" w:color="auto"/>
              <w:left w:val="single" w:sz="4" w:space="0" w:color="auto"/>
              <w:bottom w:val="single" w:sz="4" w:space="0" w:color="auto"/>
              <w:right w:val="single" w:sz="4" w:space="0" w:color="auto"/>
            </w:tcBorders>
            <w:shd w:val="clear" w:color="auto" w:fill="C6EFCE"/>
            <w:noWrap/>
          </w:tcPr>
          <w:p w14:paraId="2D9F1A1C" w14:textId="77777777" w:rsidR="00A345F4" w:rsidRDefault="005E2D4E">
            <w:pPr>
              <w:pStyle w:val="P68B1DB1-Normal14"/>
              <w:spacing w:after="0" w:line="240" w:lineRule="auto"/>
              <w:rPr>
                <w:noProof/>
              </w:rPr>
            </w:pPr>
            <w:r>
              <w:rPr>
                <w:noProof/>
              </w:rPr>
              <w:t>3</w:t>
            </w:r>
          </w:p>
        </w:tc>
        <w:tc>
          <w:tcPr>
            <w:tcW w:w="976" w:type="dxa"/>
            <w:tcBorders>
              <w:top w:val="single" w:sz="4" w:space="0" w:color="auto"/>
              <w:left w:val="single" w:sz="4" w:space="0" w:color="auto"/>
              <w:bottom w:val="single" w:sz="4" w:space="0" w:color="auto"/>
              <w:right w:val="single" w:sz="4" w:space="0" w:color="auto"/>
            </w:tcBorders>
            <w:shd w:val="clear" w:color="auto" w:fill="C6EFCE"/>
          </w:tcPr>
          <w:p w14:paraId="4BB98295" w14:textId="77777777" w:rsidR="00A345F4" w:rsidRDefault="005E2D4E">
            <w:pPr>
              <w:pStyle w:val="P68B1DB1-Normal14"/>
              <w:spacing w:after="0" w:line="240" w:lineRule="auto"/>
              <w:rPr>
                <w:noProof/>
              </w:rPr>
            </w:pPr>
            <w:r>
              <w:rPr>
                <w:noProof/>
              </w:rPr>
              <w:t>7</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6D362E0" w14:textId="77777777" w:rsidR="00A345F4" w:rsidRDefault="005E2D4E">
            <w:pPr>
              <w:pStyle w:val="P68B1DB1-Normal14"/>
              <w:spacing w:after="0" w:line="240" w:lineRule="auto"/>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684EF90" w14:textId="77777777" w:rsidR="00A345F4" w:rsidRDefault="005E2D4E">
            <w:pPr>
              <w:pStyle w:val="P68B1DB1-Normal14"/>
              <w:spacing w:after="0" w:line="240" w:lineRule="auto"/>
              <w:jc w:val="center"/>
              <w:rPr>
                <w:noProof/>
              </w:rPr>
            </w:pPr>
            <w:r>
              <w:rPr>
                <w:noProof/>
              </w:rPr>
              <w:t>2025</w:t>
            </w:r>
          </w:p>
        </w:tc>
        <w:tc>
          <w:tcPr>
            <w:tcW w:w="2981" w:type="dxa"/>
            <w:tcBorders>
              <w:top w:val="single" w:sz="4" w:space="0" w:color="auto"/>
              <w:left w:val="single" w:sz="4" w:space="0" w:color="auto"/>
              <w:bottom w:val="single" w:sz="4" w:space="0" w:color="auto"/>
              <w:right w:val="single" w:sz="4" w:space="0" w:color="auto"/>
            </w:tcBorders>
            <w:shd w:val="clear" w:color="auto" w:fill="C6EFCE"/>
            <w:noWrap/>
          </w:tcPr>
          <w:p w14:paraId="04E72608" w14:textId="77777777" w:rsidR="00A345F4" w:rsidRDefault="005E2D4E">
            <w:pPr>
              <w:pStyle w:val="P68B1DB1-Normal14"/>
              <w:spacing w:after="0" w:line="240" w:lineRule="auto"/>
              <w:jc w:val="both"/>
              <w:rPr>
                <w:noProof/>
              </w:rPr>
            </w:pPr>
            <w:r>
              <w:rPr>
                <w:noProof/>
              </w:rPr>
              <w:t>Quatre organismes de passation de marchés centralisés (OPC) supplémentaires pour les autorités locales seront configurés et dotés de ressources (telles que des fournitures de bureau, du matériel informatique et des services de communication) et de savoir-faire.</w:t>
            </w:r>
          </w:p>
        </w:tc>
      </w:tr>
      <w:tr w:rsidR="00A345F4" w14:paraId="5B907FA5" w14:textId="77777777" w:rsidTr="000D606E">
        <w:trPr>
          <w:trHeight w:val="309"/>
        </w:trPr>
        <w:tc>
          <w:tcPr>
            <w:tcW w:w="822" w:type="dxa"/>
            <w:shd w:val="clear" w:color="auto" w:fill="C6EFCE"/>
            <w:noWrap/>
          </w:tcPr>
          <w:p w14:paraId="5A07C313" w14:textId="77777777" w:rsidR="00A345F4" w:rsidRDefault="005E2D4E">
            <w:pPr>
              <w:pStyle w:val="P68B1DB1-Normal14"/>
              <w:spacing w:after="0" w:line="240" w:lineRule="auto"/>
              <w:jc w:val="center"/>
              <w:rPr>
                <w:noProof/>
              </w:rPr>
            </w:pPr>
            <w:r>
              <w:rPr>
                <w:noProof/>
              </w:rPr>
              <w:t>437</w:t>
            </w:r>
          </w:p>
          <w:p w14:paraId="76D38FF5" w14:textId="77777777" w:rsidR="00A345F4" w:rsidRDefault="00A345F4">
            <w:pPr>
              <w:spacing w:after="0" w:line="240" w:lineRule="auto"/>
              <w:jc w:val="center"/>
              <w:rPr>
                <w:rFonts w:ascii="Times New Roman" w:hAnsi="Times New Roman" w:cs="Times New Roman"/>
                <w:noProof/>
                <w:sz w:val="20"/>
                <w:szCs w:val="20"/>
              </w:rPr>
            </w:pPr>
          </w:p>
        </w:tc>
        <w:tc>
          <w:tcPr>
            <w:tcW w:w="2166" w:type="dxa"/>
            <w:shd w:val="clear" w:color="auto" w:fill="C6EFCE"/>
            <w:noWrap/>
          </w:tcPr>
          <w:p w14:paraId="2D46A4F6" w14:textId="4E570238" w:rsidR="00A345F4" w:rsidRDefault="005E2D4E">
            <w:pPr>
              <w:pStyle w:val="P68B1DB1-Normal14"/>
              <w:spacing w:after="0" w:line="240" w:lineRule="auto"/>
              <w:rPr>
                <w:noProof/>
              </w:rPr>
            </w:pPr>
            <w:r>
              <w:rPr>
                <w:noProof/>
              </w:rPr>
              <w:t>Réforme 8. Modernisation et rationalisation du système national de passation des marchés publics</w:t>
            </w:r>
          </w:p>
        </w:tc>
        <w:tc>
          <w:tcPr>
            <w:tcW w:w="1543" w:type="dxa"/>
            <w:shd w:val="clear" w:color="auto" w:fill="C6EFCE"/>
            <w:noWrap/>
          </w:tcPr>
          <w:p w14:paraId="0A334E0F"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6D463D02" w14:textId="77777777" w:rsidR="00A345F4" w:rsidRDefault="005E2D4E">
            <w:pPr>
              <w:pStyle w:val="P68B1DB1-Normal14"/>
              <w:spacing w:after="0" w:line="240" w:lineRule="auto"/>
              <w:rPr>
                <w:noProof/>
              </w:rPr>
            </w:pPr>
            <w:r>
              <w:rPr>
                <w:noProof/>
              </w:rPr>
              <w:t xml:space="preserve">Le système électronique des marchés publics (SEAP) est interconnecté et interopérable avec d’autres bases de données. </w:t>
            </w:r>
          </w:p>
        </w:tc>
        <w:tc>
          <w:tcPr>
            <w:tcW w:w="1547" w:type="dxa"/>
            <w:shd w:val="clear" w:color="auto" w:fill="C6EFCE"/>
            <w:noWrap/>
          </w:tcPr>
          <w:p w14:paraId="3A9F7255" w14:textId="77777777" w:rsidR="00A345F4" w:rsidRDefault="005E2D4E">
            <w:pPr>
              <w:pStyle w:val="P68B1DB1-Normal14"/>
              <w:spacing w:after="0" w:line="240" w:lineRule="auto"/>
              <w:rPr>
                <w:noProof/>
              </w:rPr>
            </w:pPr>
            <w:r>
              <w:rPr>
                <w:noProof/>
              </w:rPr>
              <w:t xml:space="preserve">Système SEAP interconnecté et interopérable </w:t>
            </w:r>
          </w:p>
        </w:tc>
        <w:tc>
          <w:tcPr>
            <w:tcW w:w="1344" w:type="dxa"/>
            <w:shd w:val="clear" w:color="auto" w:fill="C6EFCE"/>
            <w:noWrap/>
          </w:tcPr>
          <w:p w14:paraId="11F2036B"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0C79DFDD" w14:textId="77777777" w:rsidR="00A345F4" w:rsidRDefault="005E2D4E">
            <w:pPr>
              <w:pStyle w:val="P68B1DB1-Normal14"/>
              <w:spacing w:after="0" w:line="240" w:lineRule="auto"/>
              <w:rPr>
                <w:noProof/>
              </w:rPr>
            </w:pPr>
            <w:r>
              <w:rPr>
                <w:noProof/>
              </w:rPr>
              <w:t xml:space="preserve"> </w:t>
            </w:r>
          </w:p>
        </w:tc>
        <w:tc>
          <w:tcPr>
            <w:tcW w:w="976" w:type="dxa"/>
            <w:shd w:val="clear" w:color="auto" w:fill="C6EFCE"/>
          </w:tcPr>
          <w:p w14:paraId="3A8DD968"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6EDA467E" w14:textId="77777777" w:rsidR="00A345F4" w:rsidRDefault="005E2D4E">
            <w:pPr>
              <w:pStyle w:val="P68B1DB1-Normal14"/>
              <w:spacing w:after="0" w:line="240" w:lineRule="auto"/>
              <w:rPr>
                <w:noProof/>
              </w:rPr>
            </w:pPr>
            <w:r>
              <w:rPr>
                <w:noProof/>
              </w:rPr>
              <w:t> T2</w:t>
            </w:r>
          </w:p>
        </w:tc>
        <w:tc>
          <w:tcPr>
            <w:tcW w:w="851" w:type="dxa"/>
            <w:shd w:val="clear" w:color="auto" w:fill="C6EFCE"/>
            <w:noWrap/>
          </w:tcPr>
          <w:p w14:paraId="46CF3633" w14:textId="77777777" w:rsidR="00A345F4" w:rsidRDefault="005E2D4E">
            <w:pPr>
              <w:pStyle w:val="P68B1DB1-Normal14"/>
              <w:spacing w:after="0" w:line="240" w:lineRule="auto"/>
              <w:jc w:val="center"/>
              <w:rPr>
                <w:noProof/>
              </w:rPr>
            </w:pPr>
            <w:r>
              <w:rPr>
                <w:noProof/>
              </w:rPr>
              <w:t>2026</w:t>
            </w:r>
          </w:p>
        </w:tc>
        <w:tc>
          <w:tcPr>
            <w:tcW w:w="2981" w:type="dxa"/>
            <w:shd w:val="clear" w:color="auto" w:fill="C6EFCE"/>
            <w:noWrap/>
          </w:tcPr>
          <w:p w14:paraId="165F280F" w14:textId="542EE73D" w:rsidR="00A345F4" w:rsidRDefault="005E2D4E">
            <w:pPr>
              <w:pStyle w:val="P68B1DB1-Normal14"/>
              <w:spacing w:after="0" w:line="240" w:lineRule="auto"/>
              <w:jc w:val="both"/>
              <w:rPr>
                <w:noProof/>
              </w:rPr>
            </w:pPr>
            <w:r>
              <w:rPr>
                <w:noProof/>
              </w:rPr>
              <w:t>Le système électronique de passation des marchés publics (SEAP) est interconnecté et interopérable avec d’autres bases de données, par exemple: National Trade Register Office, National Integrity Agency, National Agency for Fiscal Administration, National Agency for Public Procurement, National Board for Complaints, Ministère de l'intérieur, Ministère de la justice. Le plan d’action comprend des fonctionnalités pour l’utilisation des formulaires électroniques standard de l’UE, l’évaluation électronique des offres, les procédures d’acquisition dynamique avec évaluation automatisée des qualifications et les outils pour les contrats électroniques, la facturation électronique, les paiements électroniques et la gestion des contrats.</w:t>
            </w:r>
          </w:p>
        </w:tc>
      </w:tr>
      <w:tr w:rsidR="00A345F4" w14:paraId="52112C76" w14:textId="77777777" w:rsidTr="000D606E">
        <w:trPr>
          <w:trHeight w:val="309"/>
        </w:trPr>
        <w:tc>
          <w:tcPr>
            <w:tcW w:w="822" w:type="dxa"/>
            <w:shd w:val="clear" w:color="auto" w:fill="C6EFCE"/>
            <w:noWrap/>
          </w:tcPr>
          <w:p w14:paraId="517DBF9F" w14:textId="77777777" w:rsidR="00A345F4" w:rsidRDefault="005E2D4E">
            <w:pPr>
              <w:pStyle w:val="P68B1DB1-Normal14"/>
              <w:spacing w:after="0" w:line="240" w:lineRule="auto"/>
              <w:jc w:val="center"/>
              <w:rPr>
                <w:noProof/>
              </w:rPr>
            </w:pPr>
            <w:r>
              <w:rPr>
                <w:noProof/>
              </w:rPr>
              <w:t>439</w:t>
            </w:r>
          </w:p>
        </w:tc>
        <w:tc>
          <w:tcPr>
            <w:tcW w:w="2166" w:type="dxa"/>
            <w:shd w:val="clear" w:color="auto" w:fill="C6EFCE"/>
            <w:noWrap/>
          </w:tcPr>
          <w:p w14:paraId="602D1911" w14:textId="77777777" w:rsidR="00A345F4" w:rsidRDefault="005E2D4E">
            <w:pPr>
              <w:pStyle w:val="P68B1DB1-Normal14"/>
              <w:spacing w:after="0" w:line="240" w:lineRule="auto"/>
              <w:jc w:val="both"/>
              <w:rPr>
                <w:noProof/>
              </w:rPr>
            </w:pPr>
            <w:r>
              <w:rPr>
                <w:noProof/>
              </w:rPr>
              <w:t>Réforme 9. Améliorer le cadre procédural pour la mise en œuvre des principes de gouvernance d'entreprise dans les entreprises publiques</w:t>
            </w:r>
          </w:p>
        </w:tc>
        <w:tc>
          <w:tcPr>
            <w:tcW w:w="1543" w:type="dxa"/>
            <w:shd w:val="clear" w:color="auto" w:fill="C6EFCE"/>
            <w:noWrap/>
          </w:tcPr>
          <w:p w14:paraId="3D278701"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3073056F" w14:textId="77777777" w:rsidR="00A345F4" w:rsidRDefault="005E2D4E">
            <w:pPr>
              <w:pStyle w:val="P68B1DB1-Normal14"/>
              <w:spacing w:after="0" w:line="240" w:lineRule="auto"/>
              <w:jc w:val="both"/>
              <w:rPr>
                <w:noProof/>
              </w:rPr>
            </w:pPr>
            <w:r>
              <w:rPr>
                <w:noProof/>
              </w:rPr>
              <w:t xml:space="preserve">Entrée en vigueur de la législation actualisée pour les entreprises publiques </w:t>
            </w:r>
          </w:p>
        </w:tc>
        <w:tc>
          <w:tcPr>
            <w:tcW w:w="1547" w:type="dxa"/>
            <w:shd w:val="clear" w:color="auto" w:fill="C6EFCE"/>
            <w:noWrap/>
          </w:tcPr>
          <w:p w14:paraId="47A44585" w14:textId="77777777" w:rsidR="00A345F4" w:rsidRDefault="005E2D4E">
            <w:pPr>
              <w:pStyle w:val="P68B1DB1-Normal14"/>
              <w:spacing w:after="0" w:line="240" w:lineRule="auto"/>
              <w:jc w:val="both"/>
              <w:rPr>
                <w:noProof/>
              </w:rPr>
            </w:pPr>
            <w:r>
              <w:rPr>
                <w:noProof/>
              </w:rPr>
              <w:t>Disposition de la loi indiquant l'entrée en vigueur de la loi sur les entreprises publiques</w:t>
            </w:r>
          </w:p>
        </w:tc>
        <w:tc>
          <w:tcPr>
            <w:tcW w:w="1344" w:type="dxa"/>
            <w:shd w:val="clear" w:color="auto" w:fill="C6EFCE"/>
            <w:noWrap/>
          </w:tcPr>
          <w:p w14:paraId="040BE320"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5714F400" w14:textId="77777777" w:rsidR="00A345F4" w:rsidRDefault="005E2D4E">
            <w:pPr>
              <w:pStyle w:val="P68B1DB1-Normal14"/>
              <w:spacing w:after="0" w:line="240" w:lineRule="auto"/>
              <w:rPr>
                <w:noProof/>
              </w:rPr>
            </w:pPr>
            <w:r>
              <w:rPr>
                <w:noProof/>
              </w:rPr>
              <w:t xml:space="preserve"> </w:t>
            </w:r>
          </w:p>
        </w:tc>
        <w:tc>
          <w:tcPr>
            <w:tcW w:w="976" w:type="dxa"/>
            <w:shd w:val="clear" w:color="auto" w:fill="C6EFCE"/>
          </w:tcPr>
          <w:p w14:paraId="59E198BD"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3EAD645A" w14:textId="77777777" w:rsidR="00A345F4" w:rsidRDefault="005E2D4E">
            <w:pPr>
              <w:pStyle w:val="P68B1DB1-Normal14"/>
              <w:spacing w:after="0" w:line="240" w:lineRule="auto"/>
              <w:rPr>
                <w:noProof/>
              </w:rPr>
            </w:pPr>
            <w:r>
              <w:rPr>
                <w:noProof/>
              </w:rPr>
              <w:t> T4</w:t>
            </w:r>
          </w:p>
        </w:tc>
        <w:tc>
          <w:tcPr>
            <w:tcW w:w="851" w:type="dxa"/>
            <w:shd w:val="clear" w:color="auto" w:fill="C6EFCE"/>
            <w:noWrap/>
          </w:tcPr>
          <w:p w14:paraId="1CEF946F"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2E1E2198" w14:textId="77777777" w:rsidR="00A345F4" w:rsidRDefault="005E2D4E">
            <w:pPr>
              <w:pStyle w:val="P68B1DB1-Normal14"/>
              <w:spacing w:after="0" w:line="240" w:lineRule="auto"/>
              <w:jc w:val="both"/>
              <w:rPr>
                <w:noProof/>
              </w:rPr>
            </w:pPr>
            <w:r>
              <w:rPr>
                <w:noProof/>
              </w:rPr>
              <w:t xml:space="preserve">Entrée en vigueur de la loi modifiée no 111/2016, supprimant toutes les exceptions, y compris pour les entreprises publiques au niveau local. Ces modifications (i) séparent les fonctions de réglementation et de propriété (ii) suppriment tout avantage direct ou indirect qui pourrait découler de la propriété de l’État, que ce soit en termes de règles/réglementations du marché, de financement, de fiscalité ou de marchés publics (iii) garantissent que toute entreprise publique cherche à obtenir une rentabilité. </w:t>
            </w:r>
          </w:p>
          <w:p w14:paraId="54FB91B2" w14:textId="77777777" w:rsidR="00A345F4" w:rsidRDefault="00A345F4">
            <w:pPr>
              <w:spacing w:after="0" w:line="240" w:lineRule="auto"/>
              <w:jc w:val="both"/>
              <w:rPr>
                <w:rFonts w:ascii="Times New Roman" w:hAnsi="Times New Roman" w:cs="Times New Roman"/>
                <w:noProof/>
                <w:sz w:val="20"/>
                <w:szCs w:val="20"/>
              </w:rPr>
            </w:pPr>
          </w:p>
        </w:tc>
      </w:tr>
      <w:tr w:rsidR="00A345F4" w14:paraId="275034EE" w14:textId="77777777" w:rsidTr="000D606E">
        <w:trPr>
          <w:trHeight w:val="309"/>
        </w:trPr>
        <w:tc>
          <w:tcPr>
            <w:tcW w:w="822" w:type="dxa"/>
            <w:shd w:val="clear" w:color="auto" w:fill="C6EFCE"/>
            <w:noWrap/>
          </w:tcPr>
          <w:p w14:paraId="77E379B0" w14:textId="77777777" w:rsidR="00A345F4" w:rsidRDefault="005E2D4E">
            <w:pPr>
              <w:pStyle w:val="P68B1DB1-Normal14"/>
              <w:spacing w:after="0" w:line="240" w:lineRule="auto"/>
              <w:jc w:val="center"/>
              <w:rPr>
                <w:noProof/>
              </w:rPr>
            </w:pPr>
            <w:r>
              <w:rPr>
                <w:noProof/>
              </w:rPr>
              <w:t>440</w:t>
            </w:r>
          </w:p>
        </w:tc>
        <w:tc>
          <w:tcPr>
            <w:tcW w:w="2166" w:type="dxa"/>
            <w:shd w:val="clear" w:color="auto" w:fill="C6EFCE"/>
            <w:noWrap/>
          </w:tcPr>
          <w:p w14:paraId="6CC0586F" w14:textId="77777777" w:rsidR="00A345F4" w:rsidRDefault="005E2D4E">
            <w:pPr>
              <w:pStyle w:val="P68B1DB1-Normal14"/>
              <w:spacing w:after="0" w:line="240" w:lineRule="auto"/>
              <w:jc w:val="both"/>
              <w:rPr>
                <w:noProof/>
              </w:rPr>
            </w:pPr>
            <w:r>
              <w:rPr>
                <w:noProof/>
              </w:rPr>
              <w:t xml:space="preserve">Réforme 9. Améliorer le cadre procédural pour la mise en œuvre des principes de gouvernance d'entreprise dans les entreprises publiques </w:t>
            </w:r>
          </w:p>
        </w:tc>
        <w:tc>
          <w:tcPr>
            <w:tcW w:w="1543" w:type="dxa"/>
            <w:shd w:val="clear" w:color="auto" w:fill="C6EFCE"/>
            <w:noWrap/>
          </w:tcPr>
          <w:p w14:paraId="2A0D9223"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65AC0D46" w14:textId="77777777" w:rsidR="00A345F4" w:rsidRDefault="005E2D4E">
            <w:pPr>
              <w:pStyle w:val="P68B1DB1-Normal14"/>
              <w:spacing w:after="0" w:line="240" w:lineRule="auto"/>
              <w:jc w:val="both"/>
              <w:rPr>
                <w:noProof/>
              </w:rPr>
            </w:pPr>
            <w:r>
              <w:rPr>
                <w:noProof/>
              </w:rPr>
              <w:t>Fonctionnement de l'équipe spéciale au Centre du Gouvernement pour la coordination et le suivi des politiques de gouvernance d'entreprise</w:t>
            </w:r>
          </w:p>
        </w:tc>
        <w:tc>
          <w:tcPr>
            <w:tcW w:w="1547" w:type="dxa"/>
            <w:shd w:val="clear" w:color="auto" w:fill="C6EFCE"/>
            <w:noWrap/>
          </w:tcPr>
          <w:p w14:paraId="148617FD" w14:textId="77777777" w:rsidR="00A345F4" w:rsidRDefault="005E2D4E">
            <w:pPr>
              <w:pStyle w:val="P68B1DB1-Normal14"/>
              <w:spacing w:after="0" w:line="240" w:lineRule="auto"/>
              <w:jc w:val="both"/>
              <w:rPr>
                <w:noProof/>
              </w:rPr>
            </w:pPr>
            <w:r>
              <w:rPr>
                <w:noProof/>
              </w:rPr>
              <w:t xml:space="preserve">Disposition de la décision du Premier ministre indiquant l’entrée en vigueur de la décision du Premier ministre relative à l’organisation et au fonctionnement de la task force au secrétariat général du gouvernement </w:t>
            </w:r>
          </w:p>
        </w:tc>
        <w:tc>
          <w:tcPr>
            <w:tcW w:w="1344" w:type="dxa"/>
            <w:shd w:val="clear" w:color="auto" w:fill="C6EFCE"/>
            <w:noWrap/>
          </w:tcPr>
          <w:p w14:paraId="77530B6A"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47E9DECA" w14:textId="77777777" w:rsidR="00A345F4" w:rsidRDefault="005E2D4E">
            <w:pPr>
              <w:pStyle w:val="P68B1DB1-Normal14"/>
              <w:spacing w:after="0" w:line="240" w:lineRule="auto"/>
              <w:rPr>
                <w:noProof/>
              </w:rPr>
            </w:pPr>
            <w:r>
              <w:rPr>
                <w:noProof/>
              </w:rPr>
              <w:t xml:space="preserve"> </w:t>
            </w:r>
          </w:p>
        </w:tc>
        <w:tc>
          <w:tcPr>
            <w:tcW w:w="976" w:type="dxa"/>
            <w:shd w:val="clear" w:color="auto" w:fill="C6EFCE"/>
          </w:tcPr>
          <w:p w14:paraId="7214B9D4"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202A010A" w14:textId="77777777" w:rsidR="00A345F4" w:rsidRDefault="005E2D4E">
            <w:pPr>
              <w:pStyle w:val="P68B1DB1-Normal14"/>
              <w:spacing w:after="0" w:line="240" w:lineRule="auto"/>
              <w:rPr>
                <w:noProof/>
              </w:rPr>
            </w:pPr>
            <w:r>
              <w:rPr>
                <w:noProof/>
              </w:rPr>
              <w:t>T4</w:t>
            </w:r>
          </w:p>
        </w:tc>
        <w:tc>
          <w:tcPr>
            <w:tcW w:w="851" w:type="dxa"/>
            <w:shd w:val="clear" w:color="auto" w:fill="C6EFCE"/>
            <w:noWrap/>
          </w:tcPr>
          <w:p w14:paraId="06769C67"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0F5ABEA3" w14:textId="77777777" w:rsidR="00A345F4" w:rsidRDefault="005E2D4E">
            <w:pPr>
              <w:pStyle w:val="P68B1DB1-Normal14"/>
              <w:spacing w:after="0" w:line="240" w:lineRule="auto"/>
              <w:jc w:val="both"/>
              <w:rPr>
                <w:noProof/>
              </w:rPr>
            </w:pPr>
            <w:r>
              <w:rPr>
                <w:noProof/>
              </w:rPr>
              <w:t>Sur la base des recommandations d’un groupe d’experts indépendants, un groupe de travail permanent est mis en place conformément aux normes de gouvernance d’entreprise de l’OCDE et devient opérationnel (c’est-à-dire légalement mandaté et doté de ressources) pour assurer le suivi de l’application des normes de gouvernance d’entreprise, a la responsabilité ultime de garantir une procédure de sélection transparente et concurrentielle pour approuver la nomination des membres du conseil d’administration, surveille, évalue, contrôle et publie des rapports réguliers sur les indicateurs de performance et applique des sanctions pour les entreprises publiques non conformes aux indicateurs de performance clés.</w:t>
            </w:r>
          </w:p>
        </w:tc>
      </w:tr>
      <w:tr w:rsidR="00A345F4" w14:paraId="2C12E60D" w14:textId="77777777" w:rsidTr="000D606E">
        <w:trPr>
          <w:trHeight w:val="309"/>
        </w:trPr>
        <w:tc>
          <w:tcPr>
            <w:tcW w:w="822" w:type="dxa"/>
            <w:shd w:val="clear" w:color="auto" w:fill="C6EFCE"/>
            <w:noWrap/>
          </w:tcPr>
          <w:p w14:paraId="4B0B4D66" w14:textId="77777777" w:rsidR="00A345F4" w:rsidRDefault="005E2D4E">
            <w:pPr>
              <w:pStyle w:val="P68B1DB1-Normal14"/>
              <w:spacing w:after="0" w:line="240" w:lineRule="auto"/>
              <w:jc w:val="center"/>
              <w:rPr>
                <w:noProof/>
              </w:rPr>
            </w:pPr>
            <w:r>
              <w:rPr>
                <w:noProof/>
              </w:rPr>
              <w:t>441</w:t>
            </w:r>
          </w:p>
        </w:tc>
        <w:tc>
          <w:tcPr>
            <w:tcW w:w="2166" w:type="dxa"/>
            <w:shd w:val="clear" w:color="auto" w:fill="C6EFCE"/>
            <w:noWrap/>
          </w:tcPr>
          <w:p w14:paraId="0BA53213" w14:textId="77777777" w:rsidR="00A345F4" w:rsidRDefault="005E2D4E">
            <w:pPr>
              <w:pStyle w:val="P68B1DB1-Normal14"/>
              <w:spacing w:after="0" w:line="240" w:lineRule="auto"/>
              <w:jc w:val="both"/>
              <w:rPr>
                <w:noProof/>
              </w:rPr>
            </w:pPr>
            <w:r>
              <w:rPr>
                <w:noProof/>
              </w:rPr>
              <w:t xml:space="preserve">Réforme 9. Améliorer le cadre procédural pour la mise en œuvre des principes de gouvernance d'entreprise dans les entreprises publiques </w:t>
            </w:r>
          </w:p>
        </w:tc>
        <w:tc>
          <w:tcPr>
            <w:tcW w:w="1543" w:type="dxa"/>
            <w:shd w:val="clear" w:color="auto" w:fill="C6EFCE"/>
            <w:noWrap/>
          </w:tcPr>
          <w:p w14:paraId="5B7ECB95"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2A54F450" w14:textId="30EF2D19" w:rsidR="00A345F4" w:rsidRDefault="005E2D4E">
            <w:pPr>
              <w:pStyle w:val="P68B1DB1-Normal14"/>
              <w:spacing w:after="0" w:line="240" w:lineRule="auto"/>
              <w:jc w:val="both"/>
              <w:rPr>
                <w:noProof/>
              </w:rPr>
            </w:pPr>
            <w:r>
              <w:rPr>
                <w:noProof/>
              </w:rPr>
              <w:t xml:space="preserve">Publication du tableau de bord de suivi énumérant les indicateurs clés de performance (ICP) financiers et non financiers pour toutes les entreprises publiques </w:t>
            </w:r>
          </w:p>
        </w:tc>
        <w:tc>
          <w:tcPr>
            <w:tcW w:w="1547" w:type="dxa"/>
            <w:shd w:val="clear" w:color="auto" w:fill="C6EFCE"/>
            <w:noWrap/>
          </w:tcPr>
          <w:p w14:paraId="182D6B18" w14:textId="77777777" w:rsidR="00A345F4" w:rsidRDefault="005E2D4E">
            <w:pPr>
              <w:pStyle w:val="P68B1DB1-Normal14"/>
              <w:spacing w:after="0" w:line="240" w:lineRule="auto"/>
              <w:jc w:val="both"/>
              <w:rPr>
                <w:noProof/>
              </w:rPr>
            </w:pPr>
            <w:r>
              <w:rPr>
                <w:noProof/>
              </w:rPr>
              <w:t>Tableau de bord de suivi publié</w:t>
            </w:r>
          </w:p>
        </w:tc>
        <w:tc>
          <w:tcPr>
            <w:tcW w:w="1344" w:type="dxa"/>
            <w:shd w:val="clear" w:color="auto" w:fill="C6EFCE"/>
            <w:noWrap/>
          </w:tcPr>
          <w:p w14:paraId="21723CE1" w14:textId="77777777" w:rsidR="00A345F4" w:rsidRDefault="005E2D4E">
            <w:pPr>
              <w:pStyle w:val="P68B1DB1-Normal14"/>
              <w:spacing w:after="0" w:line="240" w:lineRule="auto"/>
              <w:rPr>
                <w:noProof/>
              </w:rPr>
            </w:pPr>
            <w:r>
              <w:rPr>
                <w:noProof/>
              </w:rPr>
              <w:t xml:space="preserve"> </w:t>
            </w:r>
          </w:p>
        </w:tc>
        <w:tc>
          <w:tcPr>
            <w:tcW w:w="1109" w:type="dxa"/>
            <w:shd w:val="clear" w:color="auto" w:fill="C6EFCE"/>
            <w:noWrap/>
          </w:tcPr>
          <w:p w14:paraId="36965051" w14:textId="77777777" w:rsidR="00A345F4" w:rsidRDefault="005E2D4E">
            <w:pPr>
              <w:pStyle w:val="P68B1DB1-Normal14"/>
              <w:spacing w:after="0" w:line="240" w:lineRule="auto"/>
              <w:rPr>
                <w:noProof/>
              </w:rPr>
            </w:pPr>
            <w:r>
              <w:rPr>
                <w:noProof/>
              </w:rPr>
              <w:t xml:space="preserve"> </w:t>
            </w:r>
          </w:p>
        </w:tc>
        <w:tc>
          <w:tcPr>
            <w:tcW w:w="976" w:type="dxa"/>
            <w:shd w:val="clear" w:color="auto" w:fill="C6EFCE"/>
          </w:tcPr>
          <w:p w14:paraId="3F93FF54"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2BB7136E" w14:textId="77777777" w:rsidR="00A345F4" w:rsidRDefault="005E2D4E">
            <w:pPr>
              <w:pStyle w:val="P68B1DB1-Normal14"/>
              <w:spacing w:after="0" w:line="240" w:lineRule="auto"/>
              <w:rPr>
                <w:noProof/>
              </w:rPr>
            </w:pPr>
            <w:r>
              <w:rPr>
                <w:noProof/>
              </w:rPr>
              <w:t>T2</w:t>
            </w:r>
          </w:p>
        </w:tc>
        <w:tc>
          <w:tcPr>
            <w:tcW w:w="851" w:type="dxa"/>
            <w:shd w:val="clear" w:color="auto" w:fill="C6EFCE"/>
            <w:noWrap/>
          </w:tcPr>
          <w:p w14:paraId="29713B9A" w14:textId="77777777" w:rsidR="00A345F4" w:rsidRDefault="005E2D4E">
            <w:pPr>
              <w:pStyle w:val="P68B1DB1-Normal14"/>
              <w:spacing w:after="0" w:line="240" w:lineRule="auto"/>
              <w:jc w:val="center"/>
              <w:rPr>
                <w:noProof/>
              </w:rPr>
            </w:pPr>
            <w:r>
              <w:rPr>
                <w:noProof/>
              </w:rPr>
              <w:t>2023</w:t>
            </w:r>
          </w:p>
        </w:tc>
        <w:tc>
          <w:tcPr>
            <w:tcW w:w="2981" w:type="dxa"/>
            <w:shd w:val="clear" w:color="auto" w:fill="C6EFCE"/>
            <w:noWrap/>
          </w:tcPr>
          <w:p w14:paraId="78085836" w14:textId="77777777" w:rsidR="00A345F4" w:rsidRDefault="005E2D4E">
            <w:pPr>
              <w:pStyle w:val="P68B1DB1-Normal14"/>
              <w:spacing w:after="120" w:line="240" w:lineRule="auto"/>
              <w:jc w:val="both"/>
              <w:rPr>
                <w:noProof/>
              </w:rPr>
            </w:pPr>
            <w:r>
              <w:rPr>
                <w:noProof/>
              </w:rPr>
              <w:t>Le groupe de travail:</w:t>
            </w:r>
          </w:p>
          <w:p w14:paraId="732D0494" w14:textId="77777777" w:rsidR="00A345F4" w:rsidRDefault="005E2D4E">
            <w:pPr>
              <w:pStyle w:val="P68B1DB1-Normal14"/>
              <w:spacing w:after="0" w:line="240" w:lineRule="auto"/>
              <w:jc w:val="both"/>
              <w:rPr>
                <w:noProof/>
              </w:rPr>
            </w:pPr>
            <w:r>
              <w:rPr>
                <w:noProof/>
              </w:rPr>
              <w:t>- définir des indicateurs clés de performance (ICP) financiers et non financiers standard pour le suivi des performances de toutes les entreprises publiques;</w:t>
            </w:r>
          </w:p>
          <w:p w14:paraId="21159070" w14:textId="77777777" w:rsidR="00A345F4" w:rsidRDefault="005E2D4E">
            <w:pPr>
              <w:pStyle w:val="P68B1DB1-Normal14"/>
              <w:spacing w:after="0" w:line="240" w:lineRule="auto"/>
              <w:jc w:val="both"/>
              <w:rPr>
                <w:noProof/>
              </w:rPr>
            </w:pPr>
            <w:r>
              <w:rPr>
                <w:noProof/>
              </w:rPr>
              <w:t>- approuver les ICP financiers et non financiers pour toutes les entreprises publiques;</w:t>
            </w:r>
          </w:p>
          <w:p w14:paraId="5352D71A" w14:textId="77777777" w:rsidR="00A345F4" w:rsidRDefault="005E2D4E">
            <w:pPr>
              <w:pStyle w:val="P68B1DB1-Normal14"/>
              <w:spacing w:after="0" w:line="240" w:lineRule="auto"/>
              <w:jc w:val="both"/>
              <w:rPr>
                <w:noProof/>
              </w:rPr>
            </w:pPr>
            <w:r>
              <w:rPr>
                <w:noProof/>
              </w:rPr>
              <w:t>- publier un tableau de bord de suivi pour l’établissement de rapports et le suivi des progrès annuels dans la réalisation des indicateurs clés de performance pour toutes les entreprises publiques.</w:t>
            </w:r>
          </w:p>
        </w:tc>
      </w:tr>
      <w:tr w:rsidR="00A345F4" w14:paraId="22DBA7C6" w14:textId="77777777" w:rsidTr="000D606E">
        <w:trPr>
          <w:trHeight w:val="300"/>
        </w:trPr>
        <w:tc>
          <w:tcPr>
            <w:tcW w:w="822" w:type="dxa"/>
            <w:shd w:val="clear" w:color="auto" w:fill="C6EFCE"/>
            <w:noWrap/>
          </w:tcPr>
          <w:p w14:paraId="6C103FE3" w14:textId="77777777" w:rsidR="00A345F4" w:rsidRDefault="005E2D4E">
            <w:pPr>
              <w:pStyle w:val="P68B1DB1-Normal14"/>
              <w:spacing w:line="240" w:lineRule="auto"/>
              <w:jc w:val="center"/>
              <w:rPr>
                <w:noProof/>
              </w:rPr>
            </w:pPr>
            <w:r>
              <w:rPr>
                <w:noProof/>
              </w:rPr>
              <w:t>441a</w:t>
            </w:r>
          </w:p>
        </w:tc>
        <w:tc>
          <w:tcPr>
            <w:tcW w:w="2166" w:type="dxa"/>
            <w:shd w:val="clear" w:color="auto" w:fill="C6EFCE"/>
            <w:noWrap/>
          </w:tcPr>
          <w:p w14:paraId="466FC606" w14:textId="77777777" w:rsidR="00A345F4" w:rsidRDefault="005E2D4E">
            <w:pPr>
              <w:pStyle w:val="P68B1DB1-Normal14"/>
              <w:spacing w:after="0" w:line="240" w:lineRule="auto"/>
              <w:jc w:val="both"/>
              <w:rPr>
                <w:noProof/>
              </w:rPr>
            </w:pPr>
            <w:r>
              <w:rPr>
                <w:noProof/>
              </w:rPr>
              <w:t>Réforme 9. Améliorer le cadre procédural pour la mise en œuvre des principes de gouvernance d'entreprise dans les entreprises publiques</w:t>
            </w:r>
          </w:p>
          <w:p w14:paraId="490CB703" w14:textId="77777777" w:rsidR="00A345F4" w:rsidRDefault="00A345F4">
            <w:pPr>
              <w:spacing w:line="240" w:lineRule="auto"/>
              <w:jc w:val="both"/>
              <w:rPr>
                <w:rFonts w:ascii="Times New Roman" w:hAnsi="Times New Roman" w:cs="Times New Roman"/>
                <w:noProof/>
                <w:sz w:val="20"/>
                <w:szCs w:val="20"/>
              </w:rPr>
            </w:pPr>
          </w:p>
        </w:tc>
        <w:tc>
          <w:tcPr>
            <w:tcW w:w="1543" w:type="dxa"/>
            <w:shd w:val="clear" w:color="auto" w:fill="C6EFCE"/>
            <w:noWrap/>
          </w:tcPr>
          <w:p w14:paraId="07D5B7F9" w14:textId="77777777" w:rsidR="00A345F4" w:rsidRDefault="005E2D4E">
            <w:pPr>
              <w:pStyle w:val="P68B1DB1-Normal14"/>
              <w:spacing w:line="240" w:lineRule="auto"/>
              <w:rPr>
                <w:noProof/>
              </w:rPr>
            </w:pPr>
            <w:r>
              <w:rPr>
                <w:noProof/>
              </w:rPr>
              <w:t>Étape</w:t>
            </w:r>
          </w:p>
        </w:tc>
        <w:tc>
          <w:tcPr>
            <w:tcW w:w="1403" w:type="dxa"/>
            <w:shd w:val="clear" w:color="auto" w:fill="C6EFCE"/>
            <w:noWrap/>
          </w:tcPr>
          <w:p w14:paraId="2CFF82AE" w14:textId="77777777" w:rsidR="00A345F4" w:rsidRDefault="005E2D4E">
            <w:pPr>
              <w:pStyle w:val="P68B1DB1-Normal14"/>
              <w:spacing w:line="240" w:lineRule="auto"/>
              <w:jc w:val="both"/>
              <w:rPr>
                <w:noProof/>
              </w:rPr>
            </w:pPr>
            <w:r>
              <w:rPr>
                <w:noProof/>
              </w:rPr>
              <w:t>Publication d’une évaluation de toutes les entreprises publiques sur la base des progrès accomplis dans la réalisation des indicateurs clés de performance financiers et non financiers figurant dans le tableau de bord</w:t>
            </w:r>
          </w:p>
        </w:tc>
        <w:tc>
          <w:tcPr>
            <w:tcW w:w="1547" w:type="dxa"/>
            <w:shd w:val="clear" w:color="auto" w:fill="C6EFCE"/>
            <w:noWrap/>
          </w:tcPr>
          <w:p w14:paraId="61452207" w14:textId="77777777" w:rsidR="00A345F4" w:rsidRDefault="005E2D4E">
            <w:pPr>
              <w:pStyle w:val="P68B1DB1-Normal19"/>
              <w:spacing w:line="240" w:lineRule="auto"/>
              <w:jc w:val="both"/>
              <w:rPr>
                <w:noProof/>
              </w:rPr>
            </w:pPr>
            <w:r>
              <w:rPr>
                <w:noProof/>
              </w:rPr>
              <w:t xml:space="preserve">Évaluation de toutes les entreprises publiques publiées </w:t>
            </w:r>
          </w:p>
        </w:tc>
        <w:tc>
          <w:tcPr>
            <w:tcW w:w="1344" w:type="dxa"/>
            <w:shd w:val="clear" w:color="auto" w:fill="C6EFCE"/>
            <w:noWrap/>
          </w:tcPr>
          <w:p w14:paraId="3437580F" w14:textId="77777777" w:rsidR="00A345F4" w:rsidRDefault="00A345F4">
            <w:pPr>
              <w:spacing w:line="240" w:lineRule="auto"/>
              <w:rPr>
                <w:rFonts w:ascii="Times New Roman" w:hAnsi="Times New Roman" w:cs="Times New Roman"/>
                <w:noProof/>
                <w:sz w:val="20"/>
                <w:szCs w:val="20"/>
              </w:rPr>
            </w:pPr>
          </w:p>
        </w:tc>
        <w:tc>
          <w:tcPr>
            <w:tcW w:w="1109" w:type="dxa"/>
            <w:shd w:val="clear" w:color="auto" w:fill="C6EFCE"/>
            <w:noWrap/>
          </w:tcPr>
          <w:p w14:paraId="4A3A1868" w14:textId="77777777" w:rsidR="00A345F4" w:rsidRDefault="00A345F4">
            <w:pPr>
              <w:spacing w:line="240" w:lineRule="auto"/>
              <w:rPr>
                <w:rFonts w:ascii="Times New Roman" w:hAnsi="Times New Roman" w:cs="Times New Roman"/>
                <w:noProof/>
                <w:sz w:val="20"/>
                <w:szCs w:val="20"/>
              </w:rPr>
            </w:pPr>
          </w:p>
        </w:tc>
        <w:tc>
          <w:tcPr>
            <w:tcW w:w="976" w:type="dxa"/>
            <w:shd w:val="clear" w:color="auto" w:fill="C6EFCE"/>
          </w:tcPr>
          <w:p w14:paraId="31C72945" w14:textId="77777777" w:rsidR="00A345F4" w:rsidRDefault="00A345F4">
            <w:pPr>
              <w:spacing w:line="240" w:lineRule="auto"/>
              <w:rPr>
                <w:rFonts w:ascii="Times New Roman" w:hAnsi="Times New Roman" w:cs="Times New Roman"/>
                <w:noProof/>
                <w:sz w:val="20"/>
                <w:szCs w:val="20"/>
              </w:rPr>
            </w:pPr>
          </w:p>
        </w:tc>
        <w:tc>
          <w:tcPr>
            <w:tcW w:w="1134" w:type="dxa"/>
            <w:shd w:val="clear" w:color="auto" w:fill="C6EFCE"/>
            <w:noWrap/>
          </w:tcPr>
          <w:p w14:paraId="40870D97" w14:textId="77777777" w:rsidR="00A345F4" w:rsidRDefault="005E2D4E">
            <w:pPr>
              <w:pStyle w:val="P68B1DB1-Normal14"/>
              <w:spacing w:line="240" w:lineRule="auto"/>
              <w:rPr>
                <w:noProof/>
              </w:rPr>
            </w:pPr>
            <w:r>
              <w:rPr>
                <w:noProof/>
              </w:rPr>
              <w:t>T2</w:t>
            </w:r>
          </w:p>
        </w:tc>
        <w:tc>
          <w:tcPr>
            <w:tcW w:w="851" w:type="dxa"/>
            <w:shd w:val="clear" w:color="auto" w:fill="C6EFCE"/>
            <w:noWrap/>
          </w:tcPr>
          <w:p w14:paraId="18212550" w14:textId="77777777" w:rsidR="00A345F4" w:rsidRDefault="005E2D4E">
            <w:pPr>
              <w:pStyle w:val="P68B1DB1-Normal14"/>
              <w:spacing w:line="240" w:lineRule="auto"/>
              <w:jc w:val="center"/>
              <w:rPr>
                <w:noProof/>
              </w:rPr>
            </w:pPr>
            <w:r>
              <w:rPr>
                <w:noProof/>
              </w:rPr>
              <w:t>2023</w:t>
            </w:r>
          </w:p>
        </w:tc>
        <w:tc>
          <w:tcPr>
            <w:tcW w:w="2981" w:type="dxa"/>
            <w:shd w:val="clear" w:color="auto" w:fill="C6EFCE"/>
            <w:noWrap/>
          </w:tcPr>
          <w:p w14:paraId="4AA11E2B" w14:textId="77777777" w:rsidR="00A345F4" w:rsidRDefault="005E2D4E">
            <w:pPr>
              <w:pStyle w:val="P68B1DB1-Normal14"/>
              <w:spacing w:after="0" w:line="240" w:lineRule="auto"/>
              <w:jc w:val="both"/>
              <w:rPr>
                <w:noProof/>
              </w:rPr>
            </w:pPr>
            <w:r>
              <w:rPr>
                <w:noProof/>
              </w:rPr>
              <w:t>La task force procède à une évaluation de toutes les entreprises publiques et la publie, sur la base des indicateurs de performance clés figurant sur le tableau de bord.</w:t>
            </w:r>
          </w:p>
          <w:p w14:paraId="220F22A0" w14:textId="77777777" w:rsidR="00A345F4" w:rsidRDefault="005E2D4E">
            <w:pPr>
              <w:pStyle w:val="P68B1DB1-Normal14"/>
              <w:spacing w:after="0" w:line="240" w:lineRule="auto"/>
              <w:jc w:val="both"/>
              <w:rPr>
                <w:noProof/>
              </w:rPr>
            </w:pPr>
            <w:r>
              <w:rPr>
                <w:noProof/>
              </w:rPr>
              <w:t>L'évaluation comprend:</w:t>
            </w:r>
          </w:p>
          <w:p w14:paraId="39B02725" w14:textId="77777777" w:rsidR="00A345F4" w:rsidRDefault="005E2D4E">
            <w:pPr>
              <w:pStyle w:val="P68B1DB1-Normal14"/>
              <w:spacing w:after="0" w:line="240" w:lineRule="auto"/>
              <w:jc w:val="both"/>
              <w:rPr>
                <w:noProof/>
              </w:rPr>
            </w:pPr>
            <w:r>
              <w:rPr>
                <w:noProof/>
              </w:rPr>
              <w:t xml:space="preserve">- une évaluation fondée sur des indicateurs de performance clés financiers pour toutes les entreprises publiques; et </w:t>
            </w:r>
          </w:p>
          <w:p w14:paraId="35DA9A2C" w14:textId="77777777" w:rsidR="00A345F4" w:rsidRDefault="005E2D4E">
            <w:pPr>
              <w:pStyle w:val="P68B1DB1-Normal14"/>
              <w:spacing w:after="0" w:line="240" w:lineRule="auto"/>
              <w:jc w:val="both"/>
              <w:rPr>
                <w:noProof/>
              </w:rPr>
            </w:pPr>
            <w:r>
              <w:rPr>
                <w:noProof/>
              </w:rPr>
              <w:t>- une évaluation fondée à la fois sur des indicateurs clés de performance financiers et non financiers pour les entreprises publiques relevant de la compétence des autorités publiques au niveau central.</w:t>
            </w:r>
          </w:p>
          <w:p w14:paraId="1E595AC2" w14:textId="7A6BB529" w:rsidR="00A345F4" w:rsidRDefault="005E2D4E">
            <w:pPr>
              <w:pStyle w:val="P68B1DB1-Normal14"/>
              <w:spacing w:after="0" w:line="240" w:lineRule="auto"/>
              <w:jc w:val="both"/>
              <w:rPr>
                <w:noProof/>
              </w:rPr>
            </w:pPr>
            <w:r>
              <w:rPr>
                <w:noProof/>
              </w:rPr>
              <w:t>L’évaluation est fondée sur une méthode d’évaluation des progrès accomplis dans la réalisation des ICP financiers et non financiers élaborée par la task force.</w:t>
            </w:r>
          </w:p>
          <w:p w14:paraId="64FB96F8" w14:textId="77777777" w:rsidR="00A345F4" w:rsidRDefault="005E2D4E">
            <w:pPr>
              <w:pStyle w:val="P68B1DB1-Normal14"/>
              <w:spacing w:after="0" w:line="240" w:lineRule="auto"/>
              <w:jc w:val="both"/>
              <w:rPr>
                <w:noProof/>
              </w:rPr>
            </w:pPr>
            <w:r>
              <w:rPr>
                <w:noProof/>
              </w:rPr>
              <w:t>Les recommandations relatives à la vente ou à l'inscription d'entreprises publiques sont formulées par le groupe de travail sur la base de l'évaluation de toutes les entreprises publiques.</w:t>
            </w:r>
          </w:p>
        </w:tc>
      </w:tr>
      <w:tr w:rsidR="00A345F4" w14:paraId="37FD9495" w14:textId="77777777" w:rsidTr="000D606E">
        <w:trPr>
          <w:trHeight w:val="309"/>
        </w:trPr>
        <w:tc>
          <w:tcPr>
            <w:tcW w:w="822" w:type="dxa"/>
            <w:shd w:val="clear" w:color="auto" w:fill="C6EFCE"/>
            <w:noWrap/>
          </w:tcPr>
          <w:p w14:paraId="5FC01E2F" w14:textId="77777777" w:rsidR="00A345F4" w:rsidRDefault="005E2D4E">
            <w:pPr>
              <w:pStyle w:val="P68B1DB1-Normal14"/>
              <w:spacing w:after="0" w:line="240" w:lineRule="auto"/>
              <w:jc w:val="center"/>
              <w:rPr>
                <w:noProof/>
              </w:rPr>
            </w:pPr>
            <w:r>
              <w:rPr>
                <w:noProof/>
              </w:rPr>
              <w:t>442</w:t>
            </w:r>
          </w:p>
        </w:tc>
        <w:tc>
          <w:tcPr>
            <w:tcW w:w="2166" w:type="dxa"/>
            <w:shd w:val="clear" w:color="auto" w:fill="C6EFCE"/>
            <w:noWrap/>
          </w:tcPr>
          <w:p w14:paraId="6852E74F" w14:textId="77777777" w:rsidR="00A345F4" w:rsidRDefault="005E2D4E">
            <w:pPr>
              <w:pStyle w:val="P68B1DB1-Normal14"/>
              <w:spacing w:after="0" w:line="240" w:lineRule="auto"/>
              <w:jc w:val="both"/>
              <w:rPr>
                <w:noProof/>
              </w:rPr>
            </w:pPr>
            <w:r>
              <w:rPr>
                <w:noProof/>
              </w:rPr>
              <w:t>Réforme 9. Améliorer le cadre procédural pour la mise en œuvre des principes de gouvernance d'entreprise dans les entreprises publiques</w:t>
            </w:r>
          </w:p>
        </w:tc>
        <w:tc>
          <w:tcPr>
            <w:tcW w:w="1543" w:type="dxa"/>
            <w:shd w:val="clear" w:color="auto" w:fill="C6EFCE"/>
            <w:noWrap/>
          </w:tcPr>
          <w:p w14:paraId="4F80B3AA" w14:textId="77777777" w:rsidR="00A345F4" w:rsidRDefault="005E2D4E">
            <w:pPr>
              <w:pStyle w:val="P68B1DB1-Normal14"/>
              <w:spacing w:after="0" w:line="240" w:lineRule="auto"/>
              <w:rPr>
                <w:noProof/>
              </w:rPr>
            </w:pPr>
            <w:r>
              <w:rPr>
                <w:noProof/>
              </w:rPr>
              <w:t>Objectif</w:t>
            </w:r>
          </w:p>
        </w:tc>
        <w:tc>
          <w:tcPr>
            <w:tcW w:w="1403" w:type="dxa"/>
            <w:shd w:val="clear" w:color="auto" w:fill="C6EFCE"/>
            <w:noWrap/>
          </w:tcPr>
          <w:p w14:paraId="1779652A" w14:textId="77777777" w:rsidR="00A345F4" w:rsidRDefault="005E2D4E">
            <w:pPr>
              <w:pStyle w:val="P68B1DB1-Normal14"/>
              <w:spacing w:after="0" w:line="240" w:lineRule="auto"/>
              <w:jc w:val="both"/>
              <w:rPr>
                <w:noProof/>
              </w:rPr>
            </w:pPr>
            <w:r>
              <w:rPr>
                <w:noProof/>
              </w:rPr>
              <w:t>Réduction du nombre de mandats intérimaires sur les conseils d’administration/de surveillance des entreprises publiques relevant de la compétence des autorités publiques au niveau central. Augmentation de la part des mandats permanents au sein des conseils d’administration et de surveillance des entreprises publiques relevant de la compétence des autorités publiques locales</w:t>
            </w:r>
          </w:p>
        </w:tc>
        <w:tc>
          <w:tcPr>
            <w:tcW w:w="1547" w:type="dxa"/>
            <w:shd w:val="clear" w:color="auto" w:fill="C6EFCE"/>
            <w:noWrap/>
          </w:tcPr>
          <w:p w14:paraId="272ABF05" w14:textId="77777777" w:rsidR="00A345F4" w:rsidRDefault="005E2D4E">
            <w:pPr>
              <w:pStyle w:val="P68B1DB1-Normal14"/>
              <w:spacing w:before="120" w:after="0" w:line="240" w:lineRule="auto"/>
              <w:jc w:val="both"/>
              <w:rPr>
                <w:noProof/>
              </w:rPr>
            </w:pPr>
            <w:r>
              <w:rPr>
                <w:noProof/>
              </w:rPr>
              <w:t xml:space="preserve"> </w:t>
            </w:r>
          </w:p>
        </w:tc>
        <w:tc>
          <w:tcPr>
            <w:tcW w:w="1344" w:type="dxa"/>
            <w:shd w:val="clear" w:color="auto" w:fill="C6EFCE"/>
            <w:noWrap/>
          </w:tcPr>
          <w:p w14:paraId="2DEEF696" w14:textId="77777777" w:rsidR="00A345F4" w:rsidRDefault="005E2D4E">
            <w:pPr>
              <w:pStyle w:val="P68B1DB1-Normal14"/>
              <w:spacing w:after="0" w:line="240" w:lineRule="auto"/>
              <w:rPr>
                <w:rFonts w:eastAsia="Times New Roman"/>
                <w:noProof/>
              </w:rPr>
            </w:pPr>
            <w:r>
              <w:rPr>
                <w:noProof/>
              </w:rPr>
              <w:t>Pourcentage (%)</w:t>
            </w:r>
          </w:p>
          <w:p w14:paraId="4376B52E"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3C1173A3" w14:textId="77777777" w:rsidR="00A345F4" w:rsidRDefault="005E2D4E">
            <w:pPr>
              <w:pStyle w:val="P68B1DB1-Normal14"/>
              <w:spacing w:after="0" w:line="240" w:lineRule="auto"/>
              <w:rPr>
                <w:noProof/>
              </w:rPr>
            </w:pPr>
            <w:r>
              <w:rPr>
                <w:noProof/>
              </w:rPr>
              <w:t>0</w:t>
            </w:r>
          </w:p>
        </w:tc>
        <w:tc>
          <w:tcPr>
            <w:tcW w:w="976" w:type="dxa"/>
            <w:shd w:val="clear" w:color="auto" w:fill="C6EFCE"/>
          </w:tcPr>
          <w:p w14:paraId="048E0A76" w14:textId="77777777" w:rsidR="00A345F4" w:rsidRDefault="005E2D4E">
            <w:pPr>
              <w:pStyle w:val="P68B1DB1-Normal14"/>
              <w:spacing w:after="0" w:line="240" w:lineRule="auto"/>
              <w:rPr>
                <w:noProof/>
              </w:rPr>
            </w:pPr>
            <w:r>
              <w:rPr>
                <w:noProof/>
              </w:rPr>
              <w:t xml:space="preserve"> 50 % pour les entreprises publiques centrales; 80 % pour les entreprises publiques locales</w:t>
            </w:r>
          </w:p>
        </w:tc>
        <w:tc>
          <w:tcPr>
            <w:tcW w:w="1134" w:type="dxa"/>
            <w:shd w:val="clear" w:color="auto" w:fill="C6EFCE"/>
            <w:noWrap/>
          </w:tcPr>
          <w:p w14:paraId="583406F7" w14:textId="77777777" w:rsidR="00A345F4" w:rsidRDefault="005E2D4E">
            <w:pPr>
              <w:pStyle w:val="P68B1DB1-Normal14"/>
              <w:spacing w:after="0" w:line="240" w:lineRule="auto"/>
              <w:rPr>
                <w:noProof/>
              </w:rPr>
            </w:pPr>
            <w:r>
              <w:rPr>
                <w:noProof/>
              </w:rPr>
              <w:t>T3</w:t>
            </w:r>
          </w:p>
        </w:tc>
        <w:tc>
          <w:tcPr>
            <w:tcW w:w="851" w:type="dxa"/>
            <w:shd w:val="clear" w:color="auto" w:fill="C6EFCE"/>
            <w:noWrap/>
          </w:tcPr>
          <w:p w14:paraId="5EFC111D" w14:textId="77777777" w:rsidR="00A345F4" w:rsidRDefault="005E2D4E">
            <w:pPr>
              <w:pStyle w:val="P68B1DB1-Normal14"/>
              <w:spacing w:after="0" w:line="240" w:lineRule="auto"/>
              <w:jc w:val="center"/>
              <w:rPr>
                <w:noProof/>
              </w:rPr>
            </w:pPr>
            <w:r>
              <w:rPr>
                <w:noProof/>
              </w:rPr>
              <w:t>2026</w:t>
            </w:r>
          </w:p>
        </w:tc>
        <w:tc>
          <w:tcPr>
            <w:tcW w:w="2981" w:type="dxa"/>
            <w:shd w:val="clear" w:color="auto" w:fill="C6EFCE"/>
            <w:noWrap/>
          </w:tcPr>
          <w:p w14:paraId="07296825" w14:textId="768CE0A3" w:rsidR="00A345F4" w:rsidRDefault="005E2D4E">
            <w:pPr>
              <w:pStyle w:val="P68B1DB1-Normal14"/>
              <w:spacing w:after="120" w:line="240" w:lineRule="auto"/>
              <w:jc w:val="both"/>
              <w:rPr>
                <w:noProof/>
              </w:rPr>
            </w:pPr>
            <w:r>
              <w:rPr>
                <w:noProof/>
              </w:rPr>
              <w:t xml:space="preserve">Le nombre de mandats intérimaires au sein des conseils de gestion/de surveillance des entreprises publiques relevant de la compétence des autorités publiques au niveau central est réduit de 50 %. </w:t>
            </w:r>
          </w:p>
          <w:p w14:paraId="5A8D086A" w14:textId="39FF4924" w:rsidR="00A345F4" w:rsidRDefault="005E2D4E">
            <w:pPr>
              <w:pStyle w:val="P68B1DB1-Normal14"/>
              <w:spacing w:after="120" w:line="240" w:lineRule="auto"/>
              <w:jc w:val="both"/>
              <w:rPr>
                <w:noProof/>
              </w:rPr>
            </w:pPr>
            <w:r>
              <w:rPr>
                <w:noProof/>
              </w:rPr>
              <w:t xml:space="preserve">La réduction du nombre de mandats intérimaires est calculée par référence au niveau de référence en 2020, comme démontré sur la base des données officielles de l’Office national du registre du commerce. Aux fins de la réalisation de cet objectif, seules les entreprises publiques relevant de la compétence des autorités publiques au niveau central actives tant en 2020 qu’en 2026 sont prises en compte. </w:t>
            </w:r>
          </w:p>
          <w:p w14:paraId="6F88B474" w14:textId="1EEF84D5" w:rsidR="00A345F4" w:rsidRDefault="005E2D4E">
            <w:pPr>
              <w:pStyle w:val="P68B1DB1-Normal14"/>
              <w:spacing w:after="120" w:line="240" w:lineRule="auto"/>
              <w:jc w:val="both"/>
              <w:rPr>
                <w:noProof/>
              </w:rPr>
            </w:pPr>
            <w:r>
              <w:rPr>
                <w:noProof/>
              </w:rPr>
              <w:t xml:space="preserve">La part des mandats permanents dans le nombre total de sièges pourvus au sein des conseils d’administration et de surveillance des entreprises publiques relevant de la compétence des autorités publiques locales est d’au moins 80 %, comme le démontrent les données officielles de l’Office national du registre du commerce. Un mandat permanent est un mandat dont la durée est conforme à l’article 8, paragraphe 1, et à l’article 28, paragraphe 8, du GEO no 109/2011. Aux fins de la réalisation de cet objectif, seules les entreprises publiques relevant de la compétence des autorités publiques locales actives en 2026 sont prises en compte. </w:t>
            </w:r>
          </w:p>
          <w:p w14:paraId="6A7FC032" w14:textId="77777777" w:rsidR="00A345F4" w:rsidRDefault="005E2D4E">
            <w:pPr>
              <w:pStyle w:val="P68B1DB1-Normal14"/>
              <w:spacing w:after="120" w:line="240" w:lineRule="auto"/>
              <w:jc w:val="both"/>
              <w:rPr>
                <w:noProof/>
              </w:rPr>
            </w:pPr>
            <w:r>
              <w:rPr>
                <w:noProof/>
              </w:rPr>
              <w:t xml:space="preserve">Les entreprises publiques exemptées de l’application du GEO no 109/2011 en vertu de son article 1er, paragraphe 7, sont exclues des calculs visant à atteindre cet objectif. </w:t>
            </w:r>
          </w:p>
          <w:p w14:paraId="41FD3A52" w14:textId="34230FB0" w:rsidR="00A345F4" w:rsidRDefault="005E2D4E">
            <w:pPr>
              <w:pStyle w:val="P68B1DB1-Normal14"/>
              <w:spacing w:after="120" w:line="240" w:lineRule="auto"/>
              <w:jc w:val="both"/>
              <w:rPr>
                <w:noProof/>
              </w:rPr>
            </w:pPr>
            <w:r>
              <w:rPr>
                <w:noProof/>
              </w:rPr>
              <w:t xml:space="preserve">Les listes des membres permanents et intérimaires des conseils d’administration des entreprises publiques prises en compte aux fins de cet objectif, telles que démontrées sur la base des données officielles de l’Office national du registre du commerce, sont fournies à titre de preuve. </w:t>
            </w:r>
          </w:p>
          <w:p w14:paraId="2AB334CE" w14:textId="77777777" w:rsidR="00A345F4" w:rsidRDefault="005E2D4E">
            <w:pPr>
              <w:pStyle w:val="P68B1DB1-Normal14"/>
              <w:spacing w:after="120" w:line="240" w:lineRule="auto"/>
              <w:jc w:val="both"/>
              <w:rPr>
                <w:noProof/>
              </w:rPr>
            </w:pPr>
            <w:r>
              <w:rPr>
                <w:noProof/>
              </w:rPr>
              <w:t>En outre, aux fins de la réalisation de cet objectif, les entreprises publiques actives sont celles figurant sur la liste publiée par le ministère des finances conformément à l’arrêté no 2873/2016.</w:t>
            </w:r>
          </w:p>
        </w:tc>
      </w:tr>
      <w:tr w:rsidR="00A345F4" w14:paraId="69702EA4" w14:textId="77777777" w:rsidTr="000D606E">
        <w:trPr>
          <w:trHeight w:val="309"/>
        </w:trPr>
        <w:tc>
          <w:tcPr>
            <w:tcW w:w="822" w:type="dxa"/>
            <w:shd w:val="clear" w:color="auto" w:fill="C6EFCE"/>
            <w:noWrap/>
          </w:tcPr>
          <w:p w14:paraId="1639F87D" w14:textId="77777777" w:rsidR="00A345F4" w:rsidRDefault="005E2D4E">
            <w:pPr>
              <w:pStyle w:val="P68B1DB1-Normal14"/>
              <w:spacing w:after="0" w:line="240" w:lineRule="auto"/>
              <w:jc w:val="center"/>
              <w:rPr>
                <w:noProof/>
              </w:rPr>
            </w:pPr>
            <w:r>
              <w:rPr>
                <w:noProof/>
              </w:rPr>
              <w:t>443</w:t>
            </w:r>
          </w:p>
        </w:tc>
        <w:tc>
          <w:tcPr>
            <w:tcW w:w="2166" w:type="dxa"/>
            <w:shd w:val="clear" w:color="auto" w:fill="C6EFCE"/>
            <w:noWrap/>
          </w:tcPr>
          <w:p w14:paraId="48FE9D84" w14:textId="77777777" w:rsidR="00A345F4" w:rsidRDefault="005E2D4E">
            <w:pPr>
              <w:pStyle w:val="P68B1DB1-Normal19"/>
              <w:spacing w:after="0" w:line="240" w:lineRule="auto"/>
              <w:jc w:val="both"/>
              <w:rPr>
                <w:noProof/>
              </w:rPr>
            </w:pPr>
            <w:r>
              <w:rPr>
                <w:noProof/>
              </w:rPr>
              <w:t>Réforme 9. Améliorer le cadre procédural pour la mise en œuvre des principes de gouvernance d'entreprise dans les entreprises publiques</w:t>
            </w:r>
          </w:p>
        </w:tc>
        <w:tc>
          <w:tcPr>
            <w:tcW w:w="1543" w:type="dxa"/>
            <w:shd w:val="clear" w:color="auto" w:fill="C6EFCE"/>
            <w:noWrap/>
          </w:tcPr>
          <w:p w14:paraId="6AED9D14" w14:textId="77777777" w:rsidR="00A345F4" w:rsidRDefault="005E2D4E">
            <w:pPr>
              <w:pStyle w:val="P68B1DB1-Normal14"/>
              <w:spacing w:after="0" w:line="240" w:lineRule="auto"/>
              <w:rPr>
                <w:noProof/>
              </w:rPr>
            </w:pPr>
            <w:r>
              <w:rPr>
                <w:noProof/>
              </w:rPr>
              <w:t>Objectif</w:t>
            </w:r>
          </w:p>
        </w:tc>
        <w:tc>
          <w:tcPr>
            <w:tcW w:w="1403" w:type="dxa"/>
            <w:shd w:val="clear" w:color="auto" w:fill="C6EFCE"/>
            <w:noWrap/>
          </w:tcPr>
          <w:p w14:paraId="38AFF716" w14:textId="4DA53E06" w:rsidR="00A345F4" w:rsidRDefault="005E2D4E">
            <w:pPr>
              <w:pStyle w:val="P68B1DB1-Normal19"/>
              <w:spacing w:after="0" w:line="240" w:lineRule="auto"/>
              <w:jc w:val="both"/>
              <w:rPr>
                <w:noProof/>
              </w:rPr>
            </w:pPr>
            <w:r>
              <w:rPr>
                <w:noProof/>
              </w:rPr>
              <w:t>Entreprises publiques centrales cotées ou restructurées relevant du ministère de l’énergie ou du ministère des transports</w:t>
            </w:r>
          </w:p>
        </w:tc>
        <w:tc>
          <w:tcPr>
            <w:tcW w:w="1547" w:type="dxa"/>
            <w:shd w:val="clear" w:color="auto" w:fill="C6EFCE"/>
            <w:noWrap/>
          </w:tcPr>
          <w:p w14:paraId="51A6D358" w14:textId="77777777" w:rsidR="00A345F4" w:rsidRDefault="00A345F4">
            <w:pPr>
              <w:spacing w:before="120" w:after="0" w:line="240" w:lineRule="auto"/>
              <w:jc w:val="both"/>
              <w:rPr>
                <w:rFonts w:ascii="Times New Roman" w:hAnsi="Times New Roman" w:cs="Times New Roman"/>
                <w:noProof/>
                <w:sz w:val="20"/>
                <w:szCs w:val="20"/>
              </w:rPr>
            </w:pPr>
          </w:p>
        </w:tc>
        <w:tc>
          <w:tcPr>
            <w:tcW w:w="1344" w:type="dxa"/>
            <w:shd w:val="clear" w:color="auto" w:fill="C6EFCE"/>
            <w:noWrap/>
          </w:tcPr>
          <w:p w14:paraId="0806B455" w14:textId="77777777" w:rsidR="00A345F4" w:rsidRDefault="005E2D4E">
            <w:pPr>
              <w:pStyle w:val="P68B1DB1-Normal14"/>
              <w:spacing w:after="0" w:line="240" w:lineRule="auto"/>
              <w:rPr>
                <w:noProof/>
              </w:rPr>
            </w:pPr>
            <w:r>
              <w:rPr>
                <w:noProof/>
              </w:rPr>
              <w:t>Numéro</w:t>
            </w:r>
          </w:p>
        </w:tc>
        <w:tc>
          <w:tcPr>
            <w:tcW w:w="1109" w:type="dxa"/>
            <w:shd w:val="clear" w:color="auto" w:fill="C6EFCE"/>
            <w:noWrap/>
          </w:tcPr>
          <w:p w14:paraId="0440E0CC" w14:textId="77777777" w:rsidR="00A345F4" w:rsidRDefault="005E2D4E">
            <w:pPr>
              <w:pStyle w:val="P68B1DB1-Normal14"/>
              <w:spacing w:after="0" w:line="240" w:lineRule="auto"/>
              <w:rPr>
                <w:noProof/>
              </w:rPr>
            </w:pPr>
            <w:r>
              <w:rPr>
                <w:noProof/>
              </w:rPr>
              <w:t>0</w:t>
            </w:r>
          </w:p>
        </w:tc>
        <w:tc>
          <w:tcPr>
            <w:tcW w:w="976" w:type="dxa"/>
            <w:shd w:val="clear" w:color="auto" w:fill="C6EFCE"/>
          </w:tcPr>
          <w:p w14:paraId="47FCA343" w14:textId="77777777" w:rsidR="00A345F4" w:rsidRDefault="005E2D4E">
            <w:pPr>
              <w:pStyle w:val="P68B1DB1-Normal14"/>
              <w:spacing w:after="0" w:line="240" w:lineRule="auto"/>
              <w:rPr>
                <w:noProof/>
              </w:rPr>
            </w:pPr>
            <w:r>
              <w:rPr>
                <w:noProof/>
              </w:rPr>
              <w:t>3</w:t>
            </w:r>
          </w:p>
        </w:tc>
        <w:tc>
          <w:tcPr>
            <w:tcW w:w="1134" w:type="dxa"/>
            <w:shd w:val="clear" w:color="auto" w:fill="C6EFCE"/>
            <w:noWrap/>
          </w:tcPr>
          <w:p w14:paraId="4210212C" w14:textId="77777777" w:rsidR="00A345F4" w:rsidRDefault="005E2D4E">
            <w:pPr>
              <w:pStyle w:val="P68B1DB1-Normal14"/>
              <w:spacing w:after="0" w:line="240" w:lineRule="auto"/>
              <w:rPr>
                <w:noProof/>
              </w:rPr>
            </w:pPr>
            <w:r>
              <w:rPr>
                <w:noProof/>
              </w:rPr>
              <w:t>T2</w:t>
            </w:r>
          </w:p>
        </w:tc>
        <w:tc>
          <w:tcPr>
            <w:tcW w:w="851" w:type="dxa"/>
            <w:shd w:val="clear" w:color="auto" w:fill="C6EFCE"/>
            <w:noWrap/>
          </w:tcPr>
          <w:p w14:paraId="7FD57B08" w14:textId="77777777" w:rsidR="00A345F4" w:rsidRDefault="005E2D4E">
            <w:pPr>
              <w:pStyle w:val="P68B1DB1-Normal14"/>
              <w:spacing w:after="0" w:line="240" w:lineRule="auto"/>
              <w:jc w:val="center"/>
              <w:rPr>
                <w:noProof/>
              </w:rPr>
            </w:pPr>
            <w:r>
              <w:rPr>
                <w:noProof/>
              </w:rPr>
              <w:t>2026</w:t>
            </w:r>
          </w:p>
        </w:tc>
        <w:tc>
          <w:tcPr>
            <w:tcW w:w="2981" w:type="dxa"/>
            <w:shd w:val="clear" w:color="auto" w:fill="C6EFCE"/>
            <w:noWrap/>
          </w:tcPr>
          <w:p w14:paraId="3BDDF13F" w14:textId="77777777" w:rsidR="00A345F4" w:rsidRDefault="005E2D4E">
            <w:pPr>
              <w:pStyle w:val="P68B1DB1-Normal19"/>
              <w:spacing w:after="0" w:line="240" w:lineRule="auto"/>
              <w:jc w:val="both"/>
              <w:rPr>
                <w:noProof/>
              </w:rPr>
            </w:pPr>
            <w:r>
              <w:rPr>
                <w:noProof/>
              </w:rPr>
              <w:t>Au moins trois entreprises publiques relevant du ministère de l’énergie ou du ministère des transports sont répertoriées ou restructurées. Cela s’ajoute à la cotation d’au moins 15 % d’Hidroelectrica requise au titre de l’objectif 122.</w:t>
            </w:r>
          </w:p>
          <w:p w14:paraId="4C7CC3CB" w14:textId="77777777" w:rsidR="00A345F4" w:rsidRDefault="005E2D4E">
            <w:pPr>
              <w:pStyle w:val="P68B1DB1-Normal19"/>
              <w:spacing w:after="0" w:line="240" w:lineRule="auto"/>
              <w:jc w:val="both"/>
              <w:rPr>
                <w:noProof/>
              </w:rPr>
            </w:pPr>
            <w:r>
              <w:rPr>
                <w:noProof/>
              </w:rPr>
              <w:t>Aux fins de la réalisation de cet objectif, la restructuration peut prendre la forme d'une dissolution, d'une fusion, d'une scission ou d'une liquidation, conformément aux dispositions de la loi no 31/1990 ou de la loi 85/2014.</w:t>
            </w:r>
          </w:p>
        </w:tc>
      </w:tr>
      <w:tr w:rsidR="00A345F4" w14:paraId="1038D6E5" w14:textId="77777777" w:rsidTr="000D606E">
        <w:trPr>
          <w:trHeight w:val="309"/>
        </w:trPr>
        <w:tc>
          <w:tcPr>
            <w:tcW w:w="822" w:type="dxa"/>
            <w:shd w:val="clear" w:color="auto" w:fill="C6EFCE"/>
            <w:noWrap/>
          </w:tcPr>
          <w:p w14:paraId="0FBA3900" w14:textId="77777777" w:rsidR="00A345F4" w:rsidRDefault="005E2D4E">
            <w:pPr>
              <w:pStyle w:val="P68B1DB1-Normal14"/>
              <w:spacing w:after="0" w:line="240" w:lineRule="auto"/>
              <w:jc w:val="center"/>
              <w:rPr>
                <w:noProof/>
              </w:rPr>
            </w:pPr>
            <w:r>
              <w:rPr>
                <w:noProof/>
              </w:rPr>
              <w:t>449</w:t>
            </w:r>
          </w:p>
        </w:tc>
        <w:tc>
          <w:tcPr>
            <w:tcW w:w="2166" w:type="dxa"/>
            <w:shd w:val="clear" w:color="auto" w:fill="C6EFCE"/>
            <w:noWrap/>
          </w:tcPr>
          <w:p w14:paraId="76296C4B" w14:textId="333AC688" w:rsidR="00A345F4" w:rsidRDefault="005E2D4E">
            <w:pPr>
              <w:pStyle w:val="P68B1DB1-Normal14"/>
              <w:spacing w:after="0" w:line="240" w:lineRule="auto"/>
              <w:jc w:val="both"/>
              <w:rPr>
                <w:noProof/>
              </w:rPr>
            </w:pPr>
            <w:r>
              <w:rPr>
                <w:noProof/>
              </w:rPr>
              <w:t xml:space="preserve">Investissement 4. Accroître la capacité des organisations de la société civile à favoriser la citoyenneté active, à participer de manière professionnelle à la planification et à la mise en œuvre des politiques publiques en matière de droits sociaux abordées dans le plan national pour la reprise et la résilience et à suivre les réformes connexes </w:t>
            </w:r>
          </w:p>
        </w:tc>
        <w:tc>
          <w:tcPr>
            <w:tcW w:w="1543" w:type="dxa"/>
            <w:shd w:val="clear" w:color="auto" w:fill="C6EFCE"/>
            <w:noWrap/>
          </w:tcPr>
          <w:p w14:paraId="2E2C7B66" w14:textId="77777777" w:rsidR="00A345F4" w:rsidRDefault="005E2D4E">
            <w:pPr>
              <w:pStyle w:val="P68B1DB1-Normal14"/>
              <w:spacing w:after="0" w:line="240" w:lineRule="auto"/>
              <w:rPr>
                <w:noProof/>
              </w:rPr>
            </w:pPr>
            <w:r>
              <w:rPr>
                <w:noProof/>
              </w:rPr>
              <w:t xml:space="preserve">Étape </w:t>
            </w:r>
          </w:p>
        </w:tc>
        <w:tc>
          <w:tcPr>
            <w:tcW w:w="1403" w:type="dxa"/>
            <w:shd w:val="clear" w:color="auto" w:fill="C6EFCE"/>
            <w:noWrap/>
          </w:tcPr>
          <w:p w14:paraId="7B86BF29" w14:textId="77777777" w:rsidR="00A345F4" w:rsidRDefault="005E2D4E">
            <w:pPr>
              <w:pStyle w:val="P68B1DB1-Normal14"/>
              <w:spacing w:after="0" w:line="240" w:lineRule="auto"/>
              <w:jc w:val="both"/>
              <w:rPr>
                <w:noProof/>
              </w:rPr>
            </w:pPr>
            <w:r>
              <w:rPr>
                <w:noProof/>
              </w:rPr>
              <w:t>Entrée en vigueur de la législation sur le dialogue social, prévoyant un dialogue social et des négociations collectives constructifs et en temps utile, conformément aux recommandations de l’OIT</w:t>
            </w:r>
          </w:p>
        </w:tc>
        <w:tc>
          <w:tcPr>
            <w:tcW w:w="1547" w:type="dxa"/>
            <w:shd w:val="clear" w:color="auto" w:fill="C6EFCE"/>
            <w:noWrap/>
          </w:tcPr>
          <w:p w14:paraId="7B607031" w14:textId="77777777" w:rsidR="00A345F4" w:rsidRDefault="005E2D4E">
            <w:pPr>
              <w:pStyle w:val="P68B1DB1-Normal14"/>
              <w:spacing w:after="0" w:line="240" w:lineRule="auto"/>
              <w:jc w:val="both"/>
              <w:rPr>
                <w:noProof/>
              </w:rPr>
            </w:pPr>
            <w:r>
              <w:rPr>
                <w:noProof/>
              </w:rPr>
              <w:t>Disposition de la loi indiquant l'entrée en vigueur de la loi sur le dialogue social</w:t>
            </w:r>
          </w:p>
        </w:tc>
        <w:tc>
          <w:tcPr>
            <w:tcW w:w="1344" w:type="dxa"/>
            <w:shd w:val="clear" w:color="auto" w:fill="C6EFCE"/>
            <w:noWrap/>
          </w:tcPr>
          <w:p w14:paraId="3DBD0202"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1702EA75"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tcPr>
          <w:p w14:paraId="65E95B46"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445F854A" w14:textId="77777777" w:rsidR="00A345F4" w:rsidRDefault="005E2D4E">
            <w:pPr>
              <w:pStyle w:val="P68B1DB1-Normal14"/>
              <w:spacing w:after="0" w:line="240" w:lineRule="auto"/>
              <w:rPr>
                <w:noProof/>
              </w:rPr>
            </w:pPr>
            <w:r>
              <w:rPr>
                <w:noProof/>
              </w:rPr>
              <w:t>T4</w:t>
            </w:r>
          </w:p>
        </w:tc>
        <w:tc>
          <w:tcPr>
            <w:tcW w:w="851" w:type="dxa"/>
            <w:shd w:val="clear" w:color="auto" w:fill="C6EFCE"/>
            <w:noWrap/>
          </w:tcPr>
          <w:p w14:paraId="1F894133" w14:textId="77777777" w:rsidR="00A345F4" w:rsidRDefault="005E2D4E">
            <w:pPr>
              <w:pStyle w:val="P68B1DB1-Normal14"/>
              <w:spacing w:after="0" w:line="240" w:lineRule="auto"/>
              <w:jc w:val="center"/>
              <w:rPr>
                <w:noProof/>
              </w:rPr>
            </w:pPr>
            <w:r>
              <w:rPr>
                <w:noProof/>
              </w:rPr>
              <w:t>2022</w:t>
            </w:r>
          </w:p>
        </w:tc>
        <w:tc>
          <w:tcPr>
            <w:tcW w:w="2981" w:type="dxa"/>
            <w:shd w:val="clear" w:color="auto" w:fill="C6EFCE"/>
            <w:noWrap/>
          </w:tcPr>
          <w:p w14:paraId="6F9708C8" w14:textId="77777777" w:rsidR="00A345F4" w:rsidRDefault="005E2D4E">
            <w:pPr>
              <w:pStyle w:val="P68B1DB1-Normal14"/>
              <w:spacing w:after="0" w:line="240" w:lineRule="auto"/>
              <w:jc w:val="both"/>
              <w:rPr>
                <w:noProof/>
              </w:rPr>
            </w:pPr>
            <w:r>
              <w:rPr>
                <w:noProof/>
              </w:rPr>
              <w:t xml:space="preserve">Entrée en vigueur d'une nouvelle loi sur le dialogue social, négociée avec les partenaires sociaux. La loi remédie aux lacunes du processus de dialogue social mises en évidence dans la recommandation par pays pertinente et est conforme aux recommandations de l’Organisation internationale du travail publiées en avril 2018 et visées au considérant 25 des recommandations par pays de 2020. En outre, la loi prévoit une révision de la définition des secteurs économiques en tant que base de la convention collective sectorielle. </w:t>
            </w:r>
          </w:p>
        </w:tc>
      </w:tr>
      <w:tr w:rsidR="00A345F4" w14:paraId="579A4194" w14:textId="77777777" w:rsidTr="000D606E">
        <w:trPr>
          <w:trHeight w:val="309"/>
        </w:trPr>
        <w:tc>
          <w:tcPr>
            <w:tcW w:w="822" w:type="dxa"/>
            <w:shd w:val="clear" w:color="auto" w:fill="C6EFCE"/>
            <w:noWrap/>
          </w:tcPr>
          <w:p w14:paraId="6F98DAF1" w14:textId="77777777" w:rsidR="00A345F4" w:rsidRDefault="005E2D4E">
            <w:pPr>
              <w:pStyle w:val="P68B1DB1-Normal14"/>
              <w:spacing w:after="0" w:line="240" w:lineRule="auto"/>
              <w:jc w:val="center"/>
              <w:rPr>
                <w:noProof/>
              </w:rPr>
            </w:pPr>
            <w:r>
              <w:rPr>
                <w:noProof/>
              </w:rPr>
              <w:t>450</w:t>
            </w:r>
          </w:p>
        </w:tc>
        <w:tc>
          <w:tcPr>
            <w:tcW w:w="2166" w:type="dxa"/>
            <w:shd w:val="clear" w:color="auto" w:fill="C6EFCE"/>
            <w:noWrap/>
          </w:tcPr>
          <w:p w14:paraId="561441E4" w14:textId="37F6F8D5" w:rsidR="00A345F4" w:rsidRDefault="005E2D4E">
            <w:pPr>
              <w:pStyle w:val="P68B1DB1-Normal14"/>
              <w:spacing w:after="0" w:line="240" w:lineRule="auto"/>
              <w:jc w:val="both"/>
              <w:rPr>
                <w:noProof/>
              </w:rPr>
            </w:pPr>
            <w:r>
              <w:rPr>
                <w:noProof/>
              </w:rPr>
              <w:t>Investissement 5. Suivi et mise en œuvre du plan</w:t>
            </w:r>
          </w:p>
          <w:p w14:paraId="6230A8DC" w14:textId="77777777" w:rsidR="00A345F4" w:rsidRDefault="00A345F4">
            <w:pPr>
              <w:spacing w:after="0" w:line="240" w:lineRule="auto"/>
              <w:jc w:val="both"/>
              <w:rPr>
                <w:rFonts w:ascii="Times New Roman" w:hAnsi="Times New Roman" w:cs="Times New Roman"/>
                <w:noProof/>
                <w:sz w:val="20"/>
                <w:szCs w:val="20"/>
              </w:rPr>
            </w:pPr>
          </w:p>
        </w:tc>
        <w:tc>
          <w:tcPr>
            <w:tcW w:w="1543" w:type="dxa"/>
            <w:shd w:val="clear" w:color="auto" w:fill="C6EFCE"/>
            <w:noWrap/>
          </w:tcPr>
          <w:p w14:paraId="7FCAE260"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255B70A4" w14:textId="77777777" w:rsidR="00A345F4" w:rsidRDefault="005E2D4E">
            <w:pPr>
              <w:pStyle w:val="P68B1DB1-Normal14"/>
              <w:spacing w:after="0" w:line="240" w:lineRule="auto"/>
              <w:jc w:val="both"/>
              <w:rPr>
                <w:noProof/>
              </w:rPr>
            </w:pPr>
            <w:r>
              <w:rPr>
                <w:noProof/>
              </w:rPr>
              <w:t>Audit et contrôles: informations pour le suivi de la mise en œuvre du plan pour la reprise et la résilience</w:t>
            </w:r>
          </w:p>
        </w:tc>
        <w:tc>
          <w:tcPr>
            <w:tcW w:w="1547" w:type="dxa"/>
            <w:shd w:val="clear" w:color="auto" w:fill="C6EFCE"/>
            <w:noWrap/>
          </w:tcPr>
          <w:p w14:paraId="3FFD0F7B" w14:textId="77777777" w:rsidR="00A345F4" w:rsidRDefault="005E2D4E">
            <w:pPr>
              <w:pStyle w:val="P68B1DB1-Normal14"/>
              <w:spacing w:after="0" w:line="240" w:lineRule="auto"/>
              <w:jc w:val="both"/>
              <w:rPr>
                <w:noProof/>
              </w:rPr>
            </w:pPr>
            <w:r>
              <w:rPr>
                <w:noProof/>
              </w:rPr>
              <w:t xml:space="preserve">Rapport d’audit confirmant les fonctionnalités du système de répertoires </w:t>
            </w:r>
          </w:p>
        </w:tc>
        <w:tc>
          <w:tcPr>
            <w:tcW w:w="1344" w:type="dxa"/>
            <w:shd w:val="clear" w:color="auto" w:fill="C6EFCE"/>
            <w:noWrap/>
          </w:tcPr>
          <w:p w14:paraId="6A47BB98"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5CF4B539"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tcPr>
          <w:p w14:paraId="32D920FA"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4ED2E56B" w14:textId="77777777" w:rsidR="00A345F4" w:rsidRDefault="005E2D4E">
            <w:pPr>
              <w:pStyle w:val="P68B1DB1-Normal14"/>
              <w:spacing w:after="0" w:line="240" w:lineRule="auto"/>
              <w:rPr>
                <w:noProof/>
              </w:rPr>
            </w:pPr>
            <w:r>
              <w:rPr>
                <w:noProof/>
              </w:rPr>
              <w:t>T4</w:t>
            </w:r>
          </w:p>
        </w:tc>
        <w:tc>
          <w:tcPr>
            <w:tcW w:w="851" w:type="dxa"/>
            <w:shd w:val="clear" w:color="auto" w:fill="C6EFCE"/>
            <w:noWrap/>
          </w:tcPr>
          <w:p w14:paraId="0BB82878" w14:textId="77777777" w:rsidR="00A345F4" w:rsidRDefault="005E2D4E">
            <w:pPr>
              <w:pStyle w:val="P68B1DB1-Normal14"/>
              <w:spacing w:after="0" w:line="240" w:lineRule="auto"/>
              <w:rPr>
                <w:noProof/>
              </w:rPr>
            </w:pPr>
            <w:r>
              <w:rPr>
                <w:noProof/>
              </w:rPr>
              <w:t>2021</w:t>
            </w:r>
          </w:p>
        </w:tc>
        <w:tc>
          <w:tcPr>
            <w:tcW w:w="2981" w:type="dxa"/>
            <w:shd w:val="clear" w:color="auto" w:fill="C6EFCE"/>
            <w:noWrap/>
          </w:tcPr>
          <w:p w14:paraId="32F53AF8" w14:textId="77777777" w:rsidR="00A345F4" w:rsidRDefault="005E2D4E">
            <w:pPr>
              <w:pStyle w:val="P68B1DB1-Normal14"/>
              <w:spacing w:after="0"/>
              <w:jc w:val="both"/>
              <w:rPr>
                <w:noProof/>
              </w:rPr>
            </w:pPr>
            <w:r>
              <w:rPr>
                <w:noProof/>
              </w:rPr>
              <w:t xml:space="preserve">Un système de répertoire pour le suivi de la mise en œuvre du plan pour la reprise et la résilience est en place et opérationnel avant la première demande de paiement (à l’exception du préfinancement). </w:t>
            </w:r>
          </w:p>
          <w:p w14:paraId="04E3F87D" w14:textId="77777777" w:rsidR="00A345F4" w:rsidRDefault="005E2D4E">
            <w:pPr>
              <w:pStyle w:val="P68B1DB1-Normal14"/>
              <w:spacing w:after="0"/>
              <w:jc w:val="both"/>
              <w:rPr>
                <w:noProof/>
              </w:rPr>
            </w:pPr>
            <w:r>
              <w:rPr>
                <w:noProof/>
              </w:rPr>
              <w:t>Le système comprend, au minimum, les fonctionnalités suivantes:</w:t>
            </w:r>
          </w:p>
          <w:p w14:paraId="38C09652" w14:textId="77777777" w:rsidR="00A345F4" w:rsidRDefault="005E2D4E">
            <w:pPr>
              <w:pStyle w:val="P68B1DB1-Normal14"/>
              <w:spacing w:after="0"/>
              <w:jc w:val="both"/>
              <w:rPr>
                <w:noProof/>
              </w:rPr>
            </w:pPr>
            <w:r>
              <w:rPr>
                <w:noProof/>
              </w:rPr>
              <w:t>a) la collecte de données et le suivi de la réalisation des jalons et cibles;</w:t>
            </w:r>
          </w:p>
          <w:p w14:paraId="4F53A97F" w14:textId="77777777" w:rsidR="00A345F4" w:rsidRDefault="005E2D4E">
            <w:pPr>
              <w:pStyle w:val="P68B1DB1-Normal14"/>
              <w:spacing w:after="0" w:line="240" w:lineRule="auto"/>
              <w:jc w:val="both"/>
              <w:rPr>
                <w:noProof/>
              </w:rPr>
            </w:pPr>
            <w:r>
              <w:rPr>
                <w:noProof/>
              </w:rPr>
              <w:t>b) collecter, stocker et garantir l’accès aux données requises par l’article 22, paragraphe 2, point d) i) à iii), du règlement FRR.</w:t>
            </w:r>
          </w:p>
        </w:tc>
      </w:tr>
      <w:tr w:rsidR="00A345F4" w14:paraId="78D05CCA" w14:textId="77777777" w:rsidTr="000D606E">
        <w:trPr>
          <w:trHeight w:val="309"/>
        </w:trPr>
        <w:tc>
          <w:tcPr>
            <w:tcW w:w="822" w:type="dxa"/>
            <w:shd w:val="clear" w:color="auto" w:fill="C6EFCE"/>
            <w:noWrap/>
          </w:tcPr>
          <w:p w14:paraId="53D2BFCD" w14:textId="77777777" w:rsidR="00A345F4" w:rsidRDefault="005E2D4E">
            <w:pPr>
              <w:pStyle w:val="P68B1DB1-Normal14"/>
              <w:spacing w:after="0" w:line="240" w:lineRule="auto"/>
              <w:jc w:val="center"/>
              <w:rPr>
                <w:noProof/>
              </w:rPr>
            </w:pPr>
            <w:r>
              <w:rPr>
                <w:noProof/>
              </w:rPr>
              <w:t>451</w:t>
            </w:r>
          </w:p>
        </w:tc>
        <w:tc>
          <w:tcPr>
            <w:tcW w:w="2166" w:type="dxa"/>
            <w:shd w:val="clear" w:color="auto" w:fill="C6EFCE"/>
            <w:noWrap/>
          </w:tcPr>
          <w:p w14:paraId="57151109" w14:textId="77777777" w:rsidR="00A345F4" w:rsidRDefault="005E2D4E">
            <w:pPr>
              <w:pStyle w:val="P68B1DB1-Normal14"/>
              <w:spacing w:after="0" w:line="240" w:lineRule="auto"/>
              <w:jc w:val="both"/>
              <w:rPr>
                <w:noProof/>
              </w:rPr>
            </w:pPr>
            <w:r>
              <w:rPr>
                <w:noProof/>
              </w:rPr>
              <w:t xml:space="preserve">Investissement 5. Suivi et mise en œuvre du plan </w:t>
            </w:r>
          </w:p>
        </w:tc>
        <w:tc>
          <w:tcPr>
            <w:tcW w:w="1543" w:type="dxa"/>
            <w:shd w:val="clear" w:color="auto" w:fill="C6EFCE"/>
            <w:noWrap/>
          </w:tcPr>
          <w:p w14:paraId="5E3B5FE2" w14:textId="77777777" w:rsidR="00A345F4" w:rsidRDefault="005E2D4E">
            <w:pPr>
              <w:pStyle w:val="P68B1DB1-Normal14"/>
              <w:spacing w:after="0" w:line="240" w:lineRule="auto"/>
              <w:rPr>
                <w:noProof/>
              </w:rPr>
            </w:pPr>
            <w:r>
              <w:rPr>
                <w:noProof/>
              </w:rPr>
              <w:t>Étape</w:t>
            </w:r>
          </w:p>
        </w:tc>
        <w:tc>
          <w:tcPr>
            <w:tcW w:w="1403" w:type="dxa"/>
            <w:shd w:val="clear" w:color="auto" w:fill="C6EFCE"/>
            <w:noWrap/>
          </w:tcPr>
          <w:p w14:paraId="26DA443C" w14:textId="77777777" w:rsidR="00A345F4" w:rsidRDefault="005E2D4E">
            <w:pPr>
              <w:pStyle w:val="P68B1DB1-Normal14"/>
              <w:spacing w:after="0" w:line="240" w:lineRule="auto"/>
              <w:jc w:val="both"/>
              <w:rPr>
                <w:noProof/>
              </w:rPr>
            </w:pPr>
            <w:r>
              <w:rPr>
                <w:noProof/>
              </w:rPr>
              <w:t>Entrée en vigueur d’une ordonnance gouvernementale promulguant le mandat juridique du ministère des investissements et du projet européen (MIPE), du ministère des finances (MoF) et de l’autorité d’audit (AA)</w:t>
            </w:r>
          </w:p>
        </w:tc>
        <w:tc>
          <w:tcPr>
            <w:tcW w:w="1547" w:type="dxa"/>
            <w:shd w:val="clear" w:color="auto" w:fill="C6EFCE"/>
            <w:noWrap/>
          </w:tcPr>
          <w:p w14:paraId="1E787130" w14:textId="77777777" w:rsidR="00A345F4" w:rsidRDefault="005E2D4E">
            <w:pPr>
              <w:pStyle w:val="P68B1DB1-Normal14"/>
              <w:spacing w:after="0" w:line="240" w:lineRule="auto"/>
              <w:jc w:val="both"/>
              <w:rPr>
                <w:noProof/>
              </w:rPr>
            </w:pPr>
            <w:r>
              <w:rPr>
                <w:noProof/>
              </w:rPr>
              <w:t>Disposition de la loi indiquant l'entrée en vigueur de l'ordonnance d'urgence du gouvernement sur le mécanisme financier, de mise en œuvre, de contrôle et d'audit, y compris un mandat clair à trois institutions</w:t>
            </w:r>
          </w:p>
        </w:tc>
        <w:tc>
          <w:tcPr>
            <w:tcW w:w="1344" w:type="dxa"/>
            <w:shd w:val="clear" w:color="auto" w:fill="C6EFCE"/>
            <w:noWrap/>
          </w:tcPr>
          <w:p w14:paraId="0D9B0B8B" w14:textId="77777777" w:rsidR="00A345F4" w:rsidRDefault="00A345F4">
            <w:pPr>
              <w:spacing w:after="0" w:line="240" w:lineRule="auto"/>
              <w:rPr>
                <w:rFonts w:ascii="Times New Roman" w:hAnsi="Times New Roman" w:cs="Times New Roman"/>
                <w:noProof/>
                <w:sz w:val="20"/>
                <w:szCs w:val="20"/>
              </w:rPr>
            </w:pPr>
          </w:p>
        </w:tc>
        <w:tc>
          <w:tcPr>
            <w:tcW w:w="1109" w:type="dxa"/>
            <w:shd w:val="clear" w:color="auto" w:fill="C6EFCE"/>
            <w:noWrap/>
          </w:tcPr>
          <w:p w14:paraId="10168374" w14:textId="77777777" w:rsidR="00A345F4" w:rsidRDefault="00A345F4">
            <w:pPr>
              <w:spacing w:after="0" w:line="240" w:lineRule="auto"/>
              <w:rPr>
                <w:rFonts w:ascii="Times New Roman" w:hAnsi="Times New Roman" w:cs="Times New Roman"/>
                <w:noProof/>
                <w:sz w:val="20"/>
                <w:szCs w:val="20"/>
              </w:rPr>
            </w:pPr>
          </w:p>
        </w:tc>
        <w:tc>
          <w:tcPr>
            <w:tcW w:w="976" w:type="dxa"/>
            <w:shd w:val="clear" w:color="auto" w:fill="C6EFCE"/>
          </w:tcPr>
          <w:p w14:paraId="4ABDB635" w14:textId="77777777" w:rsidR="00A345F4" w:rsidRDefault="00A345F4">
            <w:pPr>
              <w:spacing w:after="0" w:line="240" w:lineRule="auto"/>
              <w:rPr>
                <w:rFonts w:ascii="Times New Roman" w:hAnsi="Times New Roman" w:cs="Times New Roman"/>
                <w:noProof/>
                <w:sz w:val="20"/>
                <w:szCs w:val="20"/>
              </w:rPr>
            </w:pPr>
          </w:p>
        </w:tc>
        <w:tc>
          <w:tcPr>
            <w:tcW w:w="1134" w:type="dxa"/>
            <w:shd w:val="clear" w:color="auto" w:fill="C6EFCE"/>
            <w:noWrap/>
          </w:tcPr>
          <w:p w14:paraId="6B03EA84" w14:textId="77777777" w:rsidR="00A345F4" w:rsidRDefault="005E2D4E">
            <w:pPr>
              <w:pStyle w:val="P68B1DB1-Normal14"/>
              <w:spacing w:after="0" w:line="240" w:lineRule="auto"/>
              <w:rPr>
                <w:noProof/>
              </w:rPr>
            </w:pPr>
            <w:r>
              <w:rPr>
                <w:noProof/>
              </w:rPr>
              <w:t>T4</w:t>
            </w:r>
          </w:p>
        </w:tc>
        <w:tc>
          <w:tcPr>
            <w:tcW w:w="851" w:type="dxa"/>
            <w:shd w:val="clear" w:color="auto" w:fill="C6EFCE"/>
            <w:noWrap/>
          </w:tcPr>
          <w:p w14:paraId="1048ACF0" w14:textId="77777777" w:rsidR="00A345F4" w:rsidRDefault="005E2D4E">
            <w:pPr>
              <w:pStyle w:val="P68B1DB1-Normal14"/>
              <w:spacing w:after="0" w:line="240" w:lineRule="auto"/>
              <w:jc w:val="center"/>
              <w:rPr>
                <w:noProof/>
              </w:rPr>
            </w:pPr>
            <w:r>
              <w:rPr>
                <w:noProof/>
              </w:rPr>
              <w:t>2021</w:t>
            </w:r>
          </w:p>
        </w:tc>
        <w:tc>
          <w:tcPr>
            <w:tcW w:w="2981" w:type="dxa"/>
            <w:shd w:val="clear" w:color="auto" w:fill="C6EFCE"/>
            <w:noWrap/>
          </w:tcPr>
          <w:p w14:paraId="4F1F24B7" w14:textId="77777777" w:rsidR="00A345F4" w:rsidRDefault="005E2D4E">
            <w:pPr>
              <w:pStyle w:val="P68B1DB1-Normal14"/>
              <w:spacing w:after="0" w:line="240" w:lineRule="auto"/>
              <w:jc w:val="both"/>
              <w:rPr>
                <w:noProof/>
              </w:rPr>
            </w:pPr>
            <w:r>
              <w:rPr>
                <w:noProof/>
              </w:rPr>
              <w:t>Entrée en vigueur d’une ordonnance gouvernementale édictant le cadre institutionnel du plan national pour la reprise et la résilience et les activités menées par les institutions constitutives confiant à MIPE le pouvoir et le mandat d’exercer toutes les tâches de suivi, de vérification, de contrôle et de recouvrement, d’élaboration et de signature des demandes de paiement soumises à la Commission européenne, de la déclaration de gestion et du résumé de l’audit. Le même cadre confie également au ministère des finances les tâches liées à la signature de la convention de prêt et de la convention de financement avec le MIPE, et précise également les activités que l’autorité d’audit doit exercer dans le cadre de son mandat pour le plan national pour la reprise et la résilience.</w:t>
            </w:r>
          </w:p>
        </w:tc>
      </w:tr>
    </w:tbl>
    <w:p w14:paraId="6C84A931" w14:textId="77777777" w:rsidR="00A345F4" w:rsidRDefault="00A345F4">
      <w:pPr>
        <w:rPr>
          <w:rFonts w:ascii="Times New Roman" w:hAnsi="Times New Roman" w:cs="Times New Roman"/>
          <w:noProof/>
        </w:rPr>
        <w:sectPr w:rsidR="00A345F4" w:rsidSect="00550A54">
          <w:headerReference w:type="even" r:id="rId329"/>
          <w:headerReference w:type="default" r:id="rId330"/>
          <w:footerReference w:type="even" r:id="rId331"/>
          <w:footerReference w:type="default" r:id="rId332"/>
          <w:headerReference w:type="first" r:id="rId333"/>
          <w:footerReference w:type="first" r:id="rId334"/>
          <w:pgSz w:w="16839" w:h="11907" w:orient="landscape"/>
          <w:pgMar w:top="1134" w:right="1134" w:bottom="1134" w:left="1134" w:header="567" w:footer="567" w:gutter="0"/>
          <w:cols w:space="720"/>
          <w:docGrid w:linePitch="360"/>
        </w:sectPr>
      </w:pPr>
    </w:p>
    <w:p w14:paraId="7D01D72C" w14:textId="77777777" w:rsidR="00A345F4" w:rsidRDefault="005E2D4E">
      <w:pPr>
        <w:pStyle w:val="P68B1DB1-Normal1"/>
        <w:keepNext/>
        <w:numPr>
          <w:ilvl w:val="0"/>
          <w:numId w:val="62"/>
        </w:numPr>
        <w:tabs>
          <w:tab w:val="left" w:pos="850"/>
        </w:tabs>
        <w:spacing w:before="360" w:after="120" w:line="240" w:lineRule="auto"/>
        <w:ind w:left="1271"/>
        <w:jc w:val="both"/>
        <w:outlineLvl w:val="0"/>
        <w:rPr>
          <w:bCs/>
          <w:noProof/>
        </w:rPr>
      </w:pPr>
      <w:r>
        <w:rPr>
          <w:noProof/>
        </w:rPr>
        <w:t>Élément 15: Éducation</w:t>
      </w:r>
    </w:p>
    <w:p w14:paraId="4AA8A001" w14:textId="77777777" w:rsidR="00A345F4" w:rsidRDefault="005E2D4E">
      <w:pPr>
        <w:pStyle w:val="P68B1DB1-Normal4"/>
        <w:spacing w:before="120" w:after="120" w:line="240" w:lineRule="auto"/>
        <w:jc w:val="both"/>
        <w:rPr>
          <w:noProof/>
        </w:rPr>
      </w:pPr>
      <w:r>
        <w:rPr>
          <w:noProof/>
        </w:rPr>
        <w:t>Cette composante du plan roumain pour la reprise et la résilience comprend six sous-composantes visant à relever les principaux défis du système éducatif. Les sous-composantes découlent du projet «Roumanie éduquée», qui constitue la stratégie globale de réforme du système éducatif en Roumanie. Les sous-composantes sont les suivantes:</w:t>
      </w:r>
    </w:p>
    <w:p w14:paraId="420F2B4B" w14:textId="77777777" w:rsidR="00A345F4" w:rsidRDefault="005E2D4E">
      <w:pPr>
        <w:pStyle w:val="P68B1DB1-Normal4"/>
        <w:numPr>
          <w:ilvl w:val="5"/>
          <w:numId w:val="66"/>
        </w:numPr>
        <w:spacing w:before="120" w:after="120" w:line="240" w:lineRule="auto"/>
        <w:ind w:left="425"/>
        <w:jc w:val="both"/>
        <w:rPr>
          <w:noProof/>
        </w:rPr>
      </w:pPr>
      <w:r>
        <w:rPr>
          <w:noProof/>
        </w:rPr>
        <w:t xml:space="preserve">Éducation et accueil de la petite enfance: le développement d’un système d’éducation et d’accueil de la petite enfance unitaire, inclusif et de qualité, améliorant l’accès des enfants de 0 à 6 ans, sur la base d’une coopération interinstitutionnelle efficace et d’un mécanisme de coordination intersectoriel; </w:t>
      </w:r>
    </w:p>
    <w:p w14:paraId="5AFCA96C" w14:textId="77777777" w:rsidR="00A345F4" w:rsidRDefault="005E2D4E">
      <w:pPr>
        <w:pStyle w:val="P68B1DB1-Normal4"/>
        <w:numPr>
          <w:ilvl w:val="5"/>
          <w:numId w:val="66"/>
        </w:numPr>
        <w:spacing w:before="120" w:after="120" w:line="240" w:lineRule="auto"/>
        <w:ind w:left="425"/>
        <w:jc w:val="both"/>
        <w:rPr>
          <w:noProof/>
        </w:rPr>
      </w:pPr>
      <w:r>
        <w:rPr>
          <w:noProof/>
        </w:rPr>
        <w:t xml:space="preserve">Le décrochage scolaire: la réforme de l'enseignement obligatoire en renforçant l'autonomie des écoles pour prévenir et réduire le décrochage scolaire, grâce à des programmes d'inclusion sociale et à l'égalité des chances; </w:t>
      </w:r>
    </w:p>
    <w:p w14:paraId="29FC7186" w14:textId="77777777" w:rsidR="00A345F4" w:rsidRDefault="005E2D4E">
      <w:pPr>
        <w:pStyle w:val="P68B1DB1-Normal4"/>
        <w:numPr>
          <w:ilvl w:val="5"/>
          <w:numId w:val="66"/>
        </w:numPr>
        <w:spacing w:before="120" w:after="120" w:line="240" w:lineRule="auto"/>
        <w:ind w:left="425"/>
        <w:jc w:val="both"/>
        <w:rPr>
          <w:noProof/>
        </w:rPr>
      </w:pPr>
      <w:r>
        <w:rPr>
          <w:noProof/>
        </w:rPr>
        <w:t xml:space="preserve">Enseignement et formation professionnels (EFP) et formation en alternance: la création d'un parcours professionnel complet pour l'enseignement technique supérieur; </w:t>
      </w:r>
    </w:p>
    <w:p w14:paraId="549BDAA0" w14:textId="77777777" w:rsidR="00A345F4" w:rsidRDefault="005E2D4E">
      <w:pPr>
        <w:pStyle w:val="P68B1DB1-Normal4"/>
        <w:numPr>
          <w:ilvl w:val="5"/>
          <w:numId w:val="66"/>
        </w:numPr>
        <w:spacing w:before="120" w:after="120" w:line="240" w:lineRule="auto"/>
        <w:ind w:left="425"/>
        <w:jc w:val="both"/>
        <w:rPr>
          <w:noProof/>
        </w:rPr>
      </w:pPr>
      <w:r>
        <w:rPr>
          <w:noProof/>
        </w:rPr>
        <w:t xml:space="preserve">Numérisation de l’éducation: la numérisation du processus éducatif, y compris par des modifications du cadre juridique, afin de permettre des approches intégrées et d’améliorer les compétences numériques tant pour les étudiants que pour les enseignants; </w:t>
      </w:r>
    </w:p>
    <w:p w14:paraId="7A1F07C2" w14:textId="77777777" w:rsidR="00A345F4" w:rsidRDefault="005E2D4E">
      <w:pPr>
        <w:pStyle w:val="P68B1DB1-Normal4"/>
        <w:numPr>
          <w:ilvl w:val="5"/>
          <w:numId w:val="66"/>
        </w:numPr>
        <w:spacing w:before="120" w:after="120" w:line="240" w:lineRule="auto"/>
        <w:ind w:left="425"/>
        <w:jc w:val="both"/>
        <w:rPr>
          <w:noProof/>
        </w:rPr>
      </w:pPr>
      <w:r>
        <w:rPr>
          <w:noProof/>
        </w:rPr>
        <w:t xml:space="preserve">Infrastructures: moderniser les infrastructures des écoles et des universités dans les zones urbaines et rurales, notamment en modifiant et en rationalisant le cadre réglementaire afin de garantir des normes de sécurité et de qualité respectueuses de l’environnement; </w:t>
      </w:r>
    </w:p>
    <w:p w14:paraId="1379A34D" w14:textId="77777777" w:rsidR="00A345F4" w:rsidRDefault="005E2D4E">
      <w:pPr>
        <w:pStyle w:val="P68B1DB1-Normal4"/>
        <w:numPr>
          <w:ilvl w:val="5"/>
          <w:numId w:val="66"/>
        </w:numPr>
        <w:spacing w:before="120" w:after="120" w:line="240" w:lineRule="auto"/>
        <w:ind w:left="425"/>
        <w:jc w:val="both"/>
        <w:rPr>
          <w:noProof/>
        </w:rPr>
      </w:pPr>
      <w:r>
        <w:rPr>
          <w:noProof/>
        </w:rPr>
        <w:t>Gouvernance scolaire: la réforme de la gouvernance de l’enseignement préuniversitaire et la professionnalisation de sa gestion, avec une autonomie scolaire accrue, afin de garantir la stabilité, la cohérence et la compétence.</w:t>
      </w:r>
    </w:p>
    <w:p w14:paraId="3C7A8455" w14:textId="72503368" w:rsidR="00A345F4" w:rsidRDefault="005E2D4E">
      <w:pPr>
        <w:pStyle w:val="P68B1DB1-Normal4"/>
        <w:spacing w:before="120" w:after="120" w:line="240" w:lineRule="auto"/>
        <w:jc w:val="both"/>
        <w:rPr>
          <w:noProof/>
        </w:rPr>
      </w:pPr>
      <w:r>
        <w:rPr>
          <w:noProof/>
        </w:rPr>
        <w:t>Le volet comprend 7 réformes et 18 investissements, ainsi qu’une réforme globale en vue de l’adoption de la législation relative à la mise en œuvre du projet «Roumanie éduquée».</w:t>
      </w:r>
    </w:p>
    <w:p w14:paraId="43339608" w14:textId="77777777" w:rsidR="00A345F4" w:rsidRDefault="005E2D4E">
      <w:pPr>
        <w:pStyle w:val="P68B1DB1-Normal4"/>
        <w:spacing w:before="120" w:after="120" w:line="240" w:lineRule="auto"/>
        <w:jc w:val="both"/>
        <w:rPr>
          <w:noProof/>
        </w:rPr>
      </w:pPr>
      <w:r>
        <w:rPr>
          <w:noProof/>
        </w:rPr>
        <w:t>Le volet contribue à donner suite à la recommandation par pays adressée à la Roumanie sur l’amélioration de la qualité et de l’inclusivité de l’éducation, en particulier pour les Roms et d’autres groupes défavorisés, et sur l’amélioration des compétences, y compris numériques, notamment en améliorant l’adéquation de l’enseignement et de la formation professionnels et de l’enseignement supérieur au marché du travail (recommandation par pays no 3, 2019). Il répond également à la recommandation relative au renforcement des compétences et de l’apprentissage numérique et à la garantie de l’égalité d’accès à l’éducation (recommandation par pays no 2, 2020).</w:t>
      </w:r>
    </w:p>
    <w:p w14:paraId="2D0F92FD" w14:textId="77777777" w:rsidR="00A345F4" w:rsidRDefault="005E2D4E">
      <w:pPr>
        <w:pStyle w:val="P68B1DB1-Normal4"/>
        <w:spacing w:before="120" w:after="120"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4986C4D5"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O.1. </w:t>
      </w:r>
      <w:r>
        <w:rPr>
          <w:noProof/>
        </w:rPr>
        <w:t xml:space="preserve"> </w:t>
      </w:r>
      <w:r>
        <w:rPr>
          <w:b/>
          <w:noProof/>
        </w:rPr>
        <w:t>Description des réformes et des investissements pour le soutien financier non remboursable</w:t>
      </w:r>
    </w:p>
    <w:p w14:paraId="5239FFD0" w14:textId="77777777" w:rsidR="00A345F4" w:rsidRDefault="005E2D4E">
      <w:pPr>
        <w:pStyle w:val="P68B1DB1-Standard55"/>
        <w:spacing w:before="240"/>
        <w:jc w:val="both"/>
        <w:rPr>
          <w:rFonts w:eastAsiaTheme="majorEastAsia"/>
          <w:bCs/>
          <w:noProof/>
        </w:rPr>
      </w:pPr>
      <w:r>
        <w:rPr>
          <w:noProof/>
        </w:rPr>
        <w:t>Réforme 1. Élaboration et adoption du paquet d'actes juridiques pour l'application du projet "Roumanie éduquée"</w:t>
      </w:r>
    </w:p>
    <w:p w14:paraId="16179FA3" w14:textId="77777777" w:rsidR="00A345F4" w:rsidRDefault="005E2D4E">
      <w:pPr>
        <w:pStyle w:val="P68B1DB1-Normal4"/>
        <w:spacing w:before="120" w:after="120" w:line="240" w:lineRule="auto"/>
        <w:jc w:val="both"/>
        <w:rPr>
          <w:noProof/>
        </w:rPr>
      </w:pPr>
      <w:r>
        <w:rPr>
          <w:noProof/>
        </w:rPr>
        <w:t>L’objectif de cette réforme est l’adoption et l’entrée en vigueur du paquet d’actes juridiques pour le projet «Roumanie éduquée», qui constitue la stratégie globale de réforme du système éducatif roumain. Toutes les réformes et tous les investissements ultérieurs font partie intégrante de cette stratégie.</w:t>
      </w:r>
    </w:p>
    <w:p w14:paraId="2353F839" w14:textId="77777777" w:rsidR="00A345F4" w:rsidRDefault="005E2D4E">
      <w:pPr>
        <w:pStyle w:val="P68B1DB1-Normal4"/>
        <w:numPr>
          <w:ilvl w:val="0"/>
          <w:numId w:val="67"/>
        </w:numPr>
        <w:spacing w:before="120" w:after="120" w:line="240" w:lineRule="auto"/>
        <w:ind w:left="567"/>
        <w:jc w:val="both"/>
        <w:rPr>
          <w:noProof/>
        </w:rPr>
      </w:pPr>
      <w:r>
        <w:rPr>
          <w:noProof/>
        </w:rPr>
        <w:t xml:space="preserve">Éducation et accueil de la petite enfance: </w:t>
      </w:r>
    </w:p>
    <w:p w14:paraId="67666B89" w14:textId="77777777" w:rsidR="00A345F4" w:rsidRDefault="005E2D4E">
      <w:pPr>
        <w:pStyle w:val="P68B1DB1-Standard55"/>
        <w:spacing w:before="240"/>
        <w:jc w:val="both"/>
        <w:rPr>
          <w:rFonts w:eastAsiaTheme="majorEastAsia"/>
          <w:bCs/>
          <w:noProof/>
        </w:rPr>
      </w:pPr>
      <w:r>
        <w:rPr>
          <w:noProof/>
        </w:rPr>
        <w:t xml:space="preserve">Réforme 2. Système d'éducation de la petite enfance unitaire, inclusif et de qualité </w:t>
      </w:r>
    </w:p>
    <w:p w14:paraId="5F3855E3" w14:textId="77777777" w:rsidR="00A345F4" w:rsidRDefault="005E2D4E">
      <w:pPr>
        <w:pStyle w:val="P68B1DB1-Normal4"/>
        <w:spacing w:before="120" w:after="120" w:line="240" w:lineRule="auto"/>
        <w:jc w:val="both"/>
        <w:rPr>
          <w:noProof/>
        </w:rPr>
      </w:pPr>
      <w:r>
        <w:rPr>
          <w:noProof/>
        </w:rPr>
        <w:t xml:space="preserve">L'objectif de la réforme est d'améliorer l'accès à l'éducation et à l'accueil de la petite enfance pour les enfants de la naissance jusqu'au début de l'enseignement primaire. </w:t>
      </w:r>
    </w:p>
    <w:p w14:paraId="0F43CD9E" w14:textId="7B1BF377" w:rsidR="00A345F4" w:rsidRDefault="005E2D4E">
      <w:pPr>
        <w:pStyle w:val="P68B1DB1-Normal4"/>
        <w:spacing w:before="120" w:after="120" w:line="240" w:lineRule="auto"/>
        <w:jc w:val="both"/>
        <w:rPr>
          <w:noProof/>
        </w:rPr>
      </w:pPr>
      <w:r>
        <w:rPr>
          <w:noProof/>
        </w:rPr>
        <w:t xml:space="preserve">Cette mesure consiste en l’adoption d’un programme-cadre intersectoriel pour les services d’éducation de la petite enfance, définissant les responsabilités des ministères concernés, ainsi qu’en l’adoption de plans opérationnels annuels de mise en œuvre et d’actes juridiques actualisés pour les services d’éducation de la petite enfance. </w:t>
      </w:r>
    </w:p>
    <w:p w14:paraId="3733EC4F" w14:textId="77777777" w:rsidR="00A345F4" w:rsidRDefault="005E2D4E">
      <w:pPr>
        <w:pStyle w:val="P68B1DB1-Standard55"/>
        <w:spacing w:before="240"/>
        <w:jc w:val="both"/>
        <w:rPr>
          <w:rFonts w:eastAsiaTheme="majorEastAsia"/>
          <w:bCs/>
          <w:noProof/>
        </w:rPr>
      </w:pPr>
      <w:bookmarkStart w:id="32" w:name="_Hlk202428178"/>
      <w:r>
        <w:rPr>
          <w:noProof/>
        </w:rPr>
        <w:t xml:space="preserve">Investissement 1. </w:t>
      </w:r>
      <w:bookmarkStart w:id="33" w:name="_Hlk202385764"/>
      <w:r>
        <w:rPr>
          <w:noProof/>
        </w:rPr>
        <w:t>Construction et équipement de crèches</w:t>
      </w:r>
      <w:bookmarkEnd w:id="33"/>
    </w:p>
    <w:p w14:paraId="5DFD583B" w14:textId="77777777" w:rsidR="00A345F4" w:rsidRDefault="005E2D4E">
      <w:pPr>
        <w:pStyle w:val="P68B1DB1-Normal4"/>
        <w:spacing w:before="120" w:after="120" w:line="240" w:lineRule="auto"/>
        <w:jc w:val="both"/>
        <w:rPr>
          <w:noProof/>
        </w:rPr>
      </w:pPr>
      <w:r>
        <w:rPr>
          <w:noProof/>
        </w:rPr>
        <w:t xml:space="preserve">L'objectif de cet investissement est d'accroître la capacité du système éducatif de la petite enfance en construisant des crèches. </w:t>
      </w:r>
    </w:p>
    <w:p w14:paraId="5B2EBEDA" w14:textId="77777777" w:rsidR="00A345F4" w:rsidRDefault="005E2D4E">
      <w:pPr>
        <w:pStyle w:val="P68B1DB1-Normal4"/>
        <w:spacing w:before="120" w:after="120" w:line="240" w:lineRule="auto"/>
        <w:jc w:val="both"/>
        <w:rPr>
          <w:noProof/>
        </w:rPr>
      </w:pPr>
      <w:r>
        <w:rPr>
          <w:noProof/>
        </w:rPr>
        <w:t xml:space="preserve">L'investissement consiste en la construction et l'équipement de crèches. </w:t>
      </w:r>
    </w:p>
    <w:bookmarkEnd w:id="32"/>
    <w:p w14:paraId="2B5C8EDB" w14:textId="77777777" w:rsidR="00A345F4" w:rsidRDefault="005E2D4E">
      <w:pPr>
        <w:pStyle w:val="P68B1DB1-Normal4"/>
        <w:spacing w:before="120" w:after="120" w:line="240" w:lineRule="auto"/>
        <w:jc w:val="both"/>
        <w:rPr>
          <w:noProof/>
        </w:rPr>
      </w:pPr>
      <w:r>
        <w:rPr>
          <w:noProof/>
        </w:rPr>
        <w:t>Cette mesure complète l’investissement 1a dans le compartiment des prêts.</w:t>
      </w:r>
    </w:p>
    <w:p w14:paraId="18E14359" w14:textId="77777777" w:rsidR="00A345F4" w:rsidRDefault="005E2D4E">
      <w:pPr>
        <w:pStyle w:val="P68B1DB1-Standard55"/>
        <w:spacing w:before="240"/>
        <w:jc w:val="both"/>
        <w:rPr>
          <w:rFonts w:eastAsiaTheme="majorEastAsia"/>
          <w:bCs/>
          <w:noProof/>
        </w:rPr>
      </w:pPr>
      <w:r>
        <w:rPr>
          <w:noProof/>
        </w:rPr>
        <w:t xml:space="preserve">Investissement 2. Mise en place, équipement et approbation de services complémentaires </w:t>
      </w:r>
    </w:p>
    <w:p w14:paraId="14E1745E" w14:textId="77777777" w:rsidR="00A345F4" w:rsidRDefault="005E2D4E">
      <w:pPr>
        <w:pStyle w:val="P68B1DB1-Normal4"/>
        <w:spacing w:before="120" w:after="120" w:line="240" w:lineRule="auto"/>
        <w:jc w:val="both"/>
        <w:rPr>
          <w:noProof/>
        </w:rPr>
      </w:pPr>
      <w:r>
        <w:rPr>
          <w:noProof/>
        </w:rPr>
        <w:t>L'objectif de cet investissement est d'accroître la capacité du système d'éducation de la petite enfance et sa qualité, en fournissant des services aux enfants des localités défavorisées.</w:t>
      </w:r>
    </w:p>
    <w:p w14:paraId="2839F51E" w14:textId="77777777" w:rsidR="00A345F4" w:rsidRDefault="005E2D4E">
      <w:pPr>
        <w:pStyle w:val="P68B1DB1-Normal4"/>
        <w:spacing w:before="120" w:after="120" w:line="240" w:lineRule="auto"/>
        <w:jc w:val="both"/>
        <w:rPr>
          <w:noProof/>
        </w:rPr>
      </w:pPr>
      <w:r>
        <w:rPr>
          <w:noProof/>
        </w:rPr>
        <w:t xml:space="preserve">L'investissement consiste à mettre en place, équiper et approuver des services complémentaires pour les enfants de 0 à 6 ans. </w:t>
      </w:r>
    </w:p>
    <w:p w14:paraId="527D57DD" w14:textId="77777777" w:rsidR="00A345F4" w:rsidRDefault="005E2D4E">
      <w:pPr>
        <w:pStyle w:val="P68B1DB1-Standard55"/>
        <w:spacing w:before="240"/>
        <w:jc w:val="both"/>
        <w:rPr>
          <w:rFonts w:eastAsiaTheme="majorEastAsia"/>
          <w:bCs/>
          <w:noProof/>
        </w:rPr>
      </w:pPr>
      <w:r>
        <w:rPr>
          <w:noProof/>
        </w:rPr>
        <w:t>Investissement 3. Programme-cadre pour la formation continue des professionnels des services d'éducation de la petite enfance</w:t>
      </w:r>
    </w:p>
    <w:p w14:paraId="2DA09C91" w14:textId="21811D7D" w:rsidR="00A345F4" w:rsidRDefault="005E2D4E">
      <w:pPr>
        <w:pStyle w:val="P68B1DB1-Normal4"/>
        <w:spacing w:before="120" w:after="120" w:line="240" w:lineRule="auto"/>
        <w:jc w:val="both"/>
        <w:rPr>
          <w:noProof/>
        </w:rPr>
      </w:pPr>
      <w:r>
        <w:rPr>
          <w:noProof/>
        </w:rPr>
        <w:t xml:space="preserve">L'objectif de cet investissement est la professionnalisation du personnel travaillant dans les services d'éducation de la petite enfance. </w:t>
      </w:r>
    </w:p>
    <w:p w14:paraId="05A33401" w14:textId="63D90F95" w:rsidR="00A345F4" w:rsidRDefault="005E2D4E">
      <w:pPr>
        <w:pStyle w:val="P68B1DB1-Normal4"/>
        <w:spacing w:before="120" w:after="120" w:line="240" w:lineRule="auto"/>
        <w:jc w:val="both"/>
        <w:rPr>
          <w:noProof/>
        </w:rPr>
      </w:pPr>
      <w:r>
        <w:rPr>
          <w:noProof/>
        </w:rPr>
        <w:t xml:space="preserve">L'investissement consiste en des programmes de formation, à la fois pour les formateurs et pour le personnel travaillant dans des services d'éducation de la petite enfance standard et complémentaires. </w:t>
      </w:r>
    </w:p>
    <w:p w14:paraId="610ECF38" w14:textId="77777777" w:rsidR="00A345F4" w:rsidRDefault="005E2D4E">
      <w:pPr>
        <w:pStyle w:val="P68B1DB1-Normal4"/>
        <w:numPr>
          <w:ilvl w:val="0"/>
          <w:numId w:val="67"/>
        </w:numPr>
        <w:spacing w:before="120" w:after="120" w:line="240" w:lineRule="auto"/>
        <w:ind w:left="567"/>
        <w:jc w:val="both"/>
        <w:rPr>
          <w:noProof/>
        </w:rPr>
      </w:pPr>
      <w:r>
        <w:rPr>
          <w:noProof/>
        </w:rPr>
        <w:t xml:space="preserve">Le décrochage scolaire: </w:t>
      </w:r>
    </w:p>
    <w:p w14:paraId="103094C7" w14:textId="77777777" w:rsidR="00A345F4" w:rsidRDefault="005E2D4E">
      <w:pPr>
        <w:pStyle w:val="P68B1DB1-Standard55"/>
        <w:spacing w:before="240"/>
        <w:jc w:val="both"/>
        <w:rPr>
          <w:rFonts w:eastAsiaTheme="majorEastAsia"/>
          <w:bCs/>
          <w:noProof/>
        </w:rPr>
      </w:pPr>
      <w:r>
        <w:rPr>
          <w:noProof/>
        </w:rPr>
        <w:t>Réforme 3. Réforme du système d'enseignement obligatoire pour prévenir et réduire le décrochage scolaire</w:t>
      </w:r>
    </w:p>
    <w:p w14:paraId="32C84C51" w14:textId="77777777" w:rsidR="00A345F4" w:rsidRDefault="005E2D4E">
      <w:pPr>
        <w:pStyle w:val="P68B1DB1-Normal4"/>
        <w:spacing w:before="120" w:after="120" w:line="240" w:lineRule="auto"/>
        <w:jc w:val="both"/>
        <w:rPr>
          <w:noProof/>
        </w:rPr>
      </w:pPr>
      <w:r>
        <w:rPr>
          <w:noProof/>
        </w:rPr>
        <w:t xml:space="preserve">Les objectifs de cette réforme sont les suivants: a) mettre en œuvre le mécanisme d’alerte précoce dans le domaine de l’éducation afin de réduire l’absentéisme, d’améliorer les résultats des évaluations, de parvenir à un taux de participation plus élevé aux examens nationaux et à un pourcentage plus élevé d’élèves qui terminent l’enseignement obligatoire, en utilisant une approche décentralisée et en renforçant l’autonomie des écoles dans l’utilisation des ressources; et b) surveiller, au moyen de l’outil informatique du mécanisme d’alerte précoce dans le domaine de l’éducation, les élèves exposés au risque de décrochage scolaire et soutenir les écoles dans la collecte de données pertinentes, en mettant en œuvre des plans de travail et des formations individualisés. </w:t>
      </w:r>
    </w:p>
    <w:p w14:paraId="492497D7" w14:textId="77777777" w:rsidR="00A345F4" w:rsidRDefault="005E2D4E">
      <w:pPr>
        <w:pStyle w:val="P68B1DB1-Normal4"/>
        <w:spacing w:before="120" w:after="120" w:line="240" w:lineRule="auto"/>
        <w:jc w:val="both"/>
        <w:rPr>
          <w:noProof/>
        </w:rPr>
      </w:pPr>
      <w:r>
        <w:rPr>
          <w:noProof/>
        </w:rPr>
        <w:t>Ces objectifs sont atteints par l’entrée en vigueur d’une décision du gouvernement pour la mise en œuvre du programme national de décrochage scolaire, au plus tard le 31 décembre 2021, et par le renforcement de l’outil informatique du mécanisme d’alerte précoce dans le domaine de l’éducation au niveau national, au moyen d’un arrêté ministériel qui entre en vigueur le 31 décembre 2022.</w:t>
      </w:r>
    </w:p>
    <w:p w14:paraId="1BE1F9D6" w14:textId="77777777" w:rsidR="00A345F4" w:rsidRDefault="005E2D4E">
      <w:pPr>
        <w:pStyle w:val="P68B1DB1-Normal4"/>
        <w:spacing w:before="120" w:after="120" w:line="240" w:lineRule="auto"/>
        <w:jc w:val="both"/>
        <w:rPr>
          <w:noProof/>
        </w:rPr>
      </w:pPr>
      <w:r>
        <w:rPr>
          <w:noProof/>
        </w:rPr>
        <w:t>La mise en œuvre de la réforme est achevée au plus tard le 31 décembre 2022.</w:t>
      </w:r>
    </w:p>
    <w:p w14:paraId="473A3B57" w14:textId="77777777" w:rsidR="00A345F4" w:rsidRDefault="005E2D4E">
      <w:pPr>
        <w:pStyle w:val="P68B1DB1-Normal4"/>
        <w:spacing w:before="120" w:after="120" w:line="240" w:lineRule="auto"/>
        <w:jc w:val="both"/>
        <w:rPr>
          <w:noProof/>
        </w:rPr>
      </w:pPr>
      <w:r>
        <w:rPr>
          <w:noProof/>
        </w:rPr>
        <w:t>Cette réforme est complétée par deux investissements connexes:</w:t>
      </w:r>
    </w:p>
    <w:p w14:paraId="20036614" w14:textId="77777777" w:rsidR="00A345F4" w:rsidRDefault="005E2D4E">
      <w:pPr>
        <w:pStyle w:val="P68B1DB1-Standard55"/>
        <w:spacing w:before="240"/>
        <w:jc w:val="both"/>
        <w:rPr>
          <w:rFonts w:eastAsiaTheme="majorEastAsia"/>
          <w:noProof/>
        </w:rPr>
      </w:pPr>
      <w:r>
        <w:rPr>
          <w:noProof/>
        </w:rPr>
        <w:t>Investissement 4. Soutenir les établissements d’enseignement présentant un risque moyen et élevé d’abandon scolaire</w:t>
      </w:r>
    </w:p>
    <w:p w14:paraId="3D6FCF34" w14:textId="77777777" w:rsidR="00A345F4" w:rsidRDefault="005E2D4E">
      <w:pPr>
        <w:pStyle w:val="P68B1DB1-Normal4"/>
        <w:spacing w:before="120" w:after="120" w:line="240" w:lineRule="auto"/>
        <w:jc w:val="both"/>
        <w:rPr>
          <w:noProof/>
        </w:rPr>
      </w:pPr>
      <w:r>
        <w:rPr>
          <w:noProof/>
        </w:rPr>
        <w:t xml:space="preserve">L'objectif de cet investissement est de réduire le décrochage scolaire. </w:t>
      </w:r>
    </w:p>
    <w:p w14:paraId="056CD1BD" w14:textId="77777777" w:rsidR="00A345F4" w:rsidRDefault="005E2D4E">
      <w:pPr>
        <w:pStyle w:val="P68B1DB1-Normal4"/>
        <w:spacing w:before="120" w:after="120" w:line="240" w:lineRule="auto"/>
        <w:jc w:val="both"/>
        <w:rPr>
          <w:noProof/>
        </w:rPr>
      </w:pPr>
      <w:r>
        <w:rPr>
          <w:noProof/>
        </w:rPr>
        <w:t>L'investissement consiste à fournir des subventions pour réduire le nombre d'écoles présentant un risque moyen et élevé d'abandon scolaire.</w:t>
      </w:r>
    </w:p>
    <w:p w14:paraId="3AB6FCF4" w14:textId="77777777" w:rsidR="00A345F4" w:rsidRDefault="005E2D4E">
      <w:pPr>
        <w:pStyle w:val="P68B1DB1-ListParagraph61"/>
        <w:numPr>
          <w:ilvl w:val="0"/>
          <w:numId w:val="67"/>
        </w:numPr>
        <w:spacing w:before="120" w:after="120" w:line="240" w:lineRule="auto"/>
        <w:ind w:left="567"/>
        <w:jc w:val="both"/>
        <w:rPr>
          <w:noProof/>
        </w:rPr>
      </w:pPr>
      <w:r>
        <w:rPr>
          <w:noProof/>
        </w:rPr>
        <w:t xml:space="preserve">Enseignement et formation professionnels (EFP) et formation en alternance: </w:t>
      </w:r>
    </w:p>
    <w:p w14:paraId="1912E673" w14:textId="77777777" w:rsidR="00A345F4" w:rsidRDefault="005E2D4E">
      <w:pPr>
        <w:pStyle w:val="P68B1DB1-Standard55"/>
        <w:spacing w:before="240"/>
        <w:jc w:val="both"/>
        <w:rPr>
          <w:rFonts w:eastAsiaTheme="majorEastAsia"/>
          <w:noProof/>
        </w:rPr>
      </w:pPr>
      <w:r>
        <w:rPr>
          <w:noProof/>
        </w:rPr>
        <w:t>Investissement 5. Formations destinées aux utilisateurs du système intégré roumain d’information sur l’éducation (SIIR) et de l’outil informatique du mécanisme d’alerte précoce (MATE) pour réduire le décrochage scolaire</w:t>
      </w:r>
    </w:p>
    <w:p w14:paraId="051F7A09" w14:textId="77777777" w:rsidR="00A345F4" w:rsidRDefault="005E2D4E">
      <w:pPr>
        <w:pStyle w:val="P68B1DB1-Standard62"/>
        <w:spacing w:before="240"/>
        <w:jc w:val="both"/>
        <w:rPr>
          <w:noProof/>
        </w:rPr>
      </w:pPr>
      <w:r>
        <w:rPr>
          <w:noProof/>
        </w:rPr>
        <w:t xml:space="preserve">L’objectif de cet investissement, qui consiste en des modules de formation, est de préparer et de dispenser une formation aux utilisateurs du système intégré roumain d’information sur l’éducation (SIIR) et de l’outil informatique du mécanisme d’alerte précoce (outil informatique MATE) dans les écoles, afin de réduire le décrochage scolaire. </w:t>
      </w:r>
    </w:p>
    <w:p w14:paraId="23995DD9" w14:textId="77777777" w:rsidR="00A345F4" w:rsidRDefault="005E2D4E">
      <w:pPr>
        <w:pStyle w:val="P68B1DB1-Standard55"/>
        <w:spacing w:before="240"/>
        <w:jc w:val="both"/>
        <w:rPr>
          <w:rFonts w:eastAsiaTheme="majorEastAsia"/>
          <w:noProof/>
        </w:rPr>
      </w:pPr>
      <w:r>
        <w:rPr>
          <w:noProof/>
        </w:rPr>
        <w:t>Réforme 4. Création d'un parcours professionnel complet pour l'enseignement technique supérieur</w:t>
      </w:r>
    </w:p>
    <w:p w14:paraId="4DB2189C" w14:textId="0A31ED36" w:rsidR="00A345F4" w:rsidRDefault="005E2D4E">
      <w:pPr>
        <w:pStyle w:val="P68B1DB1-Normal4"/>
        <w:spacing w:before="120" w:after="120" w:line="240" w:lineRule="auto"/>
        <w:jc w:val="both"/>
        <w:rPr>
          <w:noProof/>
        </w:rPr>
      </w:pPr>
      <w:r>
        <w:rPr>
          <w:noProof/>
        </w:rPr>
        <w:t>L’objectif de cette réforme est de créer une éducation en alternance axée sur les besoins des étudiants et alignée sur les besoins du marché du travail, à la fois en augmentant le nombre de domaines, de qualifications et de diplômés et en mettant à disposition un parcours éducatif complet pour les étudiants inscrits dans le double secondaire, afin qu’ils puissent accéder aux programmes d’enseignement de troisième niveau (qualification 3-7).</w:t>
      </w:r>
    </w:p>
    <w:p w14:paraId="4466FD27" w14:textId="77777777" w:rsidR="00A345F4" w:rsidRDefault="005E2D4E">
      <w:pPr>
        <w:pStyle w:val="P68B1DB1-Normal4"/>
        <w:spacing w:before="120" w:after="120" w:line="240" w:lineRule="auto"/>
        <w:jc w:val="both"/>
        <w:rPr>
          <w:noProof/>
          <w:bdr w:val="none" w:sz="0" w:space="0" w:color="auto" w:frame="1"/>
        </w:rPr>
      </w:pPr>
      <w:r>
        <w:rPr>
          <w:noProof/>
        </w:rPr>
        <w:t>La réforme consiste en l'entrée</w:t>
      </w:r>
      <w:r>
        <w:rPr>
          <w:noProof/>
          <w:bdr w:val="none" w:sz="0" w:space="0" w:color="auto" w:frame="1"/>
        </w:rPr>
        <w:t xml:space="preserve"> en vigueur d'actes juridiques pour la méthodologie d'organisation de la double voie complète d'une durée de quatre ans, avec accès à </w:t>
      </w:r>
      <w:r>
        <w:rPr>
          <w:noProof/>
        </w:rPr>
        <w:t>l'enseignement supérieur.</w:t>
      </w:r>
    </w:p>
    <w:p w14:paraId="3E0A8AE6" w14:textId="77777777" w:rsidR="00A345F4" w:rsidRDefault="005E2D4E">
      <w:pPr>
        <w:spacing w:before="120" w:after="120" w:line="240" w:lineRule="auto"/>
        <w:jc w:val="both"/>
        <w:rPr>
          <w:rFonts w:ascii="Times New Roman" w:hAnsi="Times New Roman" w:cs="Times New Roman"/>
          <w:noProof/>
        </w:rPr>
      </w:pPr>
      <w:r>
        <w:rPr>
          <w:rFonts w:ascii="Times New Roman" w:hAnsi="Times New Roman" w:cs="Times New Roman"/>
          <w:noProof/>
        </w:rPr>
        <w:t>Cette réforme est complétée par trois investissements connexes:</w:t>
      </w:r>
      <w:r w:rsidRPr="00E75F9B">
        <w:rPr>
          <w:rStyle w:val="FootnoteReference"/>
          <w:rFonts w:ascii="Times New Roman" w:hAnsi="Times New Roman" w:cs="Times New Roman"/>
          <w:noProof/>
        </w:rPr>
        <w:footnoteReference w:id="34"/>
      </w:r>
    </w:p>
    <w:p w14:paraId="357F6934" w14:textId="39BDE971" w:rsidR="00A345F4" w:rsidRDefault="005E2D4E">
      <w:pPr>
        <w:pStyle w:val="P68B1DB1-Standard55"/>
        <w:spacing w:before="240"/>
        <w:jc w:val="both"/>
        <w:rPr>
          <w:rFonts w:eastAsiaTheme="majorEastAsia"/>
          <w:bCs/>
          <w:noProof/>
        </w:rPr>
      </w:pPr>
      <w:r>
        <w:rPr>
          <w:noProof/>
        </w:rPr>
        <w:t xml:space="preserve">Investissement 6. Construire et équiper des campus professionnels au sein de consortiums régionaux </w:t>
      </w:r>
    </w:p>
    <w:p w14:paraId="73F3CCF3" w14:textId="77777777" w:rsidR="00A345F4" w:rsidRDefault="005E2D4E">
      <w:pPr>
        <w:pStyle w:val="P68B1DB1-Normal4"/>
        <w:spacing w:before="120" w:after="120" w:line="240" w:lineRule="auto"/>
        <w:jc w:val="both"/>
        <w:rPr>
          <w:noProof/>
        </w:rPr>
      </w:pPr>
      <w:r>
        <w:rPr>
          <w:noProof/>
        </w:rPr>
        <w:t>L’objectif de cet investissement est de garantir l’égalité d’accès à l’enseignement et à la formation professionnels, ainsi que des partenariats approfondis avec des opérateurs économiques ou d’autres partenaires afin d’adapter l’EFP aux besoins du marché du travail.</w:t>
      </w:r>
    </w:p>
    <w:p w14:paraId="6B0A770B" w14:textId="77777777" w:rsidR="00A345F4" w:rsidRDefault="005E2D4E">
      <w:pPr>
        <w:pStyle w:val="P68B1DB1-Normal4"/>
        <w:spacing w:before="120" w:after="120" w:line="240" w:lineRule="auto"/>
        <w:jc w:val="both"/>
        <w:rPr>
          <w:noProof/>
        </w:rPr>
      </w:pPr>
      <w:r>
        <w:rPr>
          <w:noProof/>
        </w:rPr>
        <w:t>L'investissement consiste à construire et à équiper, au sein de consortiums régionaux, des campus professionnels intégrés.</w:t>
      </w:r>
    </w:p>
    <w:p w14:paraId="0B85C913" w14:textId="77777777" w:rsidR="00A345F4" w:rsidRDefault="005E2D4E">
      <w:pPr>
        <w:pStyle w:val="P68B1DB1-Standard55"/>
        <w:spacing w:before="240"/>
        <w:jc w:val="both"/>
        <w:rPr>
          <w:rFonts w:eastAsiaTheme="majorEastAsia"/>
          <w:bCs/>
          <w:noProof/>
        </w:rPr>
      </w:pPr>
      <w:r>
        <w:rPr>
          <w:noProof/>
        </w:rPr>
        <w:t>Investissement 14. Équipement d’ateliers de pratique dans les écoles d’EFP</w:t>
      </w:r>
    </w:p>
    <w:p w14:paraId="267F9CEB" w14:textId="77777777" w:rsidR="00A345F4" w:rsidRDefault="005E2D4E">
      <w:pPr>
        <w:pStyle w:val="P68B1DB1-Normal4"/>
        <w:spacing w:before="120" w:after="120" w:line="240" w:lineRule="auto"/>
        <w:jc w:val="both"/>
        <w:rPr>
          <w:noProof/>
        </w:rPr>
      </w:pPr>
      <w:r>
        <w:rPr>
          <w:noProof/>
        </w:rPr>
        <w:t xml:space="preserve">L’objectif de cet investissement est d’équiper des ateliers de pratique dans les écoles d’EFP. </w:t>
      </w:r>
    </w:p>
    <w:p w14:paraId="08B3B3FF" w14:textId="77777777" w:rsidR="00A345F4" w:rsidRDefault="005E2D4E">
      <w:pPr>
        <w:pStyle w:val="P68B1DB1-Normal4"/>
        <w:spacing w:before="120" w:after="120" w:line="240" w:lineRule="auto"/>
        <w:jc w:val="both"/>
        <w:rPr>
          <w:noProof/>
        </w:rPr>
      </w:pPr>
      <w:r>
        <w:rPr>
          <w:noProof/>
        </w:rPr>
        <w:t xml:space="preserve">L’investissement consiste à accorder un soutien aux écoles d’EFP. </w:t>
      </w:r>
    </w:p>
    <w:p w14:paraId="710D0232" w14:textId="77777777" w:rsidR="00A345F4" w:rsidRDefault="00A345F4">
      <w:pPr>
        <w:spacing w:before="120" w:after="120" w:line="240" w:lineRule="auto"/>
        <w:jc w:val="both"/>
        <w:rPr>
          <w:rFonts w:ascii="Times New Roman" w:hAnsi="Times New Roman" w:cs="Times New Roman"/>
          <w:noProof/>
        </w:rPr>
      </w:pPr>
    </w:p>
    <w:p w14:paraId="1B1A19B9" w14:textId="77777777" w:rsidR="00A345F4" w:rsidRDefault="005E2D4E">
      <w:pPr>
        <w:pStyle w:val="P68B1DB1-Normal4"/>
        <w:numPr>
          <w:ilvl w:val="0"/>
          <w:numId w:val="67"/>
        </w:numPr>
        <w:spacing w:before="120" w:after="120" w:line="240" w:lineRule="auto"/>
        <w:ind w:left="567"/>
        <w:jc w:val="both"/>
        <w:rPr>
          <w:noProof/>
        </w:rPr>
      </w:pPr>
      <w:r>
        <w:rPr>
          <w:noProof/>
        </w:rPr>
        <w:t xml:space="preserve">Numérisation de l’éducation: </w:t>
      </w:r>
    </w:p>
    <w:p w14:paraId="535994DD" w14:textId="77777777" w:rsidR="00A345F4" w:rsidRDefault="005E2D4E">
      <w:pPr>
        <w:pStyle w:val="P68B1DB1-Standard55"/>
        <w:spacing w:before="240"/>
        <w:jc w:val="both"/>
        <w:rPr>
          <w:rFonts w:eastAsiaTheme="majorEastAsia"/>
          <w:bCs/>
          <w:noProof/>
        </w:rPr>
      </w:pPr>
      <w:r>
        <w:rPr>
          <w:noProof/>
        </w:rPr>
        <w:t>Réforme 5. Adoption du cadre juridique pour la numérisation de l’éducation</w:t>
      </w:r>
    </w:p>
    <w:p w14:paraId="2EB0C724" w14:textId="77777777" w:rsidR="00A345F4" w:rsidRDefault="005E2D4E">
      <w:pPr>
        <w:pStyle w:val="P68B1DB1-Normal4"/>
        <w:spacing w:before="120" w:after="120" w:line="240" w:lineRule="auto"/>
        <w:jc w:val="both"/>
        <w:rPr>
          <w:noProof/>
        </w:rPr>
      </w:pPr>
      <w:r>
        <w:rPr>
          <w:noProof/>
        </w:rPr>
        <w:t xml:space="preserve">La réforme vise à garantir le cadre juridique nécessaire au développement des compétences numériques des élèves en définissant le profil de compétences des professionnels de l’éducation. </w:t>
      </w:r>
    </w:p>
    <w:p w14:paraId="4ED47649" w14:textId="77777777" w:rsidR="00A345F4" w:rsidRDefault="005E2D4E">
      <w:pPr>
        <w:pStyle w:val="P68B1DB1-Normal4"/>
        <w:spacing w:before="120" w:after="120" w:line="240" w:lineRule="auto"/>
        <w:jc w:val="both"/>
        <w:rPr>
          <w:noProof/>
        </w:rPr>
      </w:pPr>
      <w:r>
        <w:rPr>
          <w:noProof/>
        </w:rPr>
        <w:t xml:space="preserve">La réforme consiste en l’entrée en vigueur d’actes juridiques pour la numérisation des processus et des contenus éducatifs et pour la réalisation d’évaluations en ligne, ainsi qu’en la fixation de normes minimales et optimales pour la qualité des activités éducatives en ligne et du cadre national de référence pour le renforcement des compétences numériques des élèves préuniversitaires. </w:t>
      </w:r>
    </w:p>
    <w:p w14:paraId="47CAAFED" w14:textId="77777777" w:rsidR="00A345F4" w:rsidRDefault="005E2D4E">
      <w:pPr>
        <w:pStyle w:val="P68B1DB1-Normal4"/>
        <w:spacing w:before="120" w:after="120" w:line="240" w:lineRule="auto"/>
        <w:jc w:val="both"/>
        <w:rPr>
          <w:noProof/>
        </w:rPr>
      </w:pPr>
      <w:r>
        <w:rPr>
          <w:noProof/>
        </w:rPr>
        <w:t>Cette réforme est complétée par quatre investissements connexes:</w:t>
      </w:r>
      <w:r w:rsidRPr="00E75F9B">
        <w:rPr>
          <w:noProof/>
          <w:vertAlign w:val="superscript"/>
        </w:rPr>
        <w:footnoteReference w:id="35"/>
      </w:r>
    </w:p>
    <w:p w14:paraId="45CBF608" w14:textId="77777777" w:rsidR="00A345F4" w:rsidRDefault="005E2D4E">
      <w:pPr>
        <w:pStyle w:val="P68B1DB1-Standard55"/>
        <w:spacing w:before="240"/>
        <w:jc w:val="both"/>
        <w:rPr>
          <w:rFonts w:eastAsiaTheme="majorEastAsia"/>
          <w:noProof/>
        </w:rPr>
      </w:pPr>
      <w:r>
        <w:rPr>
          <w:noProof/>
        </w:rPr>
        <w:t>Investissement 8. Programme(s) de formation en pédagogie numérique pour le personnel enseignant</w:t>
      </w:r>
    </w:p>
    <w:p w14:paraId="3CAA7011" w14:textId="77777777" w:rsidR="00A345F4" w:rsidRDefault="005E2D4E">
      <w:pPr>
        <w:pStyle w:val="P68B1DB1-Normal4"/>
        <w:spacing w:before="120" w:after="120" w:line="240" w:lineRule="auto"/>
        <w:jc w:val="both"/>
        <w:rPr>
          <w:noProof/>
        </w:rPr>
      </w:pPr>
      <w:r>
        <w:rPr>
          <w:noProof/>
        </w:rPr>
        <w:t xml:space="preserve">L’objectif de cet investissement est de soutenir les compétences pédagogiques numériques des enseignants. </w:t>
      </w:r>
    </w:p>
    <w:p w14:paraId="719A09E0" w14:textId="77777777" w:rsidR="00A345F4" w:rsidRDefault="005E2D4E">
      <w:pPr>
        <w:pStyle w:val="P68B1DB1-Normal4"/>
        <w:spacing w:before="120" w:after="120" w:line="240" w:lineRule="auto"/>
        <w:jc w:val="both"/>
        <w:rPr>
          <w:noProof/>
        </w:rPr>
      </w:pPr>
      <w:r>
        <w:rPr>
          <w:noProof/>
        </w:rPr>
        <w:t xml:space="preserve">L’investissement consiste en un ou plusieurs programmes de formation des enseignants à la pédagogie et aux compétences numériques. </w:t>
      </w:r>
    </w:p>
    <w:p w14:paraId="3D79BE14" w14:textId="77777777" w:rsidR="00A345F4" w:rsidRDefault="00A345F4">
      <w:pPr>
        <w:spacing w:before="120" w:after="120" w:line="240" w:lineRule="auto"/>
        <w:jc w:val="both"/>
        <w:rPr>
          <w:rFonts w:ascii="Times New Roman" w:eastAsia="Times New Roman" w:hAnsi="Times New Roman" w:cs="Times New Roman"/>
          <w:noProof/>
        </w:rPr>
      </w:pPr>
    </w:p>
    <w:p w14:paraId="027DC7BB" w14:textId="77777777" w:rsidR="00A345F4" w:rsidRDefault="005E2D4E">
      <w:pPr>
        <w:pStyle w:val="P68B1DB1-Standard55"/>
        <w:spacing w:before="240"/>
        <w:jc w:val="both"/>
        <w:rPr>
          <w:rFonts w:eastAsiaTheme="majorEastAsia"/>
          <w:bCs/>
          <w:noProof/>
        </w:rPr>
      </w:pPr>
      <w:r>
        <w:rPr>
          <w:noProof/>
        </w:rPr>
        <w:t>Investissement 9. Équipements numériques et ressources technologiques pour les écoles et les établissements d'enseignement extrascolaire</w:t>
      </w:r>
    </w:p>
    <w:p w14:paraId="2E6408D5" w14:textId="77777777" w:rsidR="00A345F4" w:rsidRDefault="005E2D4E">
      <w:pPr>
        <w:pStyle w:val="P68B1DB1-Normal4"/>
        <w:spacing w:before="120" w:after="120" w:line="240" w:lineRule="auto"/>
        <w:jc w:val="both"/>
        <w:rPr>
          <w:noProof/>
        </w:rPr>
      </w:pPr>
      <w:r>
        <w:rPr>
          <w:noProof/>
        </w:rPr>
        <w:t xml:space="preserve">L’objectif de cet investissement est de mettre à disposition les équipements numériques et les ressources technologiques pour les écoles préuniversitaires et les établissements d’enseignement extrascolaire. </w:t>
      </w:r>
    </w:p>
    <w:p w14:paraId="4EB39A30" w14:textId="77777777" w:rsidR="00A345F4" w:rsidRDefault="005E2D4E">
      <w:pPr>
        <w:pStyle w:val="P68B1DB1-Normal4"/>
        <w:spacing w:before="120" w:after="120" w:line="240" w:lineRule="auto"/>
        <w:jc w:val="both"/>
        <w:rPr>
          <w:noProof/>
        </w:rPr>
      </w:pPr>
      <w:r>
        <w:rPr>
          <w:noProof/>
        </w:rPr>
        <w:t>L’investissement consiste à assurer les ressources technologiques et l’équipement numérique des écoles préuniversitaires et des établissements d’enseignement extrascolaire.</w:t>
      </w:r>
    </w:p>
    <w:p w14:paraId="5B2F06DE" w14:textId="77777777" w:rsidR="00A345F4" w:rsidRDefault="005E2D4E">
      <w:pPr>
        <w:pStyle w:val="P68B1DB1-Standard55"/>
        <w:spacing w:before="240"/>
        <w:jc w:val="both"/>
        <w:rPr>
          <w:noProof/>
        </w:rPr>
      </w:pPr>
      <w:r>
        <w:rPr>
          <w:noProof/>
        </w:rPr>
        <w:t xml:space="preserve">Investissement 16a. La numérisation des universités et leur préparation aux métiers du numérique de demain </w:t>
      </w:r>
    </w:p>
    <w:p w14:paraId="36274DE9" w14:textId="77777777" w:rsidR="00A345F4" w:rsidRDefault="005E2D4E">
      <w:pPr>
        <w:pStyle w:val="P68B1DB1-Normal4"/>
        <w:spacing w:before="120" w:after="120" w:line="240" w:lineRule="auto"/>
        <w:jc w:val="both"/>
        <w:rPr>
          <w:noProof/>
        </w:rPr>
      </w:pPr>
      <w:r>
        <w:rPr>
          <w:noProof/>
        </w:rPr>
        <w:t xml:space="preserve">L’objectif de cet investissement est d’accroître les infrastructures numériques et les compétences numériques des étudiants et du personnel enseignant universitaire. </w:t>
      </w:r>
    </w:p>
    <w:p w14:paraId="1CE4C6A1" w14:textId="77777777" w:rsidR="00A345F4" w:rsidRDefault="005E2D4E">
      <w:pPr>
        <w:pStyle w:val="P68B1DB1-Normal4"/>
        <w:spacing w:before="120" w:after="120" w:line="240" w:lineRule="auto"/>
        <w:jc w:val="both"/>
        <w:rPr>
          <w:rFonts w:eastAsia="Times New Roman"/>
          <w:noProof/>
        </w:rPr>
      </w:pPr>
      <w:r>
        <w:rPr>
          <w:noProof/>
        </w:rPr>
        <w:t>Cette mesure complète l'investissement 16 dans le compartiment des prêts.</w:t>
      </w:r>
    </w:p>
    <w:p w14:paraId="0FA4BFF2" w14:textId="77777777" w:rsidR="00A345F4" w:rsidRDefault="00A345F4">
      <w:pPr>
        <w:spacing w:before="120"/>
        <w:contextualSpacing/>
        <w:jc w:val="both"/>
        <w:rPr>
          <w:rFonts w:ascii="Times New Roman" w:eastAsia="Times New Roman" w:hAnsi="Times New Roman" w:cs="Times New Roman"/>
          <w:noProof/>
        </w:rPr>
      </w:pPr>
    </w:p>
    <w:p w14:paraId="3E6455E5" w14:textId="77777777" w:rsidR="00A345F4" w:rsidRDefault="005E2D4E">
      <w:pPr>
        <w:pStyle w:val="P68B1DB1-Normal4"/>
        <w:numPr>
          <w:ilvl w:val="0"/>
          <w:numId w:val="67"/>
        </w:numPr>
        <w:spacing w:before="120" w:after="120" w:line="240" w:lineRule="auto"/>
        <w:ind w:left="567"/>
        <w:jc w:val="both"/>
        <w:rPr>
          <w:noProof/>
        </w:rPr>
      </w:pPr>
      <w:r>
        <w:rPr>
          <w:noProof/>
        </w:rPr>
        <w:t xml:space="preserve">Infrastructures: </w:t>
      </w:r>
    </w:p>
    <w:p w14:paraId="2A4007C3" w14:textId="77777777" w:rsidR="00A345F4" w:rsidRDefault="005E2D4E">
      <w:pPr>
        <w:pStyle w:val="P68B1DB1-Standard55"/>
        <w:spacing w:before="240"/>
        <w:jc w:val="both"/>
        <w:rPr>
          <w:rFonts w:eastAsiaTheme="majorEastAsia"/>
          <w:bCs/>
          <w:noProof/>
        </w:rPr>
      </w:pPr>
      <w:r>
        <w:rPr>
          <w:noProof/>
        </w:rPr>
        <w:t xml:space="preserve">Réforme 6. Mise à jour du cadre réglementaire pour garantir des normes de conception, de construction et de dotation respectueuses de l'environnement dans le système d'enseignement préuniversitaire </w:t>
      </w:r>
    </w:p>
    <w:p w14:paraId="757687F2" w14:textId="77777777" w:rsidR="00A345F4" w:rsidRDefault="005E2D4E">
      <w:pPr>
        <w:pStyle w:val="P68B1DB1-Normal4"/>
        <w:spacing w:before="120" w:after="120" w:line="240" w:lineRule="auto"/>
        <w:jc w:val="both"/>
        <w:rPr>
          <w:noProof/>
        </w:rPr>
      </w:pPr>
      <w:r>
        <w:rPr>
          <w:noProof/>
        </w:rPr>
        <w:t xml:space="preserve">Les objectifs de cette réforme sont les suivants: a) améliorer la qualité et la sécurité des environnements d'apprentissage, notamment en réglementant le matériel didactique, le mobilier et l'équipement du matériel de laboratoire et des ateliers technologiques; et b) d’élaborer et d’adopter le cadre juridique visant à favoriser la transition vers des bâtiments écologiques dans les écoles. </w:t>
      </w:r>
    </w:p>
    <w:p w14:paraId="5F4A5363" w14:textId="77777777" w:rsidR="00A345F4" w:rsidRDefault="005E2D4E">
      <w:pPr>
        <w:pStyle w:val="P68B1DB1-Normal4"/>
        <w:spacing w:before="120" w:after="120" w:line="240" w:lineRule="auto"/>
        <w:jc w:val="both"/>
        <w:rPr>
          <w:noProof/>
        </w:rPr>
      </w:pPr>
      <w:r>
        <w:rPr>
          <w:noProof/>
        </w:rPr>
        <w:t xml:space="preserve">Dans le contexte de la transition vers des bâtiments verts et intelligents, les autorités roumaines mettent à jour la législation relative à la conception, à la dotation et au fonctionnement des écoles, y compris la réglementation relative au matériel pédagogique, au mobilier et à l’équipement des laboratoires et des laboratoires scientifiques, et élaborent une méthodologie pour le fonctionnement et l’organisation des écoles vertes. </w:t>
      </w:r>
    </w:p>
    <w:p w14:paraId="416DDC33" w14:textId="77777777" w:rsidR="00A345F4" w:rsidRDefault="005E2D4E">
      <w:pPr>
        <w:pStyle w:val="P68B1DB1-Normal4"/>
        <w:spacing w:before="120" w:after="120" w:line="240" w:lineRule="auto"/>
        <w:jc w:val="both"/>
        <w:rPr>
          <w:noProof/>
        </w:rPr>
      </w:pPr>
      <w:r>
        <w:rPr>
          <w:noProof/>
        </w:rPr>
        <w:t>La mise en œuvre de la réforme est achevée au plus tard le 30 juin 2022.</w:t>
      </w:r>
    </w:p>
    <w:p w14:paraId="2EA56533" w14:textId="77777777" w:rsidR="00A345F4" w:rsidRDefault="005E2D4E">
      <w:pPr>
        <w:spacing w:before="120" w:after="120" w:line="240" w:lineRule="auto"/>
        <w:jc w:val="both"/>
        <w:rPr>
          <w:rFonts w:ascii="Times New Roman" w:hAnsi="Times New Roman" w:cs="Times New Roman"/>
          <w:noProof/>
        </w:rPr>
      </w:pPr>
      <w:r>
        <w:rPr>
          <w:rFonts w:ascii="Times New Roman" w:hAnsi="Times New Roman" w:cs="Times New Roman"/>
          <w:noProof/>
        </w:rPr>
        <w:t>Cette réforme s'accompagne de trois investissements dans les infrastructures scolaires:</w:t>
      </w:r>
      <w:r w:rsidRPr="00E75F9B">
        <w:rPr>
          <w:rStyle w:val="FootnoteReference"/>
          <w:rFonts w:ascii="Times New Roman" w:hAnsi="Times New Roman" w:cs="Times New Roman"/>
          <w:noProof/>
        </w:rPr>
        <w:footnoteReference w:id="36"/>
      </w:r>
    </w:p>
    <w:p w14:paraId="1A2812BF" w14:textId="77777777" w:rsidR="00A345F4" w:rsidRDefault="005E2D4E">
      <w:pPr>
        <w:pStyle w:val="P68B1DB1-Standard55"/>
        <w:spacing w:before="240"/>
        <w:jc w:val="both"/>
        <w:rPr>
          <w:rFonts w:eastAsiaTheme="majorEastAsia"/>
          <w:bCs/>
          <w:noProof/>
        </w:rPr>
      </w:pPr>
      <w:r>
        <w:rPr>
          <w:noProof/>
        </w:rPr>
        <w:t>Investissement 10. Développement d'un réseau d'écoles vertes et achat de minibus verts</w:t>
      </w:r>
    </w:p>
    <w:p w14:paraId="0E63EC3A" w14:textId="77777777" w:rsidR="00A345F4" w:rsidRDefault="005E2D4E">
      <w:pPr>
        <w:pStyle w:val="P68B1DB1-Normal4"/>
        <w:spacing w:before="120" w:after="120" w:line="240" w:lineRule="auto"/>
        <w:jc w:val="both"/>
        <w:rPr>
          <w:noProof/>
        </w:rPr>
      </w:pPr>
      <w:r>
        <w:rPr>
          <w:noProof/>
        </w:rPr>
        <w:t xml:space="preserve">L’objectif de cet investissement est d’assurer la durabilité des écoles préuniversitaires grâce à la transition vers des écoles vertes et à la mobilité verte (minibus électriques). </w:t>
      </w:r>
    </w:p>
    <w:p w14:paraId="2A6A2172" w14:textId="77777777" w:rsidR="00A345F4" w:rsidRDefault="005E2D4E">
      <w:pPr>
        <w:pStyle w:val="P68B1DB1-Normal4"/>
        <w:spacing w:before="120" w:after="120" w:line="240" w:lineRule="auto"/>
        <w:jc w:val="both"/>
        <w:rPr>
          <w:noProof/>
        </w:rPr>
      </w:pPr>
      <w:r>
        <w:rPr>
          <w:noProof/>
        </w:rPr>
        <w:t xml:space="preserve">L'investissement consiste à rénover un réseau d'écoles vertes et à acheter des minibus scolaires pour le transport des élèves. </w:t>
      </w:r>
    </w:p>
    <w:p w14:paraId="4491EAFB" w14:textId="77777777" w:rsidR="00A345F4" w:rsidRDefault="005E2D4E">
      <w:pPr>
        <w:pStyle w:val="P68B1DB1-Normal4"/>
        <w:spacing w:before="120" w:after="120" w:line="240" w:lineRule="auto"/>
        <w:jc w:val="both"/>
        <w:rPr>
          <w:rFonts w:eastAsia="Times New Roman"/>
          <w:noProof/>
        </w:rPr>
      </w:pPr>
      <w:r>
        <w:rPr>
          <w:noProof/>
        </w:rPr>
        <w:t>Cette mesure complète l’investissement 10 bis dans le compartiment des prêts.</w:t>
      </w:r>
    </w:p>
    <w:p w14:paraId="2CF06D7C" w14:textId="77777777" w:rsidR="00A345F4" w:rsidRDefault="005E2D4E">
      <w:pPr>
        <w:pStyle w:val="P68B1DB1-Standard55"/>
        <w:spacing w:before="240"/>
        <w:jc w:val="both"/>
        <w:rPr>
          <w:rFonts w:eastAsiaTheme="majorEastAsia"/>
          <w:noProof/>
        </w:rPr>
      </w:pPr>
      <w:r>
        <w:rPr>
          <w:noProof/>
        </w:rPr>
        <w:t>Investissement 11. Fourniture de matériel pour les salles de classe pré-universitaires et les laboratoires de sciences scolaires/armoires scolaires</w:t>
      </w:r>
    </w:p>
    <w:p w14:paraId="1EA500C5" w14:textId="77777777" w:rsidR="00A345F4" w:rsidRDefault="005E2D4E">
      <w:pPr>
        <w:pStyle w:val="P68B1DB1-Normal4"/>
        <w:spacing w:before="120" w:after="120" w:line="240" w:lineRule="auto"/>
        <w:jc w:val="both"/>
        <w:rPr>
          <w:noProof/>
        </w:rPr>
      </w:pPr>
      <w:r>
        <w:rPr>
          <w:noProof/>
        </w:rPr>
        <w:t xml:space="preserve">L'objectif de cet investissement est de fournir l'équipement nécessaire pour assurer des normes de qualité dans les écoles pré-universitaires, les centres de comté pour les ressources et l'assistance éducative et les unités éducatives parascolaires. </w:t>
      </w:r>
    </w:p>
    <w:p w14:paraId="3B1B4D6C" w14:textId="77777777" w:rsidR="00A345F4" w:rsidRDefault="005E2D4E">
      <w:pPr>
        <w:pStyle w:val="P68B1DB1-Normal4"/>
        <w:spacing w:before="120" w:after="120" w:line="240" w:lineRule="auto"/>
        <w:jc w:val="both"/>
        <w:rPr>
          <w:noProof/>
        </w:rPr>
      </w:pPr>
      <w:r>
        <w:rPr>
          <w:noProof/>
        </w:rPr>
        <w:t xml:space="preserve">L'investissement consiste à assurer l'équipement des laboratoires scientifiques scolaires ou des armoires scolaires et des salles de classe. </w:t>
      </w:r>
    </w:p>
    <w:p w14:paraId="2176097E" w14:textId="77777777" w:rsidR="00A345F4" w:rsidRDefault="005E2D4E">
      <w:pPr>
        <w:pStyle w:val="P68B1DB1-Normal4"/>
        <w:numPr>
          <w:ilvl w:val="0"/>
          <w:numId w:val="67"/>
        </w:numPr>
        <w:spacing w:before="120" w:after="120" w:line="240" w:lineRule="auto"/>
        <w:ind w:left="567"/>
        <w:rPr>
          <w:noProof/>
        </w:rPr>
      </w:pPr>
      <w:r>
        <w:rPr>
          <w:noProof/>
        </w:rPr>
        <w:t>Gouvernance scolaire:</w:t>
      </w:r>
    </w:p>
    <w:p w14:paraId="4856F7C5" w14:textId="77777777" w:rsidR="00A345F4" w:rsidRDefault="005E2D4E">
      <w:pPr>
        <w:pStyle w:val="P68B1DB1-Standard55"/>
        <w:spacing w:before="240"/>
        <w:jc w:val="both"/>
        <w:rPr>
          <w:rFonts w:eastAsiaTheme="majorEastAsia"/>
          <w:bCs/>
          <w:noProof/>
        </w:rPr>
      </w:pPr>
      <w:r>
        <w:rPr>
          <w:noProof/>
        </w:rPr>
        <w:t xml:space="preserve">Réforme 7. Réforme de la gouvernance du système d'enseignement préuniversitaire et professionnalisation de la gestion </w:t>
      </w:r>
    </w:p>
    <w:p w14:paraId="4B6C27F8" w14:textId="77777777" w:rsidR="00A345F4" w:rsidRDefault="005E2D4E">
      <w:pPr>
        <w:pStyle w:val="P68B1DB1-Normal4"/>
        <w:spacing w:before="120" w:after="120" w:line="240" w:lineRule="auto"/>
        <w:jc w:val="both"/>
        <w:rPr>
          <w:noProof/>
        </w:rPr>
      </w:pPr>
      <w:r>
        <w:rPr>
          <w:noProof/>
        </w:rPr>
        <w:t xml:space="preserve">L'objectif de cette réforme est que les écoles bénéficient d'une gestion plus efficace et d'une plus grande autonomie. </w:t>
      </w:r>
    </w:p>
    <w:p w14:paraId="0F46220C" w14:textId="77777777" w:rsidR="00A345F4" w:rsidRDefault="005E2D4E">
      <w:pPr>
        <w:pStyle w:val="P68B1DB1-Normal4"/>
        <w:spacing w:before="120" w:after="120" w:line="240" w:lineRule="auto"/>
        <w:jc w:val="both"/>
        <w:rPr>
          <w:noProof/>
        </w:rPr>
      </w:pPr>
      <w:r>
        <w:rPr>
          <w:noProof/>
        </w:rPr>
        <w:t>La mesure consiste en la publication d'une analyse de la gouvernance dans le système d'enseignement préuniversitaire et d'un programme pilote pour les écoles.</w:t>
      </w:r>
    </w:p>
    <w:p w14:paraId="1094EEBE" w14:textId="77777777" w:rsidR="00A345F4" w:rsidRDefault="005E2D4E">
      <w:pPr>
        <w:pStyle w:val="P68B1DB1-Standard55"/>
        <w:spacing w:before="240"/>
        <w:jc w:val="both"/>
        <w:rPr>
          <w:rFonts w:eastAsiaTheme="majorEastAsia"/>
          <w:noProof/>
        </w:rPr>
      </w:pPr>
      <w:r>
        <w:rPr>
          <w:noProof/>
        </w:rPr>
        <w:t>Investissement 18. Formation et coaching pour le personnel de gestion de l'éducation</w:t>
      </w:r>
    </w:p>
    <w:p w14:paraId="3C97B455" w14:textId="77777777" w:rsidR="00A345F4" w:rsidRDefault="005E2D4E">
      <w:pPr>
        <w:pStyle w:val="P68B1DB1-Normal4"/>
        <w:spacing w:before="120" w:after="120" w:line="240" w:lineRule="auto"/>
        <w:jc w:val="both"/>
        <w:rPr>
          <w:noProof/>
        </w:rPr>
      </w:pPr>
      <w:r>
        <w:rPr>
          <w:noProof/>
        </w:rPr>
        <w:t xml:space="preserve">L’objectif de cet investissement est d’apporter un soutien à la professionnalisation de la gestion dans le système éducatif. </w:t>
      </w:r>
    </w:p>
    <w:p w14:paraId="22EDFB65" w14:textId="77777777" w:rsidR="00A345F4" w:rsidRDefault="005E2D4E">
      <w:pPr>
        <w:pStyle w:val="P68B1DB1-Normal4"/>
        <w:spacing w:before="120" w:after="120" w:line="240" w:lineRule="auto"/>
        <w:jc w:val="both"/>
        <w:rPr>
          <w:noProof/>
        </w:rPr>
      </w:pPr>
      <w:r>
        <w:rPr>
          <w:noProof/>
        </w:rPr>
        <w:t>L'investissement consiste en la formation et le coaching du personnel de gestion de l'éducation.</w:t>
      </w:r>
    </w:p>
    <w:p w14:paraId="1ED2155B" w14:textId="77777777" w:rsidR="00A345F4" w:rsidRDefault="00A345F4">
      <w:pPr>
        <w:spacing w:before="120" w:after="120" w:line="240" w:lineRule="auto"/>
        <w:jc w:val="both"/>
        <w:rPr>
          <w:rFonts w:ascii="Times New Roman" w:hAnsi="Times New Roman" w:cs="Times New Roman"/>
          <w:noProof/>
        </w:rPr>
      </w:pPr>
    </w:p>
    <w:p w14:paraId="7C89F85B" w14:textId="77777777" w:rsidR="00A345F4" w:rsidRDefault="00A345F4">
      <w:pPr>
        <w:spacing w:before="120" w:after="120" w:line="240" w:lineRule="auto"/>
        <w:jc w:val="both"/>
        <w:rPr>
          <w:rFonts w:ascii="Times New Roman" w:hAnsi="Times New Roman" w:cs="Times New Roman"/>
          <w:noProof/>
        </w:rPr>
        <w:sectPr w:rsidR="00A345F4" w:rsidSect="00B803E9">
          <w:headerReference w:type="even" r:id="rId335"/>
          <w:headerReference w:type="default" r:id="rId336"/>
          <w:footerReference w:type="even" r:id="rId337"/>
          <w:footerReference w:type="default" r:id="rId338"/>
          <w:headerReference w:type="first" r:id="rId339"/>
          <w:footerReference w:type="first" r:id="rId340"/>
          <w:pgSz w:w="11907" w:h="16839"/>
          <w:pgMar w:top="1134" w:right="1134" w:bottom="1134" w:left="1134" w:header="567" w:footer="567" w:gutter="0"/>
          <w:cols w:space="708"/>
          <w:docGrid w:linePitch="360"/>
        </w:sectPr>
      </w:pPr>
    </w:p>
    <w:p w14:paraId="5409B305" w14:textId="77777777" w:rsidR="00A345F4" w:rsidRDefault="005E2D4E">
      <w:pPr>
        <w:pStyle w:val="P68B1DB1-Normal4"/>
        <w:keepNext/>
        <w:spacing w:before="120" w:after="120" w:line="240" w:lineRule="auto"/>
        <w:jc w:val="both"/>
        <w:outlineLvl w:val="1"/>
        <w:rPr>
          <w:noProof/>
        </w:rPr>
      </w:pPr>
      <w:r>
        <w:rPr>
          <w:b/>
          <w:noProof/>
        </w:rPr>
        <w:t xml:space="preserve">O.2. </w:t>
      </w:r>
      <w:r>
        <w:rPr>
          <w:noProof/>
        </w:rPr>
        <w:t xml:space="preserve"> </w:t>
      </w:r>
      <w:r>
        <w:rPr>
          <w:b/>
          <w:noProof/>
        </w:rPr>
        <w:t>Étapes, cibles, indicateurs et calendrier pour le suivi et la mise en œuvre du soutien financier non remboursable</w:t>
      </w:r>
    </w:p>
    <w:tbl>
      <w:tblPr>
        <w:tblW w:w="5354" w:type="pct"/>
        <w:jc w:val="center"/>
        <w:tblLayout w:type="fixed"/>
        <w:tblCellMar>
          <w:left w:w="28" w:type="dxa"/>
          <w:right w:w="28" w:type="dxa"/>
        </w:tblCellMar>
        <w:tblLook w:val="04A0" w:firstRow="1" w:lastRow="0" w:firstColumn="1" w:lastColumn="0" w:noHBand="0" w:noVBand="1"/>
      </w:tblPr>
      <w:tblGrid>
        <w:gridCol w:w="809"/>
        <w:gridCol w:w="1863"/>
        <w:gridCol w:w="1151"/>
        <w:gridCol w:w="2031"/>
        <w:gridCol w:w="1553"/>
        <w:gridCol w:w="1075"/>
        <w:gridCol w:w="1013"/>
        <w:gridCol w:w="995"/>
        <w:gridCol w:w="987"/>
        <w:gridCol w:w="709"/>
        <w:gridCol w:w="3406"/>
      </w:tblGrid>
      <w:tr w:rsidR="00A345F4" w14:paraId="171A95E5" w14:textId="77777777" w:rsidTr="000D606E">
        <w:trPr>
          <w:trHeight w:val="861"/>
          <w:tblHeader/>
          <w:jc w:val="center"/>
        </w:trPr>
        <w:tc>
          <w:tcPr>
            <w:tcW w:w="809"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13259951" w14:textId="716474CE" w:rsidR="00A345F4" w:rsidRDefault="005E2D4E">
            <w:pPr>
              <w:pStyle w:val="P68B1DB1-Normal13"/>
              <w:spacing w:after="0" w:line="240" w:lineRule="auto"/>
              <w:jc w:val="center"/>
              <w:rPr>
                <w:rFonts w:eastAsia="Times New Roman"/>
                <w:noProof/>
              </w:rPr>
            </w:pPr>
            <w:r>
              <w:rPr>
                <w:noProof/>
              </w:rPr>
              <w:t>Seq Num.</w:t>
            </w:r>
          </w:p>
        </w:tc>
        <w:tc>
          <w:tcPr>
            <w:tcW w:w="186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4776B61"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15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145F2F80" w14:textId="77777777" w:rsidR="00A345F4" w:rsidRDefault="005E2D4E">
            <w:pPr>
              <w:pStyle w:val="P68B1DB1-Normal13"/>
              <w:spacing w:after="0" w:line="240" w:lineRule="auto"/>
              <w:jc w:val="center"/>
              <w:rPr>
                <w:rFonts w:eastAsia="Times New Roman"/>
                <w:noProof/>
              </w:rPr>
            </w:pPr>
            <w:r>
              <w:rPr>
                <w:noProof/>
              </w:rPr>
              <w:t>Étape/cible</w:t>
            </w:r>
          </w:p>
        </w:tc>
        <w:tc>
          <w:tcPr>
            <w:tcW w:w="203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2ADEB03" w14:textId="77777777" w:rsidR="00A345F4" w:rsidRDefault="005E2D4E">
            <w:pPr>
              <w:pStyle w:val="P68B1DB1-Normal13"/>
              <w:spacing w:after="0" w:line="240" w:lineRule="auto"/>
              <w:jc w:val="center"/>
              <w:rPr>
                <w:rFonts w:eastAsia="Times New Roman"/>
                <w:noProof/>
              </w:rPr>
            </w:pPr>
            <w:r>
              <w:rPr>
                <w:noProof/>
              </w:rPr>
              <w:t>Nom</w:t>
            </w:r>
          </w:p>
        </w:tc>
        <w:tc>
          <w:tcPr>
            <w:tcW w:w="155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51D9DB2" w14:textId="77777777" w:rsidR="00A345F4" w:rsidRDefault="005E2D4E">
            <w:pPr>
              <w:pStyle w:val="P68B1DB1-Normal14"/>
              <w:spacing w:after="0" w:line="240" w:lineRule="auto"/>
              <w:jc w:val="center"/>
              <w:rPr>
                <w:rFonts w:eastAsia="Times New Roman"/>
                <w:b/>
                <w:noProof/>
              </w:rPr>
            </w:pPr>
            <w:r>
              <w:rPr>
                <w:b/>
                <w:noProof/>
              </w:rPr>
              <w:t>Indicateurs qualitatifs</w:t>
            </w:r>
            <w:r>
              <w:rPr>
                <w:noProof/>
              </w:rPr>
              <w:br/>
            </w:r>
            <w:r>
              <w:rPr>
                <w:b/>
                <w:noProof/>
              </w:rPr>
              <w:t>(pour les jalons)</w:t>
            </w:r>
          </w:p>
        </w:tc>
        <w:tc>
          <w:tcPr>
            <w:tcW w:w="3083"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5C3773B4" w14:textId="77777777"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1696" w:type="dxa"/>
            <w:gridSpan w:val="2"/>
            <w:tcBorders>
              <w:top w:val="single" w:sz="4" w:space="0" w:color="auto"/>
              <w:left w:val="nil"/>
              <w:bottom w:val="single" w:sz="4" w:space="0" w:color="auto"/>
              <w:right w:val="single" w:sz="4" w:space="0" w:color="auto"/>
            </w:tcBorders>
            <w:shd w:val="clear" w:color="auto" w:fill="DAE9F7" w:themeFill="text2" w:themeFillTint="1A"/>
            <w:noWrap/>
            <w:vAlign w:val="center"/>
          </w:tcPr>
          <w:p w14:paraId="565EA984" w14:textId="77777777" w:rsidR="00A345F4" w:rsidRDefault="005E2D4E">
            <w:pPr>
              <w:pStyle w:val="P68B1DB1-Normal13"/>
              <w:spacing w:after="0" w:line="240" w:lineRule="auto"/>
              <w:jc w:val="center"/>
              <w:rPr>
                <w:rFonts w:eastAsia="Times New Roman"/>
                <w:noProof/>
              </w:rPr>
            </w:pPr>
            <w:r>
              <w:rPr>
                <w:noProof/>
              </w:rPr>
              <w:t>Calendrier indicatif d'achèvement</w:t>
            </w:r>
          </w:p>
        </w:tc>
        <w:tc>
          <w:tcPr>
            <w:tcW w:w="3406" w:type="dxa"/>
            <w:vMerge w:val="restart"/>
            <w:tcBorders>
              <w:top w:val="single" w:sz="4" w:space="0" w:color="auto"/>
              <w:left w:val="nil"/>
              <w:bottom w:val="single" w:sz="4" w:space="0" w:color="auto"/>
              <w:right w:val="single" w:sz="4" w:space="0" w:color="auto"/>
            </w:tcBorders>
            <w:shd w:val="clear" w:color="auto" w:fill="DAE9F7" w:themeFill="text2" w:themeFillTint="1A"/>
            <w:noWrap/>
            <w:vAlign w:val="center"/>
          </w:tcPr>
          <w:p w14:paraId="089A00BA"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5BDA3771" w14:textId="77777777" w:rsidTr="000D606E">
        <w:trPr>
          <w:trHeight w:val="480"/>
          <w:tblHeader/>
          <w:jc w:val="center"/>
        </w:trPr>
        <w:tc>
          <w:tcPr>
            <w:tcW w:w="809" w:type="dxa"/>
            <w:vMerge/>
            <w:tcBorders>
              <w:top w:val="single" w:sz="4" w:space="0" w:color="auto"/>
              <w:left w:val="single" w:sz="4" w:space="0" w:color="auto"/>
              <w:bottom w:val="single" w:sz="4" w:space="0" w:color="auto"/>
              <w:right w:val="single" w:sz="4" w:space="0" w:color="auto"/>
            </w:tcBorders>
            <w:noWrap/>
            <w:vAlign w:val="center"/>
          </w:tcPr>
          <w:p w14:paraId="71F5401D"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863" w:type="dxa"/>
            <w:vMerge/>
            <w:tcBorders>
              <w:top w:val="single" w:sz="4" w:space="0" w:color="auto"/>
              <w:left w:val="single" w:sz="4" w:space="0" w:color="auto"/>
              <w:bottom w:val="single" w:sz="4" w:space="0" w:color="auto"/>
              <w:right w:val="single" w:sz="4" w:space="0" w:color="auto"/>
            </w:tcBorders>
            <w:noWrap/>
            <w:vAlign w:val="center"/>
          </w:tcPr>
          <w:p w14:paraId="68A99524"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151" w:type="dxa"/>
            <w:vMerge/>
            <w:tcBorders>
              <w:top w:val="single" w:sz="4" w:space="0" w:color="auto"/>
              <w:left w:val="single" w:sz="4" w:space="0" w:color="auto"/>
              <w:bottom w:val="single" w:sz="4" w:space="0" w:color="auto"/>
              <w:right w:val="single" w:sz="4" w:space="0" w:color="auto"/>
            </w:tcBorders>
            <w:noWrap/>
            <w:vAlign w:val="center"/>
          </w:tcPr>
          <w:p w14:paraId="4CCB629D"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2031" w:type="dxa"/>
            <w:vMerge/>
            <w:tcBorders>
              <w:top w:val="single" w:sz="4" w:space="0" w:color="auto"/>
              <w:left w:val="single" w:sz="4" w:space="0" w:color="auto"/>
              <w:bottom w:val="single" w:sz="4" w:space="0" w:color="auto"/>
              <w:right w:val="single" w:sz="4" w:space="0" w:color="auto"/>
            </w:tcBorders>
            <w:noWrap/>
            <w:vAlign w:val="center"/>
          </w:tcPr>
          <w:p w14:paraId="31930763"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553" w:type="dxa"/>
            <w:vMerge/>
            <w:tcBorders>
              <w:top w:val="single" w:sz="4" w:space="0" w:color="auto"/>
              <w:left w:val="single" w:sz="4" w:space="0" w:color="auto"/>
              <w:bottom w:val="single" w:sz="4" w:space="0" w:color="auto"/>
              <w:right w:val="single" w:sz="4" w:space="0" w:color="auto"/>
            </w:tcBorders>
            <w:noWrap/>
            <w:vAlign w:val="center"/>
          </w:tcPr>
          <w:p w14:paraId="708F3F72"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1075"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F7373D7" w14:textId="1DAC2CF4" w:rsidR="00A345F4" w:rsidRDefault="005E2D4E">
            <w:pPr>
              <w:pStyle w:val="P68B1DB1-Normal13"/>
              <w:spacing w:after="0" w:line="240" w:lineRule="auto"/>
              <w:jc w:val="center"/>
              <w:rPr>
                <w:rFonts w:eastAsia="Times New Roman"/>
                <w:noProof/>
              </w:rPr>
            </w:pPr>
            <w:r>
              <w:rPr>
                <w:noProof/>
              </w:rPr>
              <w:t>Unité de mesure</w:t>
            </w:r>
          </w:p>
        </w:tc>
        <w:tc>
          <w:tcPr>
            <w:tcW w:w="101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B2FBE32" w14:textId="77777777" w:rsidR="00A345F4" w:rsidRDefault="005E2D4E">
            <w:pPr>
              <w:pStyle w:val="P68B1DB1-Normal13"/>
              <w:spacing w:after="0" w:line="240" w:lineRule="auto"/>
              <w:jc w:val="center"/>
              <w:rPr>
                <w:rFonts w:eastAsia="Times New Roman"/>
                <w:noProof/>
              </w:rPr>
            </w:pPr>
            <w:r>
              <w:rPr>
                <w:noProof/>
              </w:rPr>
              <w:t>Données de référence</w:t>
            </w:r>
          </w:p>
        </w:tc>
        <w:tc>
          <w:tcPr>
            <w:tcW w:w="995"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1A05BC1" w14:textId="77777777" w:rsidR="00A345F4" w:rsidRDefault="005E2D4E">
            <w:pPr>
              <w:pStyle w:val="P68B1DB1-Normal13"/>
              <w:spacing w:after="0" w:line="240" w:lineRule="auto"/>
              <w:jc w:val="center"/>
              <w:rPr>
                <w:rFonts w:eastAsia="Times New Roman"/>
                <w:noProof/>
              </w:rPr>
            </w:pPr>
            <w:r>
              <w:rPr>
                <w:noProof/>
              </w:rPr>
              <w:t>Objectif</w:t>
            </w:r>
          </w:p>
        </w:tc>
        <w:tc>
          <w:tcPr>
            <w:tcW w:w="987"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FECE1EB" w14:textId="77777777" w:rsidR="00A345F4" w:rsidRDefault="005E2D4E">
            <w:pPr>
              <w:pStyle w:val="P68B1DB1-Normal13"/>
              <w:spacing w:after="0" w:line="240" w:lineRule="auto"/>
              <w:jc w:val="center"/>
              <w:rPr>
                <w:rFonts w:eastAsia="Times New Roman"/>
                <w:noProof/>
              </w:rPr>
            </w:pPr>
            <w:r>
              <w:rPr>
                <w:noProof/>
              </w:rPr>
              <w:t>Trimestre</w:t>
            </w:r>
          </w:p>
        </w:tc>
        <w:tc>
          <w:tcPr>
            <w:tcW w:w="709" w:type="dxa"/>
            <w:tcBorders>
              <w:top w:val="single" w:sz="4" w:space="0" w:color="auto"/>
              <w:left w:val="nil"/>
              <w:bottom w:val="single" w:sz="4" w:space="0" w:color="auto"/>
              <w:right w:val="single" w:sz="4" w:space="0" w:color="auto"/>
            </w:tcBorders>
            <w:shd w:val="clear" w:color="auto" w:fill="DAE9F7" w:themeFill="text2" w:themeFillTint="1A"/>
            <w:vAlign w:val="center"/>
          </w:tcPr>
          <w:p w14:paraId="0DA3AFF1" w14:textId="77777777" w:rsidR="00A345F4" w:rsidRDefault="005E2D4E">
            <w:pPr>
              <w:pStyle w:val="P68B1DB1-Normal13"/>
              <w:spacing w:after="0" w:line="240" w:lineRule="auto"/>
              <w:jc w:val="center"/>
              <w:rPr>
                <w:rFonts w:eastAsia="Times New Roman"/>
                <w:noProof/>
              </w:rPr>
            </w:pPr>
            <w:r>
              <w:rPr>
                <w:noProof/>
              </w:rPr>
              <w:t>Année</w:t>
            </w:r>
          </w:p>
        </w:tc>
        <w:tc>
          <w:tcPr>
            <w:tcW w:w="3406" w:type="dxa"/>
            <w:vMerge/>
            <w:tcBorders>
              <w:top w:val="single" w:sz="4" w:space="0" w:color="auto"/>
              <w:bottom w:val="single" w:sz="4" w:space="0" w:color="auto"/>
              <w:right w:val="single" w:sz="4" w:space="0" w:color="auto"/>
            </w:tcBorders>
            <w:noWrap/>
            <w:vAlign w:val="center"/>
          </w:tcPr>
          <w:p w14:paraId="5BA17389" w14:textId="77777777" w:rsidR="00A345F4" w:rsidRDefault="00A345F4">
            <w:pPr>
              <w:spacing w:after="0" w:line="240" w:lineRule="auto"/>
              <w:jc w:val="center"/>
              <w:rPr>
                <w:rFonts w:ascii="Times New Roman" w:eastAsia="Times New Roman" w:hAnsi="Times New Roman" w:cs="Times New Roman"/>
                <w:b/>
                <w:noProof/>
                <w:sz w:val="20"/>
                <w:szCs w:val="20"/>
              </w:rPr>
            </w:pPr>
          </w:p>
        </w:tc>
      </w:tr>
      <w:tr w:rsidR="00A345F4" w14:paraId="477E4938"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D8DE0BC" w14:textId="77777777" w:rsidR="00A345F4" w:rsidRDefault="005E2D4E">
            <w:pPr>
              <w:pStyle w:val="P68B1DB1-Normal14"/>
              <w:spacing w:after="0" w:line="240" w:lineRule="auto"/>
              <w:jc w:val="center"/>
              <w:rPr>
                <w:noProof/>
              </w:rPr>
            </w:pPr>
            <w:r>
              <w:rPr>
                <w:noProof/>
              </w:rPr>
              <w:t>452</w:t>
            </w:r>
          </w:p>
        </w:tc>
        <w:tc>
          <w:tcPr>
            <w:tcW w:w="1863" w:type="dxa"/>
            <w:tcBorders>
              <w:top w:val="single" w:sz="4" w:space="0" w:color="auto"/>
              <w:left w:val="nil"/>
              <w:bottom w:val="single" w:sz="4" w:space="0" w:color="auto"/>
              <w:right w:val="single" w:sz="4" w:space="0" w:color="auto"/>
            </w:tcBorders>
            <w:shd w:val="clear" w:color="auto" w:fill="C6EFCE"/>
            <w:noWrap/>
          </w:tcPr>
          <w:p w14:paraId="26F381B6" w14:textId="77777777" w:rsidR="00A345F4" w:rsidRDefault="005E2D4E">
            <w:pPr>
              <w:pStyle w:val="P68B1DB1-Normal14"/>
              <w:spacing w:after="0" w:line="240" w:lineRule="auto"/>
              <w:jc w:val="both"/>
              <w:rPr>
                <w:noProof/>
              </w:rPr>
            </w:pPr>
            <w:r>
              <w:rPr>
                <w:noProof/>
              </w:rPr>
              <w:t>Réforme 1. Élaboration et adoption du paquet d'actes juridiques pour l'application du projet "Roumanie éduquée"</w:t>
            </w:r>
          </w:p>
        </w:tc>
        <w:tc>
          <w:tcPr>
            <w:tcW w:w="1151" w:type="dxa"/>
            <w:tcBorders>
              <w:top w:val="single" w:sz="4" w:space="0" w:color="auto"/>
              <w:left w:val="nil"/>
              <w:bottom w:val="single" w:sz="4" w:space="0" w:color="auto"/>
              <w:right w:val="single" w:sz="4" w:space="0" w:color="auto"/>
            </w:tcBorders>
            <w:shd w:val="clear" w:color="auto" w:fill="C6EFCE"/>
            <w:noWrap/>
          </w:tcPr>
          <w:p w14:paraId="66C3EECB"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05ACCD1F" w14:textId="77777777" w:rsidR="00A345F4" w:rsidRDefault="005E2D4E">
            <w:pPr>
              <w:pStyle w:val="P68B1DB1-Normal14"/>
              <w:spacing w:after="0" w:line="240" w:lineRule="auto"/>
              <w:jc w:val="both"/>
              <w:rPr>
                <w:noProof/>
              </w:rPr>
            </w:pPr>
            <w:r>
              <w:rPr>
                <w:noProof/>
              </w:rPr>
              <w:t>Entrée en vigueur du paquet d’actes juridiques pour l’application du projet «Roumanie éduquée»</w:t>
            </w:r>
          </w:p>
        </w:tc>
        <w:tc>
          <w:tcPr>
            <w:tcW w:w="1553" w:type="dxa"/>
            <w:tcBorders>
              <w:top w:val="single" w:sz="4" w:space="0" w:color="auto"/>
              <w:left w:val="nil"/>
              <w:bottom w:val="single" w:sz="4" w:space="0" w:color="auto"/>
              <w:right w:val="single" w:sz="4" w:space="0" w:color="auto"/>
            </w:tcBorders>
            <w:shd w:val="clear" w:color="auto" w:fill="C6EFCE"/>
            <w:noWrap/>
          </w:tcPr>
          <w:p w14:paraId="5145DCE7" w14:textId="77777777" w:rsidR="00A345F4" w:rsidRDefault="005E2D4E">
            <w:pPr>
              <w:pStyle w:val="P68B1DB1-Normal14"/>
              <w:spacing w:after="0" w:line="240" w:lineRule="auto"/>
              <w:jc w:val="both"/>
              <w:rPr>
                <w:noProof/>
              </w:rPr>
            </w:pPr>
            <w:r>
              <w:rPr>
                <w:noProof/>
              </w:rPr>
              <w:t>Disposition du paquet d’actes juridiques indiquant l’entrée en vigueur du projet «Roumanie éduquée»</w:t>
            </w:r>
          </w:p>
        </w:tc>
        <w:tc>
          <w:tcPr>
            <w:tcW w:w="1075" w:type="dxa"/>
            <w:tcBorders>
              <w:top w:val="single" w:sz="4" w:space="0" w:color="auto"/>
              <w:left w:val="nil"/>
              <w:bottom w:val="single" w:sz="4" w:space="0" w:color="auto"/>
              <w:right w:val="single" w:sz="4" w:space="0" w:color="auto"/>
            </w:tcBorders>
            <w:shd w:val="clear" w:color="auto" w:fill="C6EFCE"/>
            <w:noWrap/>
          </w:tcPr>
          <w:p w14:paraId="00385E11"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0D7D64FB"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1E97AA82"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3B74FD59"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12280D43" w14:textId="77777777" w:rsidR="00A345F4" w:rsidRDefault="005E2D4E">
            <w:pPr>
              <w:pStyle w:val="P68B1DB1-Normal14"/>
              <w:spacing w:after="0" w:line="240" w:lineRule="auto"/>
              <w:jc w:val="both"/>
              <w:rPr>
                <w:noProof/>
              </w:rPr>
            </w:pPr>
            <w:r>
              <w:rPr>
                <w:noProof/>
              </w:rPr>
              <w:t>2023</w:t>
            </w:r>
          </w:p>
        </w:tc>
        <w:tc>
          <w:tcPr>
            <w:tcW w:w="3406" w:type="dxa"/>
            <w:tcBorders>
              <w:top w:val="single" w:sz="4" w:space="0" w:color="auto"/>
              <w:left w:val="nil"/>
              <w:bottom w:val="single" w:sz="4" w:space="0" w:color="auto"/>
              <w:right w:val="single" w:sz="4" w:space="0" w:color="auto"/>
            </w:tcBorders>
            <w:shd w:val="clear" w:color="auto" w:fill="C6EFCE"/>
            <w:noWrap/>
          </w:tcPr>
          <w:p w14:paraId="25917339" w14:textId="77777777" w:rsidR="00A345F4" w:rsidRDefault="005E2D4E">
            <w:pPr>
              <w:pStyle w:val="P68B1DB1-Normal14"/>
              <w:spacing w:after="0" w:line="240" w:lineRule="auto"/>
              <w:jc w:val="both"/>
              <w:rPr>
                <w:rFonts w:eastAsia="Times New Roman"/>
                <w:noProof/>
              </w:rPr>
            </w:pPr>
            <w:r>
              <w:rPr>
                <w:noProof/>
              </w:rPr>
              <w:t>L’ensemble d’actes juridiques garantit l’application du projet «Roumanie éduquée».</w:t>
            </w:r>
          </w:p>
          <w:p w14:paraId="57FE07CE" w14:textId="77777777" w:rsidR="00A345F4" w:rsidRDefault="005E2D4E">
            <w:pPr>
              <w:pStyle w:val="P68B1DB1-Normal14"/>
              <w:spacing w:after="0" w:line="240" w:lineRule="auto"/>
              <w:ind w:left="61"/>
              <w:jc w:val="both"/>
              <w:rPr>
                <w:rFonts w:eastAsia="Times New Roman"/>
                <w:noProof/>
              </w:rPr>
            </w:pPr>
            <w:r>
              <w:rPr>
                <w:noProof/>
              </w:rPr>
              <w:t>Des consultations des parties prenantes sont organisées en vue de l’élaboration de l’ensemble d’actes juridiques.</w:t>
            </w:r>
          </w:p>
        </w:tc>
      </w:tr>
      <w:tr w:rsidR="00A345F4" w14:paraId="6ACEBF06"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2CBCBF3" w14:textId="77777777" w:rsidR="00A345F4" w:rsidRDefault="005E2D4E">
            <w:pPr>
              <w:pStyle w:val="P68B1DB1-Normal14"/>
              <w:spacing w:after="0" w:line="240" w:lineRule="auto"/>
              <w:jc w:val="center"/>
              <w:rPr>
                <w:noProof/>
              </w:rPr>
            </w:pPr>
            <w:r>
              <w:rPr>
                <w:noProof/>
              </w:rPr>
              <w:t>453</w:t>
            </w:r>
          </w:p>
        </w:tc>
        <w:tc>
          <w:tcPr>
            <w:tcW w:w="1863" w:type="dxa"/>
            <w:tcBorders>
              <w:top w:val="single" w:sz="4" w:space="0" w:color="auto"/>
              <w:left w:val="nil"/>
              <w:bottom w:val="single" w:sz="4" w:space="0" w:color="auto"/>
              <w:right w:val="single" w:sz="4" w:space="0" w:color="auto"/>
            </w:tcBorders>
            <w:shd w:val="clear" w:color="auto" w:fill="C6EFCE"/>
            <w:noWrap/>
          </w:tcPr>
          <w:p w14:paraId="6F5C049D" w14:textId="77777777" w:rsidR="00A345F4" w:rsidRDefault="005E2D4E">
            <w:pPr>
              <w:pStyle w:val="P68B1DB1-Normal14"/>
              <w:spacing w:after="0" w:line="240" w:lineRule="auto"/>
              <w:jc w:val="both"/>
              <w:rPr>
                <w:noProof/>
              </w:rPr>
            </w:pPr>
            <w:r>
              <w:rPr>
                <w:noProof/>
              </w:rPr>
              <w:t>Réforme 2. Système d'éducation de la petite enfance unitaire, inclusif et de qualité</w:t>
            </w:r>
          </w:p>
        </w:tc>
        <w:tc>
          <w:tcPr>
            <w:tcW w:w="1151" w:type="dxa"/>
            <w:tcBorders>
              <w:top w:val="single" w:sz="4" w:space="0" w:color="auto"/>
              <w:left w:val="nil"/>
              <w:bottom w:val="single" w:sz="4" w:space="0" w:color="auto"/>
              <w:right w:val="single" w:sz="4" w:space="0" w:color="auto"/>
            </w:tcBorders>
            <w:shd w:val="clear" w:color="auto" w:fill="C6EFCE"/>
            <w:noWrap/>
          </w:tcPr>
          <w:p w14:paraId="3829E4FC"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3A426B64" w14:textId="77777777" w:rsidR="00A345F4" w:rsidRDefault="005E2D4E">
            <w:pPr>
              <w:pStyle w:val="P68B1DB1-Normal14"/>
              <w:spacing w:after="120" w:line="240" w:lineRule="auto"/>
              <w:jc w:val="both"/>
              <w:rPr>
                <w:noProof/>
              </w:rPr>
            </w:pPr>
            <w:r>
              <w:rPr>
                <w:noProof/>
              </w:rPr>
              <w:t xml:space="preserve">- Entrée en vigueur de l'arrêté ministériel (OM) portant adoption du programme-cadre transsectoriel </w:t>
            </w:r>
          </w:p>
          <w:p w14:paraId="211EBEFC" w14:textId="77777777" w:rsidR="00A345F4" w:rsidRDefault="005E2D4E">
            <w:pPr>
              <w:pStyle w:val="P68B1DB1-Normal14"/>
              <w:spacing w:after="0" w:line="240" w:lineRule="auto"/>
              <w:jc w:val="both"/>
              <w:rPr>
                <w:noProof/>
              </w:rPr>
            </w:pPr>
            <w:r>
              <w:rPr>
                <w:noProof/>
              </w:rPr>
              <w:t>- Entrée en vigueur du protocole d'accord réglementant la création, l'organisation et le fonctionnement de services complémentaires d'éducation de la petite enfance</w:t>
            </w:r>
          </w:p>
          <w:p w14:paraId="3391935A" w14:textId="77777777" w:rsidR="00A345F4" w:rsidRDefault="00A345F4">
            <w:pPr>
              <w:spacing w:after="0" w:line="240" w:lineRule="auto"/>
              <w:jc w:val="both"/>
              <w:rPr>
                <w:rFonts w:ascii="Times New Roman" w:hAnsi="Times New Roman" w:cs="Times New Roman"/>
                <w:noProof/>
                <w:sz w:val="20"/>
                <w:szCs w:val="20"/>
              </w:rPr>
            </w:pPr>
          </w:p>
          <w:p w14:paraId="72CEBA4F" w14:textId="77777777" w:rsidR="00A345F4" w:rsidRDefault="00A345F4">
            <w:pPr>
              <w:spacing w:after="0" w:line="240" w:lineRule="auto"/>
              <w:jc w:val="both"/>
              <w:rPr>
                <w:rFonts w:ascii="Times New Roman" w:hAnsi="Times New Roman" w:cs="Times New Roman"/>
                <w:noProof/>
                <w:sz w:val="20"/>
                <w:szCs w:val="20"/>
              </w:rPr>
            </w:pPr>
          </w:p>
        </w:tc>
        <w:tc>
          <w:tcPr>
            <w:tcW w:w="1553" w:type="dxa"/>
            <w:tcBorders>
              <w:top w:val="single" w:sz="4" w:space="0" w:color="auto"/>
              <w:left w:val="nil"/>
              <w:bottom w:val="single" w:sz="4" w:space="0" w:color="auto"/>
              <w:right w:val="single" w:sz="4" w:space="0" w:color="auto"/>
            </w:tcBorders>
            <w:shd w:val="clear" w:color="auto" w:fill="C6EFCE"/>
            <w:noWrap/>
          </w:tcPr>
          <w:p w14:paraId="7FCE6800" w14:textId="77777777" w:rsidR="00A345F4" w:rsidRDefault="005E2D4E">
            <w:pPr>
              <w:pStyle w:val="P68B1DB1-Normal14"/>
              <w:spacing w:after="120" w:line="240" w:lineRule="auto"/>
              <w:jc w:val="both"/>
              <w:rPr>
                <w:noProof/>
              </w:rPr>
            </w:pPr>
            <w:r>
              <w:rPr>
                <w:noProof/>
              </w:rPr>
              <w:t xml:space="preserve">- Disposition de l'OM indiquant l'entrée en vigueur du programme-cadre transsectoriel </w:t>
            </w:r>
          </w:p>
          <w:p w14:paraId="2C78B938" w14:textId="77777777" w:rsidR="00A345F4" w:rsidRDefault="005E2D4E">
            <w:pPr>
              <w:pStyle w:val="P68B1DB1-Normal14"/>
              <w:spacing w:after="0" w:line="240" w:lineRule="auto"/>
              <w:jc w:val="both"/>
              <w:rPr>
                <w:noProof/>
              </w:rPr>
            </w:pPr>
            <w:r>
              <w:rPr>
                <w:noProof/>
              </w:rPr>
              <w:t>- Disposition de l’OM indiquant l’entrée en vigueur du règlement relatif à la création, à l’organisation et au fonctionnement de services complémentaires d’éducation de la petite enfance</w:t>
            </w:r>
          </w:p>
        </w:tc>
        <w:tc>
          <w:tcPr>
            <w:tcW w:w="1075" w:type="dxa"/>
            <w:tcBorders>
              <w:top w:val="single" w:sz="4" w:space="0" w:color="auto"/>
              <w:left w:val="nil"/>
              <w:bottom w:val="single" w:sz="4" w:space="0" w:color="auto"/>
              <w:right w:val="single" w:sz="4" w:space="0" w:color="auto"/>
            </w:tcBorders>
            <w:shd w:val="clear" w:color="auto" w:fill="C6EFCE"/>
            <w:noWrap/>
          </w:tcPr>
          <w:p w14:paraId="2E665E81" w14:textId="77777777" w:rsidR="00A345F4" w:rsidRDefault="005E2D4E">
            <w:pPr>
              <w:pStyle w:val="P68B1DB1-Normal14"/>
              <w:spacing w:after="0" w:line="240" w:lineRule="auto"/>
              <w:jc w:val="both"/>
              <w:rPr>
                <w:noProof/>
              </w:rPr>
            </w:pPr>
            <w:r>
              <w:rPr>
                <w:noProof/>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28444771"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5E7585F4"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5DA0BB8E" w14:textId="77777777" w:rsidR="00A345F4" w:rsidRDefault="005E2D4E">
            <w:pPr>
              <w:pStyle w:val="P68B1DB1-Normal14"/>
              <w:spacing w:after="0" w:line="240" w:lineRule="auto"/>
              <w:jc w:val="both"/>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7A480F39" w14:textId="77777777" w:rsidR="00A345F4" w:rsidRDefault="005E2D4E">
            <w:pPr>
              <w:pStyle w:val="P68B1DB1-Normal14"/>
              <w:spacing w:after="0" w:line="240" w:lineRule="auto"/>
              <w:jc w:val="both"/>
              <w:rPr>
                <w:noProof/>
              </w:rPr>
            </w:pPr>
            <w:r>
              <w:rPr>
                <w:noProof/>
              </w:rPr>
              <w:t>2022</w:t>
            </w:r>
          </w:p>
        </w:tc>
        <w:tc>
          <w:tcPr>
            <w:tcW w:w="3406" w:type="dxa"/>
            <w:tcBorders>
              <w:top w:val="single" w:sz="4" w:space="0" w:color="auto"/>
              <w:left w:val="nil"/>
              <w:bottom w:val="single" w:sz="4" w:space="0" w:color="auto"/>
              <w:right w:val="single" w:sz="4" w:space="0" w:color="auto"/>
            </w:tcBorders>
            <w:shd w:val="clear" w:color="auto" w:fill="C6EFCE"/>
            <w:noWrap/>
          </w:tcPr>
          <w:p w14:paraId="397CF957" w14:textId="77777777" w:rsidR="00A345F4" w:rsidRDefault="005E2D4E">
            <w:pPr>
              <w:pStyle w:val="P68B1DB1-Normal14"/>
              <w:spacing w:after="0" w:line="240" w:lineRule="auto"/>
              <w:jc w:val="both"/>
              <w:rPr>
                <w:noProof/>
              </w:rPr>
            </w:pPr>
            <w:r>
              <w:rPr>
                <w:noProof/>
              </w:rPr>
              <w:t>L’arrêté ministériel, signé par le ministre de l’éducation, le ministre du travail et de la protection sociale, le ministre de la santé et le ministre du développement, des travaux publics et de l’administration, adopte et met en œuvre, au cours de la première année du programme, le programme-cadre transsectoriel pour le développement de services d’éducation de la petite enfance unitaires, inclusifs et de qualité.</w:t>
            </w:r>
          </w:p>
          <w:p w14:paraId="0A764D5C" w14:textId="77777777" w:rsidR="00A345F4" w:rsidRDefault="005E2D4E">
            <w:pPr>
              <w:pStyle w:val="P68B1DB1-Normal14"/>
              <w:spacing w:after="0" w:line="240" w:lineRule="auto"/>
              <w:jc w:val="both"/>
              <w:rPr>
                <w:noProof/>
              </w:rPr>
            </w:pPr>
            <w:r>
              <w:rPr>
                <w:noProof/>
              </w:rPr>
              <w:t>La décision de l'arrêté ministériel contient:</w:t>
            </w:r>
          </w:p>
          <w:p w14:paraId="77827239" w14:textId="77777777" w:rsidR="00A345F4" w:rsidRDefault="005E2D4E">
            <w:pPr>
              <w:pStyle w:val="P68B1DB1-Normal14"/>
              <w:numPr>
                <w:ilvl w:val="0"/>
                <w:numId w:val="68"/>
              </w:numPr>
              <w:spacing w:before="120" w:after="0" w:line="240" w:lineRule="auto"/>
              <w:ind w:left="189" w:hanging="142"/>
              <w:contextualSpacing/>
              <w:jc w:val="both"/>
              <w:rPr>
                <w:noProof/>
              </w:rPr>
            </w:pPr>
            <w:r>
              <w:rPr>
                <w:noProof/>
              </w:rPr>
              <w:t>Le programme-cadre transsectoriel (PCI) avec les responsabilités de chaque ministère.</w:t>
            </w:r>
          </w:p>
          <w:p w14:paraId="6264F090" w14:textId="77777777" w:rsidR="00A345F4" w:rsidRDefault="005E2D4E">
            <w:pPr>
              <w:pStyle w:val="P68B1DB1-Normal14"/>
              <w:numPr>
                <w:ilvl w:val="0"/>
                <w:numId w:val="68"/>
              </w:numPr>
              <w:spacing w:before="120" w:after="0" w:line="240" w:lineRule="auto"/>
              <w:ind w:left="189" w:hanging="142"/>
              <w:contextualSpacing/>
              <w:jc w:val="both"/>
              <w:rPr>
                <w:noProof/>
              </w:rPr>
            </w:pPr>
            <w:r>
              <w:rPr>
                <w:noProof/>
              </w:rPr>
              <w:t xml:space="preserve">Plans opérationnels annuels de mise en œuvre (AOIP) pour la mise en œuvre du PFSI. Ces plans annuels définissent les délais et les responsabilités et précisent les aspects de la coopération en matière de suivi de la mise en œuvre de ces mesures. </w:t>
            </w:r>
          </w:p>
          <w:p w14:paraId="556DA7E4" w14:textId="77777777" w:rsidR="00A345F4" w:rsidRDefault="005E2D4E">
            <w:pPr>
              <w:pStyle w:val="P68B1DB1-Normal14"/>
              <w:spacing w:after="0" w:line="240" w:lineRule="auto"/>
              <w:jc w:val="both"/>
              <w:rPr>
                <w:rFonts w:eastAsia="Times New Roman"/>
                <w:noProof/>
              </w:rPr>
            </w:pPr>
            <w:r>
              <w:rPr>
                <w:noProof/>
              </w:rPr>
              <w:t>Une autre étape est l’adoption d’un arrêté ministériel régissant la création, l’organisation et le fonctionnement de services complémentaires d’éducation de la petite enfance jusqu’au 31 décembre 2022, afin de préparer le lancement du programme de subventions.</w:t>
            </w:r>
          </w:p>
        </w:tc>
      </w:tr>
      <w:tr w:rsidR="00A345F4" w14:paraId="6C99EC55" w14:textId="77777777" w:rsidTr="000D606E">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18834A49" w14:textId="77777777" w:rsidR="00A345F4" w:rsidRDefault="005E2D4E">
            <w:pPr>
              <w:pStyle w:val="P68B1DB1-Normal14"/>
              <w:spacing w:after="0" w:line="240" w:lineRule="auto"/>
              <w:jc w:val="center"/>
              <w:rPr>
                <w:noProof/>
              </w:rPr>
            </w:pPr>
            <w:r>
              <w:rPr>
                <w:noProof/>
              </w:rPr>
              <w:t>454</w:t>
            </w:r>
          </w:p>
        </w:tc>
        <w:tc>
          <w:tcPr>
            <w:tcW w:w="1863" w:type="dxa"/>
            <w:tcBorders>
              <w:top w:val="nil"/>
              <w:left w:val="nil"/>
              <w:bottom w:val="single" w:sz="4" w:space="0" w:color="auto"/>
              <w:right w:val="single" w:sz="4" w:space="0" w:color="auto"/>
            </w:tcBorders>
            <w:shd w:val="clear" w:color="auto" w:fill="C6EFCE"/>
            <w:noWrap/>
          </w:tcPr>
          <w:p w14:paraId="7FC584CB" w14:textId="77777777" w:rsidR="00A345F4" w:rsidRDefault="005E2D4E">
            <w:pPr>
              <w:pStyle w:val="P68B1DB1-Normal14"/>
              <w:spacing w:after="0" w:line="240" w:lineRule="auto"/>
              <w:jc w:val="both"/>
              <w:rPr>
                <w:noProof/>
              </w:rPr>
            </w:pPr>
            <w:r>
              <w:rPr>
                <w:noProof/>
              </w:rPr>
              <w:t>Réforme 2. Système d'éducation de la petite enfance unitaire, inclusif et de qualité</w:t>
            </w:r>
          </w:p>
        </w:tc>
        <w:tc>
          <w:tcPr>
            <w:tcW w:w="1151" w:type="dxa"/>
            <w:tcBorders>
              <w:top w:val="nil"/>
              <w:left w:val="nil"/>
              <w:bottom w:val="single" w:sz="4" w:space="0" w:color="auto"/>
              <w:right w:val="single" w:sz="4" w:space="0" w:color="auto"/>
            </w:tcBorders>
            <w:shd w:val="clear" w:color="auto" w:fill="C6EFCE"/>
            <w:noWrap/>
          </w:tcPr>
          <w:p w14:paraId="57845B60" w14:textId="77777777" w:rsidR="00A345F4" w:rsidRDefault="005E2D4E">
            <w:pPr>
              <w:pStyle w:val="P68B1DB1-Normal14"/>
              <w:spacing w:after="0" w:line="240" w:lineRule="auto"/>
              <w:jc w:val="both"/>
              <w:rPr>
                <w:noProof/>
                <w:color w:val="EE0000"/>
              </w:rPr>
            </w:pPr>
            <w:r>
              <w:rPr>
                <w:noProof/>
              </w:rPr>
              <w:t>Objectif</w:t>
            </w:r>
          </w:p>
        </w:tc>
        <w:tc>
          <w:tcPr>
            <w:tcW w:w="2031" w:type="dxa"/>
            <w:tcBorders>
              <w:top w:val="nil"/>
              <w:left w:val="nil"/>
              <w:bottom w:val="single" w:sz="4" w:space="0" w:color="auto"/>
              <w:right w:val="single" w:sz="4" w:space="0" w:color="auto"/>
            </w:tcBorders>
            <w:shd w:val="clear" w:color="auto" w:fill="C6EFCE"/>
            <w:noWrap/>
          </w:tcPr>
          <w:p w14:paraId="0BB266FE" w14:textId="77777777" w:rsidR="00A345F4" w:rsidRDefault="005E2D4E">
            <w:pPr>
              <w:pStyle w:val="P68B1DB1-Normal14"/>
              <w:spacing w:after="0" w:line="240" w:lineRule="auto"/>
              <w:jc w:val="both"/>
              <w:rPr>
                <w:noProof/>
              </w:rPr>
            </w:pPr>
            <w:r>
              <w:rPr>
                <w:noProof/>
              </w:rPr>
              <w:t>Nombre d ' enfants de 0 à 3 ans inscrits dans les services d ' éducation préscolaire</w:t>
            </w:r>
          </w:p>
        </w:tc>
        <w:tc>
          <w:tcPr>
            <w:tcW w:w="1553" w:type="dxa"/>
            <w:tcBorders>
              <w:top w:val="nil"/>
              <w:left w:val="nil"/>
              <w:bottom w:val="single" w:sz="4" w:space="0" w:color="auto"/>
              <w:right w:val="single" w:sz="4" w:space="0" w:color="auto"/>
            </w:tcBorders>
            <w:shd w:val="clear" w:color="auto" w:fill="C6EFCE"/>
            <w:noWrap/>
          </w:tcPr>
          <w:p w14:paraId="5625CE14" w14:textId="77777777" w:rsidR="00A345F4" w:rsidRDefault="005E2D4E">
            <w:pPr>
              <w:pStyle w:val="P68B1DB1-Normal14"/>
              <w:spacing w:after="0" w:line="240" w:lineRule="auto"/>
              <w:jc w:val="both"/>
              <w:rPr>
                <w:noProof/>
              </w:rPr>
            </w:pPr>
            <w:r>
              <w:rPr>
                <w:noProof/>
              </w:rPr>
              <w:t xml:space="preserve"> </w:t>
            </w:r>
          </w:p>
        </w:tc>
        <w:tc>
          <w:tcPr>
            <w:tcW w:w="1075" w:type="dxa"/>
            <w:tcBorders>
              <w:top w:val="nil"/>
              <w:left w:val="nil"/>
              <w:bottom w:val="single" w:sz="4" w:space="0" w:color="auto"/>
              <w:right w:val="single" w:sz="4" w:space="0" w:color="auto"/>
            </w:tcBorders>
            <w:shd w:val="clear" w:color="auto" w:fill="C6EFCE"/>
            <w:noWrap/>
          </w:tcPr>
          <w:p w14:paraId="035FAAC3" w14:textId="77777777" w:rsidR="00A345F4" w:rsidRDefault="005E2D4E">
            <w:pPr>
              <w:pStyle w:val="P68B1DB1-Normal14"/>
              <w:spacing w:after="0" w:line="240" w:lineRule="auto"/>
              <w:rPr>
                <w:rFonts w:eastAsia="Times New Roman"/>
                <w:noProof/>
              </w:rPr>
            </w:pPr>
            <w:r>
              <w:rPr>
                <w:noProof/>
              </w:rPr>
              <w:t>Numéro</w:t>
            </w:r>
          </w:p>
          <w:p w14:paraId="0826B7FC"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nil"/>
              <w:left w:val="nil"/>
              <w:bottom w:val="single" w:sz="4" w:space="0" w:color="auto"/>
              <w:right w:val="single" w:sz="4" w:space="0" w:color="auto"/>
            </w:tcBorders>
            <w:shd w:val="clear" w:color="auto" w:fill="C6EFCE"/>
            <w:noWrap/>
          </w:tcPr>
          <w:p w14:paraId="506CFA6A" w14:textId="045443CF" w:rsidR="00A345F4" w:rsidRDefault="005E2D4E">
            <w:pPr>
              <w:pStyle w:val="P68B1DB1-Normal14"/>
              <w:spacing w:after="0" w:line="240" w:lineRule="auto"/>
              <w:jc w:val="both"/>
              <w:rPr>
                <w:noProof/>
              </w:rPr>
            </w:pPr>
            <w:r>
              <w:rPr>
                <w:noProof/>
              </w:rPr>
              <w:t>22 506</w:t>
            </w:r>
          </w:p>
        </w:tc>
        <w:tc>
          <w:tcPr>
            <w:tcW w:w="995" w:type="dxa"/>
            <w:tcBorders>
              <w:top w:val="nil"/>
              <w:left w:val="nil"/>
              <w:bottom w:val="single" w:sz="4" w:space="0" w:color="auto"/>
              <w:right w:val="single" w:sz="4" w:space="0" w:color="auto"/>
            </w:tcBorders>
            <w:shd w:val="clear" w:color="auto" w:fill="C6EFCE"/>
            <w:noWrap/>
          </w:tcPr>
          <w:p w14:paraId="7FCF935D" w14:textId="1156E1BF" w:rsidR="00A345F4" w:rsidRDefault="005E2D4E">
            <w:pPr>
              <w:pStyle w:val="P68B1DB1-Normal14"/>
              <w:spacing w:after="0" w:line="240" w:lineRule="auto"/>
              <w:jc w:val="both"/>
              <w:rPr>
                <w:noProof/>
              </w:rPr>
            </w:pPr>
            <w:r>
              <w:rPr>
                <w:noProof/>
              </w:rPr>
              <w:t>32 506</w:t>
            </w:r>
          </w:p>
          <w:p w14:paraId="59555556"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nil"/>
              <w:left w:val="nil"/>
              <w:bottom w:val="single" w:sz="4" w:space="0" w:color="auto"/>
              <w:right w:val="single" w:sz="4" w:space="0" w:color="auto"/>
            </w:tcBorders>
            <w:shd w:val="clear" w:color="auto" w:fill="C6EFCE"/>
            <w:noWrap/>
          </w:tcPr>
          <w:p w14:paraId="39B7BC81" w14:textId="77777777" w:rsidR="00A345F4" w:rsidRDefault="005E2D4E">
            <w:pPr>
              <w:pStyle w:val="P68B1DB1-Normal14"/>
              <w:spacing w:after="0" w:line="240" w:lineRule="auto"/>
              <w:jc w:val="both"/>
              <w:rPr>
                <w:noProof/>
              </w:rPr>
            </w:pPr>
            <w:r>
              <w:rPr>
                <w:noProof/>
              </w:rPr>
              <w:t>T3</w:t>
            </w:r>
          </w:p>
        </w:tc>
        <w:tc>
          <w:tcPr>
            <w:tcW w:w="709" w:type="dxa"/>
            <w:tcBorders>
              <w:top w:val="nil"/>
              <w:left w:val="nil"/>
              <w:bottom w:val="single" w:sz="4" w:space="0" w:color="auto"/>
              <w:right w:val="single" w:sz="4" w:space="0" w:color="auto"/>
            </w:tcBorders>
            <w:shd w:val="clear" w:color="auto" w:fill="C6EFCE"/>
            <w:noWrap/>
          </w:tcPr>
          <w:p w14:paraId="58C768CB" w14:textId="77777777" w:rsidR="00A345F4" w:rsidRDefault="005E2D4E">
            <w:pPr>
              <w:pStyle w:val="P68B1DB1-Normal14"/>
              <w:spacing w:after="0" w:line="240" w:lineRule="auto"/>
              <w:jc w:val="both"/>
              <w:rPr>
                <w:noProof/>
              </w:rPr>
            </w:pPr>
            <w:r>
              <w:rPr>
                <w:noProof/>
              </w:rPr>
              <w:t>2026</w:t>
            </w:r>
          </w:p>
        </w:tc>
        <w:tc>
          <w:tcPr>
            <w:tcW w:w="3406" w:type="dxa"/>
            <w:tcBorders>
              <w:top w:val="nil"/>
              <w:left w:val="nil"/>
              <w:bottom w:val="single" w:sz="4" w:space="0" w:color="auto"/>
              <w:right w:val="single" w:sz="4" w:space="0" w:color="auto"/>
            </w:tcBorders>
            <w:shd w:val="clear" w:color="auto" w:fill="C6EFCE"/>
            <w:noWrap/>
          </w:tcPr>
          <w:p w14:paraId="750C1BF8" w14:textId="205058F5" w:rsidR="00A345F4" w:rsidRDefault="005E2D4E">
            <w:pPr>
              <w:pStyle w:val="P68B1DB1-Normal14"/>
              <w:spacing w:after="0" w:line="240" w:lineRule="auto"/>
              <w:jc w:val="both"/>
              <w:rPr>
                <w:noProof/>
              </w:rPr>
            </w:pPr>
            <w:r>
              <w:rPr>
                <w:noProof/>
              </w:rPr>
              <w:t xml:space="preserve">Le nombre d’enfants de 0 à 3 ans inscrits dans les services d’éducation de la petite enfance augmente d’au moins 10 000 enfants par rapport à l’année scolaire 2019/2020. L'objectif est calculé sur la base des informations fournies par l'Institut national de la statistique. </w:t>
            </w:r>
          </w:p>
        </w:tc>
      </w:tr>
      <w:tr w:rsidR="00A345F4" w14:paraId="4521A700" w14:textId="77777777" w:rsidTr="000D606E">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680C60CD" w14:textId="77777777" w:rsidR="00A345F4" w:rsidRDefault="005E2D4E">
            <w:pPr>
              <w:pStyle w:val="P68B1DB1-Normal14"/>
              <w:spacing w:after="0" w:line="240" w:lineRule="auto"/>
              <w:jc w:val="center"/>
              <w:rPr>
                <w:noProof/>
              </w:rPr>
            </w:pPr>
            <w:r>
              <w:rPr>
                <w:noProof/>
              </w:rPr>
              <w:t>456</w:t>
            </w:r>
          </w:p>
        </w:tc>
        <w:tc>
          <w:tcPr>
            <w:tcW w:w="1863" w:type="dxa"/>
            <w:tcBorders>
              <w:top w:val="nil"/>
              <w:left w:val="nil"/>
              <w:bottom w:val="single" w:sz="4" w:space="0" w:color="auto"/>
              <w:right w:val="single" w:sz="4" w:space="0" w:color="auto"/>
            </w:tcBorders>
            <w:shd w:val="clear" w:color="auto" w:fill="C6EFCE"/>
            <w:noWrap/>
          </w:tcPr>
          <w:p w14:paraId="3DEA9647" w14:textId="407030EB" w:rsidR="00A345F4" w:rsidRDefault="005E2D4E">
            <w:pPr>
              <w:pStyle w:val="P68B1DB1-Normal14"/>
              <w:spacing w:after="0" w:line="240" w:lineRule="auto"/>
              <w:jc w:val="both"/>
              <w:rPr>
                <w:noProof/>
              </w:rPr>
            </w:pPr>
            <w:r>
              <w:rPr>
                <w:noProof/>
              </w:rPr>
              <w:t>Investissement 1. Construction et équipement de crèches</w:t>
            </w:r>
          </w:p>
        </w:tc>
        <w:tc>
          <w:tcPr>
            <w:tcW w:w="1151" w:type="dxa"/>
            <w:tcBorders>
              <w:top w:val="nil"/>
              <w:left w:val="nil"/>
              <w:bottom w:val="single" w:sz="4" w:space="0" w:color="auto"/>
              <w:right w:val="single" w:sz="4" w:space="0" w:color="auto"/>
            </w:tcBorders>
            <w:shd w:val="clear" w:color="auto" w:fill="C6EFCE"/>
            <w:noWrap/>
          </w:tcPr>
          <w:p w14:paraId="6B93FAA8" w14:textId="77777777" w:rsidR="00A345F4" w:rsidRDefault="005E2D4E">
            <w:pPr>
              <w:pStyle w:val="P68B1DB1-Normal14"/>
              <w:spacing w:after="0" w:line="240" w:lineRule="auto"/>
              <w:jc w:val="both"/>
              <w:rPr>
                <w:noProof/>
              </w:rPr>
            </w:pPr>
            <w:r>
              <w:rPr>
                <w:noProof/>
              </w:rPr>
              <w:t>Étape</w:t>
            </w:r>
          </w:p>
        </w:tc>
        <w:tc>
          <w:tcPr>
            <w:tcW w:w="2031" w:type="dxa"/>
            <w:tcBorders>
              <w:top w:val="nil"/>
              <w:left w:val="nil"/>
              <w:bottom w:val="single" w:sz="4" w:space="0" w:color="auto"/>
              <w:right w:val="single" w:sz="4" w:space="0" w:color="auto"/>
            </w:tcBorders>
            <w:shd w:val="clear" w:color="auto" w:fill="C6EFCE"/>
            <w:noWrap/>
          </w:tcPr>
          <w:p w14:paraId="2703E935" w14:textId="77777777" w:rsidR="00A345F4" w:rsidRDefault="005E2D4E">
            <w:pPr>
              <w:pStyle w:val="P68B1DB1-Normal14"/>
              <w:spacing w:after="0" w:line="240" w:lineRule="auto"/>
              <w:jc w:val="both"/>
              <w:rPr>
                <w:noProof/>
              </w:rPr>
            </w:pPr>
            <w:r>
              <w:rPr>
                <w:noProof/>
              </w:rPr>
              <w:t>Signature de contrats avec des opérateurs publics (municipalités) pour la construction, l'équipement et la mise en service de 110 crèches</w:t>
            </w:r>
          </w:p>
        </w:tc>
        <w:tc>
          <w:tcPr>
            <w:tcW w:w="1553" w:type="dxa"/>
            <w:tcBorders>
              <w:top w:val="nil"/>
              <w:left w:val="nil"/>
              <w:bottom w:val="single" w:sz="4" w:space="0" w:color="auto"/>
              <w:right w:val="single" w:sz="4" w:space="0" w:color="auto"/>
            </w:tcBorders>
            <w:shd w:val="clear" w:color="auto" w:fill="C6EFCE"/>
            <w:noWrap/>
          </w:tcPr>
          <w:p w14:paraId="5C165890" w14:textId="77777777" w:rsidR="00A345F4" w:rsidRDefault="005E2D4E">
            <w:pPr>
              <w:pStyle w:val="P68B1DB1-Normal14"/>
              <w:spacing w:after="0" w:line="240" w:lineRule="auto"/>
              <w:jc w:val="both"/>
              <w:rPr>
                <w:noProof/>
              </w:rPr>
            </w:pPr>
            <w:r>
              <w:rPr>
                <w:noProof/>
              </w:rPr>
              <w:t>Signature des contrats</w:t>
            </w:r>
          </w:p>
        </w:tc>
        <w:tc>
          <w:tcPr>
            <w:tcW w:w="1075" w:type="dxa"/>
            <w:tcBorders>
              <w:top w:val="nil"/>
              <w:left w:val="nil"/>
              <w:bottom w:val="single" w:sz="4" w:space="0" w:color="auto"/>
              <w:right w:val="single" w:sz="4" w:space="0" w:color="auto"/>
            </w:tcBorders>
            <w:shd w:val="clear" w:color="auto" w:fill="C6EFCE"/>
            <w:noWrap/>
          </w:tcPr>
          <w:p w14:paraId="605082FF" w14:textId="77777777" w:rsidR="00A345F4" w:rsidRDefault="005E2D4E">
            <w:pPr>
              <w:pStyle w:val="P68B1DB1-Normal14"/>
              <w:spacing w:after="0" w:line="240" w:lineRule="auto"/>
              <w:jc w:val="both"/>
              <w:rPr>
                <w:noProof/>
              </w:rPr>
            </w:pPr>
            <w:r>
              <w:rPr>
                <w:noProof/>
              </w:rPr>
              <w:t xml:space="preserve"> </w:t>
            </w:r>
          </w:p>
        </w:tc>
        <w:tc>
          <w:tcPr>
            <w:tcW w:w="1013" w:type="dxa"/>
            <w:tcBorders>
              <w:top w:val="nil"/>
              <w:left w:val="nil"/>
              <w:bottom w:val="single" w:sz="4" w:space="0" w:color="auto"/>
              <w:right w:val="single" w:sz="4" w:space="0" w:color="auto"/>
            </w:tcBorders>
            <w:shd w:val="clear" w:color="auto" w:fill="C6EFCE"/>
            <w:noWrap/>
          </w:tcPr>
          <w:p w14:paraId="0BBE660E" w14:textId="77777777" w:rsidR="00A345F4" w:rsidRDefault="005E2D4E">
            <w:pPr>
              <w:pStyle w:val="P68B1DB1-Normal14"/>
              <w:spacing w:after="0" w:line="240" w:lineRule="auto"/>
              <w:jc w:val="both"/>
              <w:rPr>
                <w:noProof/>
              </w:rPr>
            </w:pPr>
            <w:r>
              <w:rPr>
                <w:noProof/>
              </w:rPr>
              <w:t xml:space="preserve"> </w:t>
            </w:r>
          </w:p>
        </w:tc>
        <w:tc>
          <w:tcPr>
            <w:tcW w:w="995" w:type="dxa"/>
            <w:tcBorders>
              <w:top w:val="nil"/>
              <w:left w:val="nil"/>
              <w:bottom w:val="single" w:sz="4" w:space="0" w:color="auto"/>
              <w:right w:val="single" w:sz="4" w:space="0" w:color="auto"/>
            </w:tcBorders>
            <w:shd w:val="clear" w:color="auto" w:fill="C6EFCE"/>
            <w:noWrap/>
          </w:tcPr>
          <w:p w14:paraId="225DCC67"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nil"/>
              <w:left w:val="nil"/>
              <w:bottom w:val="single" w:sz="4" w:space="0" w:color="auto"/>
              <w:right w:val="single" w:sz="4" w:space="0" w:color="auto"/>
            </w:tcBorders>
            <w:shd w:val="clear" w:color="auto" w:fill="C6EFCE"/>
            <w:noWrap/>
          </w:tcPr>
          <w:p w14:paraId="0377506E" w14:textId="77777777" w:rsidR="00A345F4" w:rsidRDefault="005E2D4E">
            <w:pPr>
              <w:pStyle w:val="P68B1DB1-Normal14"/>
              <w:spacing w:after="0" w:line="240" w:lineRule="auto"/>
              <w:jc w:val="both"/>
              <w:rPr>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13554A9B" w14:textId="77777777" w:rsidR="00A345F4" w:rsidRDefault="005E2D4E">
            <w:pPr>
              <w:pStyle w:val="P68B1DB1-Normal14"/>
              <w:spacing w:after="0" w:line="240" w:lineRule="auto"/>
              <w:jc w:val="both"/>
              <w:rPr>
                <w:noProof/>
              </w:rPr>
            </w:pPr>
            <w:r>
              <w:rPr>
                <w:noProof/>
              </w:rPr>
              <w:t>2022</w:t>
            </w:r>
          </w:p>
        </w:tc>
        <w:tc>
          <w:tcPr>
            <w:tcW w:w="3406" w:type="dxa"/>
            <w:tcBorders>
              <w:top w:val="nil"/>
              <w:left w:val="nil"/>
              <w:bottom w:val="single" w:sz="4" w:space="0" w:color="auto"/>
              <w:right w:val="single" w:sz="4" w:space="0" w:color="auto"/>
            </w:tcBorders>
            <w:shd w:val="clear" w:color="auto" w:fill="C6EFCE"/>
            <w:noWrap/>
          </w:tcPr>
          <w:p w14:paraId="4A1BCA17" w14:textId="77777777" w:rsidR="00A345F4" w:rsidRDefault="005E2D4E">
            <w:pPr>
              <w:pStyle w:val="P68B1DB1-Normal14"/>
              <w:spacing w:after="0" w:line="240" w:lineRule="auto"/>
              <w:jc w:val="both"/>
              <w:rPr>
                <w:noProof/>
              </w:rPr>
            </w:pPr>
            <w:r>
              <w:rPr>
                <w:noProof/>
              </w:rPr>
              <w:t xml:space="preserve">Signature de contrats, avec répartition territoriale, pour les services de garderie, d'éducation préscolaire, d'éducation et d'accueil de la petite enfance. </w:t>
            </w:r>
          </w:p>
          <w:p w14:paraId="2724AD86" w14:textId="77777777" w:rsidR="00A345F4" w:rsidRDefault="005E2D4E">
            <w:pPr>
              <w:pStyle w:val="P68B1DB1-Normal14"/>
              <w:spacing w:after="0" w:line="240" w:lineRule="auto"/>
              <w:jc w:val="both"/>
              <w:rPr>
                <w:noProof/>
              </w:rPr>
            </w:pPr>
            <w:r>
              <w:rPr>
                <w:noProof/>
              </w:rPr>
              <w:t xml:space="preserve">Le régime de subventions est fondé sur les critères suivants: l’existence d’une stratégie locale pour le développement de ces services; ii) le nombre d’enfants de moins de 3 ans par rapport à la capacité de couverture des services existants dans un rayon maximal de 2/3 km; iii) le nombre de demandes en attente de la part des parents pour ces services (au moins 50); iv) une analyse des besoins tenant compte des besoins spécifiques des communautés marginalisées; v) les bâtiments nouvellement construits respectent l’objectif d’atteindre une demande d’énergie primaire (DEP) inférieure d’au moins 20 % à l’exigence d’un bâtiment dont la consommation d’énergie est quasi nulle (NZEB) conformément aux lignes directrices nationales, qui est assurée au moyen de certificats de performance énergétique. </w:t>
            </w:r>
          </w:p>
        </w:tc>
      </w:tr>
      <w:tr w:rsidR="00A345F4" w14:paraId="38872937" w14:textId="77777777" w:rsidTr="000D606E">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3710831E" w14:textId="77777777" w:rsidR="00A345F4" w:rsidRDefault="005E2D4E">
            <w:pPr>
              <w:pStyle w:val="P68B1DB1-Normal14"/>
              <w:spacing w:after="0" w:line="240" w:lineRule="auto"/>
              <w:jc w:val="center"/>
              <w:rPr>
                <w:noProof/>
              </w:rPr>
            </w:pPr>
            <w:r>
              <w:rPr>
                <w:noProof/>
              </w:rPr>
              <w:t>457</w:t>
            </w:r>
          </w:p>
        </w:tc>
        <w:tc>
          <w:tcPr>
            <w:tcW w:w="1863" w:type="dxa"/>
            <w:tcBorders>
              <w:top w:val="nil"/>
              <w:left w:val="nil"/>
              <w:bottom w:val="single" w:sz="4" w:space="0" w:color="auto"/>
              <w:right w:val="single" w:sz="4" w:space="0" w:color="auto"/>
            </w:tcBorders>
            <w:shd w:val="clear" w:color="auto" w:fill="C6EFCE"/>
            <w:noWrap/>
          </w:tcPr>
          <w:p w14:paraId="0F82E0C1" w14:textId="58381611" w:rsidR="00A345F4" w:rsidRDefault="005E2D4E">
            <w:pPr>
              <w:pStyle w:val="P68B1DB1-Normal14"/>
              <w:spacing w:after="0" w:line="240" w:lineRule="auto"/>
              <w:jc w:val="both"/>
              <w:rPr>
                <w:noProof/>
              </w:rPr>
            </w:pPr>
            <w:r>
              <w:rPr>
                <w:noProof/>
              </w:rPr>
              <w:t>Investissement 1. Construction et équipement de crèches</w:t>
            </w:r>
          </w:p>
        </w:tc>
        <w:tc>
          <w:tcPr>
            <w:tcW w:w="1151" w:type="dxa"/>
            <w:tcBorders>
              <w:top w:val="nil"/>
              <w:left w:val="nil"/>
              <w:bottom w:val="single" w:sz="4" w:space="0" w:color="auto"/>
              <w:right w:val="single" w:sz="4" w:space="0" w:color="auto"/>
            </w:tcBorders>
            <w:shd w:val="clear" w:color="auto" w:fill="C6EFCE"/>
            <w:noWrap/>
          </w:tcPr>
          <w:p w14:paraId="2AF51133" w14:textId="77777777" w:rsidR="00A345F4" w:rsidRDefault="005E2D4E">
            <w:pPr>
              <w:pStyle w:val="P68B1DB1-Normal14"/>
              <w:spacing w:after="0" w:line="240" w:lineRule="auto"/>
              <w:jc w:val="both"/>
              <w:rPr>
                <w:noProof/>
              </w:rPr>
            </w:pPr>
            <w:r>
              <w:rPr>
                <w:noProof/>
              </w:rPr>
              <w:t>Objectif</w:t>
            </w:r>
          </w:p>
        </w:tc>
        <w:tc>
          <w:tcPr>
            <w:tcW w:w="2031" w:type="dxa"/>
            <w:tcBorders>
              <w:top w:val="nil"/>
              <w:left w:val="nil"/>
              <w:bottom w:val="single" w:sz="4" w:space="0" w:color="auto"/>
              <w:right w:val="single" w:sz="4" w:space="0" w:color="auto"/>
            </w:tcBorders>
            <w:shd w:val="clear" w:color="auto" w:fill="C6EFCE"/>
            <w:noWrap/>
          </w:tcPr>
          <w:p w14:paraId="16A19723" w14:textId="4F9AB8EB" w:rsidR="00A345F4" w:rsidRDefault="005E2D4E">
            <w:pPr>
              <w:pStyle w:val="P68B1DB1-Normal14"/>
              <w:spacing w:after="0" w:line="240" w:lineRule="auto"/>
              <w:jc w:val="both"/>
              <w:rPr>
                <w:noProof/>
              </w:rPr>
            </w:pPr>
            <w:r>
              <w:rPr>
                <w:noProof/>
              </w:rPr>
              <w:t>Crèches construites et équipées</w:t>
            </w:r>
          </w:p>
        </w:tc>
        <w:tc>
          <w:tcPr>
            <w:tcW w:w="1553" w:type="dxa"/>
            <w:tcBorders>
              <w:top w:val="nil"/>
              <w:left w:val="nil"/>
              <w:bottom w:val="single" w:sz="4" w:space="0" w:color="auto"/>
              <w:right w:val="single" w:sz="4" w:space="0" w:color="auto"/>
            </w:tcBorders>
            <w:shd w:val="clear" w:color="auto" w:fill="C6EFCE"/>
            <w:noWrap/>
          </w:tcPr>
          <w:p w14:paraId="502FE9BD"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nil"/>
              <w:left w:val="nil"/>
              <w:bottom w:val="single" w:sz="4" w:space="0" w:color="auto"/>
              <w:right w:val="single" w:sz="4" w:space="0" w:color="auto"/>
            </w:tcBorders>
            <w:shd w:val="clear" w:color="auto" w:fill="C6EFCE"/>
            <w:noWrap/>
          </w:tcPr>
          <w:p w14:paraId="5926D133" w14:textId="77777777" w:rsidR="00A345F4" w:rsidRDefault="005E2D4E">
            <w:pPr>
              <w:pStyle w:val="P68B1DB1-Normal14"/>
              <w:spacing w:after="0" w:line="240" w:lineRule="auto"/>
              <w:jc w:val="both"/>
              <w:rPr>
                <w:noProof/>
              </w:rPr>
            </w:pPr>
            <w:r>
              <w:rPr>
                <w:noProof/>
              </w:rPr>
              <w:t>Numéro</w:t>
            </w:r>
          </w:p>
        </w:tc>
        <w:tc>
          <w:tcPr>
            <w:tcW w:w="1013" w:type="dxa"/>
            <w:tcBorders>
              <w:top w:val="nil"/>
              <w:left w:val="nil"/>
              <w:bottom w:val="single" w:sz="4" w:space="0" w:color="auto"/>
              <w:right w:val="single" w:sz="4" w:space="0" w:color="auto"/>
            </w:tcBorders>
            <w:shd w:val="clear" w:color="auto" w:fill="C6EFCE"/>
            <w:noWrap/>
          </w:tcPr>
          <w:p w14:paraId="41346DB0" w14:textId="77777777" w:rsidR="00A345F4" w:rsidRDefault="005E2D4E">
            <w:pPr>
              <w:pStyle w:val="P68B1DB1-Normal14"/>
              <w:spacing w:after="0" w:line="240" w:lineRule="auto"/>
              <w:jc w:val="both"/>
              <w:rPr>
                <w:noProof/>
              </w:rPr>
            </w:pPr>
            <w:r>
              <w:rPr>
                <w:noProof/>
              </w:rPr>
              <w:t>0</w:t>
            </w:r>
          </w:p>
        </w:tc>
        <w:tc>
          <w:tcPr>
            <w:tcW w:w="995" w:type="dxa"/>
            <w:tcBorders>
              <w:top w:val="nil"/>
              <w:left w:val="nil"/>
              <w:bottom w:val="single" w:sz="4" w:space="0" w:color="auto"/>
              <w:right w:val="single" w:sz="4" w:space="0" w:color="auto"/>
            </w:tcBorders>
            <w:shd w:val="clear" w:color="auto" w:fill="C6EFCE"/>
            <w:noWrap/>
          </w:tcPr>
          <w:p w14:paraId="1360E2D0" w14:textId="77777777" w:rsidR="00A345F4" w:rsidRDefault="005E2D4E">
            <w:pPr>
              <w:pStyle w:val="P68B1DB1-Normal14"/>
              <w:spacing w:after="0" w:line="240" w:lineRule="auto"/>
              <w:jc w:val="both"/>
              <w:rPr>
                <w:noProof/>
              </w:rPr>
            </w:pPr>
            <w:r>
              <w:rPr>
                <w:noProof/>
              </w:rPr>
              <w:t>80</w:t>
            </w:r>
          </w:p>
        </w:tc>
        <w:tc>
          <w:tcPr>
            <w:tcW w:w="987" w:type="dxa"/>
            <w:tcBorders>
              <w:top w:val="nil"/>
              <w:left w:val="nil"/>
              <w:bottom w:val="single" w:sz="4" w:space="0" w:color="auto"/>
              <w:right w:val="single" w:sz="4" w:space="0" w:color="auto"/>
            </w:tcBorders>
            <w:shd w:val="clear" w:color="auto" w:fill="C6EFCE"/>
            <w:noWrap/>
          </w:tcPr>
          <w:p w14:paraId="06EA124B" w14:textId="77777777" w:rsidR="00A345F4" w:rsidRDefault="005E2D4E">
            <w:pPr>
              <w:pStyle w:val="P68B1DB1-Normal14"/>
              <w:spacing w:after="0" w:line="240" w:lineRule="auto"/>
              <w:jc w:val="both"/>
              <w:rPr>
                <w:noProof/>
              </w:rPr>
            </w:pPr>
            <w:r>
              <w:rPr>
                <w:noProof/>
              </w:rPr>
              <w:t>T2</w:t>
            </w:r>
          </w:p>
          <w:p w14:paraId="5CCC7AB8" w14:textId="77777777" w:rsidR="00A345F4" w:rsidRDefault="00A345F4">
            <w:pPr>
              <w:spacing w:after="0" w:line="240" w:lineRule="auto"/>
              <w:jc w:val="both"/>
              <w:rPr>
                <w:rFonts w:ascii="Times New Roman" w:hAnsi="Times New Roman" w:cs="Times New Roman"/>
                <w:noProof/>
                <w:sz w:val="20"/>
                <w:szCs w:val="20"/>
              </w:rPr>
            </w:pPr>
          </w:p>
        </w:tc>
        <w:tc>
          <w:tcPr>
            <w:tcW w:w="709" w:type="dxa"/>
            <w:tcBorders>
              <w:top w:val="nil"/>
              <w:left w:val="nil"/>
              <w:bottom w:val="single" w:sz="4" w:space="0" w:color="auto"/>
              <w:right w:val="single" w:sz="4" w:space="0" w:color="auto"/>
            </w:tcBorders>
            <w:shd w:val="clear" w:color="auto" w:fill="C6EFCE"/>
            <w:noWrap/>
          </w:tcPr>
          <w:p w14:paraId="2B8CDCE1" w14:textId="77777777" w:rsidR="00A345F4" w:rsidRDefault="005E2D4E">
            <w:pPr>
              <w:pStyle w:val="P68B1DB1-Normal14"/>
              <w:spacing w:after="0" w:line="240" w:lineRule="auto"/>
              <w:jc w:val="both"/>
              <w:rPr>
                <w:noProof/>
              </w:rPr>
            </w:pPr>
            <w:r>
              <w:rPr>
                <w:noProof/>
              </w:rPr>
              <w:t>2026</w:t>
            </w:r>
          </w:p>
        </w:tc>
        <w:tc>
          <w:tcPr>
            <w:tcW w:w="3406" w:type="dxa"/>
            <w:tcBorders>
              <w:top w:val="nil"/>
              <w:left w:val="nil"/>
              <w:bottom w:val="single" w:sz="4" w:space="0" w:color="auto"/>
              <w:right w:val="single" w:sz="4" w:space="0" w:color="auto"/>
            </w:tcBorders>
            <w:shd w:val="clear" w:color="auto" w:fill="C6EFCE"/>
            <w:noWrap/>
          </w:tcPr>
          <w:p w14:paraId="56027D20" w14:textId="1F721928" w:rsidR="00A345F4" w:rsidRDefault="005E2D4E">
            <w:pPr>
              <w:pStyle w:val="P68B1DB1-Normal14"/>
              <w:spacing w:after="0" w:line="240" w:lineRule="auto"/>
              <w:jc w:val="both"/>
              <w:rPr>
                <w:noProof/>
              </w:rPr>
            </w:pPr>
            <w:r>
              <w:rPr>
                <w:noProof/>
              </w:rPr>
              <w:t xml:space="preserve">Achèvement des travaux certificats de réception et certificats de livraison de matériel attestant que 80 crèches ont été construites et équipées. </w:t>
            </w:r>
          </w:p>
        </w:tc>
      </w:tr>
      <w:tr w:rsidR="00A345F4" w14:paraId="2B48FD7F" w14:textId="77777777" w:rsidTr="000D606E">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3444EEBC" w14:textId="77777777" w:rsidR="00A345F4" w:rsidRDefault="005E2D4E">
            <w:pPr>
              <w:pStyle w:val="P68B1DB1-Normal14"/>
              <w:spacing w:after="0" w:line="240" w:lineRule="auto"/>
              <w:jc w:val="center"/>
              <w:rPr>
                <w:noProof/>
              </w:rPr>
            </w:pPr>
            <w:r>
              <w:rPr>
                <w:noProof/>
              </w:rPr>
              <w:t>459</w:t>
            </w:r>
          </w:p>
        </w:tc>
        <w:tc>
          <w:tcPr>
            <w:tcW w:w="1863" w:type="dxa"/>
            <w:tcBorders>
              <w:top w:val="nil"/>
              <w:left w:val="nil"/>
              <w:bottom w:val="single" w:sz="4" w:space="0" w:color="auto"/>
              <w:right w:val="single" w:sz="4" w:space="0" w:color="auto"/>
            </w:tcBorders>
            <w:shd w:val="clear" w:color="auto" w:fill="C6EFCE"/>
            <w:noWrap/>
          </w:tcPr>
          <w:p w14:paraId="53876E46" w14:textId="16DFF001" w:rsidR="00A345F4" w:rsidRDefault="005E2D4E">
            <w:pPr>
              <w:pStyle w:val="P68B1DB1-Normal14"/>
              <w:spacing w:after="0" w:line="240" w:lineRule="auto"/>
              <w:jc w:val="both"/>
              <w:rPr>
                <w:noProof/>
              </w:rPr>
            </w:pPr>
            <w:r>
              <w:rPr>
                <w:noProof/>
              </w:rPr>
              <w:t xml:space="preserve">Investissement 2. Mise en place, équipement et approbation de services complémentaires </w:t>
            </w:r>
          </w:p>
        </w:tc>
        <w:tc>
          <w:tcPr>
            <w:tcW w:w="1151" w:type="dxa"/>
            <w:tcBorders>
              <w:top w:val="nil"/>
              <w:left w:val="nil"/>
              <w:bottom w:val="single" w:sz="4" w:space="0" w:color="auto"/>
              <w:right w:val="single" w:sz="4" w:space="0" w:color="auto"/>
            </w:tcBorders>
            <w:shd w:val="clear" w:color="auto" w:fill="C6EFCE"/>
            <w:noWrap/>
          </w:tcPr>
          <w:p w14:paraId="0D9E5451" w14:textId="77777777" w:rsidR="00A345F4" w:rsidRDefault="005E2D4E">
            <w:pPr>
              <w:pStyle w:val="P68B1DB1-Normal14"/>
              <w:spacing w:after="0" w:line="240" w:lineRule="auto"/>
              <w:jc w:val="both"/>
              <w:rPr>
                <w:noProof/>
              </w:rPr>
            </w:pPr>
            <w:r>
              <w:rPr>
                <w:noProof/>
              </w:rPr>
              <w:t>Objectif</w:t>
            </w:r>
          </w:p>
        </w:tc>
        <w:tc>
          <w:tcPr>
            <w:tcW w:w="2031" w:type="dxa"/>
            <w:tcBorders>
              <w:top w:val="nil"/>
              <w:left w:val="nil"/>
              <w:bottom w:val="single" w:sz="4" w:space="0" w:color="auto"/>
              <w:right w:val="single" w:sz="4" w:space="0" w:color="auto"/>
            </w:tcBorders>
            <w:shd w:val="clear" w:color="auto" w:fill="C6EFCE"/>
            <w:noWrap/>
          </w:tcPr>
          <w:p w14:paraId="0E155596" w14:textId="77777777" w:rsidR="00A345F4" w:rsidRDefault="005E2D4E">
            <w:pPr>
              <w:pStyle w:val="P68B1DB1-Normal14"/>
              <w:spacing w:after="0" w:line="240" w:lineRule="auto"/>
              <w:jc w:val="both"/>
              <w:rPr>
                <w:noProof/>
              </w:rPr>
            </w:pPr>
            <w:r>
              <w:rPr>
                <w:noProof/>
              </w:rPr>
              <w:t>Services complémentaires mis en place, équipés et agréés par les inspections scolaires départementales</w:t>
            </w:r>
          </w:p>
        </w:tc>
        <w:tc>
          <w:tcPr>
            <w:tcW w:w="1553" w:type="dxa"/>
            <w:tcBorders>
              <w:top w:val="nil"/>
              <w:left w:val="nil"/>
              <w:bottom w:val="single" w:sz="4" w:space="0" w:color="auto"/>
              <w:right w:val="single" w:sz="4" w:space="0" w:color="auto"/>
            </w:tcBorders>
            <w:shd w:val="clear" w:color="auto" w:fill="C6EFCE"/>
            <w:noWrap/>
          </w:tcPr>
          <w:p w14:paraId="63810AC5"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nil"/>
              <w:left w:val="nil"/>
              <w:bottom w:val="single" w:sz="4" w:space="0" w:color="auto"/>
              <w:right w:val="single" w:sz="4" w:space="0" w:color="auto"/>
            </w:tcBorders>
            <w:shd w:val="clear" w:color="auto" w:fill="C6EFCE"/>
            <w:noWrap/>
          </w:tcPr>
          <w:p w14:paraId="68871901" w14:textId="77777777" w:rsidR="00A345F4" w:rsidRDefault="005E2D4E">
            <w:pPr>
              <w:pStyle w:val="P68B1DB1-Normal14"/>
              <w:spacing w:after="0" w:line="240" w:lineRule="auto"/>
              <w:jc w:val="both"/>
              <w:rPr>
                <w:noProof/>
              </w:rPr>
            </w:pPr>
            <w:r>
              <w:rPr>
                <w:noProof/>
              </w:rPr>
              <w:t>Numéro</w:t>
            </w:r>
          </w:p>
        </w:tc>
        <w:tc>
          <w:tcPr>
            <w:tcW w:w="1013" w:type="dxa"/>
            <w:tcBorders>
              <w:top w:val="nil"/>
              <w:left w:val="nil"/>
              <w:bottom w:val="single" w:sz="4" w:space="0" w:color="auto"/>
              <w:right w:val="single" w:sz="4" w:space="0" w:color="auto"/>
            </w:tcBorders>
            <w:shd w:val="clear" w:color="auto" w:fill="C6EFCE"/>
            <w:noWrap/>
          </w:tcPr>
          <w:p w14:paraId="21D73BB8" w14:textId="77777777" w:rsidR="00A345F4" w:rsidRDefault="005E2D4E">
            <w:pPr>
              <w:pStyle w:val="P68B1DB1-Normal14"/>
              <w:spacing w:after="0" w:line="240" w:lineRule="auto"/>
              <w:jc w:val="both"/>
              <w:rPr>
                <w:noProof/>
              </w:rPr>
            </w:pPr>
            <w:r>
              <w:rPr>
                <w:noProof/>
              </w:rPr>
              <w:t>0</w:t>
            </w:r>
          </w:p>
        </w:tc>
        <w:tc>
          <w:tcPr>
            <w:tcW w:w="995" w:type="dxa"/>
            <w:tcBorders>
              <w:top w:val="nil"/>
              <w:left w:val="nil"/>
              <w:bottom w:val="single" w:sz="4" w:space="0" w:color="auto"/>
              <w:right w:val="single" w:sz="4" w:space="0" w:color="auto"/>
            </w:tcBorders>
            <w:shd w:val="clear" w:color="auto" w:fill="C6EFCE"/>
            <w:noWrap/>
          </w:tcPr>
          <w:p w14:paraId="591ABB16" w14:textId="77777777" w:rsidR="00A345F4" w:rsidRDefault="005E2D4E">
            <w:pPr>
              <w:pStyle w:val="P68B1DB1-Normal14"/>
              <w:spacing w:after="0" w:line="240" w:lineRule="auto"/>
              <w:jc w:val="both"/>
              <w:rPr>
                <w:noProof/>
              </w:rPr>
            </w:pPr>
            <w:r>
              <w:rPr>
                <w:noProof/>
              </w:rPr>
              <w:t>25</w:t>
            </w:r>
          </w:p>
        </w:tc>
        <w:tc>
          <w:tcPr>
            <w:tcW w:w="987" w:type="dxa"/>
            <w:tcBorders>
              <w:top w:val="nil"/>
              <w:left w:val="nil"/>
              <w:bottom w:val="single" w:sz="4" w:space="0" w:color="auto"/>
              <w:right w:val="single" w:sz="4" w:space="0" w:color="auto"/>
            </w:tcBorders>
            <w:shd w:val="clear" w:color="auto" w:fill="C6EFCE"/>
            <w:noWrap/>
          </w:tcPr>
          <w:p w14:paraId="71883280" w14:textId="77777777" w:rsidR="00A345F4" w:rsidRDefault="005E2D4E">
            <w:pPr>
              <w:pStyle w:val="P68B1DB1-Normal14"/>
              <w:spacing w:after="0" w:line="240" w:lineRule="auto"/>
              <w:jc w:val="both"/>
              <w:rPr>
                <w:noProof/>
              </w:rPr>
            </w:pPr>
            <w:r>
              <w:rPr>
                <w:noProof/>
              </w:rPr>
              <w:t>T3</w:t>
            </w:r>
          </w:p>
        </w:tc>
        <w:tc>
          <w:tcPr>
            <w:tcW w:w="709" w:type="dxa"/>
            <w:tcBorders>
              <w:top w:val="nil"/>
              <w:left w:val="nil"/>
              <w:bottom w:val="single" w:sz="4" w:space="0" w:color="auto"/>
              <w:right w:val="single" w:sz="4" w:space="0" w:color="auto"/>
            </w:tcBorders>
            <w:shd w:val="clear" w:color="auto" w:fill="C6EFCE"/>
            <w:noWrap/>
          </w:tcPr>
          <w:p w14:paraId="11064DD7" w14:textId="77777777" w:rsidR="00A345F4" w:rsidRDefault="005E2D4E">
            <w:pPr>
              <w:pStyle w:val="P68B1DB1-Normal14"/>
              <w:spacing w:after="0" w:line="240" w:lineRule="auto"/>
              <w:jc w:val="both"/>
              <w:rPr>
                <w:noProof/>
              </w:rPr>
            </w:pPr>
            <w:r>
              <w:rPr>
                <w:noProof/>
              </w:rPr>
              <w:t>2026</w:t>
            </w:r>
          </w:p>
        </w:tc>
        <w:tc>
          <w:tcPr>
            <w:tcW w:w="3406" w:type="dxa"/>
            <w:tcBorders>
              <w:top w:val="nil"/>
              <w:left w:val="nil"/>
              <w:bottom w:val="single" w:sz="4" w:space="0" w:color="auto"/>
              <w:right w:val="single" w:sz="4" w:space="0" w:color="auto"/>
            </w:tcBorders>
            <w:shd w:val="clear" w:color="auto" w:fill="C6EFCE"/>
            <w:noWrap/>
          </w:tcPr>
          <w:p w14:paraId="39E4F5F7" w14:textId="3C213689" w:rsidR="00A345F4" w:rsidRDefault="005E2D4E">
            <w:pPr>
              <w:pStyle w:val="P68B1DB1-Normal14"/>
              <w:spacing w:after="0" w:line="240" w:lineRule="auto"/>
              <w:jc w:val="both"/>
              <w:rPr>
                <w:noProof/>
              </w:rPr>
            </w:pPr>
            <w:r>
              <w:rPr>
                <w:noProof/>
              </w:rPr>
              <w:t xml:space="preserve">Au moins 25 services complémentaires mis en place et équipés dans des localités défavorisées, attestés par des certificats d'acceptation et approuvés par les inspections scolaires départementales. </w:t>
            </w:r>
          </w:p>
          <w:p w14:paraId="1FBCDBCD" w14:textId="77777777" w:rsidR="00A345F4" w:rsidRDefault="005E2D4E">
            <w:pPr>
              <w:pStyle w:val="P68B1DB1-Normal14"/>
              <w:spacing w:after="0" w:line="240" w:lineRule="auto"/>
              <w:jc w:val="both"/>
              <w:rPr>
                <w:rFonts w:eastAsia="Times New Roman"/>
                <w:noProof/>
              </w:rPr>
            </w:pPr>
            <w:r>
              <w:rPr>
                <w:noProof/>
              </w:rPr>
              <w:t xml:space="preserve">Chaque service complémentaire comporte deux salles de classe/groupes. Les services complémentaires doivent être en mesure de fournir un soutien éducatif par service à au moins 20 enfants âgés de 0 à 6 ans. </w:t>
            </w:r>
          </w:p>
        </w:tc>
      </w:tr>
      <w:tr w:rsidR="00A345F4" w14:paraId="2679D1E2"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A31C98E" w14:textId="77777777" w:rsidR="00A345F4" w:rsidRDefault="005E2D4E">
            <w:pPr>
              <w:pStyle w:val="P68B1DB1-Normal14"/>
              <w:spacing w:after="0" w:line="240" w:lineRule="auto"/>
              <w:jc w:val="center"/>
              <w:rPr>
                <w:noProof/>
              </w:rPr>
            </w:pPr>
            <w:r>
              <w:rPr>
                <w:noProof/>
              </w:rPr>
              <w:t xml:space="preserve"> 460</w:t>
            </w:r>
          </w:p>
        </w:tc>
        <w:tc>
          <w:tcPr>
            <w:tcW w:w="1863" w:type="dxa"/>
            <w:tcBorders>
              <w:top w:val="single" w:sz="4" w:space="0" w:color="auto"/>
              <w:left w:val="nil"/>
              <w:bottom w:val="single" w:sz="4" w:space="0" w:color="auto"/>
              <w:right w:val="single" w:sz="4" w:space="0" w:color="auto"/>
            </w:tcBorders>
            <w:shd w:val="clear" w:color="auto" w:fill="C6EFCE"/>
            <w:noWrap/>
          </w:tcPr>
          <w:p w14:paraId="530E0CF3" w14:textId="77777777" w:rsidR="00A345F4" w:rsidRDefault="005E2D4E">
            <w:pPr>
              <w:pStyle w:val="P68B1DB1-Normal14"/>
              <w:spacing w:after="0" w:line="240" w:lineRule="auto"/>
              <w:jc w:val="both"/>
              <w:rPr>
                <w:noProof/>
              </w:rPr>
            </w:pPr>
            <w:r>
              <w:rPr>
                <w:noProof/>
              </w:rPr>
              <w:t>Investissement 3. Programme-cadre pour la formation continue des professionnels des services d'éducation de la petite enfance</w:t>
            </w:r>
          </w:p>
        </w:tc>
        <w:tc>
          <w:tcPr>
            <w:tcW w:w="1151" w:type="dxa"/>
            <w:tcBorders>
              <w:top w:val="single" w:sz="4" w:space="0" w:color="auto"/>
              <w:left w:val="nil"/>
              <w:bottom w:val="single" w:sz="4" w:space="0" w:color="auto"/>
              <w:right w:val="single" w:sz="4" w:space="0" w:color="auto"/>
            </w:tcBorders>
            <w:shd w:val="clear" w:color="auto" w:fill="C6EFCE"/>
            <w:noWrap/>
          </w:tcPr>
          <w:p w14:paraId="5D13A13D" w14:textId="77777777" w:rsidR="00A345F4" w:rsidRDefault="005E2D4E">
            <w:pPr>
              <w:pStyle w:val="P68B1DB1-Normal14"/>
              <w:spacing w:after="0" w:line="240" w:lineRule="auto"/>
              <w:jc w:val="both"/>
              <w:rPr>
                <w:noProof/>
              </w:rPr>
            </w:pPr>
            <w:r>
              <w:rPr>
                <w:noProof/>
              </w:rPr>
              <w:t>Objectif</w:t>
            </w:r>
          </w:p>
        </w:tc>
        <w:tc>
          <w:tcPr>
            <w:tcW w:w="2031" w:type="dxa"/>
            <w:tcBorders>
              <w:top w:val="single" w:sz="4" w:space="0" w:color="auto"/>
              <w:left w:val="nil"/>
              <w:bottom w:val="single" w:sz="4" w:space="0" w:color="auto"/>
              <w:right w:val="single" w:sz="4" w:space="0" w:color="auto"/>
            </w:tcBorders>
            <w:shd w:val="clear" w:color="auto" w:fill="C6EFCE"/>
            <w:noWrap/>
          </w:tcPr>
          <w:p w14:paraId="551D8EA1" w14:textId="77777777" w:rsidR="00A345F4" w:rsidRDefault="005E2D4E">
            <w:pPr>
              <w:pStyle w:val="P68B1DB1-Normal14"/>
              <w:spacing w:after="0" w:line="240" w:lineRule="auto"/>
              <w:jc w:val="both"/>
              <w:rPr>
                <w:noProof/>
              </w:rPr>
            </w:pPr>
            <w:r>
              <w:rPr>
                <w:noProof/>
              </w:rPr>
              <w:t>Participants formés</w:t>
            </w:r>
          </w:p>
        </w:tc>
        <w:tc>
          <w:tcPr>
            <w:tcW w:w="1553" w:type="dxa"/>
            <w:tcBorders>
              <w:top w:val="single" w:sz="4" w:space="0" w:color="auto"/>
              <w:left w:val="nil"/>
              <w:bottom w:val="single" w:sz="4" w:space="0" w:color="auto"/>
              <w:right w:val="single" w:sz="4" w:space="0" w:color="auto"/>
            </w:tcBorders>
            <w:shd w:val="clear" w:color="auto" w:fill="C6EFCE"/>
            <w:noWrap/>
          </w:tcPr>
          <w:p w14:paraId="69F59EC9"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single" w:sz="4" w:space="0" w:color="auto"/>
              <w:left w:val="nil"/>
              <w:bottom w:val="single" w:sz="4" w:space="0" w:color="auto"/>
              <w:right w:val="single" w:sz="4" w:space="0" w:color="auto"/>
            </w:tcBorders>
            <w:shd w:val="clear" w:color="auto" w:fill="C6EFCE"/>
            <w:noWrap/>
          </w:tcPr>
          <w:p w14:paraId="0ED97F3B" w14:textId="77777777" w:rsidR="00A345F4" w:rsidRDefault="005E2D4E">
            <w:pPr>
              <w:pStyle w:val="P68B1DB1-Normal14"/>
              <w:spacing w:after="0" w:line="240" w:lineRule="auto"/>
              <w:jc w:val="both"/>
              <w:rPr>
                <w:noProof/>
              </w:rPr>
            </w:pPr>
            <w:r>
              <w:rPr>
                <w:noProof/>
              </w:rPr>
              <w:t>Numéro</w:t>
            </w:r>
          </w:p>
        </w:tc>
        <w:tc>
          <w:tcPr>
            <w:tcW w:w="1013" w:type="dxa"/>
            <w:tcBorders>
              <w:top w:val="single" w:sz="4" w:space="0" w:color="auto"/>
              <w:left w:val="nil"/>
              <w:bottom w:val="single" w:sz="4" w:space="0" w:color="auto"/>
              <w:right w:val="single" w:sz="4" w:space="0" w:color="auto"/>
            </w:tcBorders>
            <w:shd w:val="clear" w:color="auto" w:fill="C6EFCE"/>
            <w:noWrap/>
          </w:tcPr>
          <w:p w14:paraId="48F2B7BA" w14:textId="77777777" w:rsidR="00A345F4" w:rsidRDefault="005E2D4E">
            <w:pPr>
              <w:pStyle w:val="P68B1DB1-Normal14"/>
              <w:spacing w:after="0" w:line="240" w:lineRule="auto"/>
              <w:jc w:val="both"/>
              <w:rPr>
                <w:noProof/>
              </w:rPr>
            </w:pPr>
            <w:r>
              <w:rPr>
                <w:noProof/>
              </w:rPr>
              <w:t>0</w:t>
            </w:r>
          </w:p>
        </w:tc>
        <w:tc>
          <w:tcPr>
            <w:tcW w:w="995" w:type="dxa"/>
            <w:tcBorders>
              <w:top w:val="single" w:sz="4" w:space="0" w:color="auto"/>
              <w:left w:val="nil"/>
              <w:bottom w:val="single" w:sz="4" w:space="0" w:color="auto"/>
              <w:right w:val="single" w:sz="4" w:space="0" w:color="auto"/>
            </w:tcBorders>
            <w:shd w:val="clear" w:color="auto" w:fill="C6EFCE"/>
            <w:noWrap/>
          </w:tcPr>
          <w:p w14:paraId="227F2460" w14:textId="508B0BC4" w:rsidR="00A345F4" w:rsidRDefault="005E2D4E">
            <w:pPr>
              <w:pStyle w:val="P68B1DB1-Normal14"/>
              <w:spacing w:after="0" w:line="240" w:lineRule="auto"/>
              <w:jc w:val="both"/>
              <w:rPr>
                <w:noProof/>
              </w:rPr>
            </w:pPr>
            <w:r>
              <w:rPr>
                <w:noProof/>
              </w:rPr>
              <w:t xml:space="preserve">5 420 </w:t>
            </w:r>
          </w:p>
        </w:tc>
        <w:tc>
          <w:tcPr>
            <w:tcW w:w="987" w:type="dxa"/>
            <w:tcBorders>
              <w:top w:val="single" w:sz="4" w:space="0" w:color="auto"/>
              <w:left w:val="nil"/>
              <w:bottom w:val="single" w:sz="4" w:space="0" w:color="auto"/>
              <w:right w:val="single" w:sz="4" w:space="0" w:color="auto"/>
            </w:tcBorders>
            <w:shd w:val="clear" w:color="auto" w:fill="C6EFCE"/>
            <w:noWrap/>
          </w:tcPr>
          <w:p w14:paraId="02A34D7F" w14:textId="77777777" w:rsidR="00A345F4" w:rsidRDefault="005E2D4E">
            <w:pPr>
              <w:pStyle w:val="P68B1DB1-Normal14"/>
              <w:spacing w:after="0" w:line="240" w:lineRule="auto"/>
              <w:jc w:val="both"/>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Pr>
          <w:p w14:paraId="4DE0B3B6" w14:textId="77777777" w:rsidR="00A345F4" w:rsidRDefault="005E2D4E">
            <w:pPr>
              <w:pStyle w:val="P68B1DB1-Normal14"/>
              <w:spacing w:after="0" w:line="240" w:lineRule="auto"/>
              <w:jc w:val="both"/>
              <w:rPr>
                <w:noProof/>
              </w:rPr>
            </w:pPr>
            <w:r>
              <w:rPr>
                <w:noProof/>
              </w:rPr>
              <w:t>2026</w:t>
            </w:r>
          </w:p>
        </w:tc>
        <w:tc>
          <w:tcPr>
            <w:tcW w:w="3406" w:type="dxa"/>
            <w:tcBorders>
              <w:top w:val="single" w:sz="4" w:space="0" w:color="auto"/>
              <w:left w:val="nil"/>
              <w:bottom w:val="single" w:sz="4" w:space="0" w:color="auto"/>
              <w:right w:val="single" w:sz="4" w:space="0" w:color="auto"/>
            </w:tcBorders>
            <w:shd w:val="clear" w:color="auto" w:fill="C6EFCE"/>
            <w:noWrap/>
          </w:tcPr>
          <w:p w14:paraId="405B3E43" w14:textId="5A0B6E4D" w:rsidR="00A345F4" w:rsidRDefault="005E2D4E">
            <w:pPr>
              <w:pStyle w:val="P68B1DB1-Normal14"/>
              <w:spacing w:after="0" w:line="240" w:lineRule="auto"/>
              <w:jc w:val="both"/>
              <w:rPr>
                <w:noProof/>
              </w:rPr>
            </w:pPr>
            <w:r>
              <w:rPr>
                <w:noProof/>
              </w:rPr>
              <w:t xml:space="preserve">Certificats de participation au cours pour les participants à trois programmes de formation: </w:t>
            </w:r>
          </w:p>
          <w:p w14:paraId="07706576" w14:textId="77777777" w:rsidR="00A345F4" w:rsidRDefault="005E2D4E">
            <w:pPr>
              <w:pStyle w:val="P68B1DB1-Normal14"/>
              <w:rPr>
                <w:noProof/>
              </w:rPr>
            </w:pPr>
            <w:r>
              <w:rPr>
                <w:noProof/>
              </w:rPr>
              <w:t xml:space="preserve">-deux programmes de formation continue pour 420 formateurs: un programme de formation pour l’application d’un programme spécifique, avec des modules pour le personnel enseignant et non enseignant, y compris un module d’éducation numérique; un programme de formation pour les formateurs (de trois secteurs: social, éducation et santé), pour contrôler la qualité des services d'éducation de la petite enfance; </w:t>
            </w:r>
          </w:p>
          <w:p w14:paraId="7DF12087" w14:textId="2A7FB2FC" w:rsidR="00A345F4" w:rsidRDefault="005E2D4E">
            <w:pPr>
              <w:pStyle w:val="P68B1DB1-Normal14"/>
              <w:spacing w:after="0" w:line="240" w:lineRule="auto"/>
              <w:jc w:val="both"/>
              <w:rPr>
                <w:noProof/>
              </w:rPr>
            </w:pPr>
            <w:r>
              <w:rPr>
                <w:noProof/>
              </w:rPr>
              <w:t xml:space="preserve">-un programme de formation pour 5 000 enseignants et non enseignants travaillant dans des services d’éducation de la petite enfance standard et complémentaires, y compris ceux des services nouvellement créés. </w:t>
            </w:r>
          </w:p>
        </w:tc>
      </w:tr>
      <w:tr w:rsidR="00A345F4" w14:paraId="1F7C1DA3"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A7581E0" w14:textId="77777777" w:rsidR="00A345F4" w:rsidRDefault="005E2D4E">
            <w:pPr>
              <w:pStyle w:val="P68B1DB1-Normal14"/>
              <w:spacing w:after="0" w:line="240" w:lineRule="auto"/>
              <w:jc w:val="center"/>
              <w:rPr>
                <w:noProof/>
              </w:rPr>
            </w:pPr>
            <w:r>
              <w:rPr>
                <w:noProof/>
              </w:rPr>
              <w:t>462</w:t>
            </w:r>
          </w:p>
        </w:tc>
        <w:tc>
          <w:tcPr>
            <w:tcW w:w="1863" w:type="dxa"/>
            <w:tcBorders>
              <w:top w:val="single" w:sz="4" w:space="0" w:color="auto"/>
              <w:left w:val="nil"/>
              <w:bottom w:val="single" w:sz="4" w:space="0" w:color="auto"/>
              <w:right w:val="single" w:sz="4" w:space="0" w:color="auto"/>
            </w:tcBorders>
            <w:shd w:val="clear" w:color="auto" w:fill="C6EFCE"/>
            <w:noWrap/>
          </w:tcPr>
          <w:p w14:paraId="79043FBE" w14:textId="77777777" w:rsidR="00A345F4" w:rsidRDefault="005E2D4E">
            <w:pPr>
              <w:pStyle w:val="P68B1DB1-Normal14"/>
              <w:spacing w:after="0" w:line="240" w:lineRule="auto"/>
              <w:jc w:val="both"/>
              <w:rPr>
                <w:noProof/>
              </w:rPr>
            </w:pPr>
            <w:r>
              <w:rPr>
                <w:noProof/>
              </w:rPr>
              <w:t>Réforme 3. Réforme du système d'enseignement obligatoire pour prévenir et réduire le décrochage scolaire</w:t>
            </w:r>
          </w:p>
        </w:tc>
        <w:tc>
          <w:tcPr>
            <w:tcW w:w="1151" w:type="dxa"/>
            <w:tcBorders>
              <w:top w:val="single" w:sz="4" w:space="0" w:color="auto"/>
              <w:left w:val="nil"/>
              <w:bottom w:val="single" w:sz="4" w:space="0" w:color="auto"/>
              <w:right w:val="single" w:sz="4" w:space="0" w:color="auto"/>
            </w:tcBorders>
            <w:shd w:val="clear" w:color="auto" w:fill="C6EFCE"/>
            <w:noWrap/>
          </w:tcPr>
          <w:p w14:paraId="330E6644"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4A761D7D" w14:textId="77777777" w:rsidR="00A345F4" w:rsidRDefault="005E2D4E">
            <w:pPr>
              <w:pStyle w:val="P68B1DB1-Normal14"/>
              <w:spacing w:after="0" w:line="240" w:lineRule="auto"/>
              <w:jc w:val="both"/>
              <w:rPr>
                <w:noProof/>
              </w:rPr>
            </w:pPr>
            <w:r>
              <w:rPr>
                <w:noProof/>
              </w:rPr>
              <w:t xml:space="preserve">Entrée en vigueur de la décision du gouvernement établissant la mise en œuvre du programme national de réduction du décrochage scolaire </w:t>
            </w:r>
          </w:p>
        </w:tc>
        <w:tc>
          <w:tcPr>
            <w:tcW w:w="1553" w:type="dxa"/>
            <w:tcBorders>
              <w:top w:val="single" w:sz="4" w:space="0" w:color="auto"/>
              <w:left w:val="nil"/>
              <w:bottom w:val="single" w:sz="4" w:space="0" w:color="auto"/>
              <w:right w:val="single" w:sz="4" w:space="0" w:color="auto"/>
            </w:tcBorders>
            <w:shd w:val="clear" w:color="auto" w:fill="C6EFCE"/>
            <w:noWrap/>
          </w:tcPr>
          <w:p w14:paraId="305615A2" w14:textId="487BCB98" w:rsidR="00A345F4" w:rsidRDefault="005E2D4E">
            <w:pPr>
              <w:pStyle w:val="P68B1DB1-Normal14"/>
              <w:spacing w:after="0" w:line="240" w:lineRule="auto"/>
              <w:jc w:val="both"/>
              <w:rPr>
                <w:noProof/>
              </w:rPr>
            </w:pPr>
            <w:r>
              <w:rPr>
                <w:noProof/>
              </w:rPr>
              <w:t xml:space="preserve">Disposition de la décision du gouvernement indiquant l'entrée en vigueur du programme national de réduction du décrochage scolaire </w:t>
            </w:r>
          </w:p>
        </w:tc>
        <w:tc>
          <w:tcPr>
            <w:tcW w:w="1075" w:type="dxa"/>
            <w:tcBorders>
              <w:top w:val="single" w:sz="4" w:space="0" w:color="auto"/>
              <w:left w:val="nil"/>
              <w:bottom w:val="single" w:sz="4" w:space="0" w:color="auto"/>
              <w:right w:val="single" w:sz="4" w:space="0" w:color="auto"/>
            </w:tcBorders>
            <w:shd w:val="clear" w:color="auto" w:fill="C6EFCE"/>
            <w:noWrap/>
          </w:tcPr>
          <w:p w14:paraId="7188BDCB" w14:textId="77777777" w:rsidR="00A345F4" w:rsidRDefault="005E2D4E">
            <w:pPr>
              <w:pStyle w:val="P68B1DB1-Normal14"/>
              <w:spacing w:after="0" w:line="240" w:lineRule="auto"/>
              <w:jc w:val="both"/>
              <w:rPr>
                <w:noProof/>
              </w:rPr>
            </w:pPr>
            <w:r>
              <w:rPr>
                <w:noProof/>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25E5FBB3"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02F5CBB0"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2A93C142" w14:textId="77777777" w:rsidR="00A345F4" w:rsidRDefault="005E2D4E">
            <w:pPr>
              <w:pStyle w:val="P68B1DB1-Normal14"/>
              <w:spacing w:after="0" w:line="240" w:lineRule="auto"/>
              <w:jc w:val="both"/>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0169BBCD" w14:textId="77777777" w:rsidR="00A345F4" w:rsidRDefault="005E2D4E">
            <w:pPr>
              <w:pStyle w:val="P68B1DB1-Normal14"/>
              <w:spacing w:after="0" w:line="240" w:lineRule="auto"/>
              <w:jc w:val="both"/>
              <w:rPr>
                <w:noProof/>
              </w:rPr>
            </w:pPr>
            <w:r>
              <w:rPr>
                <w:noProof/>
              </w:rPr>
              <w:t>2021</w:t>
            </w:r>
          </w:p>
        </w:tc>
        <w:tc>
          <w:tcPr>
            <w:tcW w:w="3406" w:type="dxa"/>
            <w:tcBorders>
              <w:top w:val="single" w:sz="4" w:space="0" w:color="auto"/>
              <w:left w:val="nil"/>
              <w:bottom w:val="single" w:sz="4" w:space="0" w:color="auto"/>
              <w:right w:val="single" w:sz="4" w:space="0" w:color="auto"/>
            </w:tcBorders>
            <w:shd w:val="clear" w:color="auto" w:fill="C6EFCE"/>
            <w:noWrap/>
          </w:tcPr>
          <w:p w14:paraId="50566224" w14:textId="77777777" w:rsidR="00A345F4" w:rsidRDefault="005E2D4E">
            <w:pPr>
              <w:pStyle w:val="P68B1DB1-Normal14"/>
              <w:spacing w:after="0" w:line="240" w:lineRule="auto"/>
              <w:jc w:val="both"/>
              <w:rPr>
                <w:noProof/>
              </w:rPr>
            </w:pPr>
            <w:r>
              <w:rPr>
                <w:noProof/>
              </w:rPr>
              <w:t xml:space="preserve">Une décision gouvernementale entre en vigueur mettant en œuvre le programme national visant à réduire le décrochage scolaire, y compris la mise en œuvre du mécanisme d’alerte précoce en matière d’éducation dans les écoles incluses dans le programme, avec des objectifs assortis d’échéances, fondés sur des données probantes et présentant un bon rapport coût-efficacité. </w:t>
            </w:r>
          </w:p>
          <w:p w14:paraId="1CFFE18A" w14:textId="77777777" w:rsidR="00A345F4" w:rsidRDefault="005E2D4E">
            <w:pPr>
              <w:pStyle w:val="P68B1DB1-Normal14"/>
              <w:spacing w:after="0" w:line="240" w:lineRule="auto"/>
              <w:jc w:val="both"/>
              <w:rPr>
                <w:rFonts w:eastAsia="Times New Roman"/>
                <w:noProof/>
              </w:rPr>
            </w:pPr>
            <w:r>
              <w:rPr>
                <w:noProof/>
              </w:rPr>
              <w:t>Le programme national pour la mise en œuvre du mécanisme d’alerte précoce dans le domaine de l’éducation doit permettre une approche intégrée et systémique aux niveaux local, régional et national.</w:t>
            </w:r>
          </w:p>
        </w:tc>
      </w:tr>
      <w:tr w:rsidR="00A345F4" w14:paraId="137A11E6"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789BA06" w14:textId="77777777" w:rsidR="00A345F4" w:rsidRDefault="005E2D4E">
            <w:pPr>
              <w:pStyle w:val="P68B1DB1-Normal14"/>
              <w:spacing w:after="0" w:line="240" w:lineRule="auto"/>
              <w:jc w:val="center"/>
              <w:rPr>
                <w:noProof/>
              </w:rPr>
            </w:pPr>
            <w:r>
              <w:rPr>
                <w:noProof/>
              </w:rPr>
              <w:t>463</w:t>
            </w:r>
          </w:p>
        </w:tc>
        <w:tc>
          <w:tcPr>
            <w:tcW w:w="1863" w:type="dxa"/>
            <w:tcBorders>
              <w:top w:val="single" w:sz="4" w:space="0" w:color="auto"/>
              <w:left w:val="nil"/>
              <w:bottom w:val="single" w:sz="4" w:space="0" w:color="auto"/>
              <w:right w:val="single" w:sz="4" w:space="0" w:color="auto"/>
            </w:tcBorders>
            <w:shd w:val="clear" w:color="auto" w:fill="C6EFCE"/>
            <w:noWrap/>
          </w:tcPr>
          <w:p w14:paraId="79B260C7" w14:textId="77777777" w:rsidR="00A345F4" w:rsidRDefault="005E2D4E">
            <w:pPr>
              <w:pStyle w:val="P68B1DB1-Normal14"/>
              <w:spacing w:after="0" w:line="240" w:lineRule="auto"/>
              <w:jc w:val="both"/>
              <w:rPr>
                <w:noProof/>
              </w:rPr>
            </w:pPr>
            <w:r>
              <w:rPr>
                <w:noProof/>
              </w:rPr>
              <w:t>Réforme 3. Réforme du système d'enseignement obligatoire pour prévenir et réduire le décrochage scolaire</w:t>
            </w:r>
          </w:p>
        </w:tc>
        <w:tc>
          <w:tcPr>
            <w:tcW w:w="1151" w:type="dxa"/>
            <w:tcBorders>
              <w:top w:val="single" w:sz="4" w:space="0" w:color="auto"/>
              <w:left w:val="nil"/>
              <w:bottom w:val="single" w:sz="4" w:space="0" w:color="auto"/>
              <w:right w:val="single" w:sz="4" w:space="0" w:color="auto"/>
            </w:tcBorders>
            <w:shd w:val="clear" w:color="auto" w:fill="C6EFCE"/>
            <w:noWrap/>
          </w:tcPr>
          <w:p w14:paraId="4B37A203"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304F2056" w14:textId="77777777" w:rsidR="00A345F4" w:rsidRDefault="005E2D4E">
            <w:pPr>
              <w:pStyle w:val="P68B1DB1-Normal14"/>
              <w:spacing w:after="0" w:line="240" w:lineRule="auto"/>
              <w:jc w:val="both"/>
              <w:rPr>
                <w:noProof/>
              </w:rPr>
            </w:pPr>
            <w:r>
              <w:rPr>
                <w:noProof/>
              </w:rPr>
              <w:t>Entrée en vigueur de l’arrêté ministériel relatif à l’utilisation de l’outil MATE au niveau national</w:t>
            </w:r>
          </w:p>
        </w:tc>
        <w:tc>
          <w:tcPr>
            <w:tcW w:w="1553" w:type="dxa"/>
            <w:tcBorders>
              <w:top w:val="single" w:sz="4" w:space="0" w:color="auto"/>
              <w:left w:val="nil"/>
              <w:bottom w:val="single" w:sz="4" w:space="0" w:color="auto"/>
              <w:right w:val="single" w:sz="4" w:space="0" w:color="auto"/>
            </w:tcBorders>
            <w:shd w:val="clear" w:color="auto" w:fill="C6EFCE"/>
            <w:noWrap/>
          </w:tcPr>
          <w:p w14:paraId="66985583" w14:textId="77777777" w:rsidR="00A345F4" w:rsidRDefault="005E2D4E">
            <w:pPr>
              <w:pStyle w:val="P68B1DB1-Normal14"/>
              <w:spacing w:after="0" w:line="240" w:lineRule="auto"/>
              <w:jc w:val="both"/>
              <w:rPr>
                <w:noProof/>
              </w:rPr>
            </w:pPr>
            <w:r>
              <w:rPr>
                <w:noProof/>
              </w:rPr>
              <w:t>Disposition de l’OM indiquant l’entrée en vigueur de l’utilisation au niveau national de l’outil MATE dans toutes les écoles de l’enseignement primaire et du premier cycle de l’enseignement secondaire</w:t>
            </w:r>
          </w:p>
        </w:tc>
        <w:tc>
          <w:tcPr>
            <w:tcW w:w="1075" w:type="dxa"/>
            <w:tcBorders>
              <w:top w:val="single" w:sz="4" w:space="0" w:color="auto"/>
              <w:left w:val="nil"/>
              <w:bottom w:val="single" w:sz="4" w:space="0" w:color="auto"/>
              <w:right w:val="single" w:sz="4" w:space="0" w:color="auto"/>
            </w:tcBorders>
            <w:shd w:val="clear" w:color="auto" w:fill="C6EFCE"/>
            <w:noWrap/>
          </w:tcPr>
          <w:p w14:paraId="7D156D5C" w14:textId="77777777" w:rsidR="00A345F4" w:rsidRDefault="005E2D4E">
            <w:pPr>
              <w:pStyle w:val="P68B1DB1-Normal14"/>
              <w:spacing w:after="0" w:line="240" w:lineRule="auto"/>
              <w:jc w:val="both"/>
              <w:rPr>
                <w:noProof/>
              </w:rPr>
            </w:pPr>
            <w:r>
              <w:rPr>
                <w:noProof/>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3A115C68" w14:textId="77777777" w:rsidR="00A345F4" w:rsidRDefault="005E2D4E">
            <w:pPr>
              <w:pStyle w:val="P68B1DB1-Normal14"/>
              <w:spacing w:after="0" w:line="240" w:lineRule="auto"/>
              <w:jc w:val="both"/>
              <w:rPr>
                <w:noProof/>
              </w:rPr>
            </w:pPr>
            <w:r>
              <w:rPr>
                <w:noProof/>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4712D088" w14:textId="77777777" w:rsidR="00A345F4" w:rsidRDefault="005E2D4E">
            <w:pPr>
              <w:pStyle w:val="P68B1DB1-Normal14"/>
              <w:spacing w:after="0" w:line="240" w:lineRule="auto"/>
              <w:jc w:val="both"/>
              <w:rPr>
                <w:noProof/>
              </w:rPr>
            </w:pPr>
            <w:r>
              <w:rPr>
                <w:noProof/>
              </w:rPr>
              <w:t xml:space="preserve"> </w:t>
            </w:r>
          </w:p>
        </w:tc>
        <w:tc>
          <w:tcPr>
            <w:tcW w:w="987" w:type="dxa"/>
            <w:tcBorders>
              <w:top w:val="single" w:sz="4" w:space="0" w:color="auto"/>
              <w:left w:val="nil"/>
              <w:bottom w:val="single" w:sz="4" w:space="0" w:color="auto"/>
              <w:right w:val="single" w:sz="4" w:space="0" w:color="auto"/>
            </w:tcBorders>
            <w:shd w:val="clear" w:color="auto" w:fill="C6EFCE"/>
            <w:noWrap/>
          </w:tcPr>
          <w:p w14:paraId="37D6C793" w14:textId="77777777" w:rsidR="00A345F4" w:rsidRDefault="005E2D4E">
            <w:pPr>
              <w:pStyle w:val="P68B1DB1-Normal14"/>
              <w:spacing w:after="0" w:line="240" w:lineRule="auto"/>
              <w:jc w:val="both"/>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45B327E5" w14:textId="77777777" w:rsidR="00A345F4" w:rsidRDefault="005E2D4E">
            <w:pPr>
              <w:pStyle w:val="P68B1DB1-Normal14"/>
              <w:spacing w:after="0" w:line="240" w:lineRule="auto"/>
              <w:jc w:val="both"/>
              <w:rPr>
                <w:noProof/>
              </w:rPr>
            </w:pPr>
            <w:r>
              <w:rPr>
                <w:noProof/>
              </w:rPr>
              <w:t>2022</w:t>
            </w:r>
          </w:p>
        </w:tc>
        <w:tc>
          <w:tcPr>
            <w:tcW w:w="3406" w:type="dxa"/>
            <w:tcBorders>
              <w:top w:val="single" w:sz="4" w:space="0" w:color="auto"/>
              <w:left w:val="nil"/>
              <w:bottom w:val="single" w:sz="4" w:space="0" w:color="auto"/>
              <w:right w:val="single" w:sz="4" w:space="0" w:color="auto"/>
            </w:tcBorders>
            <w:shd w:val="clear" w:color="auto" w:fill="C6EFCE"/>
            <w:noWrap/>
          </w:tcPr>
          <w:p w14:paraId="050E5FB3" w14:textId="77777777" w:rsidR="00A345F4" w:rsidRDefault="005E2D4E">
            <w:pPr>
              <w:pStyle w:val="P68B1DB1-Normal14"/>
              <w:spacing w:after="0" w:line="240" w:lineRule="auto"/>
              <w:jc w:val="both"/>
              <w:rPr>
                <w:rFonts w:eastAsia="Times New Roman"/>
                <w:noProof/>
              </w:rPr>
            </w:pPr>
            <w:r>
              <w:rPr>
                <w:noProof/>
              </w:rPr>
              <w:t>L’arrêté ministériel prévoit l’utilisation du module informatique MATE au niveau national. Le module informatique identifie les risques, tandis que le programme national comprend des unités éducatives présentant un risque élevé d’abandon scolaire (taux de jeunes n’ayant pas terminé le premier cycle de l’enseignement secondaire et ne suivant ni études ni formation), celles qui recevront des subventions.</w:t>
            </w:r>
          </w:p>
        </w:tc>
      </w:tr>
      <w:tr w:rsidR="00A345F4" w14:paraId="738D07EB"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D0D5D0D" w14:textId="77777777" w:rsidR="00A345F4" w:rsidRDefault="005E2D4E">
            <w:pPr>
              <w:pStyle w:val="P68B1DB1-Normal14"/>
              <w:spacing w:after="0" w:line="240" w:lineRule="auto"/>
              <w:jc w:val="center"/>
              <w:rPr>
                <w:noProof/>
              </w:rPr>
            </w:pPr>
            <w:r>
              <w:rPr>
                <w:noProof/>
              </w:rPr>
              <w:t>464</w:t>
            </w:r>
          </w:p>
        </w:tc>
        <w:tc>
          <w:tcPr>
            <w:tcW w:w="1863" w:type="dxa"/>
            <w:tcBorders>
              <w:top w:val="single" w:sz="4" w:space="0" w:color="auto"/>
              <w:left w:val="nil"/>
              <w:bottom w:val="single" w:sz="4" w:space="0" w:color="auto"/>
              <w:right w:val="single" w:sz="4" w:space="0" w:color="auto"/>
            </w:tcBorders>
            <w:shd w:val="clear" w:color="auto" w:fill="C6EFCE"/>
            <w:noWrap/>
          </w:tcPr>
          <w:p w14:paraId="14B793EB" w14:textId="77777777" w:rsidR="00A345F4" w:rsidRDefault="005E2D4E">
            <w:pPr>
              <w:pStyle w:val="P68B1DB1-Normal14"/>
              <w:spacing w:after="0" w:line="240" w:lineRule="auto"/>
              <w:jc w:val="both"/>
              <w:rPr>
                <w:noProof/>
              </w:rPr>
            </w:pPr>
            <w:r>
              <w:rPr>
                <w:noProof/>
              </w:rPr>
              <w:t>Investissement 4. Soutenir les établissements d’enseignement présentant un risque moyen et élevé d’abandon scolaire</w:t>
            </w:r>
          </w:p>
        </w:tc>
        <w:tc>
          <w:tcPr>
            <w:tcW w:w="1151" w:type="dxa"/>
            <w:tcBorders>
              <w:top w:val="single" w:sz="4" w:space="0" w:color="auto"/>
              <w:left w:val="nil"/>
              <w:bottom w:val="single" w:sz="4" w:space="0" w:color="auto"/>
              <w:right w:val="single" w:sz="4" w:space="0" w:color="auto"/>
            </w:tcBorders>
            <w:shd w:val="clear" w:color="auto" w:fill="C6EFCE"/>
            <w:noWrap/>
          </w:tcPr>
          <w:p w14:paraId="61B249D4"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0FC73158" w14:textId="77777777" w:rsidR="00A345F4" w:rsidRDefault="005E2D4E">
            <w:pPr>
              <w:pStyle w:val="P68B1DB1-Normal14"/>
              <w:spacing w:after="0" w:line="240" w:lineRule="auto"/>
              <w:jc w:val="both"/>
              <w:rPr>
                <w:noProof/>
              </w:rPr>
            </w:pPr>
            <w:r>
              <w:rPr>
                <w:noProof/>
              </w:rPr>
              <w:t>Appel à projets ouvert pour le soutien des élèves à la transition de l'enseignement secondaire inférieur à l'enseignement secondaire supérieur, sur la base de 5 indicateurs définis dans le mécanisme d'alerte précoce en matière d'éducation</w:t>
            </w:r>
          </w:p>
        </w:tc>
        <w:tc>
          <w:tcPr>
            <w:tcW w:w="1553" w:type="dxa"/>
            <w:tcBorders>
              <w:top w:val="single" w:sz="4" w:space="0" w:color="auto"/>
              <w:left w:val="nil"/>
              <w:bottom w:val="single" w:sz="4" w:space="0" w:color="auto"/>
              <w:right w:val="single" w:sz="4" w:space="0" w:color="auto"/>
            </w:tcBorders>
            <w:shd w:val="clear" w:color="auto" w:fill="C6EFCE"/>
            <w:noWrap/>
          </w:tcPr>
          <w:p w14:paraId="67BCC2F3" w14:textId="77777777" w:rsidR="00A345F4" w:rsidRDefault="005E2D4E">
            <w:pPr>
              <w:pStyle w:val="P68B1DB1-Normal14"/>
              <w:spacing w:after="0" w:line="240" w:lineRule="auto"/>
              <w:jc w:val="both"/>
              <w:rPr>
                <w:noProof/>
              </w:rPr>
            </w:pPr>
            <w:r>
              <w:rPr>
                <w:noProof/>
              </w:rPr>
              <w:t xml:space="preserve">Publication de l'appel </w:t>
            </w:r>
          </w:p>
        </w:tc>
        <w:tc>
          <w:tcPr>
            <w:tcW w:w="1075" w:type="dxa"/>
            <w:tcBorders>
              <w:top w:val="single" w:sz="4" w:space="0" w:color="auto"/>
              <w:left w:val="nil"/>
              <w:bottom w:val="single" w:sz="4" w:space="0" w:color="auto"/>
              <w:right w:val="single" w:sz="4" w:space="0" w:color="auto"/>
            </w:tcBorders>
            <w:shd w:val="clear" w:color="auto" w:fill="C6EFCE"/>
            <w:noWrap/>
          </w:tcPr>
          <w:p w14:paraId="4F8FD724"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5C3D6B60"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3B4D1FE9"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18CE05EA" w14:textId="77777777" w:rsidR="00A345F4" w:rsidRDefault="005E2D4E">
            <w:pPr>
              <w:pStyle w:val="P68B1DB1-Normal14"/>
              <w:spacing w:after="0" w:line="240" w:lineRule="auto"/>
              <w:jc w:val="both"/>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32C59470" w14:textId="77777777" w:rsidR="00A345F4" w:rsidRDefault="005E2D4E">
            <w:pPr>
              <w:pStyle w:val="P68B1DB1-Normal14"/>
              <w:spacing w:after="0" w:line="240" w:lineRule="auto"/>
              <w:jc w:val="both"/>
              <w:rPr>
                <w:noProof/>
              </w:rPr>
            </w:pPr>
            <w:r>
              <w:rPr>
                <w:noProof/>
              </w:rPr>
              <w:t>2021</w:t>
            </w:r>
          </w:p>
        </w:tc>
        <w:tc>
          <w:tcPr>
            <w:tcW w:w="3406" w:type="dxa"/>
            <w:tcBorders>
              <w:top w:val="single" w:sz="4" w:space="0" w:color="auto"/>
              <w:left w:val="nil"/>
              <w:bottom w:val="single" w:sz="4" w:space="0" w:color="auto"/>
              <w:right w:val="single" w:sz="4" w:space="0" w:color="auto"/>
            </w:tcBorders>
            <w:shd w:val="clear" w:color="auto" w:fill="C6EFCE"/>
            <w:noWrap/>
          </w:tcPr>
          <w:p w14:paraId="60DC4987" w14:textId="77777777" w:rsidR="00A345F4" w:rsidRDefault="005E2D4E">
            <w:pPr>
              <w:pStyle w:val="P68B1DB1-Normal14"/>
              <w:spacing w:after="0" w:line="240" w:lineRule="auto"/>
              <w:jc w:val="both"/>
              <w:rPr>
                <w:noProof/>
              </w:rPr>
            </w:pPr>
            <w:r>
              <w:rPr>
                <w:noProof/>
              </w:rPr>
              <w:t xml:space="preserve">Appel à projets pour l'octroi de subventions aux établissements d'enseignement pour le soutien des étudiants à la transition de l'enseignement secondaire inférieur à l'enseignement secondaire supérieur, sur la base de 5 indicateurs définis dans le mécanisme d'alerte précoce en matière d'éducation. Tous les indicateurs sont calculés sur la base d'un poids qui analyse la quantité, c'est-à-dire le nombre d'élèves et d'enseignants, ou la qualité, c'est-à-dire les notes obtenues lors de l'évaluation nationale. </w:t>
            </w:r>
          </w:p>
          <w:p w14:paraId="7DFDACC3" w14:textId="77777777" w:rsidR="00A345F4" w:rsidRDefault="005E2D4E">
            <w:pPr>
              <w:pStyle w:val="P68B1DB1-Normal14"/>
              <w:spacing w:after="0" w:line="240" w:lineRule="auto"/>
              <w:jc w:val="both"/>
              <w:rPr>
                <w:noProof/>
              </w:rPr>
            </w:pPr>
            <w:r>
              <w:rPr>
                <w:noProof/>
              </w:rPr>
              <w:t>Sur la base de l’indice de vulnérabilité relatif au décrochage scolaire, les écoles MATE ont été classées en trois catégories, en fonction de la priorité de l’intervention: haute, moyenne et basse. Les unités d'enseignement hautement prioritaires, qui nécessitent une intervention immédiate, sont considérées comme celles qui obtiennent un score total compris entre 3,5 et 5 et qui présentent plusieurs éléments de vulnérabilité, tels qu'un nombre élevé d'enseignants suppléants, un taux élevé d'abandon scolaire, un faible taux de participation et des résultats d'évaluation nationaux médiocres. Ces écoles doivent bénéficier d'un financement prioritaire.</w:t>
            </w:r>
          </w:p>
          <w:p w14:paraId="07D9A430" w14:textId="77777777" w:rsidR="00A345F4" w:rsidRDefault="005E2D4E">
            <w:pPr>
              <w:pStyle w:val="P68B1DB1-Normal14"/>
              <w:spacing w:after="0" w:line="240" w:lineRule="auto"/>
              <w:jc w:val="both"/>
              <w:rPr>
                <w:noProof/>
              </w:rPr>
            </w:pPr>
            <w:r>
              <w:rPr>
                <w:noProof/>
              </w:rPr>
              <w:t xml:space="preserve">Les activités éligibles comprennent: </w:t>
            </w:r>
          </w:p>
          <w:p w14:paraId="437C75EB" w14:textId="77777777" w:rsidR="00A345F4" w:rsidRDefault="005E2D4E">
            <w:pPr>
              <w:pStyle w:val="P68B1DB1-Normal14"/>
              <w:numPr>
                <w:ilvl w:val="0"/>
                <w:numId w:val="69"/>
              </w:numPr>
              <w:spacing w:before="120" w:after="0" w:line="240" w:lineRule="auto"/>
              <w:ind w:left="189" w:hanging="142"/>
              <w:contextualSpacing/>
              <w:jc w:val="both"/>
              <w:rPr>
                <w:noProof/>
              </w:rPr>
            </w:pPr>
            <w:r>
              <w:rPr>
                <w:noProof/>
              </w:rPr>
              <w:t xml:space="preserve">activités pédagogiques et de soutien </w:t>
            </w:r>
          </w:p>
          <w:p w14:paraId="18C47FDB" w14:textId="77777777" w:rsidR="00A345F4" w:rsidRDefault="005E2D4E">
            <w:pPr>
              <w:pStyle w:val="P68B1DB1-Normal14"/>
              <w:numPr>
                <w:ilvl w:val="0"/>
                <w:numId w:val="69"/>
              </w:numPr>
              <w:spacing w:before="120" w:after="0" w:line="240" w:lineRule="auto"/>
              <w:ind w:left="189" w:hanging="142"/>
              <w:contextualSpacing/>
              <w:jc w:val="both"/>
              <w:rPr>
                <w:noProof/>
              </w:rPr>
            </w:pPr>
            <w:r>
              <w:rPr>
                <w:noProof/>
              </w:rPr>
              <w:t xml:space="preserve">activités extrascolaires </w:t>
            </w:r>
          </w:p>
          <w:p w14:paraId="4569B2F9" w14:textId="77777777" w:rsidR="00A345F4" w:rsidRDefault="005E2D4E">
            <w:pPr>
              <w:pStyle w:val="P68B1DB1-Normal14"/>
              <w:numPr>
                <w:ilvl w:val="0"/>
                <w:numId w:val="69"/>
              </w:numPr>
              <w:spacing w:before="120" w:after="0" w:line="240" w:lineRule="auto"/>
              <w:ind w:left="189" w:hanging="142"/>
              <w:contextualSpacing/>
              <w:jc w:val="both"/>
              <w:rPr>
                <w:noProof/>
              </w:rPr>
            </w:pPr>
            <w:r>
              <w:rPr>
                <w:noProof/>
              </w:rPr>
              <w:t xml:space="preserve">travaux mineurs et achats de biens, </w:t>
            </w:r>
          </w:p>
          <w:p w14:paraId="0303E010" w14:textId="77777777" w:rsidR="00A345F4" w:rsidRDefault="005E2D4E">
            <w:pPr>
              <w:pStyle w:val="P68B1DB1-Normal14"/>
              <w:numPr>
                <w:ilvl w:val="0"/>
                <w:numId w:val="69"/>
              </w:numPr>
              <w:spacing w:before="120" w:after="0" w:line="240" w:lineRule="auto"/>
              <w:ind w:left="189" w:hanging="142"/>
              <w:contextualSpacing/>
              <w:jc w:val="both"/>
              <w:rPr>
                <w:noProof/>
              </w:rPr>
            </w:pPr>
            <w:r>
              <w:rPr>
                <w:noProof/>
              </w:rPr>
              <w:t xml:space="preserve">des bourses pour les élèves appartenant à des groupes vulnérables afin d’assurer la transition de l’enseignement secondaire inférieur à l’enseignement secondaire supérieur vers l’achèvement de l’enseignement obligatoire, </w:t>
            </w:r>
          </w:p>
          <w:p w14:paraId="46B784FA" w14:textId="77777777" w:rsidR="00A345F4" w:rsidRDefault="005E2D4E">
            <w:pPr>
              <w:pStyle w:val="P68B1DB1-Normal14"/>
              <w:numPr>
                <w:ilvl w:val="0"/>
                <w:numId w:val="69"/>
              </w:numPr>
              <w:spacing w:before="120" w:after="0" w:line="240" w:lineRule="auto"/>
              <w:ind w:left="189" w:hanging="142"/>
              <w:contextualSpacing/>
              <w:jc w:val="both"/>
              <w:rPr>
                <w:noProof/>
              </w:rPr>
            </w:pPr>
            <w:r>
              <w:rPr>
                <w:noProof/>
              </w:rPr>
              <w:t>partenariats avec des ONG pour des activités de soutien et/ou extrascolaires.</w:t>
            </w:r>
          </w:p>
          <w:p w14:paraId="09754963" w14:textId="77777777" w:rsidR="00A345F4" w:rsidRDefault="005E2D4E">
            <w:pPr>
              <w:pStyle w:val="P68B1DB1-Normal14"/>
              <w:spacing w:after="0" w:line="240" w:lineRule="auto"/>
              <w:jc w:val="both"/>
              <w:rPr>
                <w:noProof/>
              </w:rPr>
            </w:pPr>
            <w:r>
              <w:rPr>
                <w:noProof/>
              </w:rPr>
              <w:t>Les écoles deviennent responsables des résultats des élèves et des mises à jour régulières des progrès accomplis, en transférant ces informations dans le système de collecte de données MATE.</w:t>
            </w:r>
          </w:p>
        </w:tc>
      </w:tr>
      <w:tr w:rsidR="00A345F4" w14:paraId="262309CD"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0475C1FA" w14:textId="77777777" w:rsidR="00A345F4" w:rsidRDefault="005E2D4E">
            <w:pPr>
              <w:pStyle w:val="P68B1DB1-Normal14"/>
              <w:spacing w:after="0" w:line="240" w:lineRule="auto"/>
              <w:jc w:val="center"/>
              <w:rPr>
                <w:noProof/>
              </w:rPr>
            </w:pPr>
            <w:r>
              <w:rPr>
                <w:noProof/>
              </w:rPr>
              <w:t>465</w:t>
            </w:r>
          </w:p>
        </w:tc>
        <w:tc>
          <w:tcPr>
            <w:tcW w:w="1863" w:type="dxa"/>
            <w:tcBorders>
              <w:top w:val="single" w:sz="4" w:space="0" w:color="auto"/>
              <w:left w:val="nil"/>
              <w:bottom w:val="single" w:sz="4" w:space="0" w:color="auto"/>
              <w:right w:val="single" w:sz="4" w:space="0" w:color="auto"/>
            </w:tcBorders>
            <w:shd w:val="clear" w:color="auto" w:fill="C6EFCE"/>
            <w:noWrap/>
          </w:tcPr>
          <w:p w14:paraId="349F542F" w14:textId="77777777" w:rsidR="00A345F4" w:rsidRDefault="005E2D4E">
            <w:pPr>
              <w:pStyle w:val="P68B1DB1-Normal14"/>
              <w:spacing w:after="0" w:line="240" w:lineRule="auto"/>
              <w:jc w:val="both"/>
              <w:rPr>
                <w:noProof/>
              </w:rPr>
            </w:pPr>
            <w:r>
              <w:rPr>
                <w:noProof/>
              </w:rPr>
              <w:t>Investissement 4. Soutenir les établissements d’enseignement présentant un risque moyen et élevé d’abandon scolaire</w:t>
            </w:r>
          </w:p>
        </w:tc>
        <w:tc>
          <w:tcPr>
            <w:tcW w:w="1151" w:type="dxa"/>
            <w:tcBorders>
              <w:top w:val="single" w:sz="4" w:space="0" w:color="auto"/>
              <w:left w:val="nil"/>
              <w:bottom w:val="single" w:sz="4" w:space="0" w:color="auto"/>
              <w:right w:val="single" w:sz="4" w:space="0" w:color="auto"/>
            </w:tcBorders>
            <w:shd w:val="clear" w:color="auto" w:fill="C6EFCE"/>
            <w:noWrap/>
          </w:tcPr>
          <w:p w14:paraId="5F6D6A09" w14:textId="77777777" w:rsidR="00A345F4" w:rsidRDefault="005E2D4E">
            <w:pPr>
              <w:pStyle w:val="P68B1DB1-Normal14"/>
              <w:spacing w:after="0" w:line="240" w:lineRule="auto"/>
              <w:jc w:val="both"/>
              <w:rPr>
                <w:noProof/>
              </w:rPr>
            </w:pPr>
            <w:r>
              <w:rPr>
                <w:noProof/>
              </w:rPr>
              <w:t>Objectif</w:t>
            </w:r>
          </w:p>
        </w:tc>
        <w:tc>
          <w:tcPr>
            <w:tcW w:w="2031" w:type="dxa"/>
            <w:tcBorders>
              <w:top w:val="single" w:sz="4" w:space="0" w:color="auto"/>
              <w:left w:val="nil"/>
              <w:bottom w:val="single" w:sz="4" w:space="0" w:color="auto"/>
              <w:right w:val="single" w:sz="4" w:space="0" w:color="auto"/>
            </w:tcBorders>
            <w:shd w:val="clear" w:color="auto" w:fill="C6EFCE"/>
            <w:noWrap/>
          </w:tcPr>
          <w:p w14:paraId="0389C8BE" w14:textId="77777777" w:rsidR="00A345F4" w:rsidRDefault="005E2D4E">
            <w:pPr>
              <w:pStyle w:val="P68B1DB1-Normal14"/>
              <w:spacing w:after="0" w:line="240" w:lineRule="auto"/>
              <w:jc w:val="both"/>
              <w:rPr>
                <w:noProof/>
              </w:rPr>
            </w:pPr>
            <w:r>
              <w:rPr>
                <w:noProof/>
              </w:rPr>
              <w:t>Établissements d'enseignement bénéficiant du programme de bourses (lot 1)</w:t>
            </w:r>
          </w:p>
        </w:tc>
        <w:tc>
          <w:tcPr>
            <w:tcW w:w="1553" w:type="dxa"/>
            <w:tcBorders>
              <w:top w:val="single" w:sz="4" w:space="0" w:color="auto"/>
              <w:left w:val="nil"/>
              <w:bottom w:val="single" w:sz="4" w:space="0" w:color="auto"/>
              <w:right w:val="single" w:sz="4" w:space="0" w:color="auto"/>
            </w:tcBorders>
            <w:shd w:val="clear" w:color="auto" w:fill="C6EFCE"/>
            <w:noWrap/>
          </w:tcPr>
          <w:p w14:paraId="57E6E2F6"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single" w:sz="4" w:space="0" w:color="auto"/>
              <w:left w:val="nil"/>
              <w:bottom w:val="single" w:sz="4" w:space="0" w:color="auto"/>
              <w:right w:val="single" w:sz="4" w:space="0" w:color="auto"/>
            </w:tcBorders>
            <w:shd w:val="clear" w:color="auto" w:fill="C6EFCE"/>
            <w:noWrap/>
          </w:tcPr>
          <w:p w14:paraId="4F9DCB36" w14:textId="77777777" w:rsidR="00A345F4" w:rsidRDefault="005E2D4E">
            <w:pPr>
              <w:pStyle w:val="P68B1DB1-Normal14"/>
              <w:spacing w:after="0" w:line="240" w:lineRule="auto"/>
              <w:jc w:val="both"/>
              <w:rPr>
                <w:noProof/>
              </w:rPr>
            </w:pPr>
            <w:r>
              <w:rPr>
                <w:noProof/>
              </w:rPr>
              <w:t>Numéro</w:t>
            </w:r>
          </w:p>
        </w:tc>
        <w:tc>
          <w:tcPr>
            <w:tcW w:w="1013" w:type="dxa"/>
            <w:tcBorders>
              <w:top w:val="single" w:sz="4" w:space="0" w:color="auto"/>
              <w:left w:val="nil"/>
              <w:bottom w:val="single" w:sz="4" w:space="0" w:color="auto"/>
              <w:right w:val="single" w:sz="4" w:space="0" w:color="auto"/>
            </w:tcBorders>
            <w:shd w:val="clear" w:color="auto" w:fill="C6EFCE"/>
            <w:noWrap/>
          </w:tcPr>
          <w:p w14:paraId="7389BA45" w14:textId="77777777" w:rsidR="00A345F4" w:rsidRDefault="005E2D4E">
            <w:pPr>
              <w:pStyle w:val="P68B1DB1-Normal14"/>
              <w:spacing w:after="0" w:line="240" w:lineRule="auto"/>
              <w:jc w:val="both"/>
              <w:rPr>
                <w:noProof/>
              </w:rPr>
            </w:pPr>
            <w:r>
              <w:rPr>
                <w:noProof/>
              </w:rPr>
              <w:t>0</w:t>
            </w:r>
          </w:p>
        </w:tc>
        <w:tc>
          <w:tcPr>
            <w:tcW w:w="995" w:type="dxa"/>
            <w:tcBorders>
              <w:top w:val="single" w:sz="4" w:space="0" w:color="auto"/>
              <w:left w:val="nil"/>
              <w:bottom w:val="single" w:sz="4" w:space="0" w:color="auto"/>
              <w:right w:val="single" w:sz="4" w:space="0" w:color="auto"/>
            </w:tcBorders>
            <w:shd w:val="clear" w:color="auto" w:fill="C6EFCE"/>
            <w:noWrap/>
          </w:tcPr>
          <w:p w14:paraId="05BBD93D" w14:textId="77777777" w:rsidR="00A345F4" w:rsidRDefault="005E2D4E">
            <w:pPr>
              <w:pStyle w:val="P68B1DB1-Normal14"/>
              <w:spacing w:after="0" w:line="240" w:lineRule="auto"/>
              <w:jc w:val="both"/>
              <w:rPr>
                <w:noProof/>
              </w:rPr>
            </w:pPr>
            <w:r>
              <w:rPr>
                <w:noProof/>
              </w:rPr>
              <w:t>750</w:t>
            </w:r>
          </w:p>
        </w:tc>
        <w:tc>
          <w:tcPr>
            <w:tcW w:w="987" w:type="dxa"/>
            <w:tcBorders>
              <w:top w:val="single" w:sz="4" w:space="0" w:color="auto"/>
              <w:left w:val="nil"/>
              <w:bottom w:val="single" w:sz="4" w:space="0" w:color="auto"/>
              <w:right w:val="single" w:sz="4" w:space="0" w:color="auto"/>
            </w:tcBorders>
            <w:shd w:val="clear" w:color="auto" w:fill="C6EFCE"/>
            <w:noWrap/>
          </w:tcPr>
          <w:p w14:paraId="1289A97E" w14:textId="77777777" w:rsidR="00A345F4" w:rsidRDefault="005E2D4E">
            <w:pPr>
              <w:pStyle w:val="P68B1DB1-Normal14"/>
              <w:spacing w:after="0" w:line="240" w:lineRule="auto"/>
              <w:jc w:val="both"/>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Pr>
          <w:p w14:paraId="46380051" w14:textId="77777777" w:rsidR="00A345F4" w:rsidRDefault="005E2D4E">
            <w:pPr>
              <w:pStyle w:val="P68B1DB1-Normal14"/>
              <w:spacing w:after="0" w:line="240" w:lineRule="auto"/>
              <w:jc w:val="both"/>
              <w:rPr>
                <w:noProof/>
              </w:rPr>
            </w:pPr>
            <w:r>
              <w:rPr>
                <w:noProof/>
              </w:rPr>
              <w:t>2022</w:t>
            </w:r>
          </w:p>
        </w:tc>
        <w:tc>
          <w:tcPr>
            <w:tcW w:w="3406" w:type="dxa"/>
            <w:tcBorders>
              <w:top w:val="single" w:sz="4" w:space="0" w:color="auto"/>
              <w:left w:val="nil"/>
              <w:bottom w:val="single" w:sz="4" w:space="0" w:color="auto"/>
              <w:right w:val="single" w:sz="4" w:space="0" w:color="auto"/>
            </w:tcBorders>
            <w:shd w:val="clear" w:color="auto" w:fill="C6EFCE"/>
            <w:noWrap/>
          </w:tcPr>
          <w:p w14:paraId="6D711072" w14:textId="77777777" w:rsidR="00A345F4" w:rsidRDefault="005E2D4E">
            <w:pPr>
              <w:pStyle w:val="P68B1DB1-Normal14"/>
              <w:spacing w:after="0" w:line="240" w:lineRule="auto"/>
              <w:jc w:val="both"/>
              <w:rPr>
                <w:noProof/>
              </w:rPr>
            </w:pPr>
            <w:r>
              <w:rPr>
                <w:noProof/>
              </w:rPr>
              <w:t xml:space="preserve">750 établissements d’enseignement reçoivent des subventions pour soutenir les étudiants dans la transition de l’enseignement secondaire inférieur à l’enseignement secondaire supérieur, sur la base de 5 indicateurs définis dans le mécanisme d’alerte précoce en matière d’éducation. Tous les indicateurs sont calculés sur la base d'un poids qui analyse la quantité, c'est-à-dire le nombre d'élèves et d'enseignants, ou la qualité, c'est-à-dire les notes obtenues lors de l'évaluation nationale. </w:t>
            </w:r>
          </w:p>
          <w:p w14:paraId="2590CA45" w14:textId="77777777" w:rsidR="00A345F4" w:rsidRDefault="005E2D4E">
            <w:pPr>
              <w:pStyle w:val="P68B1DB1-Normal14"/>
              <w:spacing w:after="0" w:line="240" w:lineRule="auto"/>
              <w:jc w:val="both"/>
              <w:rPr>
                <w:noProof/>
              </w:rPr>
            </w:pPr>
            <w:r>
              <w:rPr>
                <w:noProof/>
              </w:rPr>
              <w:t>Sur la base de l’indice de vulnérabilité relatif au décrochage scolaire, les écoles MATE ont été classées en trois catégories, en fonction de la priorité de l’intervention: haute, moyenne et basse. Les unités d'enseignement hautement prioritaires, qui nécessitent une intervention immédiate, sont considérées comme celles qui obtiennent un score total compris entre 3,5 et 5 et qui présentent plusieurs éléments de vulnérabilité, tels qu'un nombre élevé d'enseignants suppléants, un taux élevé d'abandon scolaire, un faible taux de participation et des résultats d'évaluation nationaux médiocres. Ces écoles doivent bénéficier d'un financement prioritaire.</w:t>
            </w:r>
          </w:p>
          <w:p w14:paraId="3EAC7F6D" w14:textId="77777777" w:rsidR="00A345F4" w:rsidRDefault="005E2D4E">
            <w:pPr>
              <w:pStyle w:val="P68B1DB1-Normal14"/>
              <w:spacing w:after="0" w:line="240" w:lineRule="auto"/>
              <w:jc w:val="both"/>
              <w:rPr>
                <w:noProof/>
              </w:rPr>
            </w:pPr>
            <w:r>
              <w:rPr>
                <w:noProof/>
              </w:rPr>
              <w:t xml:space="preserve">Les activités éligibles comprennent: </w:t>
            </w:r>
          </w:p>
          <w:p w14:paraId="7AA14193" w14:textId="77777777" w:rsidR="00A345F4" w:rsidRDefault="005E2D4E">
            <w:pPr>
              <w:pStyle w:val="P68B1DB1-Normal14"/>
              <w:numPr>
                <w:ilvl w:val="0"/>
                <w:numId w:val="69"/>
              </w:numPr>
              <w:spacing w:before="120" w:after="0" w:line="240" w:lineRule="auto"/>
              <w:ind w:left="189" w:hanging="142"/>
              <w:contextualSpacing/>
              <w:jc w:val="both"/>
              <w:rPr>
                <w:noProof/>
              </w:rPr>
            </w:pPr>
            <w:r>
              <w:rPr>
                <w:noProof/>
              </w:rPr>
              <w:t xml:space="preserve">activités pédagogiques et de soutien </w:t>
            </w:r>
          </w:p>
          <w:p w14:paraId="175DA176" w14:textId="77777777" w:rsidR="00A345F4" w:rsidRDefault="005E2D4E">
            <w:pPr>
              <w:pStyle w:val="P68B1DB1-Normal14"/>
              <w:numPr>
                <w:ilvl w:val="0"/>
                <w:numId w:val="69"/>
              </w:numPr>
              <w:spacing w:before="120" w:after="0" w:line="240" w:lineRule="auto"/>
              <w:ind w:left="189" w:hanging="142"/>
              <w:contextualSpacing/>
              <w:jc w:val="both"/>
              <w:rPr>
                <w:noProof/>
              </w:rPr>
            </w:pPr>
            <w:r>
              <w:rPr>
                <w:noProof/>
              </w:rPr>
              <w:t xml:space="preserve">activités extrascolaires </w:t>
            </w:r>
          </w:p>
          <w:p w14:paraId="7E07E57C" w14:textId="77777777" w:rsidR="00A345F4" w:rsidRDefault="005E2D4E">
            <w:pPr>
              <w:pStyle w:val="P68B1DB1-Normal14"/>
              <w:numPr>
                <w:ilvl w:val="0"/>
                <w:numId w:val="69"/>
              </w:numPr>
              <w:spacing w:before="120" w:after="0" w:line="240" w:lineRule="auto"/>
              <w:ind w:left="189" w:hanging="142"/>
              <w:contextualSpacing/>
              <w:jc w:val="both"/>
              <w:rPr>
                <w:noProof/>
              </w:rPr>
            </w:pPr>
            <w:r>
              <w:rPr>
                <w:noProof/>
              </w:rPr>
              <w:t xml:space="preserve">travaux mineurs et achats de biens, </w:t>
            </w:r>
          </w:p>
          <w:p w14:paraId="0FFBBA0A" w14:textId="77777777" w:rsidR="00A345F4" w:rsidRDefault="005E2D4E">
            <w:pPr>
              <w:pStyle w:val="P68B1DB1-Normal14"/>
              <w:numPr>
                <w:ilvl w:val="0"/>
                <w:numId w:val="69"/>
              </w:numPr>
              <w:spacing w:before="120" w:after="0" w:line="240" w:lineRule="auto"/>
              <w:ind w:left="189" w:hanging="142"/>
              <w:contextualSpacing/>
              <w:jc w:val="both"/>
              <w:rPr>
                <w:noProof/>
              </w:rPr>
            </w:pPr>
            <w:r>
              <w:rPr>
                <w:noProof/>
              </w:rPr>
              <w:t xml:space="preserve">des bourses pour les élèves appartenant à des groupes vulnérables afin d’assurer la transition de l’enseignement secondaire inférieur à l’enseignement secondaire supérieur vers l’achèvement de l’enseignement obligatoire, </w:t>
            </w:r>
          </w:p>
          <w:p w14:paraId="471CCC00" w14:textId="77777777" w:rsidR="00A345F4" w:rsidRDefault="005E2D4E">
            <w:pPr>
              <w:pStyle w:val="P68B1DB1-Normal14"/>
              <w:numPr>
                <w:ilvl w:val="0"/>
                <w:numId w:val="69"/>
              </w:numPr>
              <w:spacing w:before="120" w:after="0" w:line="240" w:lineRule="auto"/>
              <w:ind w:left="189" w:hanging="142"/>
              <w:contextualSpacing/>
              <w:jc w:val="both"/>
              <w:rPr>
                <w:noProof/>
              </w:rPr>
            </w:pPr>
            <w:r>
              <w:rPr>
                <w:noProof/>
              </w:rPr>
              <w:t>partenariats avec des ONG pour des activités de soutien et/ou extrascolaires.</w:t>
            </w:r>
          </w:p>
          <w:p w14:paraId="36CB08F2" w14:textId="77777777" w:rsidR="00A345F4" w:rsidRDefault="005E2D4E">
            <w:pPr>
              <w:pStyle w:val="P68B1DB1-Normal14"/>
              <w:spacing w:after="0" w:line="240" w:lineRule="auto"/>
              <w:jc w:val="both"/>
              <w:rPr>
                <w:rFonts w:eastAsia="Times New Roman"/>
                <w:noProof/>
              </w:rPr>
            </w:pPr>
            <w:r>
              <w:rPr>
                <w:noProof/>
              </w:rPr>
              <w:t>Les écoles deviennent responsables des résultats des élèves et des mises à jour régulières des progrès accomplis, en transférant ces informations dans le système de collecte de données MATE.</w:t>
            </w:r>
          </w:p>
        </w:tc>
      </w:tr>
      <w:tr w:rsidR="00A345F4" w14:paraId="4B8B1CBC"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93BC7CE" w14:textId="77777777" w:rsidR="00A345F4" w:rsidRDefault="005E2D4E">
            <w:pPr>
              <w:pStyle w:val="P68B1DB1-Normal14"/>
              <w:spacing w:after="0" w:line="240" w:lineRule="auto"/>
              <w:jc w:val="center"/>
              <w:rPr>
                <w:noProof/>
              </w:rPr>
            </w:pPr>
            <w:r>
              <w:rPr>
                <w:noProof/>
              </w:rPr>
              <w:t>466</w:t>
            </w:r>
          </w:p>
        </w:tc>
        <w:tc>
          <w:tcPr>
            <w:tcW w:w="1863" w:type="dxa"/>
            <w:tcBorders>
              <w:top w:val="single" w:sz="4" w:space="0" w:color="auto"/>
              <w:left w:val="nil"/>
              <w:bottom w:val="single" w:sz="4" w:space="0" w:color="auto"/>
              <w:right w:val="single" w:sz="4" w:space="0" w:color="auto"/>
            </w:tcBorders>
            <w:shd w:val="clear" w:color="auto" w:fill="C6EFCE"/>
            <w:noWrap/>
          </w:tcPr>
          <w:p w14:paraId="756CE480" w14:textId="77777777" w:rsidR="00A345F4" w:rsidRDefault="005E2D4E">
            <w:pPr>
              <w:pStyle w:val="P68B1DB1-Normal14"/>
              <w:spacing w:after="0" w:line="240" w:lineRule="auto"/>
              <w:jc w:val="both"/>
              <w:rPr>
                <w:noProof/>
              </w:rPr>
            </w:pPr>
            <w:r>
              <w:rPr>
                <w:noProof/>
              </w:rPr>
              <w:t>Investissement 4. Soutenir les établissements d’enseignement présentant un risque moyen et élevé d’abandon scolaire</w:t>
            </w:r>
          </w:p>
        </w:tc>
        <w:tc>
          <w:tcPr>
            <w:tcW w:w="1151" w:type="dxa"/>
            <w:tcBorders>
              <w:top w:val="single" w:sz="4" w:space="0" w:color="auto"/>
              <w:left w:val="nil"/>
              <w:bottom w:val="single" w:sz="4" w:space="0" w:color="auto"/>
              <w:right w:val="single" w:sz="4" w:space="0" w:color="auto"/>
            </w:tcBorders>
            <w:shd w:val="clear" w:color="auto" w:fill="C6EFCE"/>
            <w:noWrap/>
          </w:tcPr>
          <w:p w14:paraId="6D870B51" w14:textId="77777777" w:rsidR="00A345F4" w:rsidRDefault="005E2D4E">
            <w:pPr>
              <w:pStyle w:val="P68B1DB1-Normal14"/>
              <w:spacing w:after="0" w:line="240" w:lineRule="auto"/>
              <w:jc w:val="both"/>
              <w:rPr>
                <w:noProof/>
              </w:rPr>
            </w:pPr>
            <w:r>
              <w:rPr>
                <w:noProof/>
              </w:rPr>
              <w:t>Objectif</w:t>
            </w:r>
          </w:p>
        </w:tc>
        <w:tc>
          <w:tcPr>
            <w:tcW w:w="2031" w:type="dxa"/>
            <w:tcBorders>
              <w:top w:val="single" w:sz="4" w:space="0" w:color="auto"/>
              <w:left w:val="nil"/>
              <w:bottom w:val="single" w:sz="4" w:space="0" w:color="auto"/>
              <w:right w:val="single" w:sz="4" w:space="0" w:color="auto"/>
            </w:tcBorders>
            <w:shd w:val="clear" w:color="auto" w:fill="C6EFCE"/>
            <w:noWrap/>
          </w:tcPr>
          <w:p w14:paraId="70CA1656" w14:textId="77777777" w:rsidR="00A345F4" w:rsidRDefault="005E2D4E">
            <w:pPr>
              <w:pStyle w:val="P68B1DB1-Normal14"/>
              <w:spacing w:after="0" w:line="240" w:lineRule="auto"/>
              <w:jc w:val="both"/>
              <w:rPr>
                <w:noProof/>
              </w:rPr>
            </w:pPr>
            <w:r>
              <w:rPr>
                <w:noProof/>
              </w:rPr>
              <w:t xml:space="preserve">Établissements d'enseignement supplémentaires subventionnés </w:t>
            </w:r>
          </w:p>
        </w:tc>
        <w:tc>
          <w:tcPr>
            <w:tcW w:w="1553" w:type="dxa"/>
            <w:tcBorders>
              <w:top w:val="single" w:sz="4" w:space="0" w:color="auto"/>
              <w:left w:val="nil"/>
              <w:bottom w:val="single" w:sz="4" w:space="0" w:color="auto"/>
              <w:right w:val="single" w:sz="4" w:space="0" w:color="auto"/>
            </w:tcBorders>
            <w:shd w:val="clear" w:color="auto" w:fill="C6EFCE"/>
            <w:noWrap/>
          </w:tcPr>
          <w:p w14:paraId="13C7E173"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single" w:sz="4" w:space="0" w:color="auto"/>
              <w:left w:val="nil"/>
              <w:bottom w:val="single" w:sz="4" w:space="0" w:color="auto"/>
              <w:right w:val="single" w:sz="4" w:space="0" w:color="auto"/>
            </w:tcBorders>
            <w:shd w:val="clear" w:color="auto" w:fill="C6EFCE"/>
            <w:noWrap/>
          </w:tcPr>
          <w:p w14:paraId="7620A428" w14:textId="77777777" w:rsidR="00A345F4" w:rsidRDefault="005E2D4E">
            <w:pPr>
              <w:pStyle w:val="P68B1DB1-Normal14"/>
              <w:spacing w:after="0" w:line="240" w:lineRule="auto"/>
              <w:jc w:val="both"/>
              <w:rPr>
                <w:noProof/>
              </w:rPr>
            </w:pPr>
            <w:r>
              <w:rPr>
                <w:noProof/>
              </w:rPr>
              <w:t>Numéro</w:t>
            </w:r>
          </w:p>
        </w:tc>
        <w:tc>
          <w:tcPr>
            <w:tcW w:w="1013" w:type="dxa"/>
            <w:tcBorders>
              <w:top w:val="single" w:sz="4" w:space="0" w:color="auto"/>
              <w:left w:val="nil"/>
              <w:bottom w:val="single" w:sz="4" w:space="0" w:color="auto"/>
              <w:right w:val="single" w:sz="4" w:space="0" w:color="auto"/>
            </w:tcBorders>
            <w:shd w:val="clear" w:color="auto" w:fill="C6EFCE"/>
            <w:noWrap/>
          </w:tcPr>
          <w:p w14:paraId="5D469940" w14:textId="77777777" w:rsidR="00A345F4" w:rsidRDefault="005E2D4E">
            <w:pPr>
              <w:pStyle w:val="P68B1DB1-Normal14"/>
              <w:spacing w:after="0" w:line="240" w:lineRule="auto"/>
              <w:jc w:val="both"/>
              <w:rPr>
                <w:noProof/>
              </w:rPr>
            </w:pPr>
            <w:r>
              <w:rPr>
                <w:noProof/>
              </w:rPr>
              <w:t>750</w:t>
            </w:r>
          </w:p>
        </w:tc>
        <w:tc>
          <w:tcPr>
            <w:tcW w:w="995" w:type="dxa"/>
            <w:tcBorders>
              <w:top w:val="single" w:sz="4" w:space="0" w:color="auto"/>
              <w:left w:val="nil"/>
              <w:bottom w:val="single" w:sz="4" w:space="0" w:color="auto"/>
              <w:right w:val="single" w:sz="4" w:space="0" w:color="auto"/>
            </w:tcBorders>
            <w:shd w:val="clear" w:color="auto" w:fill="C6EFCE"/>
            <w:noWrap/>
          </w:tcPr>
          <w:p w14:paraId="78721CDD" w14:textId="00024238" w:rsidR="00A345F4" w:rsidRDefault="005E2D4E">
            <w:pPr>
              <w:pStyle w:val="P68B1DB1-Normal14"/>
              <w:spacing w:after="0" w:line="240" w:lineRule="auto"/>
              <w:jc w:val="both"/>
              <w:rPr>
                <w:noProof/>
              </w:rPr>
            </w:pPr>
            <w:r>
              <w:rPr>
                <w:noProof/>
              </w:rPr>
              <w:t>2 300</w:t>
            </w:r>
          </w:p>
        </w:tc>
        <w:tc>
          <w:tcPr>
            <w:tcW w:w="987" w:type="dxa"/>
            <w:tcBorders>
              <w:top w:val="single" w:sz="4" w:space="0" w:color="auto"/>
              <w:left w:val="nil"/>
              <w:bottom w:val="single" w:sz="4" w:space="0" w:color="auto"/>
              <w:right w:val="single" w:sz="4" w:space="0" w:color="auto"/>
            </w:tcBorders>
            <w:shd w:val="clear" w:color="auto" w:fill="C6EFCE"/>
            <w:noWrap/>
          </w:tcPr>
          <w:p w14:paraId="4CCA4AB6"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07A10ED9" w14:textId="77777777" w:rsidR="00A345F4" w:rsidRDefault="005E2D4E">
            <w:pPr>
              <w:pStyle w:val="P68B1DB1-Normal14"/>
              <w:spacing w:after="0" w:line="240" w:lineRule="auto"/>
              <w:jc w:val="both"/>
              <w:rPr>
                <w:noProof/>
              </w:rPr>
            </w:pPr>
            <w:r>
              <w:rPr>
                <w:noProof/>
              </w:rPr>
              <w:t>2026</w:t>
            </w:r>
          </w:p>
        </w:tc>
        <w:tc>
          <w:tcPr>
            <w:tcW w:w="3406" w:type="dxa"/>
            <w:tcBorders>
              <w:top w:val="single" w:sz="4" w:space="0" w:color="auto"/>
              <w:left w:val="nil"/>
              <w:bottom w:val="single" w:sz="4" w:space="0" w:color="auto"/>
              <w:right w:val="single" w:sz="4" w:space="0" w:color="auto"/>
            </w:tcBorders>
            <w:shd w:val="clear" w:color="auto" w:fill="C6EFCE"/>
            <w:noWrap/>
          </w:tcPr>
          <w:p w14:paraId="48C34F6E" w14:textId="0279A253" w:rsidR="00A345F4" w:rsidRDefault="005E2D4E">
            <w:pPr>
              <w:pStyle w:val="P68B1DB1-Normal14"/>
              <w:spacing w:after="0" w:line="240" w:lineRule="auto"/>
              <w:jc w:val="both"/>
              <w:rPr>
                <w:noProof/>
              </w:rPr>
            </w:pPr>
            <w:r>
              <w:rPr>
                <w:noProof/>
              </w:rPr>
              <w:t>Les établissements d’enseignement supplémentaires présentant un risque moyen et élevé d’abandon scolaire reçoivent des subventions, avec</w:t>
            </w:r>
          </w:p>
          <w:p w14:paraId="07CB1C6F" w14:textId="77777777" w:rsidR="00A345F4" w:rsidRDefault="005E2D4E">
            <w:pPr>
              <w:pStyle w:val="P68B1DB1-Normal14"/>
              <w:spacing w:after="0" w:line="240" w:lineRule="auto"/>
              <w:jc w:val="both"/>
              <w:rPr>
                <w:noProof/>
              </w:rPr>
            </w:pPr>
            <w:r>
              <w:rPr>
                <w:noProof/>
              </w:rPr>
              <w:t xml:space="preserve">les activités éligibles, y compris, par exemple: </w:t>
            </w:r>
          </w:p>
          <w:p w14:paraId="160E9044" w14:textId="77777777" w:rsidR="00A345F4" w:rsidRDefault="005E2D4E">
            <w:pPr>
              <w:pStyle w:val="P68B1DB1-Normal14"/>
              <w:numPr>
                <w:ilvl w:val="0"/>
                <w:numId w:val="70"/>
              </w:numPr>
              <w:spacing w:before="120" w:after="0" w:line="240" w:lineRule="auto"/>
              <w:ind w:left="189" w:hanging="142"/>
              <w:contextualSpacing/>
              <w:jc w:val="both"/>
              <w:rPr>
                <w:noProof/>
              </w:rPr>
            </w:pPr>
            <w:r>
              <w:rPr>
                <w:noProof/>
              </w:rPr>
              <w:t xml:space="preserve">activités pédagogiques et de soutien; </w:t>
            </w:r>
          </w:p>
          <w:p w14:paraId="47C12E2F" w14:textId="77777777" w:rsidR="00A345F4" w:rsidRDefault="005E2D4E">
            <w:pPr>
              <w:pStyle w:val="P68B1DB1-Normal14"/>
              <w:numPr>
                <w:ilvl w:val="0"/>
                <w:numId w:val="70"/>
              </w:numPr>
              <w:spacing w:before="120" w:after="0" w:line="240" w:lineRule="auto"/>
              <w:ind w:left="189" w:hanging="142"/>
              <w:contextualSpacing/>
              <w:jc w:val="both"/>
              <w:rPr>
                <w:noProof/>
              </w:rPr>
            </w:pPr>
            <w:r>
              <w:rPr>
                <w:noProof/>
              </w:rPr>
              <w:t xml:space="preserve">activités extrascolaires; </w:t>
            </w:r>
          </w:p>
          <w:p w14:paraId="5915A4BA" w14:textId="77777777" w:rsidR="00A345F4" w:rsidRDefault="005E2D4E">
            <w:pPr>
              <w:pStyle w:val="P68B1DB1-Normal14"/>
              <w:numPr>
                <w:ilvl w:val="0"/>
                <w:numId w:val="70"/>
              </w:numPr>
              <w:spacing w:before="120" w:after="0" w:line="240" w:lineRule="auto"/>
              <w:ind w:left="189" w:hanging="142"/>
              <w:contextualSpacing/>
              <w:jc w:val="both"/>
              <w:rPr>
                <w:noProof/>
              </w:rPr>
            </w:pPr>
            <w:r>
              <w:rPr>
                <w:noProof/>
              </w:rPr>
              <w:t xml:space="preserve">travaux mineurs et achats de biens, y compris d’équipements numériques; </w:t>
            </w:r>
          </w:p>
          <w:p w14:paraId="2E5D63BD" w14:textId="77777777" w:rsidR="00A345F4" w:rsidRDefault="005E2D4E">
            <w:pPr>
              <w:pStyle w:val="P68B1DB1-Normal14"/>
              <w:numPr>
                <w:ilvl w:val="0"/>
                <w:numId w:val="70"/>
              </w:numPr>
              <w:spacing w:before="120" w:after="0" w:line="240" w:lineRule="auto"/>
              <w:ind w:left="189" w:hanging="142"/>
              <w:contextualSpacing/>
              <w:jc w:val="both"/>
              <w:rPr>
                <w:noProof/>
              </w:rPr>
            </w:pPr>
            <w:r>
              <w:rPr>
                <w:noProof/>
              </w:rPr>
              <w:t xml:space="preserve">des bourses pour les élèves appartenant à des groupes vulnérables; ou </w:t>
            </w:r>
          </w:p>
          <w:p w14:paraId="4FC82047" w14:textId="77777777" w:rsidR="00A345F4" w:rsidRDefault="005E2D4E">
            <w:pPr>
              <w:pStyle w:val="P68B1DB1-Normal14"/>
              <w:numPr>
                <w:ilvl w:val="0"/>
                <w:numId w:val="70"/>
              </w:numPr>
              <w:spacing w:before="120" w:after="0" w:line="240" w:lineRule="auto"/>
              <w:ind w:left="189" w:hanging="142"/>
              <w:contextualSpacing/>
              <w:jc w:val="both"/>
              <w:rPr>
                <w:noProof/>
              </w:rPr>
            </w:pPr>
            <w:r>
              <w:rPr>
                <w:noProof/>
              </w:rPr>
              <w:t>partenariats avec des ONG pour des activités de soutien et/ou extrascolaires.</w:t>
            </w:r>
          </w:p>
        </w:tc>
      </w:tr>
      <w:tr w:rsidR="00A345F4" w14:paraId="3949F0DD"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32DA2314" w14:textId="77777777" w:rsidR="00A345F4" w:rsidRDefault="005E2D4E">
            <w:pPr>
              <w:pStyle w:val="P68B1DB1-Normal14"/>
              <w:spacing w:after="0" w:line="240" w:lineRule="auto"/>
              <w:jc w:val="center"/>
              <w:rPr>
                <w:noProof/>
              </w:rPr>
            </w:pPr>
            <w:r>
              <w:rPr>
                <w:noProof/>
              </w:rPr>
              <w:t>468</w:t>
            </w:r>
          </w:p>
        </w:tc>
        <w:tc>
          <w:tcPr>
            <w:tcW w:w="1863" w:type="dxa"/>
            <w:tcBorders>
              <w:top w:val="single" w:sz="4" w:space="0" w:color="auto"/>
              <w:left w:val="nil"/>
              <w:bottom w:val="single" w:sz="4" w:space="0" w:color="auto"/>
              <w:right w:val="single" w:sz="4" w:space="0" w:color="auto"/>
            </w:tcBorders>
            <w:shd w:val="clear" w:color="auto" w:fill="C6EFCE"/>
            <w:noWrap/>
          </w:tcPr>
          <w:p w14:paraId="75807461" w14:textId="77777777" w:rsidR="00A345F4" w:rsidRDefault="005E2D4E">
            <w:pPr>
              <w:pStyle w:val="P68B1DB1-Normal14"/>
              <w:spacing w:after="0" w:line="240" w:lineRule="auto"/>
              <w:jc w:val="both"/>
              <w:rPr>
                <w:noProof/>
              </w:rPr>
            </w:pPr>
            <w:r>
              <w:rPr>
                <w:noProof/>
              </w:rPr>
              <w:t xml:space="preserve">Investissement 4. Soutenir les établissements d’enseignement présentant un risque moyen et élevé d’abandon scolaire </w:t>
            </w:r>
          </w:p>
        </w:tc>
        <w:tc>
          <w:tcPr>
            <w:tcW w:w="1151" w:type="dxa"/>
            <w:tcBorders>
              <w:top w:val="single" w:sz="4" w:space="0" w:color="auto"/>
              <w:left w:val="nil"/>
              <w:bottom w:val="single" w:sz="4" w:space="0" w:color="auto"/>
              <w:right w:val="single" w:sz="4" w:space="0" w:color="auto"/>
            </w:tcBorders>
            <w:shd w:val="clear" w:color="auto" w:fill="C6EFCE"/>
            <w:noWrap/>
          </w:tcPr>
          <w:p w14:paraId="5BFD9D54" w14:textId="77777777" w:rsidR="00A345F4" w:rsidRDefault="005E2D4E">
            <w:pPr>
              <w:pStyle w:val="P68B1DB1-Normal14"/>
              <w:spacing w:after="0" w:line="240" w:lineRule="auto"/>
              <w:jc w:val="both"/>
              <w:rPr>
                <w:noProof/>
              </w:rPr>
            </w:pPr>
            <w:r>
              <w:rPr>
                <w:noProof/>
              </w:rPr>
              <w:t>Objectif</w:t>
            </w:r>
          </w:p>
        </w:tc>
        <w:tc>
          <w:tcPr>
            <w:tcW w:w="2031" w:type="dxa"/>
            <w:tcBorders>
              <w:top w:val="single" w:sz="4" w:space="0" w:color="auto"/>
              <w:left w:val="nil"/>
              <w:bottom w:val="single" w:sz="4" w:space="0" w:color="auto"/>
              <w:right w:val="single" w:sz="4" w:space="0" w:color="auto"/>
            </w:tcBorders>
            <w:shd w:val="clear" w:color="auto" w:fill="C6EFCE"/>
            <w:noWrap/>
          </w:tcPr>
          <w:p w14:paraId="2B899587" w14:textId="77777777" w:rsidR="00A345F4" w:rsidRDefault="005E2D4E">
            <w:pPr>
              <w:pStyle w:val="P68B1DB1-Normal14"/>
              <w:spacing w:after="0" w:line="240" w:lineRule="auto"/>
              <w:jc w:val="both"/>
              <w:rPr>
                <w:noProof/>
              </w:rPr>
            </w:pPr>
            <w:r>
              <w:rPr>
                <w:noProof/>
              </w:rPr>
              <w:t>Réduction du nombre d'écoles présentant un risque moyen et élevé d'abandon scolaire</w:t>
            </w:r>
          </w:p>
        </w:tc>
        <w:tc>
          <w:tcPr>
            <w:tcW w:w="1553" w:type="dxa"/>
            <w:tcBorders>
              <w:top w:val="single" w:sz="4" w:space="0" w:color="auto"/>
              <w:left w:val="nil"/>
              <w:bottom w:val="single" w:sz="4" w:space="0" w:color="auto"/>
              <w:right w:val="single" w:sz="4" w:space="0" w:color="auto"/>
            </w:tcBorders>
            <w:shd w:val="clear" w:color="auto" w:fill="C6EFCE"/>
            <w:noWrap/>
          </w:tcPr>
          <w:p w14:paraId="583A391A"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single" w:sz="4" w:space="0" w:color="auto"/>
              <w:left w:val="nil"/>
              <w:bottom w:val="single" w:sz="4" w:space="0" w:color="auto"/>
              <w:right w:val="single" w:sz="4" w:space="0" w:color="auto"/>
            </w:tcBorders>
            <w:shd w:val="clear" w:color="auto" w:fill="C6EFCE"/>
            <w:noWrap/>
          </w:tcPr>
          <w:p w14:paraId="4CAD8B36" w14:textId="77777777" w:rsidR="00A345F4" w:rsidRDefault="005E2D4E">
            <w:pPr>
              <w:pStyle w:val="P68B1DB1-Normal14"/>
              <w:spacing w:after="0" w:line="240" w:lineRule="auto"/>
              <w:jc w:val="both"/>
              <w:rPr>
                <w:noProof/>
              </w:rPr>
            </w:pPr>
            <w:r>
              <w:rPr>
                <w:noProof/>
              </w:rPr>
              <w:t xml:space="preserve">Numéro </w:t>
            </w:r>
          </w:p>
        </w:tc>
        <w:tc>
          <w:tcPr>
            <w:tcW w:w="1013" w:type="dxa"/>
            <w:tcBorders>
              <w:top w:val="single" w:sz="4" w:space="0" w:color="auto"/>
              <w:left w:val="nil"/>
              <w:bottom w:val="single" w:sz="4" w:space="0" w:color="auto"/>
              <w:right w:val="single" w:sz="4" w:space="0" w:color="auto"/>
            </w:tcBorders>
            <w:shd w:val="clear" w:color="auto" w:fill="C6EFCE"/>
            <w:noWrap/>
          </w:tcPr>
          <w:p w14:paraId="38C27E9E" w14:textId="7F352625" w:rsidR="00A345F4" w:rsidRDefault="005E2D4E">
            <w:pPr>
              <w:pStyle w:val="P68B1DB1-Normal14"/>
              <w:spacing w:after="0" w:line="240" w:lineRule="auto"/>
              <w:jc w:val="both"/>
              <w:rPr>
                <w:noProof/>
              </w:rPr>
            </w:pPr>
            <w:r>
              <w:rPr>
                <w:noProof/>
              </w:rPr>
              <w:t>2 300</w:t>
            </w:r>
          </w:p>
        </w:tc>
        <w:tc>
          <w:tcPr>
            <w:tcW w:w="995" w:type="dxa"/>
            <w:tcBorders>
              <w:top w:val="single" w:sz="4" w:space="0" w:color="auto"/>
              <w:left w:val="nil"/>
              <w:bottom w:val="single" w:sz="4" w:space="0" w:color="auto"/>
              <w:right w:val="single" w:sz="4" w:space="0" w:color="auto"/>
            </w:tcBorders>
            <w:shd w:val="clear" w:color="auto" w:fill="C6EFCE"/>
            <w:noWrap/>
          </w:tcPr>
          <w:p w14:paraId="188051BC" w14:textId="4C2828ED" w:rsidR="00A345F4" w:rsidRDefault="005E2D4E">
            <w:pPr>
              <w:pStyle w:val="P68B1DB1-Normal14"/>
              <w:spacing w:after="0" w:line="240" w:lineRule="auto"/>
              <w:jc w:val="both"/>
              <w:rPr>
                <w:noProof/>
              </w:rPr>
            </w:pPr>
            <w:r>
              <w:rPr>
                <w:noProof/>
              </w:rPr>
              <w:t xml:space="preserve">1 725 </w:t>
            </w:r>
          </w:p>
        </w:tc>
        <w:tc>
          <w:tcPr>
            <w:tcW w:w="987" w:type="dxa"/>
            <w:tcBorders>
              <w:top w:val="single" w:sz="4" w:space="0" w:color="auto"/>
              <w:left w:val="nil"/>
              <w:bottom w:val="single" w:sz="4" w:space="0" w:color="auto"/>
              <w:right w:val="single" w:sz="4" w:space="0" w:color="auto"/>
            </w:tcBorders>
            <w:shd w:val="clear" w:color="auto" w:fill="C6EFCE"/>
            <w:noWrap/>
          </w:tcPr>
          <w:p w14:paraId="0DCC6713"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759B0C35" w14:textId="77777777" w:rsidR="00A345F4" w:rsidRDefault="005E2D4E">
            <w:pPr>
              <w:pStyle w:val="P68B1DB1-Normal14"/>
              <w:spacing w:after="0" w:line="240" w:lineRule="auto"/>
              <w:jc w:val="both"/>
              <w:rPr>
                <w:noProof/>
              </w:rPr>
            </w:pPr>
            <w:r>
              <w:rPr>
                <w:noProof/>
              </w:rPr>
              <w:t>2026</w:t>
            </w:r>
          </w:p>
        </w:tc>
        <w:tc>
          <w:tcPr>
            <w:tcW w:w="3406" w:type="dxa"/>
            <w:tcBorders>
              <w:top w:val="single" w:sz="4" w:space="0" w:color="auto"/>
              <w:left w:val="nil"/>
              <w:bottom w:val="single" w:sz="4" w:space="0" w:color="auto"/>
              <w:right w:val="single" w:sz="4" w:space="0" w:color="auto"/>
            </w:tcBorders>
            <w:shd w:val="clear" w:color="auto" w:fill="C6EFCE"/>
            <w:noWrap/>
          </w:tcPr>
          <w:p w14:paraId="583031F5" w14:textId="77777777" w:rsidR="00A345F4" w:rsidRDefault="005E2D4E">
            <w:pPr>
              <w:pStyle w:val="P68B1DB1-Normal14"/>
              <w:spacing w:after="0" w:line="240" w:lineRule="auto"/>
              <w:jc w:val="both"/>
              <w:rPr>
                <w:noProof/>
              </w:rPr>
            </w:pPr>
            <w:r>
              <w:rPr>
                <w:noProof/>
              </w:rPr>
              <w:t>Le nombre d'écoles présentant un risque moyen et élevé d'abandon scolaire est réduit de 575.</w:t>
            </w:r>
          </w:p>
          <w:p w14:paraId="4BF962A3" w14:textId="77777777" w:rsidR="00A345F4" w:rsidRDefault="005E2D4E">
            <w:pPr>
              <w:pStyle w:val="P68B1DB1-Normal14"/>
              <w:spacing w:after="0" w:line="240" w:lineRule="auto"/>
              <w:jc w:val="both"/>
              <w:rPr>
                <w:noProof/>
              </w:rPr>
            </w:pPr>
            <w:r>
              <w:rPr>
                <w:noProof/>
              </w:rPr>
              <w:t xml:space="preserve">L’indice de vulnérabilité est utilisé pour confirmer la réduction de 25 % dans la cohorte d’intervention à priorité élevée et moyenne, avec une valeur de référence juste avant l’attribution du lot 1 des subventions. </w:t>
            </w:r>
          </w:p>
        </w:tc>
      </w:tr>
      <w:tr w:rsidR="00A345F4" w14:paraId="08351F6B"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4AA2C78" w14:textId="77777777" w:rsidR="00A345F4" w:rsidRDefault="005E2D4E">
            <w:pPr>
              <w:pStyle w:val="P68B1DB1-Normal14"/>
              <w:spacing w:after="0" w:line="240" w:lineRule="auto"/>
              <w:jc w:val="center"/>
              <w:rPr>
                <w:noProof/>
              </w:rPr>
            </w:pPr>
            <w:r>
              <w:rPr>
                <w:noProof/>
              </w:rPr>
              <w:t>469</w:t>
            </w:r>
          </w:p>
        </w:tc>
        <w:tc>
          <w:tcPr>
            <w:tcW w:w="1863" w:type="dxa"/>
            <w:tcBorders>
              <w:top w:val="single" w:sz="4" w:space="0" w:color="auto"/>
              <w:left w:val="nil"/>
              <w:bottom w:val="single" w:sz="4" w:space="0" w:color="auto"/>
              <w:right w:val="single" w:sz="4" w:space="0" w:color="auto"/>
            </w:tcBorders>
            <w:shd w:val="clear" w:color="auto" w:fill="C6EFCE"/>
            <w:noWrap/>
          </w:tcPr>
          <w:p w14:paraId="6F78DDCB" w14:textId="77777777" w:rsidR="00A345F4" w:rsidRDefault="005E2D4E">
            <w:pPr>
              <w:pStyle w:val="P68B1DB1-Normal14"/>
              <w:spacing w:after="0" w:line="240" w:lineRule="auto"/>
              <w:jc w:val="both"/>
              <w:rPr>
                <w:noProof/>
              </w:rPr>
            </w:pPr>
            <w:r>
              <w:rPr>
                <w:noProof/>
              </w:rPr>
              <w:t>Investissement 5. Formations destinées aux utilisateurs du système intégré roumain d’information sur l’éducation (SIIIR) et de l’outil informatique du mécanisme d’alerte précoce (MATE)</w:t>
            </w:r>
            <w:r>
              <w:rPr>
                <w:noProof/>
                <w:u w:val="single"/>
              </w:rPr>
              <w:t xml:space="preserve"> </w:t>
            </w:r>
            <w:r>
              <w:rPr>
                <w:noProof/>
              </w:rPr>
              <w:t>pour réduire le décrochage scolaire</w:t>
            </w:r>
          </w:p>
        </w:tc>
        <w:tc>
          <w:tcPr>
            <w:tcW w:w="1151" w:type="dxa"/>
            <w:tcBorders>
              <w:top w:val="single" w:sz="4" w:space="0" w:color="auto"/>
              <w:left w:val="nil"/>
              <w:bottom w:val="single" w:sz="4" w:space="0" w:color="auto"/>
              <w:right w:val="single" w:sz="4" w:space="0" w:color="auto"/>
            </w:tcBorders>
            <w:shd w:val="clear" w:color="auto" w:fill="C6EFCE"/>
            <w:noWrap/>
          </w:tcPr>
          <w:p w14:paraId="0AE1ABA9"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0E833010" w14:textId="77777777" w:rsidR="00A345F4" w:rsidRDefault="005E2D4E">
            <w:pPr>
              <w:pStyle w:val="P68B1DB1-Normal14"/>
              <w:spacing w:after="0" w:line="240" w:lineRule="auto"/>
              <w:jc w:val="both"/>
              <w:rPr>
                <w:noProof/>
              </w:rPr>
            </w:pPr>
            <w:r>
              <w:rPr>
                <w:noProof/>
              </w:rPr>
              <w:t xml:space="preserve">Cours de formation en ligne dispensé aux utilisateurs du système intégré roumain d’information sur l’éducation (SIIR) et de l’outil informatique MATE </w:t>
            </w:r>
          </w:p>
        </w:tc>
        <w:tc>
          <w:tcPr>
            <w:tcW w:w="1553" w:type="dxa"/>
            <w:tcBorders>
              <w:top w:val="single" w:sz="4" w:space="0" w:color="auto"/>
              <w:left w:val="nil"/>
              <w:bottom w:val="single" w:sz="4" w:space="0" w:color="auto"/>
              <w:right w:val="single" w:sz="4" w:space="0" w:color="auto"/>
            </w:tcBorders>
            <w:shd w:val="clear" w:color="auto" w:fill="C6EFCE"/>
            <w:noWrap/>
          </w:tcPr>
          <w:p w14:paraId="59D79C18" w14:textId="77777777" w:rsidR="00A345F4" w:rsidRDefault="005E2D4E">
            <w:pPr>
              <w:pStyle w:val="P68B1DB1-Normal14"/>
              <w:spacing w:after="0" w:line="240" w:lineRule="auto"/>
              <w:jc w:val="both"/>
              <w:rPr>
                <w:noProof/>
              </w:rPr>
            </w:pPr>
            <w:r>
              <w:rPr>
                <w:noProof/>
              </w:rPr>
              <w:t>Cours de formation en ligne dispensé aux utilisateurs du système intégré roumain d’information sur l’éducation (SIIR) et de l’outil informatique MATE </w:t>
            </w:r>
          </w:p>
        </w:tc>
        <w:tc>
          <w:tcPr>
            <w:tcW w:w="1075" w:type="dxa"/>
            <w:tcBorders>
              <w:top w:val="single" w:sz="4" w:space="0" w:color="auto"/>
              <w:left w:val="nil"/>
              <w:bottom w:val="single" w:sz="4" w:space="0" w:color="auto"/>
              <w:right w:val="single" w:sz="4" w:space="0" w:color="auto"/>
            </w:tcBorders>
            <w:shd w:val="clear" w:color="auto" w:fill="C6EFCE"/>
            <w:noWrap/>
          </w:tcPr>
          <w:p w14:paraId="3F8C2D18"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7FAACC87"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56755CF0"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6F7B53CD"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694ADFE6" w14:textId="77777777" w:rsidR="00A345F4" w:rsidRDefault="005E2D4E">
            <w:pPr>
              <w:pStyle w:val="P68B1DB1-Normal14"/>
              <w:spacing w:after="0" w:line="240" w:lineRule="auto"/>
              <w:jc w:val="both"/>
              <w:rPr>
                <w:noProof/>
              </w:rPr>
            </w:pPr>
            <w:r>
              <w:rPr>
                <w:noProof/>
              </w:rPr>
              <w:t>2025</w:t>
            </w:r>
          </w:p>
        </w:tc>
        <w:tc>
          <w:tcPr>
            <w:tcW w:w="3406" w:type="dxa"/>
            <w:tcBorders>
              <w:top w:val="single" w:sz="4" w:space="0" w:color="auto"/>
              <w:left w:val="nil"/>
              <w:bottom w:val="single" w:sz="4" w:space="0" w:color="auto"/>
              <w:right w:val="single" w:sz="4" w:space="0" w:color="auto"/>
            </w:tcBorders>
            <w:shd w:val="clear" w:color="auto" w:fill="C6EFCE"/>
            <w:noWrap/>
          </w:tcPr>
          <w:p w14:paraId="787C6147" w14:textId="77777777" w:rsidR="00A345F4" w:rsidRDefault="005E2D4E">
            <w:pPr>
              <w:pStyle w:val="P68B1DB1-Normal14"/>
              <w:spacing w:after="0" w:line="240" w:lineRule="auto"/>
              <w:jc w:val="both"/>
              <w:rPr>
                <w:noProof/>
              </w:rPr>
            </w:pPr>
            <w:r>
              <w:rPr>
                <w:noProof/>
              </w:rPr>
              <w:t>Description des spécifications d’un cours de formation en ligne destiné aux utilisateurs de l’outil informatique SIIR et MATE. Le nombre de participants à la formation est visible sur https://mate.edu.ro/harta-formare/. Les modules de la formation sont adaptés:</w:t>
            </w:r>
          </w:p>
          <w:p w14:paraId="56ACE21E" w14:textId="77777777" w:rsidR="00A345F4" w:rsidRDefault="005E2D4E">
            <w:pPr>
              <w:pStyle w:val="P68B1DB1-Normal14"/>
              <w:numPr>
                <w:ilvl w:val="0"/>
                <w:numId w:val="70"/>
              </w:numPr>
              <w:spacing w:before="120" w:after="0" w:line="240" w:lineRule="auto"/>
              <w:ind w:left="189" w:hanging="189"/>
              <w:contextualSpacing/>
              <w:jc w:val="both"/>
              <w:rPr>
                <w:noProof/>
              </w:rPr>
            </w:pPr>
            <w:r>
              <w:rPr>
                <w:noProof/>
              </w:rPr>
              <w:t xml:space="preserve">les besoins et les compétences des étudiants (éducation inclusive), les approches pédagogiques centrées sur les étudiants, les compétences interculturelles et l’évaluation formative; </w:t>
            </w:r>
          </w:p>
          <w:p w14:paraId="416B8685" w14:textId="77777777" w:rsidR="00A345F4" w:rsidRDefault="005E2D4E">
            <w:pPr>
              <w:pStyle w:val="P68B1DB1-Normal14"/>
              <w:numPr>
                <w:ilvl w:val="0"/>
                <w:numId w:val="70"/>
              </w:numPr>
              <w:spacing w:before="120" w:after="0" w:line="240" w:lineRule="auto"/>
              <w:ind w:left="189" w:hanging="189"/>
              <w:contextualSpacing/>
              <w:jc w:val="both"/>
              <w:rPr>
                <w:noProof/>
              </w:rPr>
            </w:pPr>
            <w:r>
              <w:rPr>
                <w:noProof/>
              </w:rPr>
              <w:t xml:space="preserve">l'amélioration des conditions d'enseignement; </w:t>
            </w:r>
          </w:p>
          <w:p w14:paraId="55146C30" w14:textId="77777777" w:rsidR="00A345F4" w:rsidRDefault="005E2D4E">
            <w:pPr>
              <w:pStyle w:val="P68B1DB1-Normal14"/>
              <w:numPr>
                <w:ilvl w:val="0"/>
                <w:numId w:val="70"/>
              </w:numPr>
              <w:spacing w:before="120" w:after="0" w:line="240" w:lineRule="auto"/>
              <w:ind w:left="189" w:hanging="189"/>
              <w:contextualSpacing/>
              <w:jc w:val="both"/>
              <w:rPr>
                <w:noProof/>
              </w:rPr>
            </w:pPr>
            <w:r>
              <w:rPr>
                <w:noProof/>
              </w:rPr>
              <w:t xml:space="preserve">dispenser une formation à l'utilisation du module informatique MATE; </w:t>
            </w:r>
          </w:p>
          <w:p w14:paraId="0B875F68" w14:textId="77777777" w:rsidR="00A345F4" w:rsidRDefault="005E2D4E">
            <w:pPr>
              <w:pStyle w:val="P68B1DB1-Normal14"/>
              <w:numPr>
                <w:ilvl w:val="0"/>
                <w:numId w:val="70"/>
              </w:numPr>
              <w:spacing w:before="120" w:after="0" w:line="240" w:lineRule="auto"/>
              <w:ind w:left="189" w:hanging="189"/>
              <w:contextualSpacing/>
              <w:jc w:val="both"/>
              <w:rPr>
                <w:noProof/>
              </w:rPr>
            </w:pPr>
            <w:r>
              <w:rPr>
                <w:noProof/>
              </w:rPr>
              <w:t>des campagnes de sensibilisation pour les étudiants et les enseignants, qui pourraient être adaptées aux étudiants issus de groupes défavorisés;</w:t>
            </w:r>
          </w:p>
          <w:p w14:paraId="6363D6D2" w14:textId="77777777" w:rsidR="00A345F4" w:rsidRDefault="005E2D4E">
            <w:pPr>
              <w:pStyle w:val="P68B1DB1-Normal14"/>
              <w:numPr>
                <w:ilvl w:val="0"/>
                <w:numId w:val="70"/>
              </w:numPr>
              <w:spacing w:before="120" w:after="0" w:line="240" w:lineRule="auto"/>
              <w:ind w:left="189" w:hanging="189"/>
              <w:contextualSpacing/>
              <w:jc w:val="both"/>
              <w:rPr>
                <w:noProof/>
              </w:rPr>
            </w:pPr>
            <w:r>
              <w:rPr>
                <w:noProof/>
              </w:rPr>
              <w:t>soutenir les compétences socio-émotionnelles des élèves à l'issue de l'enseignement obligatoire.</w:t>
            </w:r>
          </w:p>
        </w:tc>
      </w:tr>
      <w:tr w:rsidR="00A345F4" w14:paraId="3DA2A985"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902F946" w14:textId="77777777" w:rsidR="00A345F4" w:rsidRDefault="005E2D4E">
            <w:pPr>
              <w:pStyle w:val="P68B1DB1-Normal14"/>
              <w:spacing w:after="0" w:line="240" w:lineRule="auto"/>
              <w:jc w:val="center"/>
              <w:rPr>
                <w:noProof/>
              </w:rPr>
            </w:pPr>
            <w:r>
              <w:rPr>
                <w:noProof/>
              </w:rPr>
              <w:t>470</w:t>
            </w:r>
          </w:p>
        </w:tc>
        <w:tc>
          <w:tcPr>
            <w:tcW w:w="1863" w:type="dxa"/>
            <w:tcBorders>
              <w:top w:val="single" w:sz="4" w:space="0" w:color="auto"/>
              <w:left w:val="nil"/>
              <w:bottom w:val="single" w:sz="4" w:space="0" w:color="auto"/>
              <w:right w:val="single" w:sz="4" w:space="0" w:color="auto"/>
            </w:tcBorders>
            <w:shd w:val="clear" w:color="auto" w:fill="C6EFCE"/>
            <w:noWrap/>
          </w:tcPr>
          <w:p w14:paraId="0221F57C" w14:textId="77777777" w:rsidR="00A345F4" w:rsidRDefault="005E2D4E">
            <w:pPr>
              <w:pStyle w:val="P68B1DB1-Normal14"/>
              <w:spacing w:after="0" w:line="240" w:lineRule="auto"/>
              <w:jc w:val="both"/>
              <w:rPr>
                <w:noProof/>
              </w:rPr>
            </w:pPr>
            <w:r>
              <w:rPr>
                <w:noProof/>
              </w:rPr>
              <w:t>Réforme 4. Création d'un parcours professionnel complet pour l'enseignement technique supérieur</w:t>
            </w:r>
          </w:p>
        </w:tc>
        <w:tc>
          <w:tcPr>
            <w:tcW w:w="1151" w:type="dxa"/>
            <w:tcBorders>
              <w:top w:val="single" w:sz="4" w:space="0" w:color="auto"/>
              <w:left w:val="nil"/>
              <w:bottom w:val="single" w:sz="4" w:space="0" w:color="auto"/>
              <w:right w:val="single" w:sz="4" w:space="0" w:color="auto"/>
            </w:tcBorders>
            <w:shd w:val="clear" w:color="auto" w:fill="C6EFCE"/>
            <w:noWrap/>
          </w:tcPr>
          <w:p w14:paraId="6BD33DAE" w14:textId="77777777" w:rsidR="00A345F4" w:rsidRDefault="005E2D4E">
            <w:pPr>
              <w:pStyle w:val="P68B1DB1-Normal14"/>
              <w:spacing w:after="0" w:line="240" w:lineRule="auto"/>
              <w:jc w:val="both"/>
              <w:rPr>
                <w:noProof/>
              </w:rPr>
            </w:pPr>
            <w:r>
              <w:rPr>
                <w:noProof/>
              </w:rPr>
              <w:t>Étape</w:t>
            </w:r>
          </w:p>
          <w:p w14:paraId="21F23FCA" w14:textId="77777777" w:rsidR="00A345F4" w:rsidRDefault="00A345F4">
            <w:pPr>
              <w:spacing w:after="0" w:line="240" w:lineRule="auto"/>
              <w:jc w:val="both"/>
              <w:rPr>
                <w:rFonts w:ascii="Times New Roman" w:hAnsi="Times New Roman" w:cs="Times New Roman"/>
                <w:noProof/>
                <w:sz w:val="20"/>
                <w:szCs w:val="20"/>
              </w:rPr>
            </w:pPr>
          </w:p>
        </w:tc>
        <w:tc>
          <w:tcPr>
            <w:tcW w:w="2031" w:type="dxa"/>
            <w:tcBorders>
              <w:top w:val="single" w:sz="4" w:space="0" w:color="auto"/>
              <w:left w:val="nil"/>
              <w:bottom w:val="single" w:sz="4" w:space="0" w:color="auto"/>
              <w:right w:val="single" w:sz="4" w:space="0" w:color="auto"/>
            </w:tcBorders>
            <w:shd w:val="clear" w:color="auto" w:fill="C6EFCE"/>
            <w:noWrap/>
          </w:tcPr>
          <w:p w14:paraId="6585F170" w14:textId="77777777" w:rsidR="00A345F4" w:rsidRDefault="005E2D4E">
            <w:pPr>
              <w:pStyle w:val="P68B1DB1-Normal14"/>
              <w:spacing w:after="0" w:line="240" w:lineRule="auto"/>
              <w:jc w:val="both"/>
              <w:rPr>
                <w:noProof/>
              </w:rPr>
            </w:pPr>
            <w:bookmarkStart w:id="34" w:name="_Hlk79413408"/>
            <w:r>
              <w:rPr>
                <w:noProof/>
              </w:rPr>
              <w:t>Entrée en vigueur de la décision du gouvernement approuvant la méthodologie pour l'organisation de la double route complète et les nouvelles qualifications résultant de la double route complète</w:t>
            </w:r>
            <w:bookmarkEnd w:id="34"/>
          </w:p>
        </w:tc>
        <w:tc>
          <w:tcPr>
            <w:tcW w:w="1553" w:type="dxa"/>
            <w:tcBorders>
              <w:top w:val="single" w:sz="4" w:space="0" w:color="auto"/>
              <w:left w:val="nil"/>
              <w:bottom w:val="single" w:sz="4" w:space="0" w:color="auto"/>
              <w:right w:val="single" w:sz="4" w:space="0" w:color="auto"/>
            </w:tcBorders>
            <w:shd w:val="clear" w:color="auto" w:fill="C6EFCE"/>
            <w:noWrap/>
          </w:tcPr>
          <w:p w14:paraId="5E8C3359" w14:textId="77777777" w:rsidR="00A345F4" w:rsidRDefault="005E2D4E">
            <w:pPr>
              <w:pStyle w:val="P68B1DB1-Normal14"/>
              <w:spacing w:after="0" w:line="240" w:lineRule="auto"/>
              <w:jc w:val="both"/>
              <w:rPr>
                <w:noProof/>
              </w:rPr>
            </w:pPr>
            <w:r>
              <w:rPr>
                <w:noProof/>
              </w:rPr>
              <w:t xml:space="preserve">Disposition de la décision du gouvernement indiquant l'entrée en vigueur de la méthodologie pour l'organisation de la double route complète et les nouvelles qualifications résultant de la double route complète </w:t>
            </w:r>
          </w:p>
        </w:tc>
        <w:tc>
          <w:tcPr>
            <w:tcW w:w="1075" w:type="dxa"/>
            <w:tcBorders>
              <w:top w:val="single" w:sz="4" w:space="0" w:color="auto"/>
              <w:left w:val="nil"/>
              <w:bottom w:val="single" w:sz="4" w:space="0" w:color="auto"/>
              <w:right w:val="single" w:sz="4" w:space="0" w:color="auto"/>
            </w:tcBorders>
            <w:shd w:val="clear" w:color="auto" w:fill="C6EFCE"/>
            <w:noWrap/>
          </w:tcPr>
          <w:p w14:paraId="439AB91F"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21BCA14C" w14:textId="77777777" w:rsidR="00A345F4" w:rsidRDefault="005E2D4E">
            <w:pPr>
              <w:pStyle w:val="P68B1DB1-Normal14"/>
              <w:spacing w:after="0" w:line="240" w:lineRule="auto"/>
              <w:jc w:val="both"/>
              <w:rPr>
                <w:noProof/>
              </w:rPr>
            </w:pPr>
            <w:r>
              <w:rPr>
                <w:noProof/>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5C849B94" w14:textId="77777777" w:rsidR="00A345F4" w:rsidRDefault="005E2D4E">
            <w:pPr>
              <w:pStyle w:val="P68B1DB1-Normal14"/>
              <w:spacing w:after="0" w:line="240" w:lineRule="auto"/>
              <w:jc w:val="both"/>
              <w:rPr>
                <w:noProof/>
              </w:rPr>
            </w:pPr>
            <w:r>
              <w:rPr>
                <w:noProof/>
              </w:rPr>
              <w:t xml:space="preserve"> </w:t>
            </w:r>
          </w:p>
        </w:tc>
        <w:tc>
          <w:tcPr>
            <w:tcW w:w="987" w:type="dxa"/>
            <w:tcBorders>
              <w:top w:val="single" w:sz="4" w:space="0" w:color="auto"/>
              <w:left w:val="nil"/>
              <w:bottom w:val="single" w:sz="4" w:space="0" w:color="auto"/>
              <w:right w:val="single" w:sz="4" w:space="0" w:color="auto"/>
            </w:tcBorders>
            <w:shd w:val="clear" w:color="auto" w:fill="C6EFCE"/>
            <w:noWrap/>
          </w:tcPr>
          <w:p w14:paraId="665154BB"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592C6D36" w14:textId="77777777" w:rsidR="00A345F4" w:rsidRDefault="005E2D4E">
            <w:pPr>
              <w:pStyle w:val="P68B1DB1-Normal14"/>
              <w:spacing w:after="0" w:line="240" w:lineRule="auto"/>
              <w:jc w:val="both"/>
              <w:rPr>
                <w:noProof/>
              </w:rPr>
            </w:pPr>
            <w:r>
              <w:rPr>
                <w:noProof/>
              </w:rPr>
              <w:t>2022</w:t>
            </w:r>
          </w:p>
        </w:tc>
        <w:tc>
          <w:tcPr>
            <w:tcW w:w="3406" w:type="dxa"/>
            <w:tcBorders>
              <w:top w:val="single" w:sz="4" w:space="0" w:color="auto"/>
              <w:left w:val="nil"/>
              <w:bottom w:val="single" w:sz="4" w:space="0" w:color="auto"/>
              <w:right w:val="single" w:sz="4" w:space="0" w:color="auto"/>
            </w:tcBorders>
            <w:shd w:val="clear" w:color="auto" w:fill="C6EFCE"/>
            <w:noWrap/>
          </w:tcPr>
          <w:p w14:paraId="1866A44F" w14:textId="77777777" w:rsidR="00A345F4" w:rsidRDefault="005E2D4E">
            <w:pPr>
              <w:pStyle w:val="P68B1DB1-Normal14"/>
              <w:spacing w:after="0" w:line="240" w:lineRule="auto"/>
              <w:jc w:val="both"/>
              <w:rPr>
                <w:noProof/>
              </w:rPr>
            </w:pPr>
            <w:r>
              <w:rPr>
                <w:noProof/>
              </w:rPr>
              <w:t>La nouvelle méthode:</w:t>
            </w:r>
          </w:p>
          <w:p w14:paraId="34BA2F8F" w14:textId="77777777" w:rsidR="00A345F4" w:rsidRDefault="005E2D4E">
            <w:pPr>
              <w:pStyle w:val="P68B1DB1-Normal14"/>
              <w:numPr>
                <w:ilvl w:val="0"/>
                <w:numId w:val="71"/>
              </w:numPr>
              <w:spacing w:before="120" w:after="0" w:line="240" w:lineRule="auto"/>
              <w:ind w:left="189" w:hanging="142"/>
              <w:contextualSpacing/>
              <w:jc w:val="both"/>
              <w:rPr>
                <w:noProof/>
              </w:rPr>
            </w:pPr>
            <w:r>
              <w:rPr>
                <w:noProof/>
              </w:rPr>
              <w:t>viser à améliorer les résultats scolaires dans le domaine de la formation professionnelle et de l’enseignement (EFP);</w:t>
            </w:r>
          </w:p>
          <w:p w14:paraId="65BF5804" w14:textId="77777777" w:rsidR="00A345F4" w:rsidRDefault="005E2D4E">
            <w:pPr>
              <w:pStyle w:val="P68B1DB1-Normal14"/>
              <w:numPr>
                <w:ilvl w:val="0"/>
                <w:numId w:val="71"/>
              </w:numPr>
              <w:spacing w:before="120" w:after="0" w:line="240" w:lineRule="auto"/>
              <w:ind w:left="189" w:hanging="142"/>
              <w:contextualSpacing/>
              <w:jc w:val="both"/>
              <w:rPr>
                <w:noProof/>
              </w:rPr>
            </w:pPr>
            <w:r>
              <w:rPr>
                <w:noProof/>
              </w:rPr>
              <w:t xml:space="preserve">garantir un parcours éducatif complet pour les étudiants inscrits dans le cadre de programmes d’enseignement secondaire double et de troisième niveau (qualification 3-7). </w:t>
            </w:r>
          </w:p>
          <w:p w14:paraId="78A06DD6" w14:textId="77777777" w:rsidR="00A345F4" w:rsidRDefault="005E2D4E">
            <w:pPr>
              <w:pStyle w:val="P68B1DB1-Normal14"/>
              <w:numPr>
                <w:ilvl w:val="0"/>
                <w:numId w:val="71"/>
              </w:numPr>
              <w:spacing w:before="120" w:after="0" w:line="240" w:lineRule="auto"/>
              <w:ind w:left="189" w:hanging="142"/>
              <w:contextualSpacing/>
              <w:jc w:val="both"/>
              <w:rPr>
                <w:noProof/>
              </w:rPr>
            </w:pPr>
            <w:r>
              <w:rPr>
                <w:noProof/>
              </w:rPr>
              <w:t>assurer la correspondance entre les niveaux du cadre national des certifications, les actes d’éducation/qualification à délivrer, le type de programmes d’enseignement et de formation professionnels en Roumanie permettant d’atteindre les niveaux de qualification, les niveaux de référence du cadre européen des certifications, ainsi que les conditions d’accès correspondant à chaque niveau de qualification.</w:t>
            </w:r>
          </w:p>
        </w:tc>
      </w:tr>
      <w:tr w:rsidR="00A345F4" w14:paraId="0AA7E15F"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44E3A0C" w14:textId="77777777" w:rsidR="00A345F4" w:rsidRDefault="005E2D4E">
            <w:pPr>
              <w:pStyle w:val="P68B1DB1-Normal14"/>
              <w:spacing w:after="0" w:line="240" w:lineRule="auto"/>
              <w:jc w:val="center"/>
              <w:rPr>
                <w:noProof/>
              </w:rPr>
            </w:pPr>
            <w:r>
              <w:rPr>
                <w:noProof/>
              </w:rPr>
              <w:t>471</w:t>
            </w:r>
          </w:p>
        </w:tc>
        <w:tc>
          <w:tcPr>
            <w:tcW w:w="1863" w:type="dxa"/>
            <w:tcBorders>
              <w:top w:val="single" w:sz="4" w:space="0" w:color="auto"/>
              <w:left w:val="nil"/>
              <w:bottom w:val="single" w:sz="4" w:space="0" w:color="auto"/>
              <w:right w:val="single" w:sz="4" w:space="0" w:color="auto"/>
            </w:tcBorders>
            <w:shd w:val="clear" w:color="auto" w:fill="C6EFCE"/>
            <w:noWrap/>
          </w:tcPr>
          <w:p w14:paraId="681592F5" w14:textId="77777777" w:rsidR="00A345F4" w:rsidRDefault="005E2D4E">
            <w:pPr>
              <w:pStyle w:val="P68B1DB1-Normal14"/>
              <w:spacing w:after="0" w:line="240" w:lineRule="auto"/>
              <w:jc w:val="both"/>
              <w:rPr>
                <w:noProof/>
              </w:rPr>
            </w:pPr>
            <w:r>
              <w:rPr>
                <w:noProof/>
              </w:rPr>
              <w:t>Réforme 4. Création d'un parcours professionnel complet pour l'enseignement technique supérieur</w:t>
            </w:r>
          </w:p>
        </w:tc>
        <w:tc>
          <w:tcPr>
            <w:tcW w:w="1151" w:type="dxa"/>
            <w:tcBorders>
              <w:top w:val="single" w:sz="4" w:space="0" w:color="auto"/>
              <w:left w:val="nil"/>
              <w:bottom w:val="single" w:sz="4" w:space="0" w:color="auto"/>
              <w:right w:val="single" w:sz="4" w:space="0" w:color="auto"/>
            </w:tcBorders>
            <w:shd w:val="clear" w:color="auto" w:fill="C6EFCE"/>
            <w:noWrap/>
          </w:tcPr>
          <w:p w14:paraId="1EB3AE7A" w14:textId="77777777" w:rsidR="00A345F4" w:rsidRDefault="005E2D4E">
            <w:pPr>
              <w:pStyle w:val="P68B1DB1-Normal14"/>
              <w:spacing w:after="0" w:line="240" w:lineRule="auto"/>
              <w:jc w:val="both"/>
              <w:rPr>
                <w:noProof/>
              </w:rPr>
            </w:pPr>
            <w:r>
              <w:rPr>
                <w:noProof/>
              </w:rPr>
              <w:t>Objectif</w:t>
            </w:r>
          </w:p>
        </w:tc>
        <w:tc>
          <w:tcPr>
            <w:tcW w:w="2031" w:type="dxa"/>
            <w:tcBorders>
              <w:top w:val="single" w:sz="4" w:space="0" w:color="auto"/>
              <w:left w:val="nil"/>
              <w:bottom w:val="single" w:sz="4" w:space="0" w:color="auto"/>
              <w:right w:val="single" w:sz="4" w:space="0" w:color="auto"/>
            </w:tcBorders>
            <w:shd w:val="clear" w:color="auto" w:fill="C6EFCE"/>
            <w:noWrap/>
          </w:tcPr>
          <w:p w14:paraId="4D17D25A" w14:textId="71455A1D" w:rsidR="00A345F4" w:rsidRDefault="005E2D4E">
            <w:pPr>
              <w:pStyle w:val="P68B1DB1-Normal14"/>
              <w:spacing w:after="0" w:line="240" w:lineRule="auto"/>
              <w:jc w:val="both"/>
              <w:rPr>
                <w:noProof/>
              </w:rPr>
            </w:pPr>
            <w:r>
              <w:rPr>
                <w:noProof/>
              </w:rPr>
              <w:t xml:space="preserve">Proportion d’élèves inscrits sur le parcours professionnel par rapport au nombre d’élèves du secondaire </w:t>
            </w:r>
          </w:p>
        </w:tc>
        <w:tc>
          <w:tcPr>
            <w:tcW w:w="1553" w:type="dxa"/>
            <w:tcBorders>
              <w:top w:val="single" w:sz="4" w:space="0" w:color="auto"/>
              <w:left w:val="nil"/>
              <w:bottom w:val="single" w:sz="4" w:space="0" w:color="auto"/>
              <w:right w:val="single" w:sz="4" w:space="0" w:color="auto"/>
            </w:tcBorders>
            <w:shd w:val="clear" w:color="auto" w:fill="C6EFCE"/>
            <w:noWrap/>
          </w:tcPr>
          <w:p w14:paraId="25EDA003"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single" w:sz="4" w:space="0" w:color="auto"/>
              <w:left w:val="nil"/>
              <w:bottom w:val="single" w:sz="4" w:space="0" w:color="auto"/>
              <w:right w:val="single" w:sz="4" w:space="0" w:color="auto"/>
            </w:tcBorders>
            <w:shd w:val="clear" w:color="auto" w:fill="C6EFCE"/>
            <w:noWrap/>
          </w:tcPr>
          <w:p w14:paraId="28205A59" w14:textId="77777777" w:rsidR="00A345F4" w:rsidRDefault="005E2D4E">
            <w:pPr>
              <w:pStyle w:val="P68B1DB1-Normal14"/>
              <w:spacing w:after="0" w:line="240" w:lineRule="auto"/>
              <w:rPr>
                <w:rFonts w:eastAsia="Times New Roman"/>
                <w:noProof/>
              </w:rPr>
            </w:pPr>
            <w:r>
              <w:rPr>
                <w:noProof/>
              </w:rPr>
              <w:t>Pourcentage (%)</w:t>
            </w:r>
          </w:p>
          <w:p w14:paraId="7C36D834"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5F1134DB" w14:textId="77777777" w:rsidR="00A345F4" w:rsidRDefault="005E2D4E">
            <w:pPr>
              <w:pStyle w:val="P68B1DB1-Normal14"/>
              <w:spacing w:after="0" w:line="240" w:lineRule="auto"/>
              <w:jc w:val="both"/>
              <w:rPr>
                <w:noProof/>
              </w:rPr>
            </w:pPr>
            <w:r>
              <w:rPr>
                <w:noProof/>
              </w:rPr>
              <w:t xml:space="preserve">17% </w:t>
            </w:r>
          </w:p>
        </w:tc>
        <w:tc>
          <w:tcPr>
            <w:tcW w:w="995" w:type="dxa"/>
            <w:tcBorders>
              <w:top w:val="single" w:sz="4" w:space="0" w:color="auto"/>
              <w:left w:val="nil"/>
              <w:bottom w:val="single" w:sz="4" w:space="0" w:color="auto"/>
              <w:right w:val="single" w:sz="4" w:space="0" w:color="auto"/>
            </w:tcBorders>
            <w:shd w:val="clear" w:color="auto" w:fill="C6EFCE"/>
            <w:noWrap/>
          </w:tcPr>
          <w:p w14:paraId="32259A0A" w14:textId="77777777" w:rsidR="00A345F4" w:rsidRDefault="005E2D4E">
            <w:pPr>
              <w:pStyle w:val="P68B1DB1-Normal14"/>
              <w:spacing w:after="0" w:line="240" w:lineRule="auto"/>
              <w:jc w:val="both"/>
              <w:rPr>
                <w:noProof/>
              </w:rPr>
            </w:pPr>
            <w:r>
              <w:rPr>
                <w:noProof/>
              </w:rPr>
              <w:t>22%</w:t>
            </w:r>
          </w:p>
        </w:tc>
        <w:tc>
          <w:tcPr>
            <w:tcW w:w="987" w:type="dxa"/>
            <w:tcBorders>
              <w:top w:val="single" w:sz="4" w:space="0" w:color="auto"/>
              <w:left w:val="nil"/>
              <w:bottom w:val="single" w:sz="4" w:space="0" w:color="auto"/>
              <w:right w:val="single" w:sz="4" w:space="0" w:color="auto"/>
            </w:tcBorders>
            <w:shd w:val="clear" w:color="auto" w:fill="C6EFCE"/>
            <w:noWrap/>
          </w:tcPr>
          <w:p w14:paraId="67933B5C"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16592E70" w14:textId="77777777" w:rsidR="00A345F4" w:rsidRDefault="005E2D4E">
            <w:pPr>
              <w:pStyle w:val="P68B1DB1-Normal14"/>
              <w:spacing w:after="0" w:line="240" w:lineRule="auto"/>
              <w:jc w:val="both"/>
              <w:rPr>
                <w:noProof/>
              </w:rPr>
            </w:pPr>
            <w:r>
              <w:rPr>
                <w:noProof/>
              </w:rPr>
              <w:t>2026</w:t>
            </w:r>
          </w:p>
        </w:tc>
        <w:tc>
          <w:tcPr>
            <w:tcW w:w="3406" w:type="dxa"/>
            <w:tcBorders>
              <w:top w:val="single" w:sz="4" w:space="0" w:color="auto"/>
              <w:left w:val="nil"/>
              <w:bottom w:val="single" w:sz="4" w:space="0" w:color="auto"/>
              <w:right w:val="single" w:sz="4" w:space="0" w:color="auto"/>
            </w:tcBorders>
            <w:shd w:val="clear" w:color="auto" w:fill="C6EFCE"/>
            <w:noWrap/>
          </w:tcPr>
          <w:p w14:paraId="76573562" w14:textId="12920731" w:rsidR="00A345F4" w:rsidRDefault="005E2D4E">
            <w:pPr>
              <w:pStyle w:val="P68B1DB1-Normal14"/>
              <w:spacing w:after="0" w:line="240" w:lineRule="auto"/>
              <w:jc w:val="both"/>
              <w:rPr>
                <w:noProof/>
              </w:rPr>
            </w:pPr>
            <w:r>
              <w:rPr>
                <w:noProof/>
              </w:rPr>
              <w:t>une augmentation de cinq points de pourcentage de la part des étudiants inscrits sur l’itinéraire professionnel par rapport au nombre total d’élèves du secondaire, calculée sur la base des données déclarées dans le SIIR. La base de référence pour le calcul de l’augmentation est le nombre d’élèves inscrits au cours de l’année scolaire 2020-2021.</w:t>
            </w:r>
          </w:p>
        </w:tc>
      </w:tr>
      <w:tr w:rsidR="00A345F4" w14:paraId="04AC57FC"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57DBB39" w14:textId="77777777" w:rsidR="00A345F4" w:rsidRDefault="005E2D4E">
            <w:pPr>
              <w:pStyle w:val="P68B1DB1-Normal14"/>
              <w:spacing w:after="0" w:line="240" w:lineRule="auto"/>
              <w:jc w:val="center"/>
              <w:rPr>
                <w:noProof/>
              </w:rPr>
            </w:pPr>
            <w:r>
              <w:rPr>
                <w:noProof/>
              </w:rPr>
              <w:t>472</w:t>
            </w:r>
          </w:p>
        </w:tc>
        <w:tc>
          <w:tcPr>
            <w:tcW w:w="1863" w:type="dxa"/>
            <w:tcBorders>
              <w:top w:val="single" w:sz="4" w:space="0" w:color="auto"/>
              <w:left w:val="nil"/>
              <w:bottom w:val="single" w:sz="4" w:space="0" w:color="auto"/>
              <w:right w:val="single" w:sz="4" w:space="0" w:color="auto"/>
            </w:tcBorders>
            <w:shd w:val="clear" w:color="auto" w:fill="C6EFCE"/>
            <w:noWrap/>
          </w:tcPr>
          <w:p w14:paraId="23845F03" w14:textId="6C267D2C" w:rsidR="00A345F4" w:rsidRDefault="005E2D4E">
            <w:pPr>
              <w:pStyle w:val="P68B1DB1-Normal14"/>
              <w:spacing w:after="0" w:line="240" w:lineRule="auto"/>
              <w:jc w:val="both"/>
              <w:rPr>
                <w:noProof/>
              </w:rPr>
            </w:pPr>
            <w:r>
              <w:rPr>
                <w:noProof/>
              </w:rPr>
              <w:t xml:space="preserve">Investissement 6. Construire et équiper des campus professionnels au sein de consortiums régionaux </w:t>
            </w:r>
          </w:p>
        </w:tc>
        <w:tc>
          <w:tcPr>
            <w:tcW w:w="1151" w:type="dxa"/>
            <w:tcBorders>
              <w:top w:val="single" w:sz="4" w:space="0" w:color="auto"/>
              <w:left w:val="nil"/>
              <w:bottom w:val="single" w:sz="4" w:space="0" w:color="auto"/>
              <w:right w:val="single" w:sz="4" w:space="0" w:color="auto"/>
            </w:tcBorders>
            <w:shd w:val="clear" w:color="auto" w:fill="C6EFCE"/>
            <w:noWrap/>
          </w:tcPr>
          <w:p w14:paraId="283DBFBF" w14:textId="77777777" w:rsidR="00A345F4" w:rsidRDefault="005E2D4E">
            <w:pPr>
              <w:pStyle w:val="P68B1DB1-Normal14"/>
              <w:spacing w:after="0" w:line="240" w:lineRule="auto"/>
              <w:jc w:val="both"/>
              <w:rPr>
                <w:noProof/>
              </w:rPr>
            </w:pPr>
            <w:r>
              <w:rPr>
                <w:noProof/>
              </w:rPr>
              <w:t xml:space="preserve">Objectif </w:t>
            </w:r>
          </w:p>
        </w:tc>
        <w:tc>
          <w:tcPr>
            <w:tcW w:w="2031" w:type="dxa"/>
            <w:tcBorders>
              <w:top w:val="single" w:sz="4" w:space="0" w:color="auto"/>
              <w:left w:val="nil"/>
              <w:bottom w:val="single" w:sz="4" w:space="0" w:color="auto"/>
              <w:right w:val="single" w:sz="4" w:space="0" w:color="auto"/>
            </w:tcBorders>
            <w:shd w:val="clear" w:color="auto" w:fill="C6EFCE"/>
            <w:noWrap/>
          </w:tcPr>
          <w:p w14:paraId="63F1CB11" w14:textId="77777777" w:rsidR="00A345F4" w:rsidRDefault="005E2D4E">
            <w:pPr>
              <w:pStyle w:val="P68B1DB1-Normal14"/>
              <w:spacing w:after="0" w:line="240" w:lineRule="auto"/>
              <w:jc w:val="both"/>
              <w:rPr>
                <w:noProof/>
              </w:rPr>
            </w:pPr>
            <w:r>
              <w:rPr>
                <w:noProof/>
              </w:rPr>
              <w:t>Cinq campus professionnels intégrés construits et équipés au sein de cinq consortiums régionaux</w:t>
            </w:r>
          </w:p>
        </w:tc>
        <w:tc>
          <w:tcPr>
            <w:tcW w:w="1553" w:type="dxa"/>
            <w:tcBorders>
              <w:top w:val="single" w:sz="4" w:space="0" w:color="auto"/>
              <w:left w:val="nil"/>
              <w:bottom w:val="single" w:sz="4" w:space="0" w:color="auto"/>
              <w:right w:val="single" w:sz="4" w:space="0" w:color="auto"/>
            </w:tcBorders>
            <w:shd w:val="clear" w:color="auto" w:fill="C6EFCE"/>
            <w:noWrap/>
          </w:tcPr>
          <w:p w14:paraId="4E082C5B"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single" w:sz="4" w:space="0" w:color="auto"/>
              <w:left w:val="nil"/>
              <w:bottom w:val="single" w:sz="4" w:space="0" w:color="auto"/>
              <w:right w:val="single" w:sz="4" w:space="0" w:color="auto"/>
            </w:tcBorders>
            <w:shd w:val="clear" w:color="auto" w:fill="C6EFCE"/>
            <w:noWrap/>
          </w:tcPr>
          <w:p w14:paraId="2A9A8F74" w14:textId="77777777" w:rsidR="00A345F4" w:rsidRDefault="005E2D4E">
            <w:pPr>
              <w:pStyle w:val="P68B1DB1-Normal14"/>
              <w:spacing w:after="0" w:line="240" w:lineRule="auto"/>
              <w:jc w:val="both"/>
              <w:rPr>
                <w:noProof/>
              </w:rPr>
            </w:pPr>
            <w:r>
              <w:rPr>
                <w:noProof/>
              </w:rPr>
              <w:t>Numéro</w:t>
            </w:r>
          </w:p>
        </w:tc>
        <w:tc>
          <w:tcPr>
            <w:tcW w:w="1013" w:type="dxa"/>
            <w:tcBorders>
              <w:top w:val="single" w:sz="4" w:space="0" w:color="auto"/>
              <w:left w:val="nil"/>
              <w:bottom w:val="single" w:sz="4" w:space="0" w:color="auto"/>
              <w:right w:val="single" w:sz="4" w:space="0" w:color="auto"/>
            </w:tcBorders>
            <w:shd w:val="clear" w:color="auto" w:fill="C6EFCE"/>
            <w:noWrap/>
          </w:tcPr>
          <w:p w14:paraId="067E1A4E" w14:textId="77777777" w:rsidR="00A345F4" w:rsidRDefault="005E2D4E">
            <w:pPr>
              <w:pStyle w:val="P68B1DB1-Normal14"/>
              <w:spacing w:after="0" w:line="240" w:lineRule="auto"/>
              <w:jc w:val="both"/>
              <w:rPr>
                <w:noProof/>
              </w:rPr>
            </w:pPr>
            <w:r>
              <w:rPr>
                <w:noProof/>
              </w:rPr>
              <w:t>0</w:t>
            </w:r>
          </w:p>
        </w:tc>
        <w:tc>
          <w:tcPr>
            <w:tcW w:w="995" w:type="dxa"/>
            <w:tcBorders>
              <w:top w:val="single" w:sz="4" w:space="0" w:color="auto"/>
              <w:left w:val="nil"/>
              <w:bottom w:val="single" w:sz="4" w:space="0" w:color="auto"/>
              <w:right w:val="single" w:sz="4" w:space="0" w:color="auto"/>
            </w:tcBorders>
            <w:shd w:val="clear" w:color="auto" w:fill="C6EFCE"/>
            <w:noWrap/>
          </w:tcPr>
          <w:p w14:paraId="2EC3C88D" w14:textId="77777777" w:rsidR="00A345F4" w:rsidRDefault="005E2D4E">
            <w:pPr>
              <w:pStyle w:val="P68B1DB1-Normal14"/>
              <w:spacing w:after="0" w:line="240" w:lineRule="auto"/>
              <w:jc w:val="both"/>
              <w:rPr>
                <w:noProof/>
              </w:rPr>
            </w:pPr>
            <w:r>
              <w:rPr>
                <w:noProof/>
              </w:rPr>
              <w:t>5</w:t>
            </w:r>
          </w:p>
        </w:tc>
        <w:tc>
          <w:tcPr>
            <w:tcW w:w="987" w:type="dxa"/>
            <w:tcBorders>
              <w:top w:val="single" w:sz="4" w:space="0" w:color="auto"/>
              <w:left w:val="nil"/>
              <w:bottom w:val="single" w:sz="4" w:space="0" w:color="auto"/>
              <w:right w:val="single" w:sz="4" w:space="0" w:color="auto"/>
            </w:tcBorders>
            <w:shd w:val="clear" w:color="auto" w:fill="C6EFCE"/>
            <w:noWrap/>
          </w:tcPr>
          <w:p w14:paraId="27F19520"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79F2C689" w14:textId="77777777" w:rsidR="00A345F4" w:rsidRDefault="005E2D4E">
            <w:pPr>
              <w:pStyle w:val="P68B1DB1-Normal14"/>
              <w:spacing w:after="0" w:line="240" w:lineRule="auto"/>
              <w:jc w:val="both"/>
              <w:rPr>
                <w:noProof/>
              </w:rPr>
            </w:pPr>
            <w:r>
              <w:rPr>
                <w:noProof/>
              </w:rPr>
              <w:t>2026</w:t>
            </w:r>
          </w:p>
        </w:tc>
        <w:tc>
          <w:tcPr>
            <w:tcW w:w="3406" w:type="dxa"/>
            <w:tcBorders>
              <w:top w:val="single" w:sz="4" w:space="0" w:color="auto"/>
              <w:left w:val="nil"/>
              <w:bottom w:val="single" w:sz="4" w:space="0" w:color="auto"/>
              <w:right w:val="single" w:sz="4" w:space="0" w:color="auto"/>
            </w:tcBorders>
            <w:shd w:val="clear" w:color="auto" w:fill="C6EFCE"/>
            <w:noWrap/>
          </w:tcPr>
          <w:p w14:paraId="71B774C5" w14:textId="77777777" w:rsidR="00A345F4" w:rsidRDefault="005E2D4E">
            <w:pPr>
              <w:pStyle w:val="P68B1DB1-Normal14"/>
              <w:spacing w:after="0" w:line="240" w:lineRule="auto"/>
              <w:jc w:val="both"/>
              <w:rPr>
                <w:noProof/>
              </w:rPr>
            </w:pPr>
            <w:r>
              <w:rPr>
                <w:noProof/>
              </w:rPr>
              <w:t xml:space="preserve">Cinq campus professionnels intégrés seront construits au sein de cinq consortiums régionaux. </w:t>
            </w:r>
          </w:p>
          <w:p w14:paraId="2607A546" w14:textId="77777777" w:rsidR="00A345F4" w:rsidRDefault="005E2D4E">
            <w:pPr>
              <w:pStyle w:val="P68B1DB1-Normal14"/>
              <w:spacing w:after="0" w:line="240" w:lineRule="auto"/>
              <w:jc w:val="both"/>
              <w:rPr>
                <w:noProof/>
              </w:rPr>
            </w:pPr>
            <w:r>
              <w:rPr>
                <w:noProof/>
              </w:rPr>
              <w:t>Les campus professionnels intégrés nouvellement construits respectent l’objectif d’atteindre une demande d’énergie primaire (DEP) inférieure d’au moins 20 % à l’exigence relative aux bâtiments à consommation d’énergie quasi nulle conformément aux lignes directrices nationales, ce qui doit être confirmé au moyen de certificats de performance énergétique.</w:t>
            </w:r>
          </w:p>
          <w:p w14:paraId="0E5C4413" w14:textId="77777777" w:rsidR="00A345F4" w:rsidRDefault="005E2D4E">
            <w:pPr>
              <w:pStyle w:val="P68B1DB1-Normal14"/>
              <w:spacing w:after="0" w:line="240" w:lineRule="auto"/>
              <w:jc w:val="both"/>
              <w:rPr>
                <w:noProof/>
              </w:rPr>
            </w:pPr>
            <w:r>
              <w:rPr>
                <w:noProof/>
              </w:rPr>
              <w:t xml:space="preserve">Chaque campus professionnel intégré construit doit être équipé pour des ateliers numériques, attestés par des certificats d'acceptation. </w:t>
            </w:r>
          </w:p>
        </w:tc>
      </w:tr>
      <w:tr w:rsidR="00A345F4" w14:paraId="162A61F7"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2B8122C" w14:textId="77777777" w:rsidR="00A345F4" w:rsidRDefault="005E2D4E">
            <w:pPr>
              <w:pStyle w:val="P68B1DB1-Normal14"/>
              <w:spacing w:after="0" w:line="240" w:lineRule="auto"/>
              <w:jc w:val="center"/>
              <w:rPr>
                <w:noProof/>
              </w:rPr>
            </w:pPr>
            <w:r>
              <w:rPr>
                <w:noProof/>
              </w:rPr>
              <w:t>477</w:t>
            </w:r>
          </w:p>
        </w:tc>
        <w:tc>
          <w:tcPr>
            <w:tcW w:w="1863" w:type="dxa"/>
            <w:tcBorders>
              <w:top w:val="single" w:sz="4" w:space="0" w:color="auto"/>
              <w:left w:val="nil"/>
              <w:bottom w:val="single" w:sz="4" w:space="0" w:color="auto"/>
              <w:right w:val="single" w:sz="4" w:space="0" w:color="auto"/>
            </w:tcBorders>
            <w:shd w:val="clear" w:color="auto" w:fill="C6EFCE"/>
            <w:noWrap/>
          </w:tcPr>
          <w:p w14:paraId="4A9E0198" w14:textId="77777777" w:rsidR="00A345F4" w:rsidRDefault="005E2D4E">
            <w:pPr>
              <w:pStyle w:val="P68B1DB1-Normal14"/>
              <w:spacing w:after="0" w:line="240" w:lineRule="auto"/>
              <w:jc w:val="both"/>
              <w:rPr>
                <w:noProof/>
              </w:rPr>
            </w:pPr>
            <w:r>
              <w:rPr>
                <w:noProof/>
              </w:rPr>
              <w:t>Réforme 5. Adoption du cadre juridique pour la numérisation de l’éducation</w:t>
            </w:r>
          </w:p>
        </w:tc>
        <w:tc>
          <w:tcPr>
            <w:tcW w:w="1151" w:type="dxa"/>
            <w:tcBorders>
              <w:top w:val="single" w:sz="4" w:space="0" w:color="auto"/>
              <w:left w:val="nil"/>
              <w:bottom w:val="single" w:sz="4" w:space="0" w:color="auto"/>
              <w:right w:val="single" w:sz="4" w:space="0" w:color="auto"/>
            </w:tcBorders>
            <w:shd w:val="clear" w:color="auto" w:fill="C6EFCE"/>
            <w:noWrap/>
          </w:tcPr>
          <w:p w14:paraId="2AAFF55E"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3B64E620" w14:textId="77777777" w:rsidR="00A345F4" w:rsidRDefault="005E2D4E">
            <w:pPr>
              <w:pStyle w:val="P68B1DB1-Normal14"/>
              <w:spacing w:after="0" w:line="240" w:lineRule="auto"/>
              <w:jc w:val="both"/>
              <w:rPr>
                <w:noProof/>
              </w:rPr>
            </w:pPr>
            <w:r>
              <w:rPr>
                <w:noProof/>
              </w:rPr>
              <w:t>Entrée en vigueur de l’arrêté ministériel visant à garantir des normes pour équiper les écoles d’équipements et de ressources technologiques à des fins éducatives en ligne et à garantir un impact durable des investissements proposés</w:t>
            </w:r>
          </w:p>
        </w:tc>
        <w:tc>
          <w:tcPr>
            <w:tcW w:w="1553" w:type="dxa"/>
            <w:tcBorders>
              <w:top w:val="single" w:sz="4" w:space="0" w:color="auto"/>
              <w:left w:val="nil"/>
              <w:bottom w:val="single" w:sz="4" w:space="0" w:color="auto"/>
              <w:right w:val="single" w:sz="4" w:space="0" w:color="auto"/>
            </w:tcBorders>
            <w:shd w:val="clear" w:color="auto" w:fill="C6EFCE"/>
            <w:noWrap/>
          </w:tcPr>
          <w:p w14:paraId="28DD1E56" w14:textId="77777777" w:rsidR="00A345F4" w:rsidRDefault="005E2D4E">
            <w:pPr>
              <w:pStyle w:val="P68B1DB1-Normal14"/>
              <w:spacing w:after="0" w:line="240" w:lineRule="auto"/>
              <w:jc w:val="both"/>
              <w:rPr>
                <w:noProof/>
              </w:rPr>
            </w:pPr>
            <w:r>
              <w:rPr>
                <w:noProof/>
              </w:rPr>
              <w:t>Disposition de l’OM indiquant l’entrée en vigueur du cadre législatif pour les normes relatives aux équipements</w:t>
            </w:r>
          </w:p>
        </w:tc>
        <w:tc>
          <w:tcPr>
            <w:tcW w:w="1075" w:type="dxa"/>
            <w:tcBorders>
              <w:top w:val="single" w:sz="4" w:space="0" w:color="auto"/>
              <w:left w:val="nil"/>
              <w:bottom w:val="single" w:sz="4" w:space="0" w:color="auto"/>
              <w:right w:val="single" w:sz="4" w:space="0" w:color="auto"/>
            </w:tcBorders>
            <w:shd w:val="clear" w:color="auto" w:fill="C6EFCE"/>
            <w:noWrap/>
          </w:tcPr>
          <w:p w14:paraId="45E1925F" w14:textId="77777777" w:rsidR="00A345F4" w:rsidRDefault="005E2D4E">
            <w:pPr>
              <w:pStyle w:val="P68B1DB1-Normal14"/>
              <w:spacing w:after="0" w:line="240" w:lineRule="auto"/>
              <w:jc w:val="both"/>
              <w:rPr>
                <w:noProof/>
              </w:rPr>
            </w:pPr>
            <w:r>
              <w:rPr>
                <w:noProof/>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79B92B23" w14:textId="77777777" w:rsidR="00A345F4" w:rsidRDefault="005E2D4E">
            <w:pPr>
              <w:pStyle w:val="P68B1DB1-Normal14"/>
              <w:spacing w:after="0" w:line="240" w:lineRule="auto"/>
              <w:jc w:val="both"/>
              <w:rPr>
                <w:noProof/>
              </w:rPr>
            </w:pPr>
            <w:r>
              <w:rPr>
                <w:noProof/>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4FB8DBBE" w14:textId="77777777" w:rsidR="00A345F4" w:rsidRDefault="005E2D4E">
            <w:pPr>
              <w:pStyle w:val="P68B1DB1-Normal14"/>
              <w:spacing w:after="0" w:line="240" w:lineRule="auto"/>
              <w:jc w:val="both"/>
              <w:rPr>
                <w:noProof/>
              </w:rPr>
            </w:pPr>
            <w:r>
              <w:rPr>
                <w:noProof/>
              </w:rPr>
              <w:t xml:space="preserve"> </w:t>
            </w:r>
          </w:p>
        </w:tc>
        <w:tc>
          <w:tcPr>
            <w:tcW w:w="987" w:type="dxa"/>
            <w:tcBorders>
              <w:top w:val="single" w:sz="4" w:space="0" w:color="auto"/>
              <w:left w:val="nil"/>
              <w:bottom w:val="single" w:sz="4" w:space="0" w:color="auto"/>
              <w:right w:val="single" w:sz="4" w:space="0" w:color="auto"/>
            </w:tcBorders>
            <w:shd w:val="clear" w:color="auto" w:fill="C6EFCE"/>
            <w:noWrap/>
          </w:tcPr>
          <w:p w14:paraId="01D2F5F3" w14:textId="77777777" w:rsidR="00A345F4" w:rsidRDefault="005E2D4E">
            <w:pPr>
              <w:pStyle w:val="P68B1DB1-Normal14"/>
              <w:spacing w:after="0" w:line="240" w:lineRule="auto"/>
              <w:jc w:val="both"/>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Pr>
          <w:p w14:paraId="15320A4D" w14:textId="77777777" w:rsidR="00A345F4" w:rsidRDefault="005E2D4E">
            <w:pPr>
              <w:pStyle w:val="P68B1DB1-Normal14"/>
              <w:spacing w:after="0" w:line="240" w:lineRule="auto"/>
              <w:jc w:val="both"/>
              <w:rPr>
                <w:noProof/>
              </w:rPr>
            </w:pPr>
            <w:r>
              <w:rPr>
                <w:noProof/>
              </w:rPr>
              <w:t>2022</w:t>
            </w:r>
          </w:p>
        </w:tc>
        <w:tc>
          <w:tcPr>
            <w:tcW w:w="3406" w:type="dxa"/>
            <w:tcBorders>
              <w:top w:val="single" w:sz="4" w:space="0" w:color="auto"/>
              <w:left w:val="nil"/>
              <w:bottom w:val="single" w:sz="4" w:space="0" w:color="auto"/>
              <w:right w:val="single" w:sz="4" w:space="0" w:color="auto"/>
            </w:tcBorders>
            <w:shd w:val="clear" w:color="auto" w:fill="C6EFCE"/>
            <w:noWrap/>
          </w:tcPr>
          <w:p w14:paraId="3BC1E718" w14:textId="77777777" w:rsidR="00A345F4" w:rsidRDefault="005E2D4E">
            <w:pPr>
              <w:pStyle w:val="P68B1DB1-Normal14"/>
              <w:spacing w:after="0" w:line="240" w:lineRule="auto"/>
              <w:jc w:val="both"/>
              <w:rPr>
                <w:noProof/>
              </w:rPr>
            </w:pPr>
            <w:r>
              <w:rPr>
                <w:noProof/>
              </w:rPr>
              <w:t>Le nouvel arrêté ministériel définit les normes minimales d'équipement technique pour les écoles afin d'assurer la qualité des activités éducatives menées dans l'environnement virtuel et au moyen de la technologie virtuelle.</w:t>
            </w:r>
          </w:p>
          <w:p w14:paraId="18CB5A43" w14:textId="77777777" w:rsidR="00A345F4" w:rsidRDefault="00A345F4">
            <w:pPr>
              <w:spacing w:after="0" w:line="240" w:lineRule="auto"/>
              <w:jc w:val="both"/>
              <w:rPr>
                <w:rFonts w:ascii="Times New Roman" w:hAnsi="Times New Roman" w:cs="Times New Roman"/>
                <w:noProof/>
                <w:sz w:val="20"/>
                <w:szCs w:val="20"/>
              </w:rPr>
            </w:pPr>
          </w:p>
          <w:p w14:paraId="4C528E50" w14:textId="77777777" w:rsidR="00A345F4" w:rsidRDefault="00A345F4">
            <w:pPr>
              <w:spacing w:after="0" w:line="240" w:lineRule="auto"/>
              <w:jc w:val="both"/>
              <w:rPr>
                <w:rFonts w:ascii="Times New Roman" w:eastAsia="Times New Roman" w:hAnsi="Times New Roman" w:cs="Times New Roman"/>
                <w:noProof/>
                <w:sz w:val="20"/>
                <w:szCs w:val="20"/>
              </w:rPr>
            </w:pPr>
          </w:p>
        </w:tc>
      </w:tr>
      <w:tr w:rsidR="00A345F4" w14:paraId="35F0B5BC"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2FCFE78" w14:textId="77777777" w:rsidR="00A345F4" w:rsidRDefault="005E2D4E">
            <w:pPr>
              <w:pStyle w:val="P68B1DB1-Normal14"/>
              <w:spacing w:after="0" w:line="240" w:lineRule="auto"/>
              <w:jc w:val="center"/>
              <w:rPr>
                <w:noProof/>
              </w:rPr>
            </w:pPr>
            <w:r>
              <w:rPr>
                <w:noProof/>
              </w:rPr>
              <w:t>478</w:t>
            </w:r>
          </w:p>
        </w:tc>
        <w:tc>
          <w:tcPr>
            <w:tcW w:w="1863" w:type="dxa"/>
            <w:tcBorders>
              <w:top w:val="single" w:sz="4" w:space="0" w:color="auto"/>
              <w:left w:val="nil"/>
              <w:bottom w:val="single" w:sz="4" w:space="0" w:color="auto"/>
              <w:right w:val="single" w:sz="4" w:space="0" w:color="auto"/>
            </w:tcBorders>
            <w:shd w:val="clear" w:color="auto" w:fill="C6EFCE"/>
            <w:noWrap/>
          </w:tcPr>
          <w:p w14:paraId="6EBB3535" w14:textId="77777777" w:rsidR="00A345F4" w:rsidRDefault="005E2D4E">
            <w:pPr>
              <w:pStyle w:val="P68B1DB1-Normal14"/>
              <w:spacing w:after="0" w:line="240" w:lineRule="auto"/>
              <w:jc w:val="both"/>
              <w:rPr>
                <w:noProof/>
              </w:rPr>
            </w:pPr>
            <w:r>
              <w:rPr>
                <w:noProof/>
              </w:rPr>
              <w:t>Réforme 5. Adoption du cadre juridique pour la numérisation de l’éducation</w:t>
            </w:r>
          </w:p>
        </w:tc>
        <w:tc>
          <w:tcPr>
            <w:tcW w:w="1151" w:type="dxa"/>
            <w:tcBorders>
              <w:top w:val="single" w:sz="4" w:space="0" w:color="auto"/>
              <w:left w:val="nil"/>
              <w:bottom w:val="single" w:sz="4" w:space="0" w:color="auto"/>
              <w:right w:val="single" w:sz="4" w:space="0" w:color="auto"/>
            </w:tcBorders>
            <w:shd w:val="clear" w:color="auto" w:fill="C6EFCE"/>
            <w:noWrap/>
          </w:tcPr>
          <w:p w14:paraId="1EF51696"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3B70345C" w14:textId="77777777" w:rsidR="00A345F4" w:rsidRDefault="005E2D4E">
            <w:pPr>
              <w:pStyle w:val="P68B1DB1-Normal14"/>
              <w:spacing w:after="0" w:line="240" w:lineRule="auto"/>
              <w:jc w:val="both"/>
              <w:rPr>
                <w:noProof/>
              </w:rPr>
            </w:pPr>
            <w:r>
              <w:rPr>
                <w:noProof/>
              </w:rPr>
              <w:t xml:space="preserve">Entrée en vigueur de la loi définissant le profil du futur enseignant en matière de compétences numériques et la manière d’évaluer les compétences numériques lors des examens scolaires </w:t>
            </w:r>
          </w:p>
        </w:tc>
        <w:tc>
          <w:tcPr>
            <w:tcW w:w="1553" w:type="dxa"/>
            <w:tcBorders>
              <w:top w:val="single" w:sz="4" w:space="0" w:color="auto"/>
              <w:left w:val="nil"/>
              <w:bottom w:val="single" w:sz="4" w:space="0" w:color="auto"/>
              <w:right w:val="single" w:sz="4" w:space="0" w:color="auto"/>
            </w:tcBorders>
            <w:shd w:val="clear" w:color="auto" w:fill="C6EFCE"/>
            <w:noWrap/>
          </w:tcPr>
          <w:p w14:paraId="5A958C48" w14:textId="77777777" w:rsidR="00A345F4" w:rsidRDefault="005E2D4E">
            <w:pPr>
              <w:pStyle w:val="P68B1DB1-Normal14"/>
              <w:spacing w:after="0" w:line="240" w:lineRule="auto"/>
              <w:jc w:val="both"/>
              <w:rPr>
                <w:noProof/>
              </w:rPr>
            </w:pPr>
            <w:r>
              <w:rPr>
                <w:noProof/>
              </w:rPr>
              <w:t>Disposition de la loi indiquant l’entrée en vigueur de l’acte législatif établissant le profil du futur enseignant en termes de compétences numériques et d’évaluation des compétences numériques</w:t>
            </w:r>
          </w:p>
        </w:tc>
        <w:tc>
          <w:tcPr>
            <w:tcW w:w="1075" w:type="dxa"/>
            <w:tcBorders>
              <w:top w:val="single" w:sz="4" w:space="0" w:color="auto"/>
              <w:left w:val="nil"/>
              <w:bottom w:val="single" w:sz="4" w:space="0" w:color="auto"/>
              <w:right w:val="single" w:sz="4" w:space="0" w:color="auto"/>
            </w:tcBorders>
            <w:shd w:val="clear" w:color="auto" w:fill="C6EFCE"/>
            <w:noWrap/>
          </w:tcPr>
          <w:p w14:paraId="36337E59" w14:textId="77777777" w:rsidR="00A345F4" w:rsidRDefault="005E2D4E">
            <w:pPr>
              <w:pStyle w:val="P68B1DB1-Normal14"/>
              <w:spacing w:after="0" w:line="240" w:lineRule="auto"/>
              <w:jc w:val="both"/>
              <w:rPr>
                <w:noProof/>
              </w:rPr>
            </w:pPr>
            <w:r>
              <w:rPr>
                <w:noProof/>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7082EE27" w14:textId="77777777" w:rsidR="00A345F4" w:rsidRDefault="005E2D4E">
            <w:pPr>
              <w:pStyle w:val="P68B1DB1-Normal14"/>
              <w:spacing w:after="0" w:line="240" w:lineRule="auto"/>
              <w:jc w:val="both"/>
              <w:rPr>
                <w:noProof/>
              </w:rPr>
            </w:pPr>
            <w:r>
              <w:rPr>
                <w:noProof/>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69F7357E" w14:textId="77777777" w:rsidR="00A345F4" w:rsidRDefault="005E2D4E">
            <w:pPr>
              <w:pStyle w:val="P68B1DB1-Normal14"/>
              <w:spacing w:after="0" w:line="240" w:lineRule="auto"/>
              <w:jc w:val="both"/>
              <w:rPr>
                <w:noProof/>
              </w:rPr>
            </w:pPr>
            <w:r>
              <w:rPr>
                <w:noProof/>
              </w:rPr>
              <w:t xml:space="preserve"> </w:t>
            </w:r>
          </w:p>
        </w:tc>
        <w:tc>
          <w:tcPr>
            <w:tcW w:w="987" w:type="dxa"/>
            <w:tcBorders>
              <w:top w:val="single" w:sz="4" w:space="0" w:color="auto"/>
              <w:left w:val="nil"/>
              <w:bottom w:val="single" w:sz="4" w:space="0" w:color="auto"/>
              <w:right w:val="single" w:sz="4" w:space="0" w:color="auto"/>
            </w:tcBorders>
            <w:shd w:val="clear" w:color="auto" w:fill="C6EFCE"/>
            <w:noWrap/>
          </w:tcPr>
          <w:p w14:paraId="4BCC0F32" w14:textId="77777777" w:rsidR="00A345F4" w:rsidRDefault="005E2D4E">
            <w:pPr>
              <w:pStyle w:val="P68B1DB1-Normal14"/>
              <w:spacing w:after="0" w:line="240" w:lineRule="auto"/>
              <w:jc w:val="both"/>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6E6FC4A2" w14:textId="77777777" w:rsidR="00A345F4" w:rsidRDefault="005E2D4E">
            <w:pPr>
              <w:pStyle w:val="P68B1DB1-Normal14"/>
              <w:spacing w:after="0" w:line="240" w:lineRule="auto"/>
              <w:jc w:val="both"/>
              <w:rPr>
                <w:noProof/>
              </w:rPr>
            </w:pPr>
            <w:r>
              <w:rPr>
                <w:noProof/>
              </w:rPr>
              <w:t>2022</w:t>
            </w:r>
          </w:p>
        </w:tc>
        <w:tc>
          <w:tcPr>
            <w:tcW w:w="3406" w:type="dxa"/>
            <w:tcBorders>
              <w:top w:val="single" w:sz="4" w:space="0" w:color="auto"/>
              <w:left w:val="nil"/>
              <w:bottom w:val="single" w:sz="4" w:space="0" w:color="auto"/>
              <w:right w:val="single" w:sz="4" w:space="0" w:color="auto"/>
            </w:tcBorders>
            <w:shd w:val="clear" w:color="auto" w:fill="C6EFCE"/>
            <w:noWrap/>
          </w:tcPr>
          <w:p w14:paraId="50D76207" w14:textId="77777777" w:rsidR="00A345F4" w:rsidRDefault="005E2D4E">
            <w:pPr>
              <w:pStyle w:val="P68B1DB1-Normal14"/>
              <w:spacing w:after="0" w:line="240" w:lineRule="auto"/>
              <w:jc w:val="both"/>
              <w:rPr>
                <w:noProof/>
              </w:rPr>
            </w:pPr>
            <w:r>
              <w:rPr>
                <w:noProof/>
              </w:rPr>
              <w:t>La nouvelle loi établissant le profil du futur enseignant en matière de compétences numériques et la manière d’évaluer les compétences numériques lors des examens scolaires:</w:t>
            </w:r>
          </w:p>
          <w:p w14:paraId="71D88506" w14:textId="77777777" w:rsidR="00A345F4" w:rsidRDefault="005E2D4E">
            <w:pPr>
              <w:pStyle w:val="P68B1DB1-Normal14"/>
              <w:numPr>
                <w:ilvl w:val="0"/>
                <w:numId w:val="72"/>
              </w:numPr>
              <w:tabs>
                <w:tab w:val="left" w:pos="189"/>
              </w:tabs>
              <w:spacing w:before="120" w:after="0" w:line="240" w:lineRule="auto"/>
              <w:ind w:left="189" w:hanging="142"/>
              <w:contextualSpacing/>
              <w:jc w:val="both"/>
              <w:rPr>
                <w:noProof/>
              </w:rPr>
            </w:pPr>
            <w:r>
              <w:rPr>
                <w:noProof/>
              </w:rPr>
              <w:t>Définir le profil de compétences numériques du professionnel de l’éducation, ainsi que le mécanisme de validation des compétences numériques des enseignants lors des examens scolaires, conformément au cadre européen des compétences numériques des éducateurs.</w:t>
            </w:r>
            <w:r w:rsidRPr="00E75F9B">
              <w:rPr>
                <w:noProof/>
                <w:vertAlign w:val="superscript"/>
              </w:rPr>
              <w:footnoteReference w:id="37"/>
            </w:r>
          </w:p>
          <w:p w14:paraId="1A743942" w14:textId="77777777" w:rsidR="00A345F4" w:rsidRDefault="005E2D4E">
            <w:pPr>
              <w:pStyle w:val="P68B1DB1-Normal14"/>
              <w:numPr>
                <w:ilvl w:val="0"/>
                <w:numId w:val="72"/>
              </w:numPr>
              <w:tabs>
                <w:tab w:val="left" w:pos="189"/>
              </w:tabs>
              <w:spacing w:before="120" w:after="0" w:line="240" w:lineRule="auto"/>
              <w:ind w:left="189" w:hanging="142"/>
              <w:contextualSpacing/>
              <w:jc w:val="both"/>
              <w:rPr>
                <w:noProof/>
              </w:rPr>
            </w:pPr>
            <w:r>
              <w:rPr>
                <w:noProof/>
              </w:rPr>
              <w:t>Intégrer dans le plan-cadre d'éducation, les modules psychopédagogiques et les programmes de formation de master pour développer les compétences numériques des futurs enseignants et pour familiariser et utiliser les méthodes et techniques d'enseignement modernes dans le cadre de DigCompEdu.</w:t>
            </w:r>
          </w:p>
          <w:p w14:paraId="77C5590A" w14:textId="77777777" w:rsidR="00A345F4" w:rsidRDefault="005E2D4E">
            <w:pPr>
              <w:pStyle w:val="P68B1DB1-Normal14"/>
              <w:numPr>
                <w:ilvl w:val="0"/>
                <w:numId w:val="72"/>
              </w:numPr>
              <w:tabs>
                <w:tab w:val="left" w:pos="189"/>
              </w:tabs>
              <w:spacing w:before="120" w:after="0" w:line="240" w:lineRule="auto"/>
              <w:ind w:left="189" w:hanging="142"/>
              <w:contextualSpacing/>
              <w:jc w:val="both"/>
              <w:rPr>
                <w:noProof/>
              </w:rPr>
            </w:pPr>
            <w:r>
              <w:rPr>
                <w:noProof/>
              </w:rPr>
              <w:t>Établir le cadre de l'inspection scolaire (suivi et évaluation des activités d'enseignement virtuelles).</w:t>
            </w:r>
          </w:p>
          <w:p w14:paraId="68F5BA15" w14:textId="77777777" w:rsidR="00A345F4" w:rsidRDefault="005E2D4E">
            <w:pPr>
              <w:pStyle w:val="P68B1DB1-Normal14"/>
              <w:spacing w:after="0" w:line="240" w:lineRule="auto"/>
              <w:jc w:val="both"/>
              <w:rPr>
                <w:rFonts w:eastAsia="Times New Roman"/>
                <w:noProof/>
              </w:rPr>
            </w:pPr>
            <w:r>
              <w:rPr>
                <w:noProof/>
              </w:rPr>
              <w:t>Établir les méthodes d’évaluation de l’environnement en ligne et des performances scolaires des élèves, y compris le développement d’une plateforme pour l’évaluation sécurisée des compétences des élèves.</w:t>
            </w:r>
          </w:p>
        </w:tc>
      </w:tr>
      <w:tr w:rsidR="00A345F4" w14:paraId="6D0AF757"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E78BBAB" w14:textId="77777777" w:rsidR="00A345F4" w:rsidRDefault="005E2D4E">
            <w:pPr>
              <w:pStyle w:val="P68B1DB1-Normal14"/>
              <w:spacing w:after="0" w:line="240" w:lineRule="auto"/>
              <w:jc w:val="center"/>
              <w:rPr>
                <w:noProof/>
              </w:rPr>
            </w:pPr>
            <w:r>
              <w:rPr>
                <w:noProof/>
              </w:rPr>
              <w:t>479</w:t>
            </w:r>
          </w:p>
        </w:tc>
        <w:tc>
          <w:tcPr>
            <w:tcW w:w="1863" w:type="dxa"/>
            <w:tcBorders>
              <w:top w:val="single" w:sz="4" w:space="0" w:color="auto"/>
              <w:left w:val="nil"/>
              <w:bottom w:val="single" w:sz="4" w:space="0" w:color="auto"/>
              <w:right w:val="single" w:sz="4" w:space="0" w:color="auto"/>
            </w:tcBorders>
            <w:shd w:val="clear" w:color="auto" w:fill="C6EFCE"/>
            <w:noWrap/>
          </w:tcPr>
          <w:p w14:paraId="28C48F2D" w14:textId="77777777" w:rsidR="00A345F4" w:rsidRDefault="005E2D4E">
            <w:pPr>
              <w:pStyle w:val="P68B1DB1-Normal14"/>
              <w:spacing w:after="0" w:line="240" w:lineRule="auto"/>
              <w:jc w:val="both"/>
              <w:rPr>
                <w:noProof/>
              </w:rPr>
            </w:pPr>
            <w:r>
              <w:rPr>
                <w:noProof/>
              </w:rPr>
              <w:t>Réforme 5. Adoption du cadre juridique pour la numérisation de l’éducation</w:t>
            </w:r>
          </w:p>
        </w:tc>
        <w:tc>
          <w:tcPr>
            <w:tcW w:w="1151" w:type="dxa"/>
            <w:tcBorders>
              <w:top w:val="single" w:sz="4" w:space="0" w:color="auto"/>
              <w:left w:val="nil"/>
              <w:bottom w:val="single" w:sz="4" w:space="0" w:color="auto"/>
              <w:right w:val="single" w:sz="4" w:space="0" w:color="auto"/>
            </w:tcBorders>
            <w:shd w:val="clear" w:color="auto" w:fill="C6EFCE"/>
            <w:noWrap/>
          </w:tcPr>
          <w:p w14:paraId="17B57529"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275C6822" w14:textId="77777777" w:rsidR="00A345F4" w:rsidRDefault="005E2D4E">
            <w:pPr>
              <w:pStyle w:val="P68B1DB1-Normal14"/>
              <w:spacing w:after="0" w:line="240" w:lineRule="auto"/>
              <w:jc w:val="both"/>
              <w:rPr>
                <w:noProof/>
              </w:rPr>
            </w:pPr>
            <w:r>
              <w:rPr>
                <w:noProof/>
              </w:rPr>
              <w:t>Entrée en vigueur des actes juridiques établissant le cadre national de référence en matière de compétences numériques pour l’enseignement préuniversitaire</w:t>
            </w:r>
          </w:p>
        </w:tc>
        <w:tc>
          <w:tcPr>
            <w:tcW w:w="1553" w:type="dxa"/>
            <w:tcBorders>
              <w:top w:val="single" w:sz="4" w:space="0" w:color="auto"/>
              <w:left w:val="nil"/>
              <w:bottom w:val="single" w:sz="4" w:space="0" w:color="auto"/>
              <w:right w:val="single" w:sz="4" w:space="0" w:color="auto"/>
            </w:tcBorders>
            <w:shd w:val="clear" w:color="auto" w:fill="C6EFCE"/>
            <w:noWrap/>
          </w:tcPr>
          <w:p w14:paraId="1F13A9B5" w14:textId="77777777" w:rsidR="00A345F4" w:rsidRDefault="005E2D4E">
            <w:pPr>
              <w:pStyle w:val="P68B1DB1-Normal14"/>
              <w:spacing w:after="0" w:line="240" w:lineRule="auto"/>
              <w:jc w:val="both"/>
              <w:rPr>
                <w:noProof/>
              </w:rPr>
            </w:pPr>
            <w:r>
              <w:rPr>
                <w:noProof/>
              </w:rPr>
              <w:t xml:space="preserve">Disposition de l’acte juridique indiquant l’entrée en vigueur du cadre national de référence en matière de compétences numériques </w:t>
            </w:r>
          </w:p>
        </w:tc>
        <w:tc>
          <w:tcPr>
            <w:tcW w:w="1075" w:type="dxa"/>
            <w:tcBorders>
              <w:top w:val="single" w:sz="4" w:space="0" w:color="auto"/>
              <w:left w:val="nil"/>
              <w:bottom w:val="single" w:sz="4" w:space="0" w:color="auto"/>
              <w:right w:val="single" w:sz="4" w:space="0" w:color="auto"/>
            </w:tcBorders>
            <w:shd w:val="clear" w:color="auto" w:fill="C6EFCE"/>
            <w:noWrap/>
          </w:tcPr>
          <w:p w14:paraId="506257EC" w14:textId="77777777" w:rsidR="00A345F4" w:rsidRDefault="005E2D4E">
            <w:pPr>
              <w:pStyle w:val="P68B1DB1-Normal14"/>
              <w:spacing w:after="0" w:line="240" w:lineRule="auto"/>
              <w:jc w:val="both"/>
              <w:rPr>
                <w:noProof/>
              </w:rPr>
            </w:pPr>
            <w:r>
              <w:rPr>
                <w:noProof/>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67D3EA66" w14:textId="77777777" w:rsidR="00A345F4" w:rsidRDefault="005E2D4E">
            <w:pPr>
              <w:pStyle w:val="P68B1DB1-Normal14"/>
              <w:spacing w:after="0" w:line="240" w:lineRule="auto"/>
              <w:jc w:val="both"/>
              <w:rPr>
                <w:noProof/>
              </w:rPr>
            </w:pPr>
            <w:r>
              <w:rPr>
                <w:noProof/>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47D439F3" w14:textId="77777777" w:rsidR="00A345F4" w:rsidRDefault="005E2D4E">
            <w:pPr>
              <w:pStyle w:val="P68B1DB1-Normal14"/>
              <w:spacing w:after="0" w:line="240" w:lineRule="auto"/>
              <w:jc w:val="both"/>
              <w:rPr>
                <w:noProof/>
              </w:rPr>
            </w:pPr>
            <w:r>
              <w:rPr>
                <w:noProof/>
              </w:rPr>
              <w:t xml:space="preserve"> </w:t>
            </w:r>
          </w:p>
        </w:tc>
        <w:tc>
          <w:tcPr>
            <w:tcW w:w="987" w:type="dxa"/>
            <w:tcBorders>
              <w:top w:val="single" w:sz="4" w:space="0" w:color="auto"/>
              <w:left w:val="nil"/>
              <w:bottom w:val="single" w:sz="4" w:space="0" w:color="auto"/>
              <w:right w:val="single" w:sz="4" w:space="0" w:color="auto"/>
            </w:tcBorders>
            <w:shd w:val="clear" w:color="auto" w:fill="C6EFCE"/>
            <w:noWrap/>
          </w:tcPr>
          <w:p w14:paraId="33BFF286" w14:textId="77777777" w:rsidR="00A345F4" w:rsidRDefault="005E2D4E">
            <w:pPr>
              <w:pStyle w:val="P68B1DB1-Normal14"/>
              <w:spacing w:after="0" w:line="240" w:lineRule="auto"/>
              <w:jc w:val="both"/>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65C7D0F3" w14:textId="77777777" w:rsidR="00A345F4" w:rsidRDefault="005E2D4E">
            <w:pPr>
              <w:pStyle w:val="P68B1DB1-Normal14"/>
              <w:spacing w:after="0" w:line="240" w:lineRule="auto"/>
              <w:jc w:val="both"/>
              <w:rPr>
                <w:noProof/>
              </w:rPr>
            </w:pPr>
            <w:r>
              <w:rPr>
                <w:noProof/>
              </w:rPr>
              <w:t>2024</w:t>
            </w:r>
          </w:p>
        </w:tc>
        <w:tc>
          <w:tcPr>
            <w:tcW w:w="3406" w:type="dxa"/>
            <w:tcBorders>
              <w:top w:val="single" w:sz="4" w:space="0" w:color="auto"/>
              <w:left w:val="nil"/>
              <w:bottom w:val="single" w:sz="4" w:space="0" w:color="auto"/>
              <w:right w:val="single" w:sz="4" w:space="0" w:color="auto"/>
            </w:tcBorders>
            <w:shd w:val="clear" w:color="auto" w:fill="C6EFCE"/>
            <w:noWrap/>
          </w:tcPr>
          <w:p w14:paraId="3DA7E50D" w14:textId="77777777" w:rsidR="00A345F4" w:rsidRDefault="005E2D4E">
            <w:pPr>
              <w:pStyle w:val="P68B1DB1-Normal14"/>
              <w:spacing w:after="0" w:line="240" w:lineRule="auto"/>
              <w:jc w:val="both"/>
              <w:rPr>
                <w:rFonts w:eastAsia="Times New Roman"/>
                <w:noProof/>
              </w:rPr>
            </w:pPr>
            <w:r>
              <w:rPr>
                <w:noProof/>
              </w:rPr>
              <w:t>Entrée en vigueur des actes juridiques qui définissent le cadre national de référence pour le renforcement des compétences numériques des élèves préuniversitaires conformément à DigComp: Cadre européen des compétences numériques pour les citoyens</w:t>
            </w:r>
            <w:r w:rsidRPr="00E75F9B">
              <w:rPr>
                <w:noProof/>
                <w:vertAlign w:val="superscript"/>
              </w:rPr>
              <w:footnoteReference w:id="38"/>
            </w:r>
            <w:r>
              <w:rPr>
                <w:noProof/>
              </w:rPr>
              <w:t>.</w:t>
            </w:r>
          </w:p>
        </w:tc>
      </w:tr>
      <w:tr w:rsidR="00A345F4" w14:paraId="4D1CC269"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8BFB9B8" w14:textId="77777777" w:rsidR="00A345F4" w:rsidRDefault="005E2D4E">
            <w:pPr>
              <w:pStyle w:val="P68B1DB1-Normal14"/>
              <w:spacing w:after="0" w:line="240" w:lineRule="auto"/>
              <w:jc w:val="center"/>
              <w:rPr>
                <w:noProof/>
              </w:rPr>
            </w:pPr>
            <w:r>
              <w:rPr>
                <w:noProof/>
              </w:rPr>
              <w:t>480</w:t>
            </w:r>
          </w:p>
        </w:tc>
        <w:tc>
          <w:tcPr>
            <w:tcW w:w="1863" w:type="dxa"/>
            <w:tcBorders>
              <w:top w:val="single" w:sz="4" w:space="0" w:color="auto"/>
              <w:left w:val="nil"/>
              <w:bottom w:val="single" w:sz="4" w:space="0" w:color="auto"/>
              <w:right w:val="single" w:sz="4" w:space="0" w:color="auto"/>
            </w:tcBorders>
            <w:shd w:val="clear" w:color="auto" w:fill="C6EFCE"/>
            <w:noWrap/>
          </w:tcPr>
          <w:p w14:paraId="4E449E16" w14:textId="77777777" w:rsidR="00A345F4" w:rsidRDefault="005E2D4E">
            <w:pPr>
              <w:pStyle w:val="P68B1DB1-Normal14"/>
              <w:spacing w:after="0" w:line="240" w:lineRule="auto"/>
              <w:jc w:val="both"/>
              <w:rPr>
                <w:noProof/>
              </w:rPr>
            </w:pPr>
            <w:r>
              <w:rPr>
                <w:noProof/>
              </w:rPr>
              <w:t>Investissement 8. Programme(s) de formation en pédagogie numérique pour le personnel enseignant</w:t>
            </w:r>
          </w:p>
        </w:tc>
        <w:tc>
          <w:tcPr>
            <w:tcW w:w="1151" w:type="dxa"/>
            <w:tcBorders>
              <w:top w:val="single" w:sz="4" w:space="0" w:color="auto"/>
              <w:left w:val="nil"/>
              <w:bottom w:val="single" w:sz="4" w:space="0" w:color="auto"/>
              <w:right w:val="single" w:sz="4" w:space="0" w:color="auto"/>
            </w:tcBorders>
            <w:shd w:val="clear" w:color="auto" w:fill="C6EFCE"/>
            <w:noWrap/>
          </w:tcPr>
          <w:p w14:paraId="39718E74" w14:textId="77777777" w:rsidR="00A345F4" w:rsidRDefault="005E2D4E">
            <w:pPr>
              <w:pStyle w:val="P68B1DB1-Normal14"/>
              <w:spacing w:after="0" w:line="240" w:lineRule="auto"/>
              <w:jc w:val="both"/>
              <w:rPr>
                <w:noProof/>
              </w:rPr>
            </w:pPr>
            <w:r>
              <w:rPr>
                <w:noProof/>
              </w:rPr>
              <w:t>Objectif</w:t>
            </w:r>
          </w:p>
        </w:tc>
        <w:tc>
          <w:tcPr>
            <w:tcW w:w="2031" w:type="dxa"/>
            <w:tcBorders>
              <w:top w:val="single" w:sz="4" w:space="0" w:color="auto"/>
              <w:left w:val="nil"/>
              <w:bottom w:val="single" w:sz="4" w:space="0" w:color="auto"/>
              <w:right w:val="single" w:sz="4" w:space="0" w:color="auto"/>
            </w:tcBorders>
            <w:shd w:val="clear" w:color="auto" w:fill="C6EFCE"/>
            <w:noWrap/>
          </w:tcPr>
          <w:p w14:paraId="5472D786" w14:textId="77777777" w:rsidR="00A345F4" w:rsidRDefault="005E2D4E">
            <w:pPr>
              <w:pStyle w:val="P68B1DB1-Normal14"/>
              <w:spacing w:after="0" w:line="240" w:lineRule="auto"/>
              <w:jc w:val="both"/>
              <w:rPr>
                <w:noProof/>
              </w:rPr>
            </w:pPr>
            <w:r>
              <w:rPr>
                <w:noProof/>
              </w:rPr>
              <w:t xml:space="preserve">Enseignants formés à la pédagogie et aux compétences numériques </w:t>
            </w:r>
          </w:p>
        </w:tc>
        <w:tc>
          <w:tcPr>
            <w:tcW w:w="1553" w:type="dxa"/>
            <w:tcBorders>
              <w:top w:val="single" w:sz="4" w:space="0" w:color="auto"/>
              <w:left w:val="nil"/>
              <w:bottom w:val="single" w:sz="4" w:space="0" w:color="auto"/>
              <w:right w:val="single" w:sz="4" w:space="0" w:color="auto"/>
            </w:tcBorders>
            <w:shd w:val="clear" w:color="auto" w:fill="C6EFCE"/>
            <w:noWrap/>
          </w:tcPr>
          <w:p w14:paraId="54C31249"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single" w:sz="4" w:space="0" w:color="auto"/>
              <w:left w:val="nil"/>
              <w:bottom w:val="single" w:sz="4" w:space="0" w:color="auto"/>
              <w:right w:val="single" w:sz="4" w:space="0" w:color="auto"/>
            </w:tcBorders>
            <w:shd w:val="clear" w:color="auto" w:fill="C6EFCE"/>
            <w:noWrap/>
          </w:tcPr>
          <w:p w14:paraId="5AA155DB" w14:textId="77777777" w:rsidR="00A345F4" w:rsidRDefault="005E2D4E">
            <w:pPr>
              <w:pStyle w:val="P68B1DB1-Normal14"/>
              <w:spacing w:after="0" w:line="240" w:lineRule="auto"/>
              <w:jc w:val="both"/>
              <w:rPr>
                <w:noProof/>
              </w:rPr>
            </w:pPr>
            <w:r>
              <w:rPr>
                <w:noProof/>
              </w:rPr>
              <w:t>Numéro</w:t>
            </w:r>
          </w:p>
        </w:tc>
        <w:tc>
          <w:tcPr>
            <w:tcW w:w="1013" w:type="dxa"/>
            <w:tcBorders>
              <w:top w:val="single" w:sz="4" w:space="0" w:color="auto"/>
              <w:left w:val="nil"/>
              <w:bottom w:val="single" w:sz="4" w:space="0" w:color="auto"/>
              <w:right w:val="single" w:sz="4" w:space="0" w:color="auto"/>
            </w:tcBorders>
            <w:shd w:val="clear" w:color="auto" w:fill="C6EFCE"/>
            <w:noWrap/>
          </w:tcPr>
          <w:p w14:paraId="7A679C81" w14:textId="77777777" w:rsidR="00A345F4" w:rsidRDefault="005E2D4E">
            <w:pPr>
              <w:pStyle w:val="P68B1DB1-Normal14"/>
              <w:spacing w:after="0" w:line="240" w:lineRule="auto"/>
              <w:jc w:val="both"/>
              <w:rPr>
                <w:noProof/>
              </w:rPr>
            </w:pPr>
            <w:r>
              <w:rPr>
                <w:noProof/>
              </w:rPr>
              <w:t>0</w:t>
            </w:r>
          </w:p>
        </w:tc>
        <w:tc>
          <w:tcPr>
            <w:tcW w:w="995" w:type="dxa"/>
            <w:tcBorders>
              <w:top w:val="single" w:sz="4" w:space="0" w:color="auto"/>
              <w:left w:val="nil"/>
              <w:bottom w:val="single" w:sz="4" w:space="0" w:color="auto"/>
              <w:right w:val="single" w:sz="4" w:space="0" w:color="auto"/>
            </w:tcBorders>
            <w:shd w:val="clear" w:color="auto" w:fill="C6EFCE"/>
            <w:noWrap/>
          </w:tcPr>
          <w:p w14:paraId="73EBFAEB" w14:textId="77777777" w:rsidR="00A345F4" w:rsidRDefault="005E2D4E">
            <w:pPr>
              <w:pStyle w:val="P68B1DB1-Normal14"/>
              <w:spacing w:after="0" w:line="240" w:lineRule="auto"/>
              <w:jc w:val="both"/>
              <w:rPr>
                <w:noProof/>
              </w:rPr>
            </w:pPr>
            <w:r>
              <w:rPr>
                <w:noProof/>
              </w:rPr>
              <w:t>100 000</w:t>
            </w:r>
          </w:p>
        </w:tc>
        <w:tc>
          <w:tcPr>
            <w:tcW w:w="987" w:type="dxa"/>
            <w:tcBorders>
              <w:top w:val="single" w:sz="4" w:space="0" w:color="auto"/>
              <w:left w:val="nil"/>
              <w:bottom w:val="single" w:sz="4" w:space="0" w:color="auto"/>
              <w:right w:val="single" w:sz="4" w:space="0" w:color="auto"/>
            </w:tcBorders>
            <w:shd w:val="clear" w:color="auto" w:fill="C6EFCE"/>
            <w:noWrap/>
          </w:tcPr>
          <w:p w14:paraId="3F060587" w14:textId="77777777" w:rsidR="00A345F4" w:rsidRDefault="005E2D4E">
            <w:pPr>
              <w:pStyle w:val="P68B1DB1-Normal14"/>
              <w:spacing w:after="0" w:line="240" w:lineRule="auto"/>
              <w:jc w:val="both"/>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Pr>
          <w:p w14:paraId="650EE521" w14:textId="77777777" w:rsidR="00A345F4" w:rsidRDefault="005E2D4E">
            <w:pPr>
              <w:pStyle w:val="P68B1DB1-Normal14"/>
              <w:spacing w:after="0" w:line="240" w:lineRule="auto"/>
              <w:jc w:val="both"/>
              <w:rPr>
                <w:noProof/>
              </w:rPr>
            </w:pPr>
            <w:r>
              <w:rPr>
                <w:noProof/>
              </w:rPr>
              <w:t>2026</w:t>
            </w:r>
          </w:p>
        </w:tc>
        <w:tc>
          <w:tcPr>
            <w:tcW w:w="3406" w:type="dxa"/>
            <w:tcBorders>
              <w:top w:val="single" w:sz="4" w:space="0" w:color="auto"/>
              <w:left w:val="nil"/>
              <w:bottom w:val="single" w:sz="4" w:space="0" w:color="auto"/>
              <w:right w:val="single" w:sz="4" w:space="0" w:color="auto"/>
            </w:tcBorders>
            <w:shd w:val="clear" w:color="auto" w:fill="C6EFCE"/>
            <w:noWrap/>
          </w:tcPr>
          <w:p w14:paraId="07792212" w14:textId="079544A7" w:rsidR="00A345F4" w:rsidRDefault="005E2D4E">
            <w:pPr>
              <w:pStyle w:val="P68B1DB1-Normal14"/>
              <w:spacing w:after="0" w:line="240" w:lineRule="auto"/>
              <w:jc w:val="both"/>
              <w:rPr>
                <w:noProof/>
              </w:rPr>
            </w:pPr>
            <w:r>
              <w:rPr>
                <w:noProof/>
              </w:rPr>
              <w:t>Certificats de participation au(x) programme(s) de formation à la pédagogie et aux compétences numériques pour au moins 100 000 enseignants, y compris issus de zones rurales et défavorisées.</w:t>
            </w:r>
          </w:p>
        </w:tc>
      </w:tr>
      <w:tr w:rsidR="00A345F4" w14:paraId="415B91FC"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35B26FC" w14:textId="77777777" w:rsidR="00A345F4" w:rsidRDefault="005E2D4E">
            <w:pPr>
              <w:pStyle w:val="P68B1DB1-Normal14"/>
              <w:spacing w:after="0" w:line="240" w:lineRule="auto"/>
              <w:jc w:val="center"/>
              <w:rPr>
                <w:noProof/>
              </w:rPr>
            </w:pPr>
            <w:r>
              <w:rPr>
                <w:noProof/>
              </w:rPr>
              <w:t>482</w:t>
            </w:r>
          </w:p>
        </w:tc>
        <w:tc>
          <w:tcPr>
            <w:tcW w:w="1863" w:type="dxa"/>
            <w:tcBorders>
              <w:top w:val="single" w:sz="4" w:space="0" w:color="auto"/>
              <w:left w:val="nil"/>
              <w:bottom w:val="single" w:sz="4" w:space="0" w:color="auto"/>
              <w:right w:val="single" w:sz="4" w:space="0" w:color="auto"/>
            </w:tcBorders>
            <w:shd w:val="clear" w:color="auto" w:fill="C6EFCE"/>
            <w:noWrap/>
          </w:tcPr>
          <w:p w14:paraId="3AF38084" w14:textId="77777777" w:rsidR="00A345F4" w:rsidRDefault="005E2D4E">
            <w:pPr>
              <w:pStyle w:val="P68B1DB1-Normal14"/>
              <w:spacing w:after="0" w:line="240" w:lineRule="auto"/>
              <w:jc w:val="both"/>
              <w:rPr>
                <w:noProof/>
              </w:rPr>
            </w:pPr>
            <w:r>
              <w:rPr>
                <w:noProof/>
              </w:rPr>
              <w:t>Investissement 9. Équipements numériques et ressources technologiques pour les écoles et les établissements d'enseignement extrascolaire</w:t>
            </w:r>
          </w:p>
        </w:tc>
        <w:tc>
          <w:tcPr>
            <w:tcW w:w="1151" w:type="dxa"/>
            <w:tcBorders>
              <w:top w:val="single" w:sz="4" w:space="0" w:color="auto"/>
              <w:left w:val="nil"/>
              <w:bottom w:val="single" w:sz="4" w:space="0" w:color="auto"/>
              <w:right w:val="single" w:sz="4" w:space="0" w:color="auto"/>
            </w:tcBorders>
            <w:shd w:val="clear" w:color="auto" w:fill="C6EFCE"/>
            <w:noWrap/>
          </w:tcPr>
          <w:p w14:paraId="2A96222B"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5CA999C5" w14:textId="77777777" w:rsidR="00A345F4" w:rsidRDefault="005E2D4E">
            <w:pPr>
              <w:pStyle w:val="P68B1DB1-Normal14"/>
              <w:spacing w:after="0" w:line="240" w:lineRule="auto"/>
              <w:jc w:val="both"/>
              <w:rPr>
                <w:noProof/>
              </w:rPr>
            </w:pPr>
            <w:r>
              <w:rPr>
                <w:noProof/>
              </w:rPr>
              <w:t xml:space="preserve">Écoles et établissements d ' enseignement extrascolaire dotés de moyens technologiques </w:t>
            </w:r>
          </w:p>
        </w:tc>
        <w:tc>
          <w:tcPr>
            <w:tcW w:w="1553" w:type="dxa"/>
            <w:tcBorders>
              <w:top w:val="single" w:sz="4" w:space="0" w:color="auto"/>
              <w:left w:val="nil"/>
              <w:bottom w:val="single" w:sz="4" w:space="0" w:color="auto"/>
              <w:right w:val="single" w:sz="4" w:space="0" w:color="auto"/>
            </w:tcBorders>
            <w:shd w:val="clear" w:color="auto" w:fill="C6EFCE"/>
            <w:noWrap/>
          </w:tcPr>
          <w:p w14:paraId="717D05B6" w14:textId="77777777" w:rsidR="00A345F4" w:rsidRDefault="005E2D4E">
            <w:pPr>
              <w:pStyle w:val="P68B1DB1-Normal14"/>
              <w:spacing w:after="0" w:line="240" w:lineRule="auto"/>
              <w:jc w:val="both"/>
              <w:rPr>
                <w:noProof/>
              </w:rPr>
            </w:pPr>
            <w:r>
              <w:rPr>
                <w:noProof/>
              </w:rPr>
              <w:t>Écoles et établissements d ' enseignement extrascolaire dotés de moyens technologiques</w:t>
            </w:r>
          </w:p>
        </w:tc>
        <w:tc>
          <w:tcPr>
            <w:tcW w:w="1075" w:type="dxa"/>
            <w:tcBorders>
              <w:top w:val="single" w:sz="4" w:space="0" w:color="auto"/>
              <w:left w:val="nil"/>
              <w:bottom w:val="single" w:sz="4" w:space="0" w:color="auto"/>
              <w:right w:val="single" w:sz="4" w:space="0" w:color="auto"/>
            </w:tcBorders>
            <w:shd w:val="clear" w:color="auto" w:fill="C6EFCE"/>
            <w:noWrap/>
          </w:tcPr>
          <w:p w14:paraId="64510D94"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1482C75A"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78268057"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78166FBB" w14:textId="77777777" w:rsidR="00A345F4" w:rsidRDefault="005E2D4E">
            <w:pPr>
              <w:pStyle w:val="P68B1DB1-Normal14"/>
              <w:spacing w:after="0" w:line="240" w:lineRule="auto"/>
              <w:jc w:val="both"/>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0FC948F4" w14:textId="77777777" w:rsidR="00A345F4" w:rsidRDefault="005E2D4E">
            <w:pPr>
              <w:pStyle w:val="P68B1DB1-Normal14"/>
              <w:spacing w:after="0" w:line="240" w:lineRule="auto"/>
              <w:jc w:val="both"/>
              <w:rPr>
                <w:noProof/>
              </w:rPr>
            </w:pPr>
            <w:r>
              <w:rPr>
                <w:noProof/>
              </w:rPr>
              <w:t>2025</w:t>
            </w:r>
          </w:p>
        </w:tc>
        <w:tc>
          <w:tcPr>
            <w:tcW w:w="3406" w:type="dxa"/>
            <w:tcBorders>
              <w:top w:val="single" w:sz="4" w:space="0" w:color="auto"/>
              <w:left w:val="nil"/>
              <w:bottom w:val="single" w:sz="4" w:space="0" w:color="auto"/>
              <w:right w:val="single" w:sz="4" w:space="0" w:color="auto"/>
            </w:tcBorders>
            <w:shd w:val="clear" w:color="auto" w:fill="C6EFCE"/>
            <w:noWrap/>
          </w:tcPr>
          <w:p w14:paraId="38008166" w14:textId="77777777" w:rsidR="00A345F4" w:rsidRDefault="005E2D4E">
            <w:pPr>
              <w:pStyle w:val="P68B1DB1-Normal19"/>
              <w:spacing w:after="0" w:line="240" w:lineRule="auto"/>
              <w:jc w:val="both"/>
              <w:rPr>
                <w:noProof/>
              </w:rPr>
            </w:pPr>
            <w:r>
              <w:rPr>
                <w:noProof/>
              </w:rPr>
              <w:t>Certificats d'acceptation attestant la livraison et la mise en service du matériel dans les écoles et les établissements d'enseignement extrascolaire, comme suit:</w:t>
            </w:r>
          </w:p>
          <w:p w14:paraId="0670E7D8" w14:textId="77777777" w:rsidR="00A345F4" w:rsidRDefault="005E2D4E">
            <w:pPr>
              <w:pStyle w:val="P68B1DB1-ListParagraph29"/>
              <w:numPr>
                <w:ilvl w:val="0"/>
                <w:numId w:val="72"/>
              </w:numPr>
              <w:spacing w:after="0" w:line="240" w:lineRule="auto"/>
              <w:jc w:val="both"/>
              <w:rPr>
                <w:rFonts w:eastAsia="Times New Roman"/>
                <w:noProof/>
              </w:rPr>
            </w:pPr>
            <w:r>
              <w:rPr>
                <w:noProof/>
              </w:rPr>
              <w:t>Au moins 4 300 personnes sont dotées de ressources technologiques pour les laboratoires informatiques.</w:t>
            </w:r>
          </w:p>
          <w:p w14:paraId="347B0F61" w14:textId="635D9A15" w:rsidR="00A345F4" w:rsidRDefault="005E2D4E">
            <w:pPr>
              <w:pStyle w:val="P68B1DB1-ListParagraph29"/>
              <w:numPr>
                <w:ilvl w:val="0"/>
                <w:numId w:val="72"/>
              </w:numPr>
              <w:spacing w:after="0" w:line="240" w:lineRule="auto"/>
              <w:jc w:val="both"/>
              <w:rPr>
                <w:rFonts w:eastAsia="Times New Roman"/>
                <w:noProof/>
              </w:rPr>
            </w:pPr>
            <w:r>
              <w:rPr>
                <w:noProof/>
              </w:rPr>
              <w:t>Au moins 3 600 personnes sont équipées d’équipements et/ou d’infrastructures technologiques.</w:t>
            </w:r>
          </w:p>
          <w:p w14:paraId="7009C1C5" w14:textId="77777777" w:rsidR="00A345F4" w:rsidRDefault="005E2D4E">
            <w:pPr>
              <w:pStyle w:val="P68B1DB1-ListParagraph63"/>
              <w:numPr>
                <w:ilvl w:val="0"/>
                <w:numId w:val="72"/>
              </w:numPr>
              <w:spacing w:after="0" w:line="240" w:lineRule="auto"/>
              <w:jc w:val="both"/>
              <w:rPr>
                <w:noProof/>
              </w:rPr>
            </w:pPr>
            <w:r>
              <w:rPr>
                <w:noProof/>
              </w:rPr>
              <w:t>Au moins 1100 Smart Labs achetés.</w:t>
            </w:r>
          </w:p>
        </w:tc>
      </w:tr>
      <w:tr w:rsidR="00A345F4" w14:paraId="32764662"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0FC4E48" w14:textId="77777777" w:rsidR="00A345F4" w:rsidRDefault="005E2D4E">
            <w:pPr>
              <w:pStyle w:val="P68B1DB1-Normal14"/>
              <w:spacing w:after="0" w:line="240" w:lineRule="auto"/>
              <w:jc w:val="center"/>
              <w:rPr>
                <w:noProof/>
              </w:rPr>
            </w:pPr>
            <w:r>
              <w:rPr>
                <w:noProof/>
              </w:rPr>
              <w:t>485</w:t>
            </w:r>
          </w:p>
        </w:tc>
        <w:tc>
          <w:tcPr>
            <w:tcW w:w="1863" w:type="dxa"/>
            <w:tcBorders>
              <w:top w:val="single" w:sz="4" w:space="0" w:color="auto"/>
              <w:left w:val="nil"/>
              <w:bottom w:val="single" w:sz="4" w:space="0" w:color="auto"/>
              <w:right w:val="single" w:sz="4" w:space="0" w:color="auto"/>
            </w:tcBorders>
            <w:shd w:val="clear" w:color="auto" w:fill="C6EFCE"/>
            <w:noWrap/>
          </w:tcPr>
          <w:p w14:paraId="1A5402EA" w14:textId="77777777" w:rsidR="00A345F4" w:rsidRDefault="005E2D4E">
            <w:pPr>
              <w:pStyle w:val="P68B1DB1-Normal14"/>
              <w:spacing w:after="0" w:line="240" w:lineRule="auto"/>
              <w:jc w:val="both"/>
              <w:rPr>
                <w:noProof/>
              </w:rPr>
            </w:pPr>
            <w:r>
              <w:rPr>
                <w:noProof/>
              </w:rPr>
              <w:t xml:space="preserve">Réforme 6. </w:t>
            </w:r>
          </w:p>
          <w:p w14:paraId="24008E12" w14:textId="77777777" w:rsidR="00A345F4" w:rsidRDefault="005E2D4E">
            <w:pPr>
              <w:pStyle w:val="P68B1DB1-Normal14"/>
              <w:spacing w:after="0" w:line="240" w:lineRule="auto"/>
              <w:jc w:val="both"/>
              <w:rPr>
                <w:noProof/>
              </w:rPr>
            </w:pPr>
            <w:r>
              <w:rPr>
                <w:noProof/>
              </w:rPr>
              <w:t>Mise à jour du cadre réglementaire pour garantir des normes de conception, de construction et de dotation respectueuses de l'environnement dans le système d'enseignement préuniversitaire</w:t>
            </w:r>
          </w:p>
        </w:tc>
        <w:tc>
          <w:tcPr>
            <w:tcW w:w="1151" w:type="dxa"/>
            <w:tcBorders>
              <w:top w:val="single" w:sz="4" w:space="0" w:color="auto"/>
              <w:left w:val="nil"/>
              <w:bottom w:val="single" w:sz="4" w:space="0" w:color="auto"/>
              <w:right w:val="single" w:sz="4" w:space="0" w:color="auto"/>
            </w:tcBorders>
            <w:shd w:val="clear" w:color="auto" w:fill="C6EFCE"/>
            <w:noWrap/>
          </w:tcPr>
          <w:p w14:paraId="445711D2"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5B53717D" w14:textId="77777777" w:rsidR="00A345F4" w:rsidRDefault="005E2D4E">
            <w:pPr>
              <w:pStyle w:val="P68B1DB1-Normal14"/>
              <w:spacing w:after="0" w:line="240" w:lineRule="auto"/>
              <w:jc w:val="both"/>
              <w:rPr>
                <w:noProof/>
              </w:rPr>
            </w:pPr>
            <w:r>
              <w:rPr>
                <w:noProof/>
              </w:rPr>
              <w:t xml:space="preserve">Entrée en vigueur des modifications du cadre législatif visant à améliorer la qualité des environnements d’apprentissage </w:t>
            </w:r>
          </w:p>
        </w:tc>
        <w:tc>
          <w:tcPr>
            <w:tcW w:w="1553" w:type="dxa"/>
            <w:tcBorders>
              <w:top w:val="single" w:sz="4" w:space="0" w:color="auto"/>
              <w:left w:val="nil"/>
              <w:bottom w:val="single" w:sz="4" w:space="0" w:color="auto"/>
              <w:right w:val="single" w:sz="4" w:space="0" w:color="auto"/>
            </w:tcBorders>
            <w:shd w:val="clear" w:color="auto" w:fill="C6EFCE"/>
            <w:noWrap/>
          </w:tcPr>
          <w:p w14:paraId="2B35BE33" w14:textId="77777777" w:rsidR="00A345F4" w:rsidRDefault="005E2D4E">
            <w:pPr>
              <w:pStyle w:val="P68B1DB1-Normal14"/>
              <w:spacing w:after="0" w:line="240" w:lineRule="auto"/>
              <w:jc w:val="both"/>
              <w:rPr>
                <w:noProof/>
              </w:rPr>
            </w:pPr>
            <w:r>
              <w:rPr>
                <w:noProof/>
              </w:rPr>
              <w:t xml:space="preserve">Disposition de la loi indiquant l’entrée en vigueur du nouveau cadre législatif visant à améliorer la qualité des environnements d’apprentissage </w:t>
            </w:r>
          </w:p>
        </w:tc>
        <w:tc>
          <w:tcPr>
            <w:tcW w:w="1075" w:type="dxa"/>
            <w:tcBorders>
              <w:top w:val="single" w:sz="4" w:space="0" w:color="auto"/>
              <w:left w:val="nil"/>
              <w:bottom w:val="single" w:sz="4" w:space="0" w:color="auto"/>
              <w:right w:val="single" w:sz="4" w:space="0" w:color="auto"/>
            </w:tcBorders>
            <w:shd w:val="clear" w:color="auto" w:fill="C6EFCE"/>
            <w:noWrap/>
          </w:tcPr>
          <w:p w14:paraId="47CE72AF" w14:textId="77777777" w:rsidR="00A345F4" w:rsidRDefault="005E2D4E">
            <w:pPr>
              <w:pStyle w:val="P68B1DB1-Normal14"/>
              <w:spacing w:after="0" w:line="240" w:lineRule="auto"/>
              <w:jc w:val="both"/>
              <w:rPr>
                <w:noProof/>
              </w:rPr>
            </w:pPr>
            <w:r>
              <w:rPr>
                <w:noProof/>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56127A57" w14:textId="77777777" w:rsidR="00A345F4" w:rsidRDefault="005E2D4E">
            <w:pPr>
              <w:pStyle w:val="P68B1DB1-Normal14"/>
              <w:spacing w:after="0" w:line="240" w:lineRule="auto"/>
              <w:jc w:val="both"/>
              <w:rPr>
                <w:noProof/>
              </w:rPr>
            </w:pPr>
            <w:r>
              <w:rPr>
                <w:noProof/>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1DEC427C" w14:textId="77777777" w:rsidR="00A345F4" w:rsidRDefault="005E2D4E">
            <w:pPr>
              <w:pStyle w:val="P68B1DB1-Normal14"/>
              <w:spacing w:after="0" w:line="240" w:lineRule="auto"/>
              <w:jc w:val="both"/>
              <w:rPr>
                <w:noProof/>
              </w:rPr>
            </w:pPr>
            <w:r>
              <w:rPr>
                <w:noProof/>
              </w:rPr>
              <w:t xml:space="preserve"> </w:t>
            </w:r>
          </w:p>
        </w:tc>
        <w:tc>
          <w:tcPr>
            <w:tcW w:w="987" w:type="dxa"/>
            <w:tcBorders>
              <w:top w:val="single" w:sz="4" w:space="0" w:color="auto"/>
              <w:left w:val="nil"/>
              <w:bottom w:val="single" w:sz="4" w:space="0" w:color="auto"/>
              <w:right w:val="single" w:sz="4" w:space="0" w:color="auto"/>
            </w:tcBorders>
            <w:shd w:val="clear" w:color="auto" w:fill="C6EFCE"/>
            <w:noWrap/>
          </w:tcPr>
          <w:p w14:paraId="0BBF5196" w14:textId="77777777" w:rsidR="00A345F4" w:rsidRDefault="005E2D4E">
            <w:pPr>
              <w:pStyle w:val="P68B1DB1-Normal14"/>
              <w:spacing w:after="0" w:line="240" w:lineRule="auto"/>
              <w:jc w:val="both"/>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45A9A65B" w14:textId="77777777" w:rsidR="00A345F4" w:rsidRDefault="005E2D4E">
            <w:pPr>
              <w:pStyle w:val="P68B1DB1-Normal14"/>
              <w:spacing w:after="0" w:line="240" w:lineRule="auto"/>
              <w:jc w:val="both"/>
              <w:rPr>
                <w:noProof/>
              </w:rPr>
            </w:pPr>
            <w:r>
              <w:rPr>
                <w:noProof/>
              </w:rPr>
              <w:t>2022</w:t>
            </w:r>
          </w:p>
        </w:tc>
        <w:tc>
          <w:tcPr>
            <w:tcW w:w="3406" w:type="dxa"/>
            <w:tcBorders>
              <w:top w:val="single" w:sz="4" w:space="0" w:color="auto"/>
              <w:left w:val="nil"/>
              <w:bottom w:val="single" w:sz="4" w:space="0" w:color="auto"/>
              <w:right w:val="single" w:sz="4" w:space="0" w:color="auto"/>
            </w:tcBorders>
            <w:shd w:val="clear" w:color="auto" w:fill="C6EFCE"/>
            <w:noWrap/>
          </w:tcPr>
          <w:p w14:paraId="185FDA1C" w14:textId="77777777" w:rsidR="00A345F4" w:rsidRDefault="005E2D4E">
            <w:pPr>
              <w:pStyle w:val="P68B1DB1-Normal14"/>
              <w:spacing w:after="0" w:line="240" w:lineRule="auto"/>
              <w:jc w:val="both"/>
              <w:rPr>
                <w:noProof/>
              </w:rPr>
            </w:pPr>
            <w:r>
              <w:rPr>
                <w:noProof/>
              </w:rPr>
              <w:t>Dans le contexte de la transition vers des bâtiments verts et intelligents, il est nécessaire de réformer le cadre réglementaire relatif à la conception, à la dotation et au fonctionnement des écoles. La nouvelle loi comprendra:</w:t>
            </w:r>
          </w:p>
          <w:p w14:paraId="303F30FA" w14:textId="77777777" w:rsidR="00A345F4" w:rsidRDefault="005E2D4E">
            <w:pPr>
              <w:pStyle w:val="P68B1DB1-Normal14"/>
              <w:numPr>
                <w:ilvl w:val="0"/>
                <w:numId w:val="73"/>
              </w:numPr>
              <w:spacing w:before="120" w:after="0" w:line="240" w:lineRule="auto"/>
              <w:ind w:left="189" w:hanging="142"/>
              <w:contextualSpacing/>
              <w:jc w:val="both"/>
              <w:rPr>
                <w:noProof/>
              </w:rPr>
            </w:pPr>
            <w:r>
              <w:rPr>
                <w:noProof/>
              </w:rPr>
              <w:t>Règles relatives à la conception et à l'exploitation des bâtiments pour les écoles et les écoles secondaires (normative 010/1997);</w:t>
            </w:r>
          </w:p>
          <w:p w14:paraId="0346A145" w14:textId="77777777" w:rsidR="00A345F4" w:rsidRDefault="005E2D4E">
            <w:pPr>
              <w:pStyle w:val="P68B1DB1-Normal14"/>
              <w:numPr>
                <w:ilvl w:val="0"/>
                <w:numId w:val="73"/>
              </w:numPr>
              <w:spacing w:before="120" w:after="0" w:line="240" w:lineRule="auto"/>
              <w:ind w:left="189" w:hanging="142"/>
              <w:contextualSpacing/>
              <w:jc w:val="both"/>
              <w:rPr>
                <w:noProof/>
              </w:rPr>
            </w:pPr>
            <w:r>
              <w:rPr>
                <w:noProof/>
              </w:rPr>
              <w:t>Mise à jour/rédaction des dotations minimales par la mise à jour des actes législatifs suivants: Dotation minimale pour les classes V à VIII, approuvée par l'arrêté ministériel 3486/2006, Règles minimales de dotation pour l'enseignement primaire Arrêté ministériel 3263/2006, Normes et règlements préscolaires, Annexe 1 Normes pour le matériel pédagogique et Annexe 2 sur les normes minimales d'équipement, approuvées par l'arrêté ministériel 3850/2010.</w:t>
            </w:r>
          </w:p>
          <w:p w14:paraId="47A57B41" w14:textId="77777777" w:rsidR="00A345F4" w:rsidRDefault="005E2D4E">
            <w:pPr>
              <w:pStyle w:val="P68B1DB1-Normal14"/>
              <w:spacing w:after="0" w:line="240" w:lineRule="auto"/>
              <w:ind w:left="93"/>
              <w:jc w:val="both"/>
              <w:rPr>
                <w:noProof/>
              </w:rPr>
            </w:pPr>
            <w:r>
              <w:rPr>
                <w:noProof/>
              </w:rPr>
              <w:t>Le cadre réglementaire pour la mise en œuvre des investissements dans la transition vers des bâtiments verts est complété par des règlements sur le fonctionnement des écoles vertes et par des méthodes de fonctionnement et d’organisation des écoles vertes, y compris des programmes d’études adaptés, qui établissent des repères pédagogiques pour encourager les élèves à adopter un comportement respectueux de l’environnement naturel.</w:t>
            </w:r>
          </w:p>
        </w:tc>
      </w:tr>
      <w:tr w:rsidR="00A345F4" w14:paraId="07E10102"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E76D8F1" w14:textId="77777777" w:rsidR="00A345F4" w:rsidRDefault="005E2D4E">
            <w:pPr>
              <w:pStyle w:val="P68B1DB1-Normal14"/>
              <w:spacing w:after="0" w:line="240" w:lineRule="auto"/>
              <w:jc w:val="center"/>
              <w:rPr>
                <w:noProof/>
              </w:rPr>
            </w:pPr>
            <w:r>
              <w:rPr>
                <w:noProof/>
              </w:rPr>
              <w:t>486</w:t>
            </w:r>
          </w:p>
        </w:tc>
        <w:tc>
          <w:tcPr>
            <w:tcW w:w="1863" w:type="dxa"/>
            <w:tcBorders>
              <w:top w:val="single" w:sz="4" w:space="0" w:color="auto"/>
              <w:left w:val="nil"/>
              <w:bottom w:val="single" w:sz="4" w:space="0" w:color="auto"/>
              <w:right w:val="single" w:sz="4" w:space="0" w:color="auto"/>
            </w:tcBorders>
            <w:shd w:val="clear" w:color="auto" w:fill="C6EFCE"/>
            <w:noWrap/>
          </w:tcPr>
          <w:p w14:paraId="306D905C" w14:textId="77777777" w:rsidR="00A345F4" w:rsidRDefault="005E2D4E">
            <w:pPr>
              <w:pStyle w:val="P68B1DB1-Normal14"/>
              <w:spacing w:after="0" w:line="240" w:lineRule="auto"/>
              <w:jc w:val="both"/>
              <w:rPr>
                <w:noProof/>
              </w:rPr>
            </w:pPr>
            <w:r>
              <w:rPr>
                <w:noProof/>
              </w:rPr>
              <w:t>Investissement 10. Développement d'un réseau d'écoles vertes et achat de minibus verts</w:t>
            </w:r>
          </w:p>
        </w:tc>
        <w:tc>
          <w:tcPr>
            <w:tcW w:w="1151" w:type="dxa"/>
            <w:tcBorders>
              <w:top w:val="single" w:sz="4" w:space="0" w:color="auto"/>
              <w:left w:val="nil"/>
              <w:bottom w:val="single" w:sz="4" w:space="0" w:color="auto"/>
              <w:right w:val="single" w:sz="4" w:space="0" w:color="auto"/>
            </w:tcBorders>
            <w:shd w:val="clear" w:color="auto" w:fill="C6EFCE"/>
            <w:noWrap/>
          </w:tcPr>
          <w:p w14:paraId="7647E82B"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3FA2B627" w14:textId="57653E55" w:rsidR="00A345F4" w:rsidRDefault="005E2D4E">
            <w:pPr>
              <w:pStyle w:val="P68B1DB1-Normal14"/>
              <w:spacing w:after="0" w:line="240" w:lineRule="auto"/>
              <w:jc w:val="both"/>
              <w:rPr>
                <w:noProof/>
              </w:rPr>
            </w:pPr>
            <w:r>
              <w:rPr>
                <w:noProof/>
              </w:rPr>
              <w:t xml:space="preserve">Livraison de minibus électriques </w:t>
            </w:r>
          </w:p>
        </w:tc>
        <w:tc>
          <w:tcPr>
            <w:tcW w:w="1553" w:type="dxa"/>
            <w:tcBorders>
              <w:top w:val="single" w:sz="4" w:space="0" w:color="auto"/>
              <w:left w:val="nil"/>
              <w:bottom w:val="single" w:sz="4" w:space="0" w:color="auto"/>
              <w:right w:val="single" w:sz="4" w:space="0" w:color="auto"/>
            </w:tcBorders>
            <w:shd w:val="clear" w:color="auto" w:fill="C6EFCE"/>
            <w:noWrap/>
          </w:tcPr>
          <w:p w14:paraId="6032CBCF" w14:textId="77777777" w:rsidR="00A345F4" w:rsidRDefault="005E2D4E">
            <w:pPr>
              <w:pStyle w:val="P68B1DB1-Normal14"/>
              <w:spacing w:after="0" w:line="240" w:lineRule="auto"/>
              <w:jc w:val="both"/>
              <w:rPr>
                <w:noProof/>
              </w:rPr>
            </w:pPr>
            <w:r>
              <w:rPr>
                <w:noProof/>
              </w:rPr>
              <w:t>Minibus électriques livrés</w:t>
            </w:r>
          </w:p>
        </w:tc>
        <w:tc>
          <w:tcPr>
            <w:tcW w:w="1075" w:type="dxa"/>
            <w:tcBorders>
              <w:top w:val="single" w:sz="4" w:space="0" w:color="auto"/>
              <w:left w:val="nil"/>
              <w:bottom w:val="single" w:sz="4" w:space="0" w:color="auto"/>
              <w:right w:val="single" w:sz="4" w:space="0" w:color="auto"/>
            </w:tcBorders>
            <w:shd w:val="clear" w:color="auto" w:fill="C6EFCE"/>
            <w:noWrap/>
          </w:tcPr>
          <w:p w14:paraId="17C1B5A5"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7D622E90"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3AA15049"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5991D1AA" w14:textId="77777777" w:rsidR="00A345F4" w:rsidRDefault="005E2D4E">
            <w:pPr>
              <w:pStyle w:val="P68B1DB1-Normal14"/>
              <w:spacing w:after="0" w:line="240" w:lineRule="auto"/>
              <w:jc w:val="both"/>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4A255C18" w14:textId="77777777" w:rsidR="00A345F4" w:rsidRDefault="005E2D4E">
            <w:pPr>
              <w:pStyle w:val="P68B1DB1-Normal14"/>
              <w:spacing w:after="0" w:line="240" w:lineRule="auto"/>
              <w:jc w:val="both"/>
              <w:rPr>
                <w:noProof/>
              </w:rPr>
            </w:pPr>
            <w:r>
              <w:rPr>
                <w:noProof/>
              </w:rPr>
              <w:t xml:space="preserve"> 2024</w:t>
            </w:r>
          </w:p>
        </w:tc>
        <w:tc>
          <w:tcPr>
            <w:tcW w:w="3406" w:type="dxa"/>
            <w:tcBorders>
              <w:top w:val="single" w:sz="4" w:space="0" w:color="auto"/>
              <w:left w:val="nil"/>
              <w:bottom w:val="single" w:sz="4" w:space="0" w:color="auto"/>
              <w:right w:val="single" w:sz="4" w:space="0" w:color="auto"/>
            </w:tcBorders>
            <w:shd w:val="clear" w:color="auto" w:fill="C6EFCE"/>
            <w:noWrap/>
          </w:tcPr>
          <w:p w14:paraId="164AEFCB" w14:textId="77777777" w:rsidR="00A345F4" w:rsidRDefault="005E2D4E">
            <w:pPr>
              <w:pStyle w:val="P68B1DB1-Normal14"/>
              <w:spacing w:after="0" w:line="240" w:lineRule="auto"/>
              <w:jc w:val="both"/>
              <w:rPr>
                <w:noProof/>
              </w:rPr>
            </w:pPr>
            <w:r>
              <w:rPr>
                <w:noProof/>
              </w:rPr>
              <w:t>Certificats d'acceptation au niveau du comté prouvant la livraison de 1 218 minibus électriques pour le transport d'étudiants.</w:t>
            </w:r>
          </w:p>
          <w:p w14:paraId="53DE07E0" w14:textId="77777777" w:rsidR="00A345F4" w:rsidRDefault="00A345F4">
            <w:pPr>
              <w:spacing w:after="0" w:line="240" w:lineRule="auto"/>
              <w:jc w:val="both"/>
              <w:rPr>
                <w:rFonts w:ascii="Times New Roman" w:eastAsia="Times New Roman" w:hAnsi="Times New Roman" w:cs="Times New Roman"/>
                <w:noProof/>
                <w:sz w:val="20"/>
                <w:szCs w:val="20"/>
              </w:rPr>
            </w:pPr>
          </w:p>
        </w:tc>
      </w:tr>
      <w:tr w:rsidR="00A345F4" w14:paraId="655E71AA"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DF05B07" w14:textId="77777777" w:rsidR="00A345F4" w:rsidRDefault="005E2D4E">
            <w:pPr>
              <w:pStyle w:val="P68B1DB1-Normal14"/>
              <w:spacing w:after="0" w:line="240" w:lineRule="auto"/>
              <w:jc w:val="center"/>
              <w:rPr>
                <w:noProof/>
              </w:rPr>
            </w:pPr>
            <w:r>
              <w:rPr>
                <w:noProof/>
              </w:rPr>
              <w:t>487</w:t>
            </w:r>
          </w:p>
        </w:tc>
        <w:tc>
          <w:tcPr>
            <w:tcW w:w="1863" w:type="dxa"/>
            <w:tcBorders>
              <w:top w:val="single" w:sz="4" w:space="0" w:color="auto"/>
              <w:left w:val="nil"/>
              <w:bottom w:val="single" w:sz="4" w:space="0" w:color="auto"/>
              <w:right w:val="single" w:sz="4" w:space="0" w:color="auto"/>
            </w:tcBorders>
            <w:shd w:val="clear" w:color="auto" w:fill="C6EFCE"/>
            <w:noWrap/>
          </w:tcPr>
          <w:p w14:paraId="68E10950" w14:textId="77777777" w:rsidR="00A345F4" w:rsidRDefault="005E2D4E">
            <w:pPr>
              <w:pStyle w:val="P68B1DB1-Normal14"/>
              <w:spacing w:after="0" w:line="240" w:lineRule="auto"/>
              <w:jc w:val="both"/>
              <w:rPr>
                <w:noProof/>
              </w:rPr>
            </w:pPr>
            <w:r>
              <w:rPr>
                <w:noProof/>
              </w:rPr>
              <w:t>Investissement 10. Développement d'un réseau d'écoles vertes et achat de minibus verts</w:t>
            </w:r>
          </w:p>
        </w:tc>
        <w:tc>
          <w:tcPr>
            <w:tcW w:w="1151" w:type="dxa"/>
            <w:tcBorders>
              <w:top w:val="single" w:sz="4" w:space="0" w:color="auto"/>
              <w:left w:val="nil"/>
              <w:bottom w:val="single" w:sz="4" w:space="0" w:color="auto"/>
              <w:right w:val="single" w:sz="4" w:space="0" w:color="auto"/>
            </w:tcBorders>
            <w:shd w:val="clear" w:color="auto" w:fill="C6EFCE"/>
            <w:noWrap/>
          </w:tcPr>
          <w:p w14:paraId="1C2F1FE0" w14:textId="77777777" w:rsidR="00A345F4" w:rsidRDefault="005E2D4E">
            <w:pPr>
              <w:pStyle w:val="P68B1DB1-Normal14"/>
              <w:spacing w:after="0" w:line="240" w:lineRule="auto"/>
              <w:jc w:val="both"/>
              <w:rPr>
                <w:noProof/>
              </w:rPr>
            </w:pPr>
            <w:r>
              <w:rPr>
                <w:noProof/>
              </w:rPr>
              <w:t>Objectif</w:t>
            </w:r>
          </w:p>
        </w:tc>
        <w:tc>
          <w:tcPr>
            <w:tcW w:w="2031" w:type="dxa"/>
            <w:tcBorders>
              <w:top w:val="single" w:sz="4" w:space="0" w:color="auto"/>
              <w:left w:val="nil"/>
              <w:bottom w:val="single" w:sz="4" w:space="0" w:color="auto"/>
              <w:right w:val="single" w:sz="4" w:space="0" w:color="auto"/>
            </w:tcBorders>
            <w:shd w:val="clear" w:color="auto" w:fill="C6EFCE"/>
            <w:noWrap/>
          </w:tcPr>
          <w:p w14:paraId="56E697BC" w14:textId="77777777" w:rsidR="00A345F4" w:rsidRDefault="005E2D4E">
            <w:pPr>
              <w:pStyle w:val="P68B1DB1-Normal14"/>
              <w:spacing w:after="0" w:line="240" w:lineRule="auto"/>
              <w:jc w:val="both"/>
              <w:rPr>
                <w:noProof/>
              </w:rPr>
            </w:pPr>
            <w:r>
              <w:rPr>
                <w:noProof/>
              </w:rPr>
              <w:t xml:space="preserve">Zone scolaire pré-universitaire rénovée </w:t>
            </w:r>
          </w:p>
        </w:tc>
        <w:tc>
          <w:tcPr>
            <w:tcW w:w="1553" w:type="dxa"/>
            <w:tcBorders>
              <w:top w:val="single" w:sz="4" w:space="0" w:color="auto"/>
              <w:left w:val="nil"/>
              <w:bottom w:val="single" w:sz="4" w:space="0" w:color="auto"/>
              <w:right w:val="single" w:sz="4" w:space="0" w:color="auto"/>
            </w:tcBorders>
            <w:shd w:val="clear" w:color="auto" w:fill="C6EFCE"/>
            <w:noWrap/>
          </w:tcPr>
          <w:p w14:paraId="6757EC73"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single" w:sz="4" w:space="0" w:color="auto"/>
              <w:left w:val="nil"/>
              <w:bottom w:val="single" w:sz="4" w:space="0" w:color="auto"/>
              <w:right w:val="single" w:sz="4" w:space="0" w:color="auto"/>
            </w:tcBorders>
            <w:shd w:val="clear" w:color="auto" w:fill="C6EFCE"/>
            <w:noWrap/>
          </w:tcPr>
          <w:p w14:paraId="3316D9DC" w14:textId="77777777" w:rsidR="00A345F4" w:rsidRDefault="005E2D4E">
            <w:pPr>
              <w:pStyle w:val="P68B1DB1-Normal14"/>
              <w:spacing w:after="0" w:line="240" w:lineRule="auto"/>
              <w:jc w:val="both"/>
              <w:rPr>
                <w:noProof/>
              </w:rPr>
            </w:pPr>
            <w:r>
              <w:rPr>
                <w:noProof/>
              </w:rPr>
              <w:t>Nombre de m</w:t>
            </w:r>
            <w:r>
              <w:rPr>
                <w:noProof/>
                <w:vertAlign w:val="superscript"/>
              </w:rPr>
              <w:t xml:space="preserve"> 2</w:t>
            </w:r>
          </w:p>
        </w:tc>
        <w:tc>
          <w:tcPr>
            <w:tcW w:w="1013" w:type="dxa"/>
            <w:tcBorders>
              <w:top w:val="single" w:sz="4" w:space="0" w:color="auto"/>
              <w:left w:val="nil"/>
              <w:bottom w:val="single" w:sz="4" w:space="0" w:color="auto"/>
              <w:right w:val="single" w:sz="4" w:space="0" w:color="auto"/>
            </w:tcBorders>
            <w:shd w:val="clear" w:color="auto" w:fill="C6EFCE"/>
            <w:noWrap/>
          </w:tcPr>
          <w:p w14:paraId="0EB09DD9" w14:textId="77777777" w:rsidR="00A345F4" w:rsidRDefault="005E2D4E">
            <w:pPr>
              <w:pStyle w:val="P68B1DB1-Normal14"/>
              <w:spacing w:after="0" w:line="240" w:lineRule="auto"/>
              <w:jc w:val="both"/>
              <w:rPr>
                <w:noProof/>
              </w:rPr>
            </w:pPr>
            <w:r>
              <w:rPr>
                <w:noProof/>
              </w:rPr>
              <w:t>0</w:t>
            </w:r>
          </w:p>
        </w:tc>
        <w:tc>
          <w:tcPr>
            <w:tcW w:w="995" w:type="dxa"/>
            <w:tcBorders>
              <w:top w:val="single" w:sz="4" w:space="0" w:color="auto"/>
              <w:left w:val="nil"/>
              <w:bottom w:val="single" w:sz="4" w:space="0" w:color="auto"/>
              <w:right w:val="single" w:sz="4" w:space="0" w:color="auto"/>
            </w:tcBorders>
            <w:shd w:val="clear" w:color="auto" w:fill="C6EFCE"/>
            <w:noWrap/>
          </w:tcPr>
          <w:p w14:paraId="28A447E7" w14:textId="1B64A069" w:rsidR="00A345F4" w:rsidRDefault="005E2D4E">
            <w:pPr>
              <w:pStyle w:val="P68B1DB1-Normal14"/>
              <w:spacing w:after="0" w:line="240" w:lineRule="auto"/>
              <w:jc w:val="both"/>
              <w:rPr>
                <w:noProof/>
              </w:rPr>
            </w:pPr>
            <w:r>
              <w:rPr>
                <w:noProof/>
              </w:rPr>
              <w:t>18 289</w:t>
            </w:r>
          </w:p>
        </w:tc>
        <w:tc>
          <w:tcPr>
            <w:tcW w:w="987" w:type="dxa"/>
            <w:tcBorders>
              <w:top w:val="single" w:sz="4" w:space="0" w:color="auto"/>
              <w:left w:val="nil"/>
              <w:bottom w:val="single" w:sz="4" w:space="0" w:color="auto"/>
              <w:right w:val="single" w:sz="4" w:space="0" w:color="auto"/>
            </w:tcBorders>
            <w:shd w:val="clear" w:color="auto" w:fill="C6EFCE"/>
            <w:noWrap/>
          </w:tcPr>
          <w:p w14:paraId="416739FE"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30288D48" w14:textId="77777777" w:rsidR="00A345F4" w:rsidRDefault="005E2D4E">
            <w:pPr>
              <w:pStyle w:val="P68B1DB1-Normal14"/>
              <w:spacing w:after="0" w:line="240" w:lineRule="auto"/>
              <w:jc w:val="both"/>
              <w:rPr>
                <w:noProof/>
              </w:rPr>
            </w:pPr>
            <w:r>
              <w:rPr>
                <w:noProof/>
              </w:rPr>
              <w:t>2026</w:t>
            </w:r>
          </w:p>
        </w:tc>
        <w:tc>
          <w:tcPr>
            <w:tcW w:w="3406" w:type="dxa"/>
            <w:tcBorders>
              <w:top w:val="single" w:sz="4" w:space="0" w:color="auto"/>
              <w:left w:val="nil"/>
              <w:bottom w:val="single" w:sz="4" w:space="0" w:color="auto"/>
              <w:right w:val="single" w:sz="4" w:space="0" w:color="auto"/>
            </w:tcBorders>
            <w:shd w:val="clear" w:color="auto" w:fill="C6EFCE"/>
            <w:noWrap/>
          </w:tcPr>
          <w:p w14:paraId="1EC0CBFD" w14:textId="7708393F" w:rsidR="00A345F4" w:rsidRDefault="005E2D4E">
            <w:pPr>
              <w:pStyle w:val="P68B1DB1-Normal14"/>
              <w:spacing w:after="0" w:line="240" w:lineRule="auto"/>
              <w:jc w:val="both"/>
              <w:rPr>
                <w:rFonts w:eastAsia="Times New Roman"/>
                <w:noProof/>
              </w:rPr>
            </w:pPr>
            <w:r>
              <w:rPr>
                <w:noProof/>
              </w:rPr>
              <w:t>Les attestations de réception d'achèvement des travaux confirment qu'au moins 18 289 m2 d'espaces scolaires préuniversitaires ont été rénovés. Les zones rénovées génèrent une augmentation de 30 % des économies d’énergie primaire par rapport à l’état de prérénovation à démontrer au moyen de certificats de performance énergétique.</w:t>
            </w:r>
          </w:p>
        </w:tc>
      </w:tr>
      <w:tr w:rsidR="00A345F4" w14:paraId="40B995E3"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33B6EE8" w14:textId="77777777" w:rsidR="00A345F4" w:rsidRDefault="005E2D4E">
            <w:pPr>
              <w:pStyle w:val="P68B1DB1-Normal14"/>
              <w:spacing w:after="0" w:line="240" w:lineRule="auto"/>
              <w:jc w:val="center"/>
              <w:rPr>
                <w:noProof/>
              </w:rPr>
            </w:pPr>
            <w:r>
              <w:rPr>
                <w:noProof/>
              </w:rPr>
              <w:t>489</w:t>
            </w:r>
          </w:p>
        </w:tc>
        <w:tc>
          <w:tcPr>
            <w:tcW w:w="1863" w:type="dxa"/>
            <w:tcBorders>
              <w:top w:val="single" w:sz="4" w:space="0" w:color="auto"/>
              <w:left w:val="nil"/>
              <w:bottom w:val="single" w:sz="4" w:space="0" w:color="auto"/>
              <w:right w:val="single" w:sz="4" w:space="0" w:color="auto"/>
            </w:tcBorders>
            <w:shd w:val="clear" w:color="auto" w:fill="C6EFCE"/>
            <w:noWrap/>
          </w:tcPr>
          <w:p w14:paraId="4A1AA68D" w14:textId="77777777" w:rsidR="00A345F4" w:rsidRDefault="005E2D4E">
            <w:pPr>
              <w:pStyle w:val="P68B1DB1-Normal14"/>
              <w:spacing w:after="0" w:line="240" w:lineRule="auto"/>
              <w:jc w:val="both"/>
              <w:rPr>
                <w:noProof/>
              </w:rPr>
            </w:pPr>
            <w:r>
              <w:rPr>
                <w:noProof/>
              </w:rPr>
              <w:t>Investissement 11. Fourniture de matériel pour les salles de classe préuniversitaires et les laboratoires de sciences scolaires/armoires scolaires</w:t>
            </w:r>
          </w:p>
        </w:tc>
        <w:tc>
          <w:tcPr>
            <w:tcW w:w="1151" w:type="dxa"/>
            <w:tcBorders>
              <w:top w:val="single" w:sz="4" w:space="0" w:color="auto"/>
              <w:left w:val="nil"/>
              <w:bottom w:val="single" w:sz="4" w:space="0" w:color="auto"/>
              <w:right w:val="single" w:sz="4" w:space="0" w:color="auto"/>
            </w:tcBorders>
            <w:shd w:val="clear" w:color="auto" w:fill="C6EFCE"/>
            <w:noWrap/>
          </w:tcPr>
          <w:p w14:paraId="7B745B31"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39DB5D30" w14:textId="77777777" w:rsidR="00A345F4" w:rsidRDefault="005E2D4E">
            <w:pPr>
              <w:pStyle w:val="P68B1DB1-Normal14"/>
              <w:spacing w:after="0" w:line="240" w:lineRule="auto"/>
              <w:jc w:val="both"/>
              <w:rPr>
                <w:noProof/>
              </w:rPr>
            </w:pPr>
            <w:r>
              <w:rPr>
                <w:noProof/>
              </w:rPr>
              <w:t>Signature de contrats de financement pour l'aménagement de salles de classe avec mobilier</w:t>
            </w:r>
          </w:p>
        </w:tc>
        <w:tc>
          <w:tcPr>
            <w:tcW w:w="1553" w:type="dxa"/>
            <w:tcBorders>
              <w:top w:val="single" w:sz="4" w:space="0" w:color="auto"/>
              <w:left w:val="nil"/>
              <w:bottom w:val="single" w:sz="4" w:space="0" w:color="auto"/>
              <w:right w:val="single" w:sz="4" w:space="0" w:color="auto"/>
            </w:tcBorders>
            <w:shd w:val="clear" w:color="auto" w:fill="C6EFCE"/>
            <w:noWrap/>
          </w:tcPr>
          <w:p w14:paraId="2F92D3FA" w14:textId="77777777" w:rsidR="00A345F4" w:rsidRDefault="005E2D4E">
            <w:pPr>
              <w:pStyle w:val="P68B1DB1-Normal14"/>
              <w:spacing w:after="0" w:line="240" w:lineRule="auto"/>
              <w:jc w:val="both"/>
              <w:rPr>
                <w:noProof/>
              </w:rPr>
            </w:pPr>
            <w:r>
              <w:rPr>
                <w:noProof/>
              </w:rPr>
              <w:t>Signature de contrats de financement pour l'aménagement de salles de classe avec mobilier</w:t>
            </w:r>
          </w:p>
        </w:tc>
        <w:tc>
          <w:tcPr>
            <w:tcW w:w="1075" w:type="dxa"/>
            <w:tcBorders>
              <w:top w:val="single" w:sz="4" w:space="0" w:color="auto"/>
              <w:left w:val="nil"/>
              <w:bottom w:val="single" w:sz="4" w:space="0" w:color="auto"/>
              <w:right w:val="single" w:sz="4" w:space="0" w:color="auto"/>
            </w:tcBorders>
            <w:shd w:val="clear" w:color="auto" w:fill="C6EFCE"/>
            <w:noWrap/>
          </w:tcPr>
          <w:p w14:paraId="2EDAF9FC"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21B4FC0F"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3736982D"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4478D030"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69D7931B" w14:textId="77777777" w:rsidR="00A345F4" w:rsidRDefault="005E2D4E">
            <w:pPr>
              <w:pStyle w:val="P68B1DB1-Normal14"/>
              <w:spacing w:after="0" w:line="240" w:lineRule="auto"/>
              <w:jc w:val="both"/>
              <w:rPr>
                <w:noProof/>
              </w:rPr>
            </w:pPr>
            <w:r>
              <w:rPr>
                <w:noProof/>
              </w:rPr>
              <w:t>2022</w:t>
            </w:r>
          </w:p>
        </w:tc>
        <w:tc>
          <w:tcPr>
            <w:tcW w:w="3406" w:type="dxa"/>
            <w:tcBorders>
              <w:top w:val="single" w:sz="4" w:space="0" w:color="auto"/>
              <w:left w:val="nil"/>
              <w:bottom w:val="single" w:sz="4" w:space="0" w:color="auto"/>
              <w:right w:val="single" w:sz="4" w:space="0" w:color="auto"/>
            </w:tcBorders>
            <w:shd w:val="clear" w:color="auto" w:fill="C6EFCE"/>
            <w:noWrap/>
          </w:tcPr>
          <w:p w14:paraId="0E337291" w14:textId="77777777" w:rsidR="00A345F4" w:rsidRDefault="005E2D4E">
            <w:pPr>
              <w:pStyle w:val="P68B1DB1-Normal14"/>
              <w:spacing w:after="0" w:line="240" w:lineRule="auto"/>
              <w:jc w:val="both"/>
              <w:rPr>
                <w:noProof/>
              </w:rPr>
            </w:pPr>
            <w:r>
              <w:rPr>
                <w:noProof/>
              </w:rPr>
              <w:t>Signature de contrats de financement pour l'équipement des salles de classe des écoles pré-universitaires, des centres départementaux de ressources et d'assistance pédagogique et des unités éducatives extrascolaires du réseau scolaire sur la base des normes minimales pour l'équipement des salles de classe/laboratoires/ateliers scolaires. Afin d’assurer leur cohérence, le ministère de l’éducation formule des recommandations aux bénéficiaires sur les spécifications techniques à inclure dans le cahier des charges.</w:t>
            </w:r>
          </w:p>
          <w:p w14:paraId="66BECC89" w14:textId="77777777" w:rsidR="00A345F4" w:rsidRDefault="005E2D4E">
            <w:pPr>
              <w:pStyle w:val="P68B1DB1-Normal14"/>
              <w:spacing w:after="0" w:line="240" w:lineRule="auto"/>
              <w:jc w:val="both"/>
              <w:rPr>
                <w:noProof/>
              </w:rPr>
            </w:pPr>
            <w:r>
              <w:rPr>
                <w:noProof/>
              </w:rPr>
              <w:t>La priorité est accordée aux établissements d'enseignement qui n'ont pas bénéficié de ce type d'investissement au cours des cinq dernières années.</w:t>
            </w:r>
          </w:p>
        </w:tc>
      </w:tr>
      <w:tr w:rsidR="00A345F4" w14:paraId="2FFACA65"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AB7F172" w14:textId="77777777" w:rsidR="00A345F4" w:rsidRDefault="005E2D4E">
            <w:pPr>
              <w:pStyle w:val="P68B1DB1-Normal14"/>
              <w:spacing w:after="0" w:line="240" w:lineRule="auto"/>
              <w:jc w:val="center"/>
              <w:rPr>
                <w:noProof/>
              </w:rPr>
            </w:pPr>
            <w:r>
              <w:rPr>
                <w:noProof/>
              </w:rPr>
              <w:t>490</w:t>
            </w:r>
          </w:p>
        </w:tc>
        <w:tc>
          <w:tcPr>
            <w:tcW w:w="1863" w:type="dxa"/>
            <w:tcBorders>
              <w:top w:val="single" w:sz="4" w:space="0" w:color="auto"/>
              <w:left w:val="nil"/>
              <w:bottom w:val="single" w:sz="4" w:space="0" w:color="auto"/>
              <w:right w:val="single" w:sz="4" w:space="0" w:color="auto"/>
            </w:tcBorders>
            <w:shd w:val="clear" w:color="auto" w:fill="C6EFCE"/>
            <w:noWrap/>
          </w:tcPr>
          <w:p w14:paraId="6DB65CEE" w14:textId="77777777" w:rsidR="00A345F4" w:rsidRDefault="005E2D4E">
            <w:pPr>
              <w:pStyle w:val="P68B1DB1-Normal14"/>
              <w:spacing w:after="0" w:line="240" w:lineRule="auto"/>
              <w:jc w:val="both"/>
              <w:rPr>
                <w:noProof/>
              </w:rPr>
            </w:pPr>
            <w:r>
              <w:rPr>
                <w:noProof/>
              </w:rPr>
              <w:t>Investissement 11. Fourniture de matériel pour les salles de classe préuniversitaires et les laboratoires de sciences scolaires/armoires scolaires</w:t>
            </w:r>
          </w:p>
        </w:tc>
        <w:tc>
          <w:tcPr>
            <w:tcW w:w="1151" w:type="dxa"/>
            <w:tcBorders>
              <w:top w:val="single" w:sz="4" w:space="0" w:color="auto"/>
              <w:left w:val="nil"/>
              <w:bottom w:val="single" w:sz="4" w:space="0" w:color="auto"/>
              <w:right w:val="single" w:sz="4" w:space="0" w:color="auto"/>
            </w:tcBorders>
            <w:shd w:val="clear" w:color="auto" w:fill="C6EFCE"/>
            <w:noWrap/>
          </w:tcPr>
          <w:p w14:paraId="08181159"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1E5E329D" w14:textId="77777777" w:rsidR="00A345F4" w:rsidRDefault="005E2D4E">
            <w:pPr>
              <w:pStyle w:val="P68B1DB1-Normal14"/>
              <w:spacing w:after="0" w:line="240" w:lineRule="auto"/>
              <w:jc w:val="both"/>
              <w:rPr>
                <w:noProof/>
              </w:rPr>
            </w:pPr>
            <w:r>
              <w:rPr>
                <w:noProof/>
              </w:rPr>
              <w:t>Signature de contrats de financement pour l'équipement des laboratoires/armoires scolaires scientifiques</w:t>
            </w:r>
          </w:p>
        </w:tc>
        <w:tc>
          <w:tcPr>
            <w:tcW w:w="1553" w:type="dxa"/>
            <w:tcBorders>
              <w:top w:val="single" w:sz="4" w:space="0" w:color="auto"/>
              <w:left w:val="nil"/>
              <w:bottom w:val="single" w:sz="4" w:space="0" w:color="auto"/>
              <w:right w:val="single" w:sz="4" w:space="0" w:color="auto"/>
            </w:tcBorders>
            <w:shd w:val="clear" w:color="auto" w:fill="C6EFCE"/>
            <w:noWrap/>
          </w:tcPr>
          <w:p w14:paraId="1EC87C1E" w14:textId="77777777" w:rsidR="00A345F4" w:rsidRDefault="005E2D4E">
            <w:pPr>
              <w:pStyle w:val="P68B1DB1-Normal14"/>
              <w:spacing w:after="0" w:line="240" w:lineRule="auto"/>
              <w:jc w:val="both"/>
              <w:rPr>
                <w:noProof/>
              </w:rPr>
            </w:pPr>
            <w:r>
              <w:rPr>
                <w:noProof/>
              </w:rPr>
              <w:t xml:space="preserve"> Signature des contrats de financement pour l'équipement des laboratoires/armoires scolaires scientifiques</w:t>
            </w:r>
          </w:p>
        </w:tc>
        <w:tc>
          <w:tcPr>
            <w:tcW w:w="1075" w:type="dxa"/>
            <w:tcBorders>
              <w:top w:val="single" w:sz="4" w:space="0" w:color="auto"/>
              <w:left w:val="nil"/>
              <w:bottom w:val="single" w:sz="4" w:space="0" w:color="auto"/>
              <w:right w:val="single" w:sz="4" w:space="0" w:color="auto"/>
            </w:tcBorders>
            <w:shd w:val="clear" w:color="auto" w:fill="C6EFCE"/>
            <w:noWrap/>
          </w:tcPr>
          <w:p w14:paraId="0C4E3E87"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30C17A4A"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097D3A09"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242813E2"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308F89D0" w14:textId="77777777" w:rsidR="00A345F4" w:rsidRDefault="005E2D4E">
            <w:pPr>
              <w:pStyle w:val="P68B1DB1-Normal14"/>
              <w:spacing w:after="0" w:line="240" w:lineRule="auto"/>
              <w:jc w:val="both"/>
              <w:rPr>
                <w:noProof/>
              </w:rPr>
            </w:pPr>
            <w:r>
              <w:rPr>
                <w:noProof/>
              </w:rPr>
              <w:t>2022</w:t>
            </w:r>
          </w:p>
        </w:tc>
        <w:tc>
          <w:tcPr>
            <w:tcW w:w="3406" w:type="dxa"/>
            <w:tcBorders>
              <w:top w:val="single" w:sz="4" w:space="0" w:color="auto"/>
              <w:left w:val="nil"/>
              <w:bottom w:val="single" w:sz="4" w:space="0" w:color="auto"/>
              <w:right w:val="single" w:sz="4" w:space="0" w:color="auto"/>
            </w:tcBorders>
            <w:shd w:val="clear" w:color="auto" w:fill="C6EFCE"/>
            <w:noWrap/>
          </w:tcPr>
          <w:p w14:paraId="0DA6B9B2" w14:textId="77777777" w:rsidR="00A345F4" w:rsidRDefault="005E2D4E">
            <w:pPr>
              <w:pStyle w:val="P68B1DB1-Normal14"/>
              <w:spacing w:after="0" w:line="240" w:lineRule="auto"/>
              <w:jc w:val="both"/>
              <w:rPr>
                <w:noProof/>
              </w:rPr>
            </w:pPr>
            <w:r>
              <w:rPr>
                <w:noProof/>
              </w:rPr>
              <w:t>Signature de contrats de financement pour l'équipement des laboratoires scientifiques/cabinets scolaires des écoles pré-universitaires, des centres départementaux de ressources et d'assistance pédagogique et des unités d'enseignement extrascolaire du réseau scolaire sur la base des normes minimales pour l'équipement des salles de classe/laboratoires/cabinets scolaires. Afin d’assurer leur cohérence, le ministère de l’éducation formule des recommandations aux bénéficiaires sur les spécifications techniques à inclure dans le cahier des charges.</w:t>
            </w:r>
          </w:p>
          <w:p w14:paraId="502E9FEE" w14:textId="77777777" w:rsidR="00A345F4" w:rsidRDefault="005E2D4E">
            <w:pPr>
              <w:pStyle w:val="P68B1DB1-Normal14"/>
              <w:spacing w:after="0" w:line="240" w:lineRule="auto"/>
              <w:jc w:val="both"/>
              <w:rPr>
                <w:noProof/>
              </w:rPr>
            </w:pPr>
            <w:r>
              <w:rPr>
                <w:noProof/>
              </w:rPr>
              <w:t>Tous les cabinets scolaires et laboratoires scientifiques, autres que les laboratoires de l'ITC, doivent être équipés de mobilier, de matériaux et d'équipements à usage didactique, sur la base des normes de dotation approuvées dans le cadre de la réforme 6.</w:t>
            </w:r>
          </w:p>
          <w:p w14:paraId="27BA4521" w14:textId="77777777" w:rsidR="00A345F4" w:rsidRDefault="005E2D4E">
            <w:pPr>
              <w:pStyle w:val="P68B1DB1-Normal14"/>
              <w:spacing w:after="0" w:line="240" w:lineRule="auto"/>
              <w:jc w:val="both"/>
              <w:rPr>
                <w:noProof/>
              </w:rPr>
            </w:pPr>
            <w:r>
              <w:rPr>
                <w:noProof/>
              </w:rPr>
              <w:t>La priorité est accordée aux établissements d’enseignement qui n’ont pas bénéficié de ce type d’investissement au cours des cinq dernières années et qui sont situés dans des zones rurales.</w:t>
            </w:r>
          </w:p>
        </w:tc>
      </w:tr>
      <w:tr w:rsidR="00A345F4" w14:paraId="77BE7B06"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3336280" w14:textId="77777777" w:rsidR="00A345F4" w:rsidRDefault="005E2D4E">
            <w:pPr>
              <w:pStyle w:val="P68B1DB1-Normal14"/>
              <w:spacing w:after="0" w:line="240" w:lineRule="auto"/>
              <w:jc w:val="center"/>
              <w:rPr>
                <w:noProof/>
              </w:rPr>
            </w:pPr>
            <w:r>
              <w:rPr>
                <w:noProof/>
              </w:rPr>
              <w:t>491</w:t>
            </w:r>
          </w:p>
        </w:tc>
        <w:tc>
          <w:tcPr>
            <w:tcW w:w="1863" w:type="dxa"/>
            <w:tcBorders>
              <w:top w:val="single" w:sz="4" w:space="0" w:color="auto"/>
              <w:left w:val="nil"/>
              <w:bottom w:val="single" w:sz="4" w:space="0" w:color="auto"/>
              <w:right w:val="single" w:sz="4" w:space="0" w:color="auto"/>
            </w:tcBorders>
            <w:shd w:val="clear" w:color="auto" w:fill="C6EFCE"/>
            <w:noWrap/>
          </w:tcPr>
          <w:p w14:paraId="2556B23A" w14:textId="77777777" w:rsidR="00A345F4" w:rsidRDefault="005E2D4E">
            <w:pPr>
              <w:pStyle w:val="P68B1DB1-Normal14"/>
              <w:spacing w:after="0" w:line="240" w:lineRule="auto"/>
              <w:jc w:val="both"/>
              <w:rPr>
                <w:noProof/>
              </w:rPr>
            </w:pPr>
            <w:r>
              <w:rPr>
                <w:noProof/>
              </w:rPr>
              <w:t>Investissement 11. Fourniture de matériel pour les salles de classe préuniversitaires et les laboratoires de sciences scolaires/armoires scolaires</w:t>
            </w:r>
          </w:p>
        </w:tc>
        <w:tc>
          <w:tcPr>
            <w:tcW w:w="1151" w:type="dxa"/>
            <w:tcBorders>
              <w:top w:val="single" w:sz="4" w:space="0" w:color="auto"/>
              <w:left w:val="nil"/>
              <w:bottom w:val="single" w:sz="4" w:space="0" w:color="auto"/>
              <w:right w:val="single" w:sz="4" w:space="0" w:color="auto"/>
            </w:tcBorders>
            <w:shd w:val="clear" w:color="auto" w:fill="C6EFCE"/>
            <w:noWrap/>
          </w:tcPr>
          <w:p w14:paraId="0A0019DD"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40ECEF01" w14:textId="5DBF5EBD" w:rsidR="00A345F4" w:rsidRDefault="005E2D4E">
            <w:pPr>
              <w:pStyle w:val="P68B1DB1-Normal14"/>
              <w:spacing w:after="0" w:line="240" w:lineRule="auto"/>
              <w:jc w:val="both"/>
              <w:rPr>
                <w:noProof/>
              </w:rPr>
            </w:pPr>
            <w:r>
              <w:rPr>
                <w:noProof/>
              </w:rPr>
              <w:t>Salles de classe pré-universitaires et laboratoires scientifiques/armoires scolaires équipés</w:t>
            </w:r>
          </w:p>
        </w:tc>
        <w:tc>
          <w:tcPr>
            <w:tcW w:w="1553" w:type="dxa"/>
            <w:tcBorders>
              <w:top w:val="single" w:sz="4" w:space="0" w:color="auto"/>
              <w:left w:val="nil"/>
              <w:bottom w:val="single" w:sz="4" w:space="0" w:color="auto"/>
              <w:right w:val="single" w:sz="4" w:space="0" w:color="auto"/>
            </w:tcBorders>
            <w:shd w:val="clear" w:color="auto" w:fill="C6EFCE"/>
            <w:noWrap/>
          </w:tcPr>
          <w:p w14:paraId="5C99CA49" w14:textId="1FE414E4" w:rsidR="00A345F4" w:rsidRDefault="005E2D4E">
            <w:pPr>
              <w:pStyle w:val="P68B1DB1-Normal14"/>
              <w:spacing w:after="0" w:line="240" w:lineRule="auto"/>
              <w:jc w:val="both"/>
              <w:rPr>
                <w:noProof/>
              </w:rPr>
            </w:pPr>
            <w:r>
              <w:rPr>
                <w:noProof/>
              </w:rPr>
              <w:t>Salles de classe pré-universitaires et laboratoires scientifiques/armoires scolaires équipés</w:t>
            </w:r>
          </w:p>
        </w:tc>
        <w:tc>
          <w:tcPr>
            <w:tcW w:w="1075" w:type="dxa"/>
            <w:tcBorders>
              <w:top w:val="single" w:sz="4" w:space="0" w:color="auto"/>
              <w:left w:val="nil"/>
              <w:bottom w:val="single" w:sz="4" w:space="0" w:color="auto"/>
              <w:right w:val="single" w:sz="4" w:space="0" w:color="auto"/>
            </w:tcBorders>
            <w:shd w:val="clear" w:color="auto" w:fill="C6EFCE"/>
            <w:noWrap/>
          </w:tcPr>
          <w:p w14:paraId="12F232F5"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70998BB6"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4D91B37C"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699F8B50" w14:textId="77777777" w:rsidR="00A345F4" w:rsidRDefault="005E2D4E">
            <w:pPr>
              <w:pStyle w:val="P68B1DB1-Normal14"/>
              <w:spacing w:after="0" w:line="240" w:lineRule="auto"/>
              <w:jc w:val="both"/>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28B07227" w14:textId="77777777" w:rsidR="00A345F4" w:rsidRDefault="005E2D4E">
            <w:pPr>
              <w:pStyle w:val="P68B1DB1-Normal14"/>
              <w:spacing w:after="0" w:line="240" w:lineRule="auto"/>
              <w:jc w:val="both"/>
              <w:rPr>
                <w:noProof/>
              </w:rPr>
            </w:pPr>
            <w:r>
              <w:rPr>
                <w:noProof/>
              </w:rPr>
              <w:t>2025</w:t>
            </w:r>
          </w:p>
        </w:tc>
        <w:tc>
          <w:tcPr>
            <w:tcW w:w="3406" w:type="dxa"/>
            <w:tcBorders>
              <w:top w:val="single" w:sz="4" w:space="0" w:color="auto"/>
              <w:left w:val="nil"/>
              <w:bottom w:val="single" w:sz="4" w:space="0" w:color="auto"/>
              <w:right w:val="single" w:sz="4" w:space="0" w:color="auto"/>
            </w:tcBorders>
            <w:shd w:val="clear" w:color="auto" w:fill="C6EFCE"/>
            <w:noWrap/>
          </w:tcPr>
          <w:p w14:paraId="1417FFD6" w14:textId="4D1DEBA4" w:rsidR="00A345F4" w:rsidRDefault="005E2D4E">
            <w:pPr>
              <w:pStyle w:val="P68B1DB1-Normal14"/>
              <w:spacing w:after="0" w:line="240" w:lineRule="auto"/>
              <w:jc w:val="both"/>
              <w:rPr>
                <w:noProof/>
              </w:rPr>
            </w:pPr>
            <w:r>
              <w:rPr>
                <w:noProof/>
              </w:rPr>
              <w:t xml:space="preserve">Certificats d'acceptation prouvant la livraison et la mise en service de mobilier, de matériel et d'équipements à usage didactique pour l'équipement de 85 000 salles de classe et laboratoires scientifiques/armoires scolaires d'établissements d'enseignement. </w:t>
            </w:r>
          </w:p>
        </w:tc>
      </w:tr>
      <w:tr w:rsidR="00A345F4" w14:paraId="1E5561F5"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1827D8E" w14:textId="77777777" w:rsidR="00A345F4" w:rsidRDefault="005E2D4E">
            <w:pPr>
              <w:pStyle w:val="P68B1DB1-Normal14"/>
              <w:spacing w:after="0" w:line="240" w:lineRule="auto"/>
              <w:jc w:val="center"/>
              <w:rPr>
                <w:noProof/>
              </w:rPr>
            </w:pPr>
            <w:r>
              <w:rPr>
                <w:noProof/>
              </w:rPr>
              <w:t>494</w:t>
            </w:r>
          </w:p>
        </w:tc>
        <w:tc>
          <w:tcPr>
            <w:tcW w:w="1863" w:type="dxa"/>
            <w:tcBorders>
              <w:top w:val="single" w:sz="4" w:space="0" w:color="auto"/>
              <w:left w:val="nil"/>
              <w:bottom w:val="single" w:sz="4" w:space="0" w:color="auto"/>
              <w:right w:val="single" w:sz="4" w:space="0" w:color="auto"/>
            </w:tcBorders>
            <w:shd w:val="clear" w:color="auto" w:fill="C6EFCE"/>
            <w:noWrap/>
          </w:tcPr>
          <w:p w14:paraId="66178B79" w14:textId="77777777" w:rsidR="00A345F4" w:rsidRDefault="005E2D4E">
            <w:pPr>
              <w:pStyle w:val="P68B1DB1-Normal14"/>
              <w:spacing w:after="0" w:line="240" w:lineRule="auto"/>
              <w:jc w:val="both"/>
              <w:rPr>
                <w:noProof/>
              </w:rPr>
            </w:pPr>
            <w:r>
              <w:rPr>
                <w:noProof/>
              </w:rPr>
              <w:t>Réforme 7. Réforme de la gouvernance du système d'enseignement préuniversitaire et professionnalisation de la gestion</w:t>
            </w:r>
          </w:p>
        </w:tc>
        <w:tc>
          <w:tcPr>
            <w:tcW w:w="1151" w:type="dxa"/>
            <w:tcBorders>
              <w:top w:val="single" w:sz="4" w:space="0" w:color="auto"/>
              <w:left w:val="nil"/>
              <w:bottom w:val="single" w:sz="4" w:space="0" w:color="auto"/>
              <w:right w:val="single" w:sz="4" w:space="0" w:color="auto"/>
            </w:tcBorders>
            <w:shd w:val="clear" w:color="auto" w:fill="C6EFCE"/>
            <w:noWrap/>
          </w:tcPr>
          <w:p w14:paraId="304E8776"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4FAF7FED" w14:textId="77777777" w:rsidR="00A345F4" w:rsidRDefault="005E2D4E">
            <w:pPr>
              <w:pStyle w:val="P68B1DB1-Normal14"/>
              <w:spacing w:after="0" w:line="240" w:lineRule="auto"/>
              <w:jc w:val="both"/>
              <w:rPr>
                <w:noProof/>
              </w:rPr>
            </w:pPr>
            <w:r>
              <w:rPr>
                <w:noProof/>
              </w:rPr>
              <w:t>Signature du contrat d’assistance technique pour l’élaboration du plan d’action pour la réforme de la gouvernance, y compris le programme de formation et d’accompagnement des cadres et des inspecteurs</w:t>
            </w:r>
          </w:p>
          <w:p w14:paraId="1ACB7A92" w14:textId="77777777" w:rsidR="00A345F4" w:rsidRDefault="00A345F4">
            <w:pPr>
              <w:spacing w:after="0" w:line="240" w:lineRule="auto"/>
              <w:jc w:val="both"/>
              <w:rPr>
                <w:rFonts w:ascii="Times New Roman" w:hAnsi="Times New Roman" w:cs="Times New Roman"/>
                <w:noProof/>
                <w:sz w:val="20"/>
                <w:szCs w:val="20"/>
              </w:rPr>
            </w:pPr>
          </w:p>
        </w:tc>
        <w:tc>
          <w:tcPr>
            <w:tcW w:w="1553" w:type="dxa"/>
            <w:tcBorders>
              <w:top w:val="single" w:sz="4" w:space="0" w:color="auto"/>
              <w:left w:val="nil"/>
              <w:bottom w:val="single" w:sz="4" w:space="0" w:color="auto"/>
              <w:right w:val="single" w:sz="4" w:space="0" w:color="auto"/>
            </w:tcBorders>
            <w:shd w:val="clear" w:color="auto" w:fill="C6EFCE"/>
            <w:noWrap/>
          </w:tcPr>
          <w:p w14:paraId="0B29F3DB" w14:textId="77777777" w:rsidR="00A345F4" w:rsidRDefault="005E2D4E">
            <w:pPr>
              <w:pStyle w:val="P68B1DB1-Normal14"/>
              <w:spacing w:after="0" w:line="240" w:lineRule="auto"/>
              <w:jc w:val="both"/>
              <w:rPr>
                <w:noProof/>
              </w:rPr>
            </w:pPr>
            <w:r>
              <w:rPr>
                <w:noProof/>
              </w:rPr>
              <w:t>Signature du contrat</w:t>
            </w:r>
          </w:p>
        </w:tc>
        <w:tc>
          <w:tcPr>
            <w:tcW w:w="1075" w:type="dxa"/>
            <w:tcBorders>
              <w:top w:val="single" w:sz="4" w:space="0" w:color="auto"/>
              <w:left w:val="nil"/>
              <w:bottom w:val="single" w:sz="4" w:space="0" w:color="auto"/>
              <w:right w:val="single" w:sz="4" w:space="0" w:color="auto"/>
            </w:tcBorders>
            <w:shd w:val="clear" w:color="auto" w:fill="C6EFCE"/>
            <w:noWrap/>
          </w:tcPr>
          <w:p w14:paraId="637CD09A" w14:textId="77777777" w:rsidR="00A345F4" w:rsidRDefault="005E2D4E">
            <w:pPr>
              <w:pStyle w:val="P68B1DB1-Normal14"/>
              <w:spacing w:after="0" w:line="240" w:lineRule="auto"/>
              <w:jc w:val="both"/>
              <w:rPr>
                <w:noProof/>
              </w:rPr>
            </w:pPr>
            <w:r>
              <w:rPr>
                <w:noProof/>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465B9F0D"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43F1A045"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279E5C26" w14:textId="77777777" w:rsidR="00A345F4" w:rsidRDefault="005E2D4E">
            <w:pPr>
              <w:pStyle w:val="P68B1DB1-Normal14"/>
              <w:spacing w:after="0" w:line="240" w:lineRule="auto"/>
              <w:jc w:val="both"/>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Pr>
          <w:p w14:paraId="0141D28F" w14:textId="77777777" w:rsidR="00A345F4" w:rsidRDefault="005E2D4E">
            <w:pPr>
              <w:pStyle w:val="P68B1DB1-Normal14"/>
              <w:spacing w:after="0" w:line="240" w:lineRule="auto"/>
              <w:jc w:val="both"/>
              <w:rPr>
                <w:noProof/>
              </w:rPr>
            </w:pPr>
            <w:r>
              <w:rPr>
                <w:noProof/>
              </w:rPr>
              <w:t>2022</w:t>
            </w:r>
          </w:p>
        </w:tc>
        <w:tc>
          <w:tcPr>
            <w:tcW w:w="3406" w:type="dxa"/>
            <w:tcBorders>
              <w:top w:val="single" w:sz="4" w:space="0" w:color="auto"/>
              <w:left w:val="nil"/>
              <w:bottom w:val="single" w:sz="4" w:space="0" w:color="auto"/>
              <w:right w:val="single" w:sz="4" w:space="0" w:color="auto"/>
            </w:tcBorders>
            <w:shd w:val="clear" w:color="auto" w:fill="C6EFCE"/>
            <w:noWrap/>
          </w:tcPr>
          <w:p w14:paraId="49690E8C" w14:textId="2BAD7D36" w:rsidR="00A345F4" w:rsidRDefault="005E2D4E">
            <w:pPr>
              <w:pStyle w:val="P68B1DB1-Normal14"/>
              <w:spacing w:after="0" w:line="240" w:lineRule="auto"/>
              <w:jc w:val="both"/>
              <w:rPr>
                <w:noProof/>
              </w:rPr>
            </w:pPr>
            <w:r>
              <w:rPr>
                <w:noProof/>
              </w:rPr>
              <w:t>La réforme de la gouvernance se fonde sur l'analyse fonctionnelle du système d'enseignement et de formation professionnels et s'effectue à deux niveaux: I. Réforme de la gestion; et II. décentralisation</w:t>
            </w:r>
          </w:p>
          <w:p w14:paraId="5E5FF0EA" w14:textId="77777777" w:rsidR="00A345F4" w:rsidRDefault="005E2D4E">
            <w:pPr>
              <w:pStyle w:val="P68B1DB1-Normal14"/>
              <w:spacing w:after="0" w:line="240" w:lineRule="auto"/>
              <w:jc w:val="both"/>
              <w:rPr>
                <w:noProof/>
              </w:rPr>
            </w:pPr>
            <w:r>
              <w:rPr>
                <w:noProof/>
              </w:rPr>
              <w:t xml:space="preserve">Le ministère de l'éducation sous-traite une assistance technique externe pour: </w:t>
            </w:r>
          </w:p>
          <w:p w14:paraId="21AA3BF8" w14:textId="77777777" w:rsidR="00A345F4" w:rsidRDefault="005E2D4E">
            <w:pPr>
              <w:pStyle w:val="P68B1DB1-Normal14"/>
              <w:numPr>
                <w:ilvl w:val="0"/>
                <w:numId w:val="74"/>
              </w:numPr>
              <w:spacing w:before="120" w:after="0" w:line="240" w:lineRule="auto"/>
              <w:ind w:left="189" w:hanging="142"/>
              <w:contextualSpacing/>
              <w:jc w:val="both"/>
              <w:rPr>
                <w:noProof/>
              </w:rPr>
            </w:pPr>
            <w:r>
              <w:rPr>
                <w:noProof/>
              </w:rPr>
              <w:t>l'analyse de la gouvernance actuelle du système d'enseignement préuniversitaire;</w:t>
            </w:r>
          </w:p>
          <w:p w14:paraId="1ACB4F58" w14:textId="77777777" w:rsidR="00A345F4" w:rsidRDefault="005E2D4E">
            <w:pPr>
              <w:pStyle w:val="P68B1DB1-Normal14"/>
              <w:numPr>
                <w:ilvl w:val="0"/>
                <w:numId w:val="74"/>
              </w:numPr>
              <w:spacing w:before="120" w:after="0" w:line="240" w:lineRule="auto"/>
              <w:ind w:left="189" w:hanging="142"/>
              <w:contextualSpacing/>
              <w:jc w:val="both"/>
              <w:rPr>
                <w:noProof/>
              </w:rPr>
            </w:pPr>
            <w:r>
              <w:rPr>
                <w:noProof/>
              </w:rPr>
              <w:t>la formulation de recommandations et d’un plan d’amélioration de la gestion de l’école au moyen d’un programme pilote;</w:t>
            </w:r>
          </w:p>
          <w:p w14:paraId="04AFA9EE" w14:textId="77777777" w:rsidR="00A345F4" w:rsidRDefault="005E2D4E">
            <w:pPr>
              <w:pStyle w:val="P68B1DB1-Normal14"/>
              <w:numPr>
                <w:ilvl w:val="0"/>
                <w:numId w:val="74"/>
              </w:numPr>
              <w:spacing w:before="120" w:after="0" w:line="240" w:lineRule="auto"/>
              <w:ind w:left="189" w:hanging="142"/>
              <w:contextualSpacing/>
              <w:jc w:val="both"/>
              <w:rPr>
                <w:noProof/>
              </w:rPr>
            </w:pPr>
            <w:r>
              <w:rPr>
                <w:noProof/>
              </w:rPr>
              <w:t>la fourniture de lignes directrices pour la conception du programme de formation et de coaching.</w:t>
            </w:r>
          </w:p>
          <w:p w14:paraId="6216C376" w14:textId="7CCC02F4" w:rsidR="00A345F4" w:rsidRDefault="005E2D4E">
            <w:pPr>
              <w:pStyle w:val="P68B1DB1-Normal14"/>
              <w:spacing w:after="0" w:line="240" w:lineRule="auto"/>
              <w:jc w:val="both"/>
              <w:rPr>
                <w:rFonts w:eastAsia="Times New Roman"/>
                <w:noProof/>
              </w:rPr>
            </w:pPr>
            <w:r>
              <w:rPr>
                <w:noProof/>
              </w:rPr>
              <w:t xml:space="preserve">Afin d'accroître la capacité du système de gestion de l'enseignement préuniversitaire et d'accroître l'autonomie des écoles, un plan de mesures est élaboré. </w:t>
            </w:r>
          </w:p>
        </w:tc>
      </w:tr>
      <w:tr w:rsidR="00A345F4" w14:paraId="5C45B672"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C9BB08C" w14:textId="77777777" w:rsidR="00A345F4" w:rsidRDefault="005E2D4E">
            <w:pPr>
              <w:pStyle w:val="P68B1DB1-Normal14"/>
              <w:spacing w:after="0" w:line="240" w:lineRule="auto"/>
              <w:jc w:val="center"/>
              <w:rPr>
                <w:noProof/>
              </w:rPr>
            </w:pPr>
            <w:r>
              <w:rPr>
                <w:noProof/>
              </w:rPr>
              <w:t>495</w:t>
            </w:r>
          </w:p>
        </w:tc>
        <w:tc>
          <w:tcPr>
            <w:tcW w:w="1863" w:type="dxa"/>
            <w:tcBorders>
              <w:top w:val="single" w:sz="4" w:space="0" w:color="auto"/>
              <w:left w:val="nil"/>
              <w:bottom w:val="single" w:sz="4" w:space="0" w:color="auto"/>
              <w:right w:val="single" w:sz="4" w:space="0" w:color="auto"/>
            </w:tcBorders>
            <w:shd w:val="clear" w:color="auto" w:fill="C6EFCE"/>
            <w:noWrap/>
          </w:tcPr>
          <w:p w14:paraId="0BD0BBB6" w14:textId="77777777" w:rsidR="00A345F4" w:rsidRDefault="005E2D4E">
            <w:pPr>
              <w:pStyle w:val="P68B1DB1-Normal14"/>
              <w:spacing w:after="0" w:line="240" w:lineRule="auto"/>
              <w:jc w:val="both"/>
              <w:rPr>
                <w:noProof/>
              </w:rPr>
            </w:pPr>
            <w:r>
              <w:rPr>
                <w:noProof/>
              </w:rPr>
              <w:t>Réforme 7. Réforme de la gouvernance du système d'enseignement préuniversitaire et professionnalisation de la gestion</w:t>
            </w:r>
          </w:p>
        </w:tc>
        <w:tc>
          <w:tcPr>
            <w:tcW w:w="1151" w:type="dxa"/>
            <w:tcBorders>
              <w:top w:val="single" w:sz="4" w:space="0" w:color="auto"/>
              <w:left w:val="nil"/>
              <w:bottom w:val="single" w:sz="4" w:space="0" w:color="auto"/>
              <w:right w:val="single" w:sz="4" w:space="0" w:color="auto"/>
            </w:tcBorders>
            <w:shd w:val="clear" w:color="auto" w:fill="C6EFCE"/>
            <w:noWrap/>
          </w:tcPr>
          <w:p w14:paraId="61BDE837"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4D828189" w14:textId="70F0BE4C" w:rsidR="00A345F4" w:rsidRDefault="005E2D4E">
            <w:pPr>
              <w:pStyle w:val="P68B1DB1-Normal14"/>
              <w:spacing w:after="120" w:line="240" w:lineRule="auto"/>
              <w:jc w:val="both"/>
              <w:rPr>
                <w:noProof/>
              </w:rPr>
            </w:pPr>
            <w:r>
              <w:rPr>
                <w:noProof/>
              </w:rPr>
              <w:t>Publication d'une analyse de la gouvernance du système d'enseignement préuniversitaire et d'un plan d'action</w:t>
            </w:r>
          </w:p>
          <w:p w14:paraId="22B052C4" w14:textId="77777777" w:rsidR="00A345F4" w:rsidRDefault="00A345F4">
            <w:pPr>
              <w:spacing w:after="0" w:line="240" w:lineRule="auto"/>
              <w:jc w:val="both"/>
              <w:rPr>
                <w:rFonts w:ascii="Times New Roman" w:hAnsi="Times New Roman" w:cs="Times New Roman"/>
                <w:noProof/>
                <w:sz w:val="20"/>
                <w:szCs w:val="20"/>
              </w:rPr>
            </w:pPr>
          </w:p>
        </w:tc>
        <w:tc>
          <w:tcPr>
            <w:tcW w:w="1553" w:type="dxa"/>
            <w:tcBorders>
              <w:top w:val="single" w:sz="4" w:space="0" w:color="auto"/>
              <w:left w:val="nil"/>
              <w:bottom w:val="single" w:sz="4" w:space="0" w:color="auto"/>
              <w:right w:val="single" w:sz="4" w:space="0" w:color="auto"/>
            </w:tcBorders>
            <w:shd w:val="clear" w:color="auto" w:fill="C6EFCE"/>
            <w:noWrap/>
          </w:tcPr>
          <w:p w14:paraId="6163F58E" w14:textId="77777777" w:rsidR="00A345F4" w:rsidRDefault="005E2D4E">
            <w:pPr>
              <w:pStyle w:val="P68B1DB1-Normal14"/>
              <w:spacing w:after="0" w:line="240" w:lineRule="auto"/>
              <w:jc w:val="both"/>
              <w:rPr>
                <w:noProof/>
              </w:rPr>
            </w:pPr>
            <w:r>
              <w:rPr>
                <w:noProof/>
              </w:rPr>
              <w:t>Publication d'une analyse de la gouvernance du système d'enseignement préuniversitaire et d'un plan d'action</w:t>
            </w:r>
          </w:p>
        </w:tc>
        <w:tc>
          <w:tcPr>
            <w:tcW w:w="1075" w:type="dxa"/>
            <w:tcBorders>
              <w:top w:val="single" w:sz="4" w:space="0" w:color="auto"/>
              <w:left w:val="nil"/>
              <w:bottom w:val="single" w:sz="4" w:space="0" w:color="auto"/>
              <w:right w:val="single" w:sz="4" w:space="0" w:color="auto"/>
            </w:tcBorders>
            <w:shd w:val="clear" w:color="auto" w:fill="C6EFCE"/>
            <w:noWrap/>
          </w:tcPr>
          <w:p w14:paraId="52D025F2" w14:textId="77777777" w:rsidR="00A345F4" w:rsidRDefault="005E2D4E">
            <w:pPr>
              <w:pStyle w:val="P68B1DB1-Normal14"/>
              <w:spacing w:after="0" w:line="240" w:lineRule="auto"/>
              <w:jc w:val="both"/>
              <w:rPr>
                <w:noProof/>
              </w:rPr>
            </w:pPr>
            <w:r>
              <w:rPr>
                <w:noProof/>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164C9B32" w14:textId="77777777" w:rsidR="00A345F4" w:rsidRDefault="005E2D4E">
            <w:pPr>
              <w:pStyle w:val="P68B1DB1-Normal14"/>
              <w:spacing w:after="0" w:line="240" w:lineRule="auto"/>
              <w:jc w:val="both"/>
              <w:rPr>
                <w:noProof/>
              </w:rPr>
            </w:pPr>
            <w:r>
              <w:rPr>
                <w:noProof/>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13EA7E52" w14:textId="77777777" w:rsidR="00A345F4" w:rsidRDefault="005E2D4E">
            <w:pPr>
              <w:pStyle w:val="P68B1DB1-Normal14"/>
              <w:spacing w:after="0" w:line="240" w:lineRule="auto"/>
              <w:jc w:val="both"/>
              <w:rPr>
                <w:noProof/>
              </w:rPr>
            </w:pPr>
            <w:r>
              <w:rPr>
                <w:noProof/>
              </w:rPr>
              <w:t xml:space="preserve"> </w:t>
            </w:r>
          </w:p>
        </w:tc>
        <w:tc>
          <w:tcPr>
            <w:tcW w:w="987" w:type="dxa"/>
            <w:tcBorders>
              <w:top w:val="single" w:sz="4" w:space="0" w:color="auto"/>
              <w:left w:val="nil"/>
              <w:bottom w:val="single" w:sz="4" w:space="0" w:color="auto"/>
              <w:right w:val="single" w:sz="4" w:space="0" w:color="auto"/>
            </w:tcBorders>
            <w:shd w:val="clear" w:color="auto" w:fill="C6EFCE"/>
            <w:noWrap/>
          </w:tcPr>
          <w:p w14:paraId="25FCC943"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6DC1CF07" w14:textId="77777777" w:rsidR="00A345F4" w:rsidRDefault="005E2D4E">
            <w:pPr>
              <w:pStyle w:val="P68B1DB1-Normal14"/>
              <w:spacing w:after="0" w:line="240" w:lineRule="auto"/>
              <w:jc w:val="both"/>
              <w:rPr>
                <w:noProof/>
              </w:rPr>
            </w:pPr>
            <w:r>
              <w:rPr>
                <w:noProof/>
              </w:rPr>
              <w:t>2026</w:t>
            </w:r>
          </w:p>
        </w:tc>
        <w:tc>
          <w:tcPr>
            <w:tcW w:w="3406" w:type="dxa"/>
            <w:tcBorders>
              <w:top w:val="single" w:sz="4" w:space="0" w:color="auto"/>
              <w:left w:val="nil"/>
              <w:bottom w:val="single" w:sz="4" w:space="0" w:color="auto"/>
              <w:right w:val="single" w:sz="4" w:space="0" w:color="auto"/>
            </w:tcBorders>
            <w:shd w:val="clear" w:color="auto" w:fill="C6EFCE"/>
            <w:noWrap/>
          </w:tcPr>
          <w:p w14:paraId="3F302885" w14:textId="77777777" w:rsidR="00A345F4" w:rsidRDefault="005E2D4E">
            <w:pPr>
              <w:pStyle w:val="P68B1DB1-Normal14"/>
              <w:spacing w:before="120" w:after="0" w:line="240" w:lineRule="auto"/>
              <w:contextualSpacing/>
              <w:jc w:val="both"/>
              <w:rPr>
                <w:noProof/>
              </w:rPr>
            </w:pPr>
            <w:r>
              <w:rPr>
                <w:noProof/>
              </w:rPr>
              <w:t xml:space="preserve">Sur la base de l’analyse et des recommandations de l’assistance technique externe fournie pour la réforme de la gouvernance du système d’enseignement préuniversitaire, un plan d’action est publié. Les actions suivantes sont exécutées par la suite: </w:t>
            </w:r>
          </w:p>
          <w:p w14:paraId="358F3C3A" w14:textId="3AE01AF0" w:rsidR="00A345F4" w:rsidRDefault="005E2D4E">
            <w:pPr>
              <w:pStyle w:val="P68B1DB1-Normal14"/>
              <w:numPr>
                <w:ilvl w:val="0"/>
                <w:numId w:val="75"/>
              </w:numPr>
              <w:spacing w:before="120" w:after="0" w:line="259" w:lineRule="auto"/>
              <w:ind w:left="189" w:hanging="142"/>
              <w:contextualSpacing/>
              <w:jc w:val="both"/>
              <w:rPr>
                <w:noProof/>
              </w:rPr>
            </w:pPr>
            <w:r>
              <w:rPr>
                <w:noProof/>
              </w:rPr>
              <w:t xml:space="preserve">La révision de la méthodologie de recrutement des directeurs d'école; </w:t>
            </w:r>
          </w:p>
          <w:p w14:paraId="5306429A" w14:textId="77777777" w:rsidR="00A345F4" w:rsidRDefault="005E2D4E">
            <w:pPr>
              <w:pStyle w:val="P68B1DB1-Normal14"/>
              <w:numPr>
                <w:ilvl w:val="0"/>
                <w:numId w:val="75"/>
              </w:numPr>
              <w:spacing w:before="120" w:after="0" w:line="259" w:lineRule="auto"/>
              <w:ind w:left="189" w:hanging="142"/>
              <w:contextualSpacing/>
              <w:jc w:val="both"/>
              <w:rPr>
                <w:noProof/>
              </w:rPr>
            </w:pPr>
            <w:r>
              <w:rPr>
                <w:noProof/>
              </w:rPr>
              <w:t xml:space="preserve">la révision de la méthodologie de recrutement et d'évaluation des inspecteurs scolaires, sur la base de critères de performance; </w:t>
            </w:r>
          </w:p>
          <w:p w14:paraId="3235FD5D" w14:textId="77777777" w:rsidR="00A345F4" w:rsidRDefault="005E2D4E">
            <w:pPr>
              <w:pStyle w:val="P68B1DB1-Normal14"/>
              <w:numPr>
                <w:ilvl w:val="0"/>
                <w:numId w:val="75"/>
              </w:numPr>
              <w:spacing w:before="120" w:after="0" w:line="259" w:lineRule="auto"/>
              <w:ind w:left="189" w:hanging="142"/>
              <w:contextualSpacing/>
              <w:jc w:val="both"/>
              <w:rPr>
                <w:noProof/>
              </w:rPr>
            </w:pPr>
            <w:r>
              <w:rPr>
                <w:noProof/>
              </w:rPr>
              <w:t>un programme de subventions visant à aider 60 écoles à piloter l’approche visant à accroître l’autonomie au niveau scolaire, en mettant l’accent sur les programmes scolaires, la gouvernance et la gestion.</w:t>
            </w:r>
          </w:p>
        </w:tc>
      </w:tr>
      <w:tr w:rsidR="00A345F4" w14:paraId="51DA9FE7"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9750F33" w14:textId="77777777" w:rsidR="00A345F4" w:rsidRDefault="005E2D4E">
            <w:pPr>
              <w:pStyle w:val="P68B1DB1-Normal14"/>
              <w:spacing w:after="0" w:line="240" w:lineRule="auto"/>
              <w:jc w:val="center"/>
              <w:rPr>
                <w:noProof/>
              </w:rPr>
            </w:pPr>
            <w:r>
              <w:rPr>
                <w:noProof/>
              </w:rPr>
              <w:t>497</w:t>
            </w:r>
          </w:p>
        </w:tc>
        <w:tc>
          <w:tcPr>
            <w:tcW w:w="1863" w:type="dxa"/>
            <w:tcBorders>
              <w:top w:val="single" w:sz="4" w:space="0" w:color="auto"/>
              <w:left w:val="nil"/>
              <w:bottom w:val="single" w:sz="4" w:space="0" w:color="auto"/>
              <w:right w:val="single" w:sz="4" w:space="0" w:color="auto"/>
            </w:tcBorders>
            <w:shd w:val="clear" w:color="auto" w:fill="C6EFCE"/>
            <w:noWrap/>
          </w:tcPr>
          <w:p w14:paraId="1AD504ED" w14:textId="77777777" w:rsidR="00A345F4" w:rsidRDefault="005E2D4E">
            <w:pPr>
              <w:pStyle w:val="P68B1DB1-Normal14"/>
              <w:spacing w:after="0" w:line="240" w:lineRule="auto"/>
              <w:jc w:val="both"/>
              <w:rPr>
                <w:noProof/>
              </w:rPr>
            </w:pPr>
            <w:r>
              <w:rPr>
                <w:noProof/>
              </w:rPr>
              <w:t>Investissement 14. Équipement d’ateliers de pratique dans les écoles d’EFP</w:t>
            </w:r>
          </w:p>
        </w:tc>
        <w:tc>
          <w:tcPr>
            <w:tcW w:w="1151" w:type="dxa"/>
            <w:tcBorders>
              <w:top w:val="single" w:sz="4" w:space="0" w:color="auto"/>
              <w:left w:val="nil"/>
              <w:bottom w:val="single" w:sz="4" w:space="0" w:color="auto"/>
              <w:right w:val="single" w:sz="4" w:space="0" w:color="auto"/>
            </w:tcBorders>
            <w:shd w:val="clear" w:color="auto" w:fill="C6EFCE"/>
            <w:noWrap/>
          </w:tcPr>
          <w:p w14:paraId="792AB310" w14:textId="77777777" w:rsidR="00A345F4" w:rsidRDefault="005E2D4E">
            <w:pPr>
              <w:pStyle w:val="P68B1DB1-Normal14"/>
              <w:spacing w:after="0" w:line="240" w:lineRule="auto"/>
              <w:jc w:val="both"/>
              <w:rPr>
                <w:noProof/>
              </w:rPr>
            </w:pPr>
            <w:r>
              <w:rPr>
                <w:noProof/>
              </w:rPr>
              <w:t>Étape</w:t>
            </w:r>
          </w:p>
        </w:tc>
        <w:tc>
          <w:tcPr>
            <w:tcW w:w="2031" w:type="dxa"/>
            <w:tcBorders>
              <w:top w:val="single" w:sz="4" w:space="0" w:color="auto"/>
              <w:left w:val="nil"/>
              <w:bottom w:val="single" w:sz="4" w:space="0" w:color="auto"/>
              <w:right w:val="single" w:sz="4" w:space="0" w:color="auto"/>
            </w:tcBorders>
            <w:shd w:val="clear" w:color="auto" w:fill="C6EFCE"/>
            <w:noWrap/>
          </w:tcPr>
          <w:p w14:paraId="76246B23" w14:textId="77777777" w:rsidR="00A345F4" w:rsidRDefault="005E2D4E">
            <w:pPr>
              <w:pStyle w:val="P68B1DB1-Normal14"/>
              <w:spacing w:after="120" w:line="240" w:lineRule="auto"/>
              <w:jc w:val="both"/>
              <w:rPr>
                <w:noProof/>
              </w:rPr>
            </w:pPr>
            <w:r>
              <w:rPr>
                <w:noProof/>
              </w:rPr>
              <w:t>Ateliers de pratique dans les écoles d’EFP équipées</w:t>
            </w:r>
          </w:p>
        </w:tc>
        <w:tc>
          <w:tcPr>
            <w:tcW w:w="1553" w:type="dxa"/>
            <w:tcBorders>
              <w:top w:val="single" w:sz="4" w:space="0" w:color="auto"/>
              <w:left w:val="nil"/>
              <w:bottom w:val="single" w:sz="4" w:space="0" w:color="auto"/>
              <w:right w:val="single" w:sz="4" w:space="0" w:color="auto"/>
            </w:tcBorders>
            <w:shd w:val="clear" w:color="auto" w:fill="C6EFCE"/>
            <w:noWrap/>
          </w:tcPr>
          <w:p w14:paraId="6E2F2781" w14:textId="77777777" w:rsidR="00A345F4" w:rsidRDefault="005E2D4E">
            <w:pPr>
              <w:pStyle w:val="P68B1DB1-Normal14"/>
              <w:spacing w:after="0" w:line="240" w:lineRule="auto"/>
              <w:jc w:val="both"/>
              <w:rPr>
                <w:noProof/>
              </w:rPr>
            </w:pPr>
            <w:r>
              <w:rPr>
                <w:noProof/>
              </w:rPr>
              <w:t>Ateliers de pratique dans les écoles d’EFP équipées</w:t>
            </w:r>
          </w:p>
        </w:tc>
        <w:tc>
          <w:tcPr>
            <w:tcW w:w="1075" w:type="dxa"/>
            <w:tcBorders>
              <w:top w:val="single" w:sz="4" w:space="0" w:color="auto"/>
              <w:left w:val="nil"/>
              <w:bottom w:val="single" w:sz="4" w:space="0" w:color="auto"/>
              <w:right w:val="single" w:sz="4" w:space="0" w:color="auto"/>
            </w:tcBorders>
            <w:shd w:val="clear" w:color="auto" w:fill="C6EFCE"/>
            <w:noWrap/>
          </w:tcPr>
          <w:p w14:paraId="220B8191" w14:textId="77777777" w:rsidR="00A345F4" w:rsidRDefault="00A345F4">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2E765B56" w14:textId="77777777" w:rsidR="00A345F4" w:rsidRDefault="00A345F4">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0D9ACCE9" w14:textId="77777777" w:rsidR="00A345F4" w:rsidRDefault="00A345F4">
            <w:pPr>
              <w:spacing w:after="0" w:line="240" w:lineRule="auto"/>
              <w:jc w:val="both"/>
              <w:rPr>
                <w:rFonts w:ascii="Times New Roman" w:hAnsi="Times New Roman" w:cs="Times New Roman"/>
                <w:noProof/>
                <w:sz w:val="20"/>
                <w:szCs w:val="20"/>
              </w:rPr>
            </w:pPr>
          </w:p>
        </w:tc>
        <w:tc>
          <w:tcPr>
            <w:tcW w:w="987" w:type="dxa"/>
            <w:tcBorders>
              <w:top w:val="single" w:sz="4" w:space="0" w:color="auto"/>
              <w:left w:val="nil"/>
              <w:bottom w:val="single" w:sz="4" w:space="0" w:color="auto"/>
              <w:right w:val="single" w:sz="4" w:space="0" w:color="auto"/>
            </w:tcBorders>
            <w:shd w:val="clear" w:color="auto" w:fill="C6EFCE"/>
            <w:noWrap/>
          </w:tcPr>
          <w:p w14:paraId="06B3B1E2" w14:textId="77777777" w:rsidR="00A345F4" w:rsidRDefault="005E2D4E">
            <w:pPr>
              <w:pStyle w:val="P68B1DB1-Normal14"/>
              <w:spacing w:after="0" w:line="240" w:lineRule="auto"/>
              <w:jc w:val="both"/>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36BBD729" w14:textId="77777777" w:rsidR="00A345F4" w:rsidRDefault="005E2D4E">
            <w:pPr>
              <w:pStyle w:val="P68B1DB1-Normal14"/>
              <w:spacing w:after="0" w:line="240" w:lineRule="auto"/>
              <w:jc w:val="both"/>
              <w:rPr>
                <w:noProof/>
              </w:rPr>
            </w:pPr>
            <w:r>
              <w:rPr>
                <w:noProof/>
              </w:rPr>
              <w:t>2025</w:t>
            </w:r>
          </w:p>
        </w:tc>
        <w:tc>
          <w:tcPr>
            <w:tcW w:w="3406" w:type="dxa"/>
            <w:tcBorders>
              <w:top w:val="single" w:sz="4" w:space="0" w:color="auto"/>
              <w:left w:val="nil"/>
              <w:bottom w:val="single" w:sz="4" w:space="0" w:color="auto"/>
              <w:right w:val="single" w:sz="4" w:space="0" w:color="auto"/>
            </w:tcBorders>
            <w:shd w:val="clear" w:color="auto" w:fill="C6EFCE"/>
            <w:noWrap/>
          </w:tcPr>
          <w:p w14:paraId="5F3A123D" w14:textId="77777777" w:rsidR="00A345F4" w:rsidRDefault="005E2D4E">
            <w:pPr>
              <w:pStyle w:val="P68B1DB1-Normal14"/>
              <w:spacing w:before="120" w:after="0" w:line="240" w:lineRule="auto"/>
              <w:contextualSpacing/>
              <w:jc w:val="both"/>
              <w:rPr>
                <w:noProof/>
              </w:rPr>
            </w:pPr>
            <w:r>
              <w:rPr>
                <w:noProof/>
              </w:rPr>
              <w:t>Certificats d’acceptation prouvant la livraison et la mise en service d’équipements pour 500 ateliers pratiques dans les écoles d’EFP.</w:t>
            </w:r>
          </w:p>
        </w:tc>
      </w:tr>
      <w:tr w:rsidR="00A345F4" w14:paraId="03998B72"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B35306B" w14:textId="77777777" w:rsidR="00A345F4" w:rsidRDefault="005E2D4E">
            <w:pPr>
              <w:pStyle w:val="P68B1DB1-Normal14"/>
              <w:spacing w:after="0" w:line="240" w:lineRule="auto"/>
              <w:jc w:val="center"/>
              <w:rPr>
                <w:noProof/>
              </w:rPr>
            </w:pPr>
            <w:r>
              <w:rPr>
                <w:noProof/>
              </w:rPr>
              <w:t>502</w:t>
            </w:r>
          </w:p>
        </w:tc>
        <w:tc>
          <w:tcPr>
            <w:tcW w:w="1863" w:type="dxa"/>
            <w:tcBorders>
              <w:top w:val="single" w:sz="4" w:space="0" w:color="auto"/>
              <w:left w:val="nil"/>
              <w:bottom w:val="single" w:sz="4" w:space="0" w:color="auto"/>
              <w:right w:val="single" w:sz="4" w:space="0" w:color="auto"/>
            </w:tcBorders>
            <w:shd w:val="clear" w:color="auto" w:fill="C6EFCE"/>
            <w:noWrap/>
          </w:tcPr>
          <w:p w14:paraId="528F47FF" w14:textId="77777777" w:rsidR="00A345F4" w:rsidRDefault="005E2D4E">
            <w:pPr>
              <w:pStyle w:val="P68B1DB1-Normal14"/>
              <w:spacing w:after="0" w:line="240" w:lineRule="auto"/>
              <w:jc w:val="both"/>
              <w:rPr>
                <w:noProof/>
              </w:rPr>
            </w:pPr>
            <w:r>
              <w:rPr>
                <w:noProof/>
              </w:rPr>
              <w:t>Investissement 16a. Numérisation des universités et préparation aux métiers du numérique de demain</w:t>
            </w:r>
          </w:p>
        </w:tc>
        <w:tc>
          <w:tcPr>
            <w:tcW w:w="1151" w:type="dxa"/>
            <w:tcBorders>
              <w:top w:val="single" w:sz="4" w:space="0" w:color="auto"/>
              <w:left w:val="nil"/>
              <w:bottom w:val="single" w:sz="4" w:space="0" w:color="auto"/>
              <w:right w:val="single" w:sz="4" w:space="0" w:color="auto"/>
            </w:tcBorders>
            <w:shd w:val="clear" w:color="auto" w:fill="C6EFCE"/>
            <w:noWrap/>
          </w:tcPr>
          <w:p w14:paraId="5DC9D448" w14:textId="77777777" w:rsidR="00A345F4" w:rsidRDefault="005E2D4E">
            <w:pPr>
              <w:pStyle w:val="P68B1DB1-Normal14"/>
              <w:spacing w:after="0" w:line="240" w:lineRule="auto"/>
              <w:jc w:val="both"/>
              <w:rPr>
                <w:noProof/>
              </w:rPr>
            </w:pPr>
            <w:r>
              <w:rPr>
                <w:noProof/>
              </w:rPr>
              <w:t>Objectif</w:t>
            </w:r>
          </w:p>
        </w:tc>
        <w:tc>
          <w:tcPr>
            <w:tcW w:w="2031" w:type="dxa"/>
            <w:tcBorders>
              <w:top w:val="single" w:sz="4" w:space="0" w:color="auto"/>
              <w:left w:val="nil"/>
              <w:bottom w:val="single" w:sz="4" w:space="0" w:color="auto"/>
              <w:right w:val="single" w:sz="4" w:space="0" w:color="auto"/>
            </w:tcBorders>
            <w:shd w:val="clear" w:color="auto" w:fill="C6EFCE"/>
            <w:noWrap/>
          </w:tcPr>
          <w:p w14:paraId="22E1B569" w14:textId="77777777" w:rsidR="00A345F4" w:rsidRDefault="005E2D4E">
            <w:pPr>
              <w:pStyle w:val="P68B1DB1-Normal14"/>
              <w:spacing w:after="120" w:line="240" w:lineRule="auto"/>
              <w:jc w:val="both"/>
              <w:rPr>
                <w:noProof/>
              </w:rPr>
            </w:pPr>
            <w:r>
              <w:rPr>
                <w:noProof/>
              </w:rPr>
              <w:t xml:space="preserve">Universités soutenues </w:t>
            </w:r>
          </w:p>
        </w:tc>
        <w:tc>
          <w:tcPr>
            <w:tcW w:w="1553" w:type="dxa"/>
            <w:tcBorders>
              <w:top w:val="single" w:sz="4" w:space="0" w:color="auto"/>
              <w:left w:val="nil"/>
              <w:bottom w:val="single" w:sz="4" w:space="0" w:color="auto"/>
              <w:right w:val="single" w:sz="4" w:space="0" w:color="auto"/>
            </w:tcBorders>
            <w:shd w:val="clear" w:color="auto" w:fill="C6EFCE"/>
            <w:noWrap/>
          </w:tcPr>
          <w:p w14:paraId="47F93C29"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single" w:sz="4" w:space="0" w:color="auto"/>
              <w:left w:val="nil"/>
              <w:bottom w:val="single" w:sz="4" w:space="0" w:color="auto"/>
              <w:right w:val="single" w:sz="4" w:space="0" w:color="auto"/>
            </w:tcBorders>
            <w:shd w:val="clear" w:color="auto" w:fill="C6EFCE"/>
            <w:noWrap/>
          </w:tcPr>
          <w:p w14:paraId="3F85C185" w14:textId="77777777" w:rsidR="00A345F4" w:rsidRDefault="005E2D4E">
            <w:pPr>
              <w:pStyle w:val="P68B1DB1-Normal14"/>
              <w:spacing w:after="0" w:line="240" w:lineRule="auto"/>
              <w:jc w:val="both"/>
              <w:rPr>
                <w:noProof/>
              </w:rPr>
            </w:pPr>
            <w:r>
              <w:rPr>
                <w:noProof/>
              </w:rPr>
              <w:t>Numéro</w:t>
            </w:r>
          </w:p>
        </w:tc>
        <w:tc>
          <w:tcPr>
            <w:tcW w:w="1013" w:type="dxa"/>
            <w:tcBorders>
              <w:top w:val="single" w:sz="4" w:space="0" w:color="auto"/>
              <w:left w:val="nil"/>
              <w:bottom w:val="single" w:sz="4" w:space="0" w:color="auto"/>
              <w:right w:val="single" w:sz="4" w:space="0" w:color="auto"/>
            </w:tcBorders>
            <w:shd w:val="clear" w:color="auto" w:fill="C6EFCE"/>
            <w:noWrap/>
          </w:tcPr>
          <w:p w14:paraId="095DCFE1" w14:textId="77777777" w:rsidR="00A345F4" w:rsidRDefault="005E2D4E">
            <w:pPr>
              <w:pStyle w:val="P68B1DB1-Normal14"/>
              <w:spacing w:after="0" w:line="240" w:lineRule="auto"/>
              <w:jc w:val="both"/>
              <w:rPr>
                <w:noProof/>
              </w:rPr>
            </w:pPr>
            <w:r>
              <w:rPr>
                <w:noProof/>
              </w:rPr>
              <w:t>0</w:t>
            </w:r>
          </w:p>
        </w:tc>
        <w:tc>
          <w:tcPr>
            <w:tcW w:w="995" w:type="dxa"/>
            <w:tcBorders>
              <w:top w:val="single" w:sz="4" w:space="0" w:color="auto"/>
              <w:left w:val="nil"/>
              <w:bottom w:val="single" w:sz="4" w:space="0" w:color="auto"/>
              <w:right w:val="single" w:sz="4" w:space="0" w:color="auto"/>
            </w:tcBorders>
            <w:shd w:val="clear" w:color="auto" w:fill="C6EFCE"/>
            <w:noWrap/>
          </w:tcPr>
          <w:p w14:paraId="6EFCA5EE" w14:textId="77777777" w:rsidR="00A345F4" w:rsidRDefault="005E2D4E">
            <w:pPr>
              <w:pStyle w:val="P68B1DB1-Normal14"/>
              <w:spacing w:after="0" w:line="240" w:lineRule="auto"/>
              <w:jc w:val="both"/>
              <w:rPr>
                <w:noProof/>
              </w:rPr>
            </w:pPr>
            <w:r>
              <w:rPr>
                <w:noProof/>
              </w:rPr>
              <w:t>60</w:t>
            </w:r>
          </w:p>
        </w:tc>
        <w:tc>
          <w:tcPr>
            <w:tcW w:w="987" w:type="dxa"/>
            <w:tcBorders>
              <w:top w:val="single" w:sz="4" w:space="0" w:color="auto"/>
              <w:left w:val="nil"/>
              <w:bottom w:val="single" w:sz="4" w:space="0" w:color="auto"/>
              <w:right w:val="single" w:sz="4" w:space="0" w:color="auto"/>
            </w:tcBorders>
            <w:shd w:val="clear" w:color="auto" w:fill="C6EFCE"/>
            <w:noWrap/>
          </w:tcPr>
          <w:p w14:paraId="6D768854" w14:textId="77777777" w:rsidR="00A345F4" w:rsidRDefault="005E2D4E">
            <w:pPr>
              <w:pStyle w:val="P68B1DB1-Normal14"/>
              <w:spacing w:after="0" w:line="240" w:lineRule="auto"/>
              <w:jc w:val="both"/>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Pr>
          <w:p w14:paraId="7758FBDE" w14:textId="77777777" w:rsidR="00A345F4" w:rsidRDefault="005E2D4E">
            <w:pPr>
              <w:pStyle w:val="P68B1DB1-Normal14"/>
              <w:spacing w:after="0" w:line="240" w:lineRule="auto"/>
              <w:jc w:val="both"/>
              <w:rPr>
                <w:noProof/>
              </w:rPr>
            </w:pPr>
            <w:r>
              <w:rPr>
                <w:noProof/>
              </w:rPr>
              <w:t>2026</w:t>
            </w:r>
          </w:p>
        </w:tc>
        <w:tc>
          <w:tcPr>
            <w:tcW w:w="3406" w:type="dxa"/>
            <w:tcBorders>
              <w:top w:val="single" w:sz="4" w:space="0" w:color="auto"/>
              <w:left w:val="nil"/>
              <w:bottom w:val="single" w:sz="4" w:space="0" w:color="auto"/>
              <w:right w:val="single" w:sz="4" w:space="0" w:color="auto"/>
            </w:tcBorders>
            <w:shd w:val="clear" w:color="auto" w:fill="C6EFCE"/>
            <w:noWrap/>
          </w:tcPr>
          <w:p w14:paraId="2BC36F82" w14:textId="4B1EF5EF" w:rsidR="00A345F4" w:rsidRDefault="005E2D4E">
            <w:pPr>
              <w:pStyle w:val="P68B1DB1-Normal14"/>
              <w:spacing w:before="120" w:after="0" w:line="240" w:lineRule="auto"/>
              <w:contextualSpacing/>
              <w:jc w:val="both"/>
              <w:rPr>
                <w:noProof/>
              </w:rPr>
            </w:pPr>
            <w:r>
              <w:rPr>
                <w:noProof/>
              </w:rPr>
              <w:t>Les certificats d’acceptation prouvent la fourniture d’infrastructures numériques pour 60 universités. Les certificats de participation et une liste centralisée des participants prouvent la mise en œuvre de programmes de formation aux compétences numériques pour les étudiants et le personnel enseignant universitaire.</w:t>
            </w:r>
          </w:p>
        </w:tc>
      </w:tr>
      <w:tr w:rsidR="00A345F4" w14:paraId="5ED54158" w14:textId="77777777" w:rsidTr="000D606E">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34875740" w14:textId="77777777" w:rsidR="00A345F4" w:rsidRDefault="005E2D4E">
            <w:pPr>
              <w:pStyle w:val="P68B1DB1-Normal14"/>
              <w:spacing w:after="0" w:line="240" w:lineRule="auto"/>
              <w:jc w:val="center"/>
              <w:rPr>
                <w:noProof/>
              </w:rPr>
            </w:pPr>
            <w:r>
              <w:rPr>
                <w:noProof/>
              </w:rPr>
              <w:t>507</w:t>
            </w:r>
          </w:p>
        </w:tc>
        <w:tc>
          <w:tcPr>
            <w:tcW w:w="1863" w:type="dxa"/>
            <w:tcBorders>
              <w:top w:val="single" w:sz="4" w:space="0" w:color="auto"/>
              <w:left w:val="nil"/>
              <w:bottom w:val="single" w:sz="4" w:space="0" w:color="auto"/>
              <w:right w:val="single" w:sz="4" w:space="0" w:color="auto"/>
            </w:tcBorders>
            <w:shd w:val="clear" w:color="auto" w:fill="C6EFCE"/>
            <w:noWrap/>
          </w:tcPr>
          <w:p w14:paraId="472B0CFD" w14:textId="77777777" w:rsidR="00A345F4" w:rsidRDefault="005E2D4E">
            <w:pPr>
              <w:pStyle w:val="P68B1DB1-Normal14"/>
              <w:spacing w:after="0" w:line="240" w:lineRule="auto"/>
              <w:jc w:val="both"/>
              <w:rPr>
                <w:noProof/>
              </w:rPr>
            </w:pPr>
            <w:r>
              <w:rPr>
                <w:noProof/>
              </w:rPr>
              <w:t xml:space="preserve">Investissement 18. Formation et coaching pour le personnel de gestion de l'éducation </w:t>
            </w:r>
          </w:p>
        </w:tc>
        <w:tc>
          <w:tcPr>
            <w:tcW w:w="1151" w:type="dxa"/>
            <w:tcBorders>
              <w:top w:val="single" w:sz="4" w:space="0" w:color="auto"/>
              <w:left w:val="nil"/>
              <w:bottom w:val="single" w:sz="4" w:space="0" w:color="auto"/>
              <w:right w:val="single" w:sz="4" w:space="0" w:color="auto"/>
            </w:tcBorders>
            <w:shd w:val="clear" w:color="auto" w:fill="C6EFCE"/>
            <w:noWrap/>
          </w:tcPr>
          <w:p w14:paraId="599E1E79" w14:textId="77777777" w:rsidR="00A345F4" w:rsidRDefault="005E2D4E">
            <w:pPr>
              <w:pStyle w:val="P68B1DB1-Normal14"/>
              <w:spacing w:after="0" w:line="240" w:lineRule="auto"/>
              <w:jc w:val="both"/>
              <w:rPr>
                <w:noProof/>
              </w:rPr>
            </w:pPr>
            <w:r>
              <w:rPr>
                <w:noProof/>
              </w:rPr>
              <w:t>Objectif</w:t>
            </w:r>
          </w:p>
        </w:tc>
        <w:tc>
          <w:tcPr>
            <w:tcW w:w="2031" w:type="dxa"/>
            <w:tcBorders>
              <w:top w:val="single" w:sz="4" w:space="0" w:color="auto"/>
              <w:left w:val="nil"/>
              <w:bottom w:val="single" w:sz="4" w:space="0" w:color="auto"/>
              <w:right w:val="single" w:sz="4" w:space="0" w:color="auto"/>
            </w:tcBorders>
            <w:shd w:val="clear" w:color="auto" w:fill="C6EFCE"/>
            <w:noWrap/>
          </w:tcPr>
          <w:p w14:paraId="2203FC9F" w14:textId="77777777" w:rsidR="00A345F4" w:rsidRDefault="005E2D4E">
            <w:pPr>
              <w:pStyle w:val="P68B1DB1-Normal14"/>
              <w:spacing w:after="120" w:line="240" w:lineRule="auto"/>
              <w:jc w:val="both"/>
              <w:rPr>
                <w:noProof/>
              </w:rPr>
            </w:pPr>
            <w:r>
              <w:rPr>
                <w:noProof/>
              </w:rPr>
              <w:t>Formation du personnel de gestion de l'éducation</w:t>
            </w:r>
          </w:p>
        </w:tc>
        <w:tc>
          <w:tcPr>
            <w:tcW w:w="1553" w:type="dxa"/>
            <w:tcBorders>
              <w:top w:val="single" w:sz="4" w:space="0" w:color="auto"/>
              <w:left w:val="nil"/>
              <w:bottom w:val="single" w:sz="4" w:space="0" w:color="auto"/>
              <w:right w:val="single" w:sz="4" w:space="0" w:color="auto"/>
            </w:tcBorders>
            <w:shd w:val="clear" w:color="auto" w:fill="C6EFCE"/>
            <w:noWrap/>
          </w:tcPr>
          <w:p w14:paraId="0DFF327C" w14:textId="77777777" w:rsidR="00A345F4" w:rsidRDefault="00A345F4">
            <w:pPr>
              <w:spacing w:after="0" w:line="240" w:lineRule="auto"/>
              <w:jc w:val="both"/>
              <w:rPr>
                <w:rFonts w:ascii="Times New Roman" w:hAnsi="Times New Roman" w:cs="Times New Roman"/>
                <w:noProof/>
                <w:sz w:val="20"/>
                <w:szCs w:val="20"/>
              </w:rPr>
            </w:pPr>
          </w:p>
        </w:tc>
        <w:tc>
          <w:tcPr>
            <w:tcW w:w="1075" w:type="dxa"/>
            <w:tcBorders>
              <w:top w:val="single" w:sz="4" w:space="0" w:color="auto"/>
              <w:left w:val="nil"/>
              <w:bottom w:val="single" w:sz="4" w:space="0" w:color="auto"/>
              <w:right w:val="single" w:sz="4" w:space="0" w:color="auto"/>
            </w:tcBorders>
            <w:shd w:val="clear" w:color="auto" w:fill="C6EFCE"/>
            <w:noWrap/>
          </w:tcPr>
          <w:p w14:paraId="124086E8" w14:textId="77777777" w:rsidR="00A345F4" w:rsidRDefault="005E2D4E">
            <w:pPr>
              <w:pStyle w:val="P68B1DB1-Normal14"/>
              <w:spacing w:after="0" w:line="240" w:lineRule="auto"/>
              <w:jc w:val="both"/>
              <w:rPr>
                <w:noProof/>
              </w:rPr>
            </w:pPr>
            <w:r>
              <w:rPr>
                <w:noProof/>
              </w:rPr>
              <w:t>Numéro</w:t>
            </w:r>
          </w:p>
        </w:tc>
        <w:tc>
          <w:tcPr>
            <w:tcW w:w="1013" w:type="dxa"/>
            <w:tcBorders>
              <w:top w:val="single" w:sz="4" w:space="0" w:color="auto"/>
              <w:left w:val="nil"/>
              <w:bottom w:val="single" w:sz="4" w:space="0" w:color="auto"/>
              <w:right w:val="single" w:sz="4" w:space="0" w:color="auto"/>
            </w:tcBorders>
            <w:shd w:val="clear" w:color="auto" w:fill="C6EFCE"/>
            <w:noWrap/>
          </w:tcPr>
          <w:p w14:paraId="50842D2D" w14:textId="77777777" w:rsidR="00A345F4" w:rsidRDefault="005E2D4E">
            <w:pPr>
              <w:pStyle w:val="P68B1DB1-Normal14"/>
              <w:spacing w:after="0" w:line="240" w:lineRule="auto"/>
              <w:jc w:val="both"/>
              <w:rPr>
                <w:noProof/>
              </w:rPr>
            </w:pPr>
            <w:r>
              <w:rPr>
                <w:noProof/>
              </w:rPr>
              <w:t>0</w:t>
            </w:r>
          </w:p>
        </w:tc>
        <w:tc>
          <w:tcPr>
            <w:tcW w:w="995" w:type="dxa"/>
            <w:tcBorders>
              <w:top w:val="single" w:sz="4" w:space="0" w:color="auto"/>
              <w:left w:val="nil"/>
              <w:bottom w:val="single" w:sz="4" w:space="0" w:color="auto"/>
              <w:right w:val="single" w:sz="4" w:space="0" w:color="auto"/>
            </w:tcBorders>
            <w:shd w:val="clear" w:color="auto" w:fill="C6EFCE"/>
            <w:noWrap/>
          </w:tcPr>
          <w:p w14:paraId="79C5E858" w14:textId="59FA8E16" w:rsidR="00A345F4" w:rsidRDefault="005E2D4E">
            <w:pPr>
              <w:pStyle w:val="P68B1DB1-Normal14"/>
              <w:spacing w:after="0" w:line="240" w:lineRule="auto"/>
              <w:jc w:val="both"/>
              <w:rPr>
                <w:noProof/>
              </w:rPr>
            </w:pPr>
            <w:r>
              <w:rPr>
                <w:noProof/>
              </w:rPr>
              <w:t>10 000</w:t>
            </w:r>
          </w:p>
        </w:tc>
        <w:tc>
          <w:tcPr>
            <w:tcW w:w="987" w:type="dxa"/>
            <w:tcBorders>
              <w:top w:val="single" w:sz="4" w:space="0" w:color="auto"/>
              <w:left w:val="nil"/>
              <w:bottom w:val="single" w:sz="4" w:space="0" w:color="auto"/>
              <w:right w:val="single" w:sz="4" w:space="0" w:color="auto"/>
            </w:tcBorders>
            <w:shd w:val="clear" w:color="auto" w:fill="C6EFCE"/>
            <w:noWrap/>
          </w:tcPr>
          <w:p w14:paraId="386F5F5F" w14:textId="77777777" w:rsidR="00A345F4" w:rsidRDefault="005E2D4E">
            <w:pPr>
              <w:pStyle w:val="P68B1DB1-Normal14"/>
              <w:spacing w:after="0" w:line="240" w:lineRule="auto"/>
              <w:jc w:val="both"/>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23AA8C77" w14:textId="77777777" w:rsidR="00A345F4" w:rsidRDefault="005E2D4E">
            <w:pPr>
              <w:pStyle w:val="P68B1DB1-Normal14"/>
              <w:spacing w:after="0" w:line="240" w:lineRule="auto"/>
              <w:jc w:val="both"/>
              <w:rPr>
                <w:noProof/>
              </w:rPr>
            </w:pPr>
            <w:r>
              <w:rPr>
                <w:noProof/>
              </w:rPr>
              <w:t>2026</w:t>
            </w:r>
          </w:p>
        </w:tc>
        <w:tc>
          <w:tcPr>
            <w:tcW w:w="3406" w:type="dxa"/>
            <w:tcBorders>
              <w:top w:val="single" w:sz="4" w:space="0" w:color="auto"/>
              <w:left w:val="nil"/>
              <w:bottom w:val="single" w:sz="4" w:space="0" w:color="auto"/>
              <w:right w:val="single" w:sz="4" w:space="0" w:color="auto"/>
            </w:tcBorders>
            <w:shd w:val="clear" w:color="auto" w:fill="C6EFCE"/>
            <w:noWrap/>
          </w:tcPr>
          <w:p w14:paraId="60DB799C" w14:textId="77777777" w:rsidR="00A345F4" w:rsidRDefault="005E2D4E">
            <w:pPr>
              <w:pStyle w:val="P68B1DB1-Normal14"/>
              <w:spacing w:after="0" w:line="240" w:lineRule="auto"/>
              <w:jc w:val="both"/>
              <w:rPr>
                <w:noProof/>
              </w:rPr>
            </w:pPr>
            <w:r>
              <w:rPr>
                <w:noProof/>
              </w:rPr>
              <w:t>Certificats de participation au(x) programme(s) de formation et de coaching pour 10 000 membres du personnel de gestion de l’éducation délivrés par des prestataires de formation agréés.</w:t>
            </w:r>
          </w:p>
        </w:tc>
      </w:tr>
    </w:tbl>
    <w:p w14:paraId="3638A77C" w14:textId="77777777" w:rsidR="00A345F4" w:rsidRDefault="00A345F4">
      <w:pPr>
        <w:spacing w:before="120" w:after="120" w:line="240" w:lineRule="auto"/>
        <w:ind w:left="709"/>
        <w:jc w:val="both"/>
        <w:rPr>
          <w:rFonts w:ascii="Times New Roman" w:hAnsi="Times New Roman" w:cs="Times New Roman"/>
          <w:noProof/>
        </w:rPr>
        <w:sectPr w:rsidR="00A345F4" w:rsidSect="00B803E9">
          <w:headerReference w:type="even" r:id="rId341"/>
          <w:headerReference w:type="default" r:id="rId342"/>
          <w:footerReference w:type="even" r:id="rId343"/>
          <w:footerReference w:type="default" r:id="rId344"/>
          <w:headerReference w:type="first" r:id="rId345"/>
          <w:footerReference w:type="first" r:id="rId346"/>
          <w:pgSz w:w="16839" w:h="11907" w:orient="landscape"/>
          <w:pgMar w:top="1134" w:right="1134" w:bottom="1134" w:left="1134" w:header="567" w:footer="567" w:gutter="0"/>
          <w:cols w:space="720"/>
          <w:docGrid w:linePitch="360"/>
        </w:sectPr>
      </w:pPr>
    </w:p>
    <w:p w14:paraId="367E03B5" w14:textId="77777777" w:rsidR="00A345F4" w:rsidRDefault="005E2D4E">
      <w:pPr>
        <w:pStyle w:val="P68B1DB1-Normal4"/>
        <w:keepNext/>
        <w:spacing w:before="120" w:after="120" w:line="240" w:lineRule="auto"/>
        <w:jc w:val="both"/>
        <w:outlineLvl w:val="1"/>
        <w:rPr>
          <w:b/>
          <w:noProof/>
        </w:rPr>
      </w:pPr>
      <w:r>
        <w:rPr>
          <w:b/>
          <w:noProof/>
        </w:rPr>
        <w:t xml:space="preserve">O.3. </w:t>
      </w:r>
      <w:r>
        <w:rPr>
          <w:noProof/>
        </w:rPr>
        <w:t xml:space="preserve"> </w:t>
      </w:r>
      <w:r>
        <w:rPr>
          <w:b/>
          <w:noProof/>
        </w:rPr>
        <w:t xml:space="preserve">Description des réformes et des investissements pour le prêt </w:t>
      </w:r>
    </w:p>
    <w:p w14:paraId="1B61116B" w14:textId="77777777" w:rsidR="00A345F4" w:rsidRDefault="005E2D4E">
      <w:pPr>
        <w:pStyle w:val="P68B1DB1-Standard62"/>
        <w:spacing w:before="240"/>
        <w:jc w:val="both"/>
        <w:rPr>
          <w:noProof/>
        </w:rPr>
      </w:pPr>
      <w:r>
        <w:rPr>
          <w:noProof/>
        </w:rPr>
        <w:t xml:space="preserve">i. </w:t>
      </w:r>
      <w:r>
        <w:rPr>
          <w:noProof/>
        </w:rPr>
        <w:tab/>
        <w:t>Éducation et accueil de la petite enfance:</w:t>
      </w:r>
    </w:p>
    <w:p w14:paraId="75E60777" w14:textId="77777777" w:rsidR="00A345F4" w:rsidRDefault="005E2D4E">
      <w:pPr>
        <w:pStyle w:val="P68B1DB1-Standard55"/>
        <w:spacing w:before="240"/>
        <w:jc w:val="both"/>
        <w:rPr>
          <w:noProof/>
        </w:rPr>
      </w:pPr>
      <w:r>
        <w:rPr>
          <w:noProof/>
        </w:rPr>
        <w:t>Investissement 1a. Construction et équipement de crèches</w:t>
      </w:r>
    </w:p>
    <w:p w14:paraId="14B95905" w14:textId="77777777" w:rsidR="00A345F4" w:rsidRDefault="005E2D4E">
      <w:pPr>
        <w:pStyle w:val="P68B1DB1-Normal4"/>
        <w:spacing w:before="120" w:after="120" w:line="240" w:lineRule="auto"/>
        <w:jc w:val="both"/>
        <w:rPr>
          <w:noProof/>
        </w:rPr>
      </w:pPr>
      <w:r>
        <w:rPr>
          <w:noProof/>
        </w:rPr>
        <w:t xml:space="preserve">L'objectif de cet investissement est d'accroître la capacité du système éducatif de la petite enfance en construisant des crèches. </w:t>
      </w:r>
    </w:p>
    <w:p w14:paraId="2598C0CD" w14:textId="77777777" w:rsidR="00A345F4" w:rsidRDefault="005E2D4E">
      <w:pPr>
        <w:pStyle w:val="P68B1DB1-Normal4"/>
        <w:spacing w:before="120" w:after="120" w:line="240" w:lineRule="auto"/>
        <w:jc w:val="both"/>
        <w:rPr>
          <w:noProof/>
        </w:rPr>
      </w:pPr>
      <w:r>
        <w:rPr>
          <w:noProof/>
        </w:rPr>
        <w:t xml:space="preserve">L'investissement consiste en la construction et l'équipement de crèches. </w:t>
      </w:r>
    </w:p>
    <w:p w14:paraId="702943D9" w14:textId="77777777" w:rsidR="00A345F4" w:rsidRDefault="005E2D4E">
      <w:pPr>
        <w:pStyle w:val="P68B1DB1-Normal4"/>
        <w:spacing w:before="120" w:after="120" w:line="240" w:lineRule="auto"/>
        <w:jc w:val="both"/>
        <w:rPr>
          <w:noProof/>
        </w:rPr>
      </w:pPr>
      <w:r>
        <w:rPr>
          <w:noProof/>
        </w:rPr>
        <w:t>Cette mesure complète l’investissement 1 dans le compartiment du soutien financier non remboursable.</w:t>
      </w:r>
    </w:p>
    <w:p w14:paraId="7A1CD1B1" w14:textId="77777777" w:rsidR="00A345F4" w:rsidRDefault="005E2D4E">
      <w:pPr>
        <w:pStyle w:val="P68B1DB1-Normal4"/>
        <w:numPr>
          <w:ilvl w:val="0"/>
          <w:numId w:val="76"/>
        </w:numPr>
        <w:spacing w:before="120" w:after="120" w:line="240" w:lineRule="auto"/>
        <w:ind w:left="709" w:hanging="425"/>
        <w:jc w:val="both"/>
        <w:rPr>
          <w:noProof/>
        </w:rPr>
      </w:pPr>
      <w:r>
        <w:rPr>
          <w:noProof/>
        </w:rPr>
        <w:t xml:space="preserve">Enseignement et formation professionnels (EFP) et formation en alternance: </w:t>
      </w:r>
    </w:p>
    <w:p w14:paraId="3EA568DD" w14:textId="77777777" w:rsidR="00A345F4" w:rsidRDefault="005E2D4E">
      <w:pPr>
        <w:pStyle w:val="P68B1DB1-Standard55"/>
        <w:spacing w:before="240"/>
        <w:jc w:val="both"/>
        <w:rPr>
          <w:noProof/>
        </w:rPr>
      </w:pPr>
      <w:r>
        <w:rPr>
          <w:noProof/>
        </w:rPr>
        <w:t xml:space="preserve">Investissement 13. Équipement de laboratoires informatiques dans les écoles d’enseignement et de formation professionnels (EFP) </w:t>
      </w:r>
    </w:p>
    <w:p w14:paraId="6AB4BFF9" w14:textId="77777777" w:rsidR="00A345F4" w:rsidRDefault="005E2D4E">
      <w:pPr>
        <w:pStyle w:val="P68B1DB1-Standard62"/>
        <w:spacing w:before="240"/>
        <w:jc w:val="both"/>
        <w:rPr>
          <w:noProof/>
        </w:rPr>
      </w:pPr>
      <w:r>
        <w:rPr>
          <w:noProof/>
        </w:rPr>
        <w:t xml:space="preserve">L’objectif de l’investissement est de soutenir la transformation numérique des écoles appartenant au réseau d’EFP. </w:t>
      </w:r>
    </w:p>
    <w:p w14:paraId="33359D8E" w14:textId="77777777" w:rsidR="00A345F4" w:rsidRDefault="005E2D4E">
      <w:pPr>
        <w:pStyle w:val="P68B1DB1-Standard62"/>
        <w:spacing w:before="240"/>
        <w:jc w:val="both"/>
        <w:rPr>
          <w:noProof/>
        </w:rPr>
      </w:pPr>
      <w:r>
        <w:rPr>
          <w:noProof/>
        </w:rPr>
        <w:t xml:space="preserve">L’investissement consiste à acheter des équipements numériques pour les écoles d’EFP. </w:t>
      </w:r>
    </w:p>
    <w:p w14:paraId="2AEA3238" w14:textId="77777777" w:rsidR="00A345F4" w:rsidRDefault="005E2D4E">
      <w:pPr>
        <w:pStyle w:val="P68B1DB1-Normal4"/>
        <w:numPr>
          <w:ilvl w:val="0"/>
          <w:numId w:val="76"/>
        </w:numPr>
        <w:spacing w:before="120" w:after="120" w:line="240" w:lineRule="auto"/>
        <w:ind w:left="709" w:hanging="283"/>
        <w:jc w:val="both"/>
        <w:rPr>
          <w:noProof/>
        </w:rPr>
      </w:pPr>
      <w:r>
        <w:rPr>
          <w:noProof/>
        </w:rPr>
        <w:t xml:space="preserve">Numérisation de l’éducation: </w:t>
      </w:r>
    </w:p>
    <w:p w14:paraId="75955BD1" w14:textId="77777777" w:rsidR="00A345F4" w:rsidRDefault="005E2D4E">
      <w:pPr>
        <w:pStyle w:val="P68B1DB1-Normal24"/>
        <w:spacing w:before="120" w:after="120" w:line="240" w:lineRule="auto"/>
        <w:jc w:val="both"/>
        <w:rPr>
          <w:noProof/>
        </w:rPr>
      </w:pPr>
      <w:r>
        <w:rPr>
          <w:noProof/>
        </w:rPr>
        <w:t>Investissement 16. La numérisation des universités et leur préparation aux métiers du numérique du futur</w:t>
      </w:r>
    </w:p>
    <w:p w14:paraId="7DF05A15" w14:textId="77777777" w:rsidR="00A345F4" w:rsidRDefault="005E2D4E">
      <w:pPr>
        <w:pStyle w:val="P68B1DB1-Normal4"/>
        <w:spacing w:before="120" w:after="120" w:line="240" w:lineRule="auto"/>
        <w:jc w:val="both"/>
        <w:rPr>
          <w:noProof/>
        </w:rPr>
      </w:pPr>
      <w:r>
        <w:rPr>
          <w:noProof/>
        </w:rPr>
        <w:t xml:space="preserve">L’objectif de cet investissement est d’accroître les infrastructures numériques et les compétences numériques des étudiants et du personnel enseignant universitaire. </w:t>
      </w:r>
    </w:p>
    <w:p w14:paraId="08BCCCE5" w14:textId="77777777" w:rsidR="00A345F4" w:rsidRDefault="005E2D4E">
      <w:pPr>
        <w:pStyle w:val="P68B1DB1-Normal4"/>
        <w:spacing w:before="120" w:after="120" w:line="240" w:lineRule="auto"/>
        <w:jc w:val="both"/>
        <w:rPr>
          <w:noProof/>
        </w:rPr>
      </w:pPr>
      <w:r>
        <w:rPr>
          <w:noProof/>
        </w:rPr>
        <w:t>Cette mesure complète l’investissement 16 bis dans le compartiment du soutien financier non remboursable.</w:t>
      </w:r>
    </w:p>
    <w:p w14:paraId="4E0D2B02" w14:textId="77777777" w:rsidR="00A345F4" w:rsidRDefault="005E2D4E">
      <w:pPr>
        <w:pStyle w:val="P68B1DB1-ListParagraph61"/>
        <w:numPr>
          <w:ilvl w:val="0"/>
          <w:numId w:val="76"/>
        </w:numPr>
        <w:spacing w:before="120" w:after="120" w:line="240" w:lineRule="auto"/>
        <w:ind w:left="709" w:hanging="425"/>
        <w:jc w:val="both"/>
        <w:rPr>
          <w:noProof/>
        </w:rPr>
      </w:pPr>
      <w:r>
        <w:rPr>
          <w:noProof/>
        </w:rPr>
        <w:t xml:space="preserve">Infrastructures: </w:t>
      </w:r>
    </w:p>
    <w:p w14:paraId="6A37BFF2" w14:textId="77777777" w:rsidR="00A345F4" w:rsidRDefault="005E2D4E">
      <w:pPr>
        <w:pStyle w:val="P68B1DB1-Standard55"/>
        <w:spacing w:before="240"/>
        <w:jc w:val="both"/>
        <w:rPr>
          <w:rFonts w:eastAsiaTheme="majorEastAsia"/>
          <w:bCs/>
          <w:noProof/>
        </w:rPr>
      </w:pPr>
      <w:r>
        <w:rPr>
          <w:noProof/>
        </w:rPr>
        <w:t>Investissement 10a. Construction d'un réseau d'écoles vertes</w:t>
      </w:r>
    </w:p>
    <w:p w14:paraId="77CB870B" w14:textId="77777777" w:rsidR="00A345F4" w:rsidRDefault="005E2D4E">
      <w:pPr>
        <w:pStyle w:val="P68B1DB1-Normal4"/>
        <w:spacing w:before="120" w:after="120" w:line="240" w:lineRule="auto"/>
        <w:jc w:val="both"/>
        <w:rPr>
          <w:noProof/>
        </w:rPr>
      </w:pPr>
      <w:r>
        <w:rPr>
          <w:noProof/>
        </w:rPr>
        <w:t xml:space="preserve">L’objectif de cet investissement est d’assurer la durabilité des écoles préuniversitaires grâce à la transition vers des écoles vertes. </w:t>
      </w:r>
    </w:p>
    <w:p w14:paraId="5608B2EC" w14:textId="77777777" w:rsidR="00A345F4" w:rsidRDefault="005E2D4E">
      <w:pPr>
        <w:pStyle w:val="P68B1DB1-Normal4"/>
        <w:spacing w:before="120" w:after="120" w:line="240" w:lineRule="auto"/>
        <w:jc w:val="both"/>
        <w:rPr>
          <w:noProof/>
        </w:rPr>
      </w:pPr>
      <w:r>
        <w:rPr>
          <w:noProof/>
        </w:rPr>
        <w:t xml:space="preserve">L'investissement consiste à construire des écoles vertes. </w:t>
      </w:r>
    </w:p>
    <w:p w14:paraId="26C4E060" w14:textId="5733BF70" w:rsidR="00A345F4" w:rsidRDefault="005E2D4E">
      <w:pPr>
        <w:pStyle w:val="P68B1DB1-Normal4"/>
        <w:spacing w:before="120" w:after="120" w:line="240" w:lineRule="auto"/>
        <w:jc w:val="both"/>
        <w:rPr>
          <w:noProof/>
        </w:rPr>
      </w:pPr>
      <w:r>
        <w:rPr>
          <w:noProof/>
        </w:rPr>
        <w:t>Cette mesure complète l’investissement 10 dans le compartiment du soutien financier non remboursable.</w:t>
      </w:r>
    </w:p>
    <w:p w14:paraId="69E09824" w14:textId="77777777" w:rsidR="00A345F4" w:rsidRDefault="005E2D4E">
      <w:pPr>
        <w:pStyle w:val="P68B1DB1-Standard55"/>
        <w:spacing w:before="240"/>
        <w:jc w:val="both"/>
        <w:rPr>
          <w:rFonts w:eastAsiaTheme="majorEastAsia"/>
          <w:noProof/>
        </w:rPr>
      </w:pPr>
      <w:r>
        <w:rPr>
          <w:noProof/>
        </w:rPr>
        <w:t>Investissement 17. Assurer l'infrastructure universitaire (hébergement, cantines, installations récréatives)</w:t>
      </w:r>
    </w:p>
    <w:p w14:paraId="6839920A" w14:textId="77777777" w:rsidR="00A345F4" w:rsidRDefault="005E2D4E">
      <w:pPr>
        <w:pStyle w:val="P68B1DB1-Normal4"/>
        <w:spacing w:before="120" w:after="120" w:line="240" w:lineRule="auto"/>
        <w:jc w:val="both"/>
        <w:rPr>
          <w:noProof/>
        </w:rPr>
      </w:pPr>
      <w:r>
        <w:rPr>
          <w:noProof/>
        </w:rPr>
        <w:t xml:space="preserve">L'objectif de cet investissement est la construction et la modernisation de trois types d'infrastructures dans les campus universitaires. </w:t>
      </w:r>
    </w:p>
    <w:p w14:paraId="03A4783B" w14:textId="77777777" w:rsidR="00A345F4" w:rsidRDefault="005E2D4E">
      <w:pPr>
        <w:pStyle w:val="P68B1DB1-Normal4"/>
        <w:spacing w:before="120" w:after="120" w:line="240" w:lineRule="auto"/>
        <w:jc w:val="both"/>
        <w:rPr>
          <w:noProof/>
        </w:rPr>
      </w:pPr>
      <w:r>
        <w:rPr>
          <w:noProof/>
        </w:rPr>
        <w:t>L'investissement consiste en la construction et la modernisation de lieux de loisirs et de lecture, de cantines et de lieux d'hébergement sur les campus universitaires.</w:t>
      </w:r>
    </w:p>
    <w:p w14:paraId="57A526CE" w14:textId="77777777" w:rsidR="00A345F4" w:rsidRDefault="00A345F4">
      <w:pPr>
        <w:tabs>
          <w:tab w:val="left" w:pos="1290"/>
        </w:tabs>
        <w:rPr>
          <w:rFonts w:ascii="Times New Roman" w:hAnsi="Times New Roman" w:cs="Times New Roman"/>
          <w:noProof/>
        </w:rPr>
      </w:pPr>
    </w:p>
    <w:p w14:paraId="75CE8F97" w14:textId="77777777" w:rsidR="00A345F4" w:rsidRDefault="005E2D4E">
      <w:pPr>
        <w:pStyle w:val="P68B1DB1-Normal4"/>
        <w:tabs>
          <w:tab w:val="left" w:pos="1290"/>
        </w:tabs>
        <w:rPr>
          <w:noProof/>
        </w:rPr>
        <w:sectPr w:rsidR="00A345F4" w:rsidSect="00B803E9">
          <w:headerReference w:type="even" r:id="rId347"/>
          <w:headerReference w:type="default" r:id="rId348"/>
          <w:footerReference w:type="even" r:id="rId349"/>
          <w:footerReference w:type="default" r:id="rId350"/>
          <w:headerReference w:type="first" r:id="rId351"/>
          <w:footerReference w:type="first" r:id="rId352"/>
          <w:pgSz w:w="11907" w:h="16839"/>
          <w:pgMar w:top="1134" w:right="1134" w:bottom="1134" w:left="1134" w:header="567" w:footer="567" w:gutter="0"/>
          <w:cols w:space="720"/>
          <w:docGrid w:linePitch="360"/>
        </w:sectPr>
      </w:pPr>
      <w:r>
        <w:rPr>
          <w:noProof/>
        </w:rPr>
        <w:tab/>
      </w:r>
    </w:p>
    <w:p w14:paraId="10677D22" w14:textId="77777777" w:rsidR="00A345F4" w:rsidRDefault="005E2D4E">
      <w:pPr>
        <w:pStyle w:val="P68B1DB1-Normal4"/>
        <w:keepNext/>
        <w:spacing w:before="120" w:after="120" w:line="240" w:lineRule="auto"/>
        <w:jc w:val="both"/>
        <w:outlineLvl w:val="1"/>
        <w:rPr>
          <w:rFonts w:eastAsiaTheme="majorEastAsia"/>
          <w:b/>
          <w:bCs/>
          <w:noProof/>
        </w:rPr>
      </w:pPr>
      <w:r>
        <w:rPr>
          <w:b/>
          <w:noProof/>
        </w:rPr>
        <w:t xml:space="preserve">O.4. </w:t>
      </w:r>
      <w:r>
        <w:rPr>
          <w:noProof/>
        </w:rPr>
        <w:t xml:space="preserve"> </w:t>
      </w:r>
      <w:r>
        <w:rPr>
          <w:b/>
          <w:noProof/>
        </w:rPr>
        <w:t xml:space="preserve">Étapes, objectifs, indicateurs et calendrier du suivi et de la mise en œuvre du prêt </w:t>
      </w:r>
    </w:p>
    <w:tbl>
      <w:tblPr>
        <w:tblW w:w="15972" w:type="dxa"/>
        <w:jc w:val="center"/>
        <w:tblLayout w:type="fixed"/>
        <w:tblCellMar>
          <w:left w:w="28" w:type="dxa"/>
          <w:right w:w="28" w:type="dxa"/>
        </w:tblCellMar>
        <w:tblLook w:val="04A0" w:firstRow="1" w:lastRow="0" w:firstColumn="1" w:lastColumn="0" w:noHBand="0" w:noVBand="1"/>
      </w:tblPr>
      <w:tblGrid>
        <w:gridCol w:w="835"/>
        <w:gridCol w:w="2204"/>
        <w:gridCol w:w="1351"/>
        <w:gridCol w:w="1413"/>
        <w:gridCol w:w="1383"/>
        <w:gridCol w:w="968"/>
        <w:gridCol w:w="1272"/>
        <w:gridCol w:w="909"/>
        <w:gridCol w:w="1124"/>
        <w:gridCol w:w="1106"/>
        <w:gridCol w:w="3407"/>
      </w:tblGrid>
      <w:tr w:rsidR="00A345F4" w14:paraId="1EFFF4FE" w14:textId="77777777" w:rsidTr="000D606E">
        <w:trPr>
          <w:trHeight w:val="668"/>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6D383CC4" w14:textId="400F968A" w:rsidR="00A345F4" w:rsidRDefault="005E2D4E">
            <w:pPr>
              <w:pStyle w:val="P68B1DB1-Normal16"/>
              <w:spacing w:after="0" w:line="240" w:lineRule="auto"/>
              <w:jc w:val="center"/>
              <w:rPr>
                <w:noProof/>
              </w:rPr>
            </w:pPr>
            <w:r>
              <w:rPr>
                <w:noProof/>
              </w:rPr>
              <w:t xml:space="preserve">Seq. Num. </w:t>
            </w:r>
          </w:p>
        </w:tc>
        <w:tc>
          <w:tcPr>
            <w:tcW w:w="2204"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1802CFB" w14:textId="77777777" w:rsidR="00A345F4" w:rsidRDefault="005E2D4E">
            <w:pPr>
              <w:pStyle w:val="P68B1DB1-Normal13"/>
              <w:spacing w:after="0" w:line="240" w:lineRule="auto"/>
              <w:jc w:val="center"/>
              <w:rPr>
                <w:rFonts w:eastAsia="Times New Roman"/>
                <w:noProof/>
              </w:rPr>
            </w:pPr>
            <w:r>
              <w:rPr>
                <w:noProof/>
              </w:rPr>
              <w:t>Mesure connexe (réforme ou investissement)</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4D4A63BD" w14:textId="6645A663" w:rsidR="00A345F4" w:rsidRDefault="005E2D4E">
            <w:pPr>
              <w:pStyle w:val="P68B1DB1-Normal13"/>
              <w:spacing w:after="0" w:line="240" w:lineRule="auto"/>
              <w:jc w:val="center"/>
              <w:rPr>
                <w:rFonts w:eastAsia="Times New Roman"/>
                <w:noProof/>
              </w:rPr>
            </w:pPr>
            <w:r>
              <w:rPr>
                <w:noProof/>
              </w:rPr>
              <w:t>Étape/objectif</w:t>
            </w:r>
          </w:p>
        </w:tc>
        <w:tc>
          <w:tcPr>
            <w:tcW w:w="141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39E1193C" w14:textId="77777777" w:rsidR="00A345F4" w:rsidRDefault="005E2D4E">
            <w:pPr>
              <w:pStyle w:val="P68B1DB1-Normal13"/>
              <w:spacing w:after="0" w:line="240" w:lineRule="auto"/>
              <w:jc w:val="center"/>
              <w:rPr>
                <w:rFonts w:eastAsia="Times New Roman"/>
                <w:noProof/>
              </w:rPr>
            </w:pPr>
            <w:r>
              <w:rPr>
                <w:noProof/>
              </w:rPr>
              <w:t>Nom</w:t>
            </w:r>
          </w:p>
        </w:tc>
        <w:tc>
          <w:tcPr>
            <w:tcW w:w="138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B91E8E5" w14:textId="77777777" w:rsidR="00A345F4" w:rsidRDefault="005E2D4E">
            <w:pPr>
              <w:pStyle w:val="P68B1DB1-Normal13"/>
              <w:spacing w:after="0" w:line="240" w:lineRule="auto"/>
              <w:jc w:val="center"/>
              <w:rPr>
                <w:rFonts w:eastAsia="Times New Roman"/>
                <w:noProof/>
              </w:rPr>
            </w:pPr>
            <w:r>
              <w:rPr>
                <w:noProof/>
              </w:rPr>
              <w:t xml:space="preserve">Qualitatif </w:t>
            </w:r>
          </w:p>
          <w:p w14:paraId="77A0415A" w14:textId="77777777" w:rsidR="00A345F4" w:rsidRDefault="005E2D4E">
            <w:pPr>
              <w:pStyle w:val="P68B1DB1-Normal14"/>
              <w:spacing w:after="0" w:line="240" w:lineRule="auto"/>
              <w:jc w:val="center"/>
              <w:rPr>
                <w:rFonts w:eastAsia="Times New Roman"/>
                <w:b/>
                <w:noProof/>
              </w:rPr>
            </w:pPr>
            <w:r>
              <w:rPr>
                <w:b/>
                <w:noProof/>
              </w:rPr>
              <w:t>indicateurs</w:t>
            </w:r>
            <w:r>
              <w:rPr>
                <w:noProof/>
              </w:rPr>
              <w:t xml:space="preserve"> </w:t>
            </w:r>
            <w:r>
              <w:rPr>
                <w:noProof/>
              </w:rPr>
              <w:br/>
            </w:r>
            <w:r>
              <w:rPr>
                <w:b/>
                <w:noProof/>
              </w:rPr>
              <w:t>(pour les jalons)</w:t>
            </w:r>
          </w:p>
        </w:tc>
        <w:tc>
          <w:tcPr>
            <w:tcW w:w="3149"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1A5788B9" w14:textId="54D06DCE" w:rsidR="00A345F4" w:rsidRDefault="005E2D4E">
            <w:pPr>
              <w:pStyle w:val="P68B1DB1-Normal14"/>
              <w:spacing w:after="0" w:line="240" w:lineRule="auto"/>
              <w:jc w:val="center"/>
              <w:rPr>
                <w:rFonts w:eastAsia="Times New Roman"/>
                <w:b/>
                <w:noProof/>
              </w:rPr>
            </w:pPr>
            <w:r>
              <w:rPr>
                <w:b/>
                <w:noProof/>
              </w:rPr>
              <w:t>Indicateurs quantitatifs</w:t>
            </w:r>
            <w:r>
              <w:rPr>
                <w:noProof/>
              </w:rPr>
              <w:br/>
            </w:r>
            <w:r>
              <w:rPr>
                <w:b/>
                <w:noProof/>
              </w:rPr>
              <w:t>(pour les objectifs)</w:t>
            </w:r>
          </w:p>
        </w:tc>
        <w:tc>
          <w:tcPr>
            <w:tcW w:w="223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4153147A" w14:textId="5B1167B4" w:rsidR="00A345F4" w:rsidRDefault="005E2D4E">
            <w:pPr>
              <w:pStyle w:val="P68B1DB1-Normal13"/>
              <w:spacing w:after="0" w:line="240" w:lineRule="auto"/>
              <w:jc w:val="center"/>
              <w:rPr>
                <w:rFonts w:eastAsia="Times New Roman"/>
                <w:noProof/>
              </w:rPr>
            </w:pPr>
            <w:r>
              <w:rPr>
                <w:noProof/>
              </w:rPr>
              <w:t xml:space="preserve">Calendrier indicatif d'achèvement </w:t>
            </w:r>
          </w:p>
        </w:tc>
        <w:tc>
          <w:tcPr>
            <w:tcW w:w="3407"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B455CA5" w14:textId="77777777" w:rsidR="00A345F4" w:rsidRDefault="005E2D4E">
            <w:pPr>
              <w:pStyle w:val="P68B1DB1-Normal13"/>
              <w:spacing w:after="0" w:line="240" w:lineRule="auto"/>
              <w:jc w:val="center"/>
              <w:rPr>
                <w:rFonts w:eastAsia="Times New Roman"/>
                <w:noProof/>
              </w:rPr>
            </w:pPr>
            <w:r>
              <w:rPr>
                <w:noProof/>
              </w:rPr>
              <w:t>Description de chaque jalon et cible</w:t>
            </w:r>
          </w:p>
        </w:tc>
      </w:tr>
      <w:tr w:rsidR="00A345F4" w14:paraId="63F1034C" w14:textId="77777777" w:rsidTr="000D606E">
        <w:trPr>
          <w:trHeight w:val="800"/>
          <w:tblHeader/>
          <w:jc w:val="center"/>
        </w:trPr>
        <w:tc>
          <w:tcPr>
            <w:tcW w:w="835" w:type="dxa"/>
            <w:vMerge/>
            <w:tcBorders>
              <w:top w:val="single" w:sz="4" w:space="0" w:color="auto"/>
              <w:left w:val="single" w:sz="4" w:space="0" w:color="auto"/>
              <w:bottom w:val="single" w:sz="4" w:space="0" w:color="auto"/>
              <w:right w:val="single" w:sz="4" w:space="0" w:color="auto"/>
            </w:tcBorders>
            <w:noWrap/>
            <w:vAlign w:val="center"/>
          </w:tcPr>
          <w:p w14:paraId="5C667FF3"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2204" w:type="dxa"/>
            <w:vMerge/>
            <w:tcBorders>
              <w:top w:val="single" w:sz="4" w:space="0" w:color="auto"/>
              <w:left w:val="single" w:sz="4" w:space="0" w:color="auto"/>
              <w:bottom w:val="single" w:sz="4" w:space="0" w:color="auto"/>
              <w:right w:val="single" w:sz="4" w:space="0" w:color="auto"/>
            </w:tcBorders>
            <w:noWrap/>
            <w:vAlign w:val="center"/>
          </w:tcPr>
          <w:p w14:paraId="634778A6" w14:textId="77777777" w:rsidR="00A345F4" w:rsidRDefault="00A345F4">
            <w:pPr>
              <w:spacing w:after="0" w:line="240" w:lineRule="auto"/>
              <w:jc w:val="both"/>
              <w:rPr>
                <w:rFonts w:ascii="Times New Roman" w:eastAsia="Times New Roman" w:hAnsi="Times New Roman" w:cs="Times New Roman"/>
                <w:b/>
                <w:noProof/>
                <w:sz w:val="20"/>
                <w:szCs w:val="20"/>
              </w:rPr>
            </w:pPr>
          </w:p>
        </w:tc>
        <w:tc>
          <w:tcPr>
            <w:tcW w:w="1351" w:type="dxa"/>
            <w:vMerge/>
            <w:tcBorders>
              <w:top w:val="single" w:sz="4" w:space="0" w:color="auto"/>
              <w:left w:val="single" w:sz="4" w:space="0" w:color="auto"/>
              <w:bottom w:val="single" w:sz="4" w:space="0" w:color="auto"/>
              <w:right w:val="single" w:sz="4" w:space="0" w:color="auto"/>
            </w:tcBorders>
            <w:noWrap/>
            <w:vAlign w:val="center"/>
          </w:tcPr>
          <w:p w14:paraId="47EC5D4F" w14:textId="77777777" w:rsidR="00A345F4" w:rsidRDefault="00A345F4">
            <w:pPr>
              <w:spacing w:after="0" w:line="240" w:lineRule="auto"/>
              <w:jc w:val="both"/>
              <w:rPr>
                <w:rFonts w:ascii="Times New Roman" w:eastAsia="Times New Roman" w:hAnsi="Times New Roman" w:cs="Times New Roman"/>
                <w:b/>
                <w:noProof/>
                <w:sz w:val="20"/>
                <w:szCs w:val="20"/>
              </w:rPr>
            </w:pPr>
          </w:p>
        </w:tc>
        <w:tc>
          <w:tcPr>
            <w:tcW w:w="1413" w:type="dxa"/>
            <w:vMerge/>
            <w:tcBorders>
              <w:top w:val="single" w:sz="4" w:space="0" w:color="auto"/>
              <w:left w:val="single" w:sz="4" w:space="0" w:color="auto"/>
              <w:bottom w:val="single" w:sz="4" w:space="0" w:color="auto"/>
              <w:right w:val="single" w:sz="4" w:space="0" w:color="auto"/>
            </w:tcBorders>
            <w:noWrap/>
            <w:vAlign w:val="center"/>
          </w:tcPr>
          <w:p w14:paraId="51C473D8" w14:textId="77777777" w:rsidR="00A345F4" w:rsidRDefault="00A345F4">
            <w:pPr>
              <w:spacing w:after="0" w:line="240" w:lineRule="auto"/>
              <w:jc w:val="both"/>
              <w:rPr>
                <w:rFonts w:ascii="Times New Roman" w:eastAsia="Times New Roman" w:hAnsi="Times New Roman" w:cs="Times New Roman"/>
                <w:b/>
                <w:noProof/>
                <w:sz w:val="20"/>
                <w:szCs w:val="20"/>
              </w:rPr>
            </w:pPr>
          </w:p>
        </w:tc>
        <w:tc>
          <w:tcPr>
            <w:tcW w:w="1383" w:type="dxa"/>
            <w:vMerge/>
            <w:tcBorders>
              <w:top w:val="single" w:sz="4" w:space="0" w:color="auto"/>
              <w:left w:val="single" w:sz="4" w:space="0" w:color="auto"/>
              <w:bottom w:val="single" w:sz="4" w:space="0" w:color="auto"/>
              <w:right w:val="single" w:sz="4" w:space="0" w:color="auto"/>
            </w:tcBorders>
            <w:noWrap/>
            <w:vAlign w:val="center"/>
          </w:tcPr>
          <w:p w14:paraId="789CFEA1" w14:textId="77777777" w:rsidR="00A345F4" w:rsidRDefault="00A345F4">
            <w:pPr>
              <w:spacing w:after="0" w:line="240" w:lineRule="auto"/>
              <w:jc w:val="center"/>
              <w:rPr>
                <w:rFonts w:ascii="Times New Roman" w:eastAsia="Times New Roman" w:hAnsi="Times New Roman" w:cs="Times New Roman"/>
                <w:b/>
                <w:noProof/>
                <w:sz w:val="20"/>
                <w:szCs w:val="20"/>
              </w:rPr>
            </w:pPr>
          </w:p>
        </w:tc>
        <w:tc>
          <w:tcPr>
            <w:tcW w:w="968"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5D24FE30" w14:textId="77DC2DA8" w:rsidR="00A345F4" w:rsidRDefault="005E2D4E">
            <w:pPr>
              <w:pStyle w:val="P68B1DB1-Normal13"/>
              <w:spacing w:after="0" w:line="240" w:lineRule="auto"/>
              <w:jc w:val="center"/>
              <w:rPr>
                <w:rFonts w:eastAsia="Times New Roman"/>
                <w:noProof/>
              </w:rPr>
            </w:pPr>
            <w:r>
              <w:rPr>
                <w:noProof/>
              </w:rPr>
              <w:t>Unité de mesure</w:t>
            </w:r>
          </w:p>
        </w:tc>
        <w:tc>
          <w:tcPr>
            <w:tcW w:w="1272"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6F385EC3" w14:textId="77777777" w:rsidR="00A345F4" w:rsidRDefault="005E2D4E">
            <w:pPr>
              <w:pStyle w:val="P68B1DB1-Normal13"/>
              <w:spacing w:after="0" w:line="240" w:lineRule="auto"/>
              <w:jc w:val="center"/>
              <w:rPr>
                <w:rFonts w:eastAsia="Times New Roman"/>
                <w:noProof/>
              </w:rPr>
            </w:pPr>
            <w:r>
              <w:rPr>
                <w:noProof/>
              </w:rPr>
              <w:t xml:space="preserve">Données de référence </w:t>
            </w:r>
          </w:p>
        </w:tc>
        <w:tc>
          <w:tcPr>
            <w:tcW w:w="909"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60984B2F" w14:textId="77777777" w:rsidR="00A345F4" w:rsidRDefault="005E2D4E">
            <w:pPr>
              <w:pStyle w:val="P68B1DB1-Normal13"/>
              <w:spacing w:after="0" w:line="240" w:lineRule="auto"/>
              <w:jc w:val="center"/>
              <w:rPr>
                <w:rFonts w:eastAsia="Times New Roman"/>
                <w:noProof/>
              </w:rPr>
            </w:pPr>
            <w:r>
              <w:rPr>
                <w:noProof/>
              </w:rPr>
              <w:t xml:space="preserve">Objectif </w:t>
            </w:r>
          </w:p>
        </w:tc>
        <w:tc>
          <w:tcPr>
            <w:tcW w:w="1124"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4D893D17" w14:textId="77777777" w:rsidR="00A345F4" w:rsidRDefault="005E2D4E">
            <w:pPr>
              <w:pStyle w:val="P68B1DB1-Normal13"/>
              <w:spacing w:after="0" w:line="240" w:lineRule="auto"/>
              <w:jc w:val="center"/>
              <w:rPr>
                <w:rFonts w:eastAsia="Times New Roman"/>
                <w:noProof/>
              </w:rPr>
            </w:pPr>
            <w:r>
              <w:rPr>
                <w:noProof/>
              </w:rPr>
              <w:t>Trimestre</w:t>
            </w:r>
          </w:p>
        </w:tc>
        <w:tc>
          <w:tcPr>
            <w:tcW w:w="1106"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24F96E3A" w14:textId="77777777" w:rsidR="00A345F4" w:rsidRDefault="005E2D4E">
            <w:pPr>
              <w:pStyle w:val="P68B1DB1-Normal13"/>
              <w:spacing w:after="0" w:line="240" w:lineRule="auto"/>
              <w:jc w:val="center"/>
              <w:rPr>
                <w:rFonts w:eastAsia="Times New Roman"/>
                <w:noProof/>
              </w:rPr>
            </w:pPr>
            <w:r>
              <w:rPr>
                <w:noProof/>
              </w:rPr>
              <w:t>Année</w:t>
            </w:r>
          </w:p>
        </w:tc>
        <w:tc>
          <w:tcPr>
            <w:tcW w:w="3407" w:type="dxa"/>
            <w:vMerge/>
            <w:tcBorders>
              <w:top w:val="single" w:sz="4" w:space="0" w:color="auto"/>
              <w:bottom w:val="single" w:sz="4" w:space="0" w:color="auto"/>
              <w:right w:val="single" w:sz="4" w:space="0" w:color="auto"/>
            </w:tcBorders>
            <w:noWrap/>
            <w:vAlign w:val="center"/>
          </w:tcPr>
          <w:p w14:paraId="10067CDE" w14:textId="77777777" w:rsidR="00A345F4" w:rsidRDefault="00A345F4">
            <w:pPr>
              <w:spacing w:after="0" w:line="240" w:lineRule="auto"/>
              <w:jc w:val="both"/>
              <w:rPr>
                <w:rFonts w:ascii="Times New Roman" w:eastAsia="Times New Roman" w:hAnsi="Times New Roman" w:cs="Times New Roman"/>
                <w:b/>
                <w:noProof/>
                <w:sz w:val="20"/>
                <w:szCs w:val="20"/>
              </w:rPr>
            </w:pPr>
          </w:p>
        </w:tc>
      </w:tr>
      <w:tr w:rsidR="00A345F4" w14:paraId="50D7610F" w14:textId="77777777" w:rsidTr="000D606E">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01872B9" w14:textId="77777777" w:rsidR="00A345F4" w:rsidRDefault="005E2D4E">
            <w:pPr>
              <w:pStyle w:val="P68B1DB1-Normal14"/>
              <w:spacing w:after="0" w:line="240" w:lineRule="auto"/>
              <w:jc w:val="center"/>
              <w:rPr>
                <w:noProof/>
              </w:rPr>
            </w:pPr>
            <w:r>
              <w:rPr>
                <w:noProof/>
              </w:rPr>
              <w:t>457a</w:t>
            </w:r>
          </w:p>
        </w:tc>
        <w:tc>
          <w:tcPr>
            <w:tcW w:w="2204" w:type="dxa"/>
            <w:tcBorders>
              <w:top w:val="single" w:sz="4" w:space="0" w:color="auto"/>
              <w:left w:val="nil"/>
              <w:bottom w:val="single" w:sz="4" w:space="0" w:color="auto"/>
              <w:right w:val="single" w:sz="4" w:space="0" w:color="auto"/>
            </w:tcBorders>
            <w:shd w:val="clear" w:color="auto" w:fill="C6EFCE"/>
            <w:noWrap/>
          </w:tcPr>
          <w:p w14:paraId="34F5DD34" w14:textId="77777777" w:rsidR="00A345F4" w:rsidRDefault="005E2D4E">
            <w:pPr>
              <w:pStyle w:val="P68B1DB1-Normal14"/>
              <w:spacing w:after="0" w:line="240" w:lineRule="auto"/>
              <w:jc w:val="both"/>
              <w:rPr>
                <w:noProof/>
              </w:rPr>
            </w:pPr>
            <w:r>
              <w:rPr>
                <w:noProof/>
              </w:rPr>
              <w:t>Investissement 1a. Construction et équipement de crèches</w:t>
            </w:r>
          </w:p>
        </w:tc>
        <w:tc>
          <w:tcPr>
            <w:tcW w:w="1351" w:type="dxa"/>
            <w:tcBorders>
              <w:top w:val="single" w:sz="4" w:space="0" w:color="auto"/>
              <w:left w:val="nil"/>
              <w:bottom w:val="single" w:sz="4" w:space="0" w:color="auto"/>
              <w:right w:val="single" w:sz="4" w:space="0" w:color="auto"/>
            </w:tcBorders>
            <w:shd w:val="clear" w:color="auto" w:fill="C6EFCE"/>
            <w:noWrap/>
          </w:tcPr>
          <w:p w14:paraId="5733DDFE" w14:textId="77777777" w:rsidR="00A345F4" w:rsidRDefault="005E2D4E">
            <w:pPr>
              <w:pStyle w:val="P68B1DB1-Normal14"/>
              <w:spacing w:after="0" w:line="240" w:lineRule="auto"/>
              <w:jc w:val="both"/>
              <w:rPr>
                <w:noProof/>
              </w:rPr>
            </w:pPr>
            <w:r>
              <w:rPr>
                <w:noProof/>
              </w:rPr>
              <w:t>Objectif</w:t>
            </w:r>
          </w:p>
        </w:tc>
        <w:tc>
          <w:tcPr>
            <w:tcW w:w="1413" w:type="dxa"/>
            <w:tcBorders>
              <w:top w:val="single" w:sz="4" w:space="0" w:color="auto"/>
              <w:left w:val="nil"/>
              <w:bottom w:val="single" w:sz="4" w:space="0" w:color="auto"/>
              <w:right w:val="single" w:sz="4" w:space="0" w:color="auto"/>
            </w:tcBorders>
            <w:shd w:val="clear" w:color="auto" w:fill="C6EFCE"/>
            <w:noWrap/>
          </w:tcPr>
          <w:p w14:paraId="7BD84BC3" w14:textId="06C5E708" w:rsidR="00A345F4" w:rsidRDefault="005E2D4E">
            <w:pPr>
              <w:pStyle w:val="P68B1DB1-Normal14"/>
              <w:spacing w:after="0" w:line="240" w:lineRule="auto"/>
              <w:jc w:val="both"/>
              <w:rPr>
                <w:noProof/>
              </w:rPr>
            </w:pPr>
            <w:r>
              <w:rPr>
                <w:noProof/>
              </w:rPr>
              <w:t>Crèches construites et équipées</w:t>
            </w:r>
          </w:p>
        </w:tc>
        <w:tc>
          <w:tcPr>
            <w:tcW w:w="1383" w:type="dxa"/>
            <w:tcBorders>
              <w:top w:val="single" w:sz="4" w:space="0" w:color="auto"/>
              <w:left w:val="nil"/>
              <w:bottom w:val="single" w:sz="4" w:space="0" w:color="auto"/>
              <w:right w:val="single" w:sz="4" w:space="0" w:color="auto"/>
            </w:tcBorders>
            <w:shd w:val="clear" w:color="auto" w:fill="C6EFCE"/>
            <w:noWrap/>
          </w:tcPr>
          <w:p w14:paraId="33DF66A9" w14:textId="77777777" w:rsidR="00A345F4" w:rsidRDefault="00A345F4">
            <w:pPr>
              <w:spacing w:after="0" w:line="240" w:lineRule="auto"/>
              <w:jc w:val="center"/>
              <w:rPr>
                <w:rFonts w:ascii="Times New Roman" w:hAnsi="Times New Roman" w:cs="Times New Roman"/>
                <w:noProof/>
                <w:sz w:val="20"/>
                <w:szCs w:val="20"/>
              </w:rPr>
            </w:pPr>
          </w:p>
        </w:tc>
        <w:tc>
          <w:tcPr>
            <w:tcW w:w="968" w:type="dxa"/>
            <w:tcBorders>
              <w:top w:val="single" w:sz="4" w:space="0" w:color="auto"/>
              <w:left w:val="nil"/>
              <w:bottom w:val="single" w:sz="4" w:space="0" w:color="auto"/>
              <w:right w:val="single" w:sz="4" w:space="0" w:color="auto"/>
            </w:tcBorders>
            <w:shd w:val="clear" w:color="auto" w:fill="C6EFCE"/>
            <w:noWrap/>
          </w:tcPr>
          <w:p w14:paraId="1C722DC0" w14:textId="77777777" w:rsidR="00A345F4" w:rsidRDefault="005E2D4E">
            <w:pPr>
              <w:pStyle w:val="P68B1DB1-Normal14"/>
              <w:spacing w:after="0" w:line="240" w:lineRule="auto"/>
              <w:jc w:val="center"/>
              <w:rPr>
                <w:noProof/>
              </w:rPr>
            </w:pPr>
            <w:r>
              <w:rPr>
                <w:noProof/>
              </w:rPr>
              <w:t>Numéro</w:t>
            </w:r>
          </w:p>
        </w:tc>
        <w:tc>
          <w:tcPr>
            <w:tcW w:w="1272" w:type="dxa"/>
            <w:tcBorders>
              <w:top w:val="single" w:sz="4" w:space="0" w:color="auto"/>
              <w:left w:val="nil"/>
              <w:bottom w:val="single" w:sz="4" w:space="0" w:color="auto"/>
              <w:right w:val="single" w:sz="4" w:space="0" w:color="auto"/>
            </w:tcBorders>
            <w:shd w:val="clear" w:color="auto" w:fill="C6EFCE"/>
            <w:noWrap/>
          </w:tcPr>
          <w:p w14:paraId="6351D5BF" w14:textId="77777777" w:rsidR="00A345F4" w:rsidRDefault="005E2D4E">
            <w:pPr>
              <w:pStyle w:val="P68B1DB1-Normal14"/>
              <w:spacing w:after="0" w:line="240" w:lineRule="auto"/>
              <w:jc w:val="center"/>
              <w:rPr>
                <w:noProof/>
              </w:rPr>
            </w:pPr>
            <w:r>
              <w:rPr>
                <w:noProof/>
              </w:rPr>
              <w:t>0</w:t>
            </w:r>
          </w:p>
        </w:tc>
        <w:tc>
          <w:tcPr>
            <w:tcW w:w="909" w:type="dxa"/>
            <w:tcBorders>
              <w:top w:val="single" w:sz="4" w:space="0" w:color="auto"/>
              <w:left w:val="nil"/>
              <w:bottom w:val="single" w:sz="4" w:space="0" w:color="auto"/>
              <w:right w:val="single" w:sz="4" w:space="0" w:color="auto"/>
            </w:tcBorders>
            <w:shd w:val="clear" w:color="auto" w:fill="C6EFCE"/>
            <w:noWrap/>
          </w:tcPr>
          <w:p w14:paraId="5581E6AA" w14:textId="77777777" w:rsidR="00A345F4" w:rsidRDefault="005E2D4E">
            <w:pPr>
              <w:pStyle w:val="P68B1DB1-Normal14"/>
              <w:spacing w:after="0" w:line="240" w:lineRule="auto"/>
              <w:jc w:val="center"/>
              <w:rPr>
                <w:noProof/>
              </w:rPr>
            </w:pPr>
            <w:r>
              <w:rPr>
                <w:noProof/>
              </w:rPr>
              <w:t>30</w:t>
            </w:r>
          </w:p>
        </w:tc>
        <w:tc>
          <w:tcPr>
            <w:tcW w:w="1124" w:type="dxa"/>
            <w:tcBorders>
              <w:top w:val="single" w:sz="4" w:space="0" w:color="auto"/>
              <w:left w:val="nil"/>
              <w:bottom w:val="single" w:sz="4" w:space="0" w:color="auto"/>
              <w:right w:val="single" w:sz="4" w:space="0" w:color="auto"/>
            </w:tcBorders>
            <w:shd w:val="clear" w:color="auto" w:fill="C6EFCE"/>
            <w:noWrap/>
          </w:tcPr>
          <w:p w14:paraId="737ADF45" w14:textId="77777777" w:rsidR="00A345F4" w:rsidRDefault="005E2D4E">
            <w:pPr>
              <w:pStyle w:val="P68B1DB1-Normal14"/>
              <w:spacing w:after="0" w:line="240" w:lineRule="auto"/>
              <w:jc w:val="both"/>
              <w:rPr>
                <w:noProof/>
              </w:rPr>
            </w:pPr>
            <w:r>
              <w:rPr>
                <w:noProof/>
              </w:rPr>
              <w:t>T2</w:t>
            </w:r>
          </w:p>
          <w:p w14:paraId="4BD46043" w14:textId="77777777" w:rsidR="00A345F4" w:rsidRDefault="00A345F4">
            <w:pPr>
              <w:spacing w:after="0" w:line="240" w:lineRule="auto"/>
              <w:jc w:val="center"/>
              <w:rPr>
                <w:rFonts w:ascii="Times New Roman" w:hAnsi="Times New Roman" w:cs="Times New Roman"/>
                <w:noProof/>
                <w:sz w:val="20"/>
                <w:szCs w:val="20"/>
              </w:rPr>
            </w:pPr>
          </w:p>
        </w:tc>
        <w:tc>
          <w:tcPr>
            <w:tcW w:w="1106" w:type="dxa"/>
            <w:tcBorders>
              <w:top w:val="single" w:sz="4" w:space="0" w:color="auto"/>
              <w:left w:val="nil"/>
              <w:bottom w:val="single" w:sz="4" w:space="0" w:color="auto"/>
              <w:right w:val="single" w:sz="4" w:space="0" w:color="auto"/>
            </w:tcBorders>
            <w:shd w:val="clear" w:color="auto" w:fill="C6EFCE"/>
            <w:noWrap/>
          </w:tcPr>
          <w:p w14:paraId="2D7DD078" w14:textId="77777777" w:rsidR="00A345F4" w:rsidRDefault="005E2D4E">
            <w:pPr>
              <w:pStyle w:val="P68B1DB1-Normal14"/>
              <w:spacing w:after="0" w:line="240" w:lineRule="auto"/>
              <w:jc w:val="center"/>
              <w:rPr>
                <w:noProof/>
              </w:rPr>
            </w:pPr>
            <w:r>
              <w:rPr>
                <w:noProof/>
              </w:rPr>
              <w:t>2026</w:t>
            </w:r>
          </w:p>
        </w:tc>
        <w:tc>
          <w:tcPr>
            <w:tcW w:w="3407" w:type="dxa"/>
            <w:tcBorders>
              <w:top w:val="single" w:sz="4" w:space="0" w:color="auto"/>
              <w:left w:val="nil"/>
              <w:bottom w:val="single" w:sz="4" w:space="0" w:color="auto"/>
              <w:right w:val="single" w:sz="4" w:space="0" w:color="auto"/>
            </w:tcBorders>
            <w:shd w:val="clear" w:color="auto" w:fill="C6EFCE"/>
            <w:noWrap/>
          </w:tcPr>
          <w:p w14:paraId="4EB3552C" w14:textId="77777777" w:rsidR="00A345F4" w:rsidRDefault="005E2D4E">
            <w:pPr>
              <w:pStyle w:val="P68B1DB1-Normal14"/>
              <w:spacing w:after="0" w:line="240" w:lineRule="auto"/>
              <w:jc w:val="both"/>
              <w:rPr>
                <w:noProof/>
              </w:rPr>
            </w:pPr>
            <w:r>
              <w:rPr>
                <w:noProof/>
              </w:rPr>
              <w:t>30 crèches ont été construites et équipées.</w:t>
            </w:r>
          </w:p>
        </w:tc>
      </w:tr>
      <w:tr w:rsidR="00A345F4" w14:paraId="274ED918" w14:textId="77777777" w:rsidTr="000D606E">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B361C0" w14:textId="77777777" w:rsidR="00A345F4" w:rsidRDefault="005E2D4E">
            <w:pPr>
              <w:pStyle w:val="P68B1DB1-Normal14"/>
              <w:spacing w:after="0" w:line="240" w:lineRule="auto"/>
              <w:jc w:val="center"/>
              <w:rPr>
                <w:noProof/>
              </w:rPr>
            </w:pPr>
            <w:r>
              <w:rPr>
                <w:noProof/>
              </w:rPr>
              <w:t>488</w:t>
            </w:r>
          </w:p>
        </w:tc>
        <w:tc>
          <w:tcPr>
            <w:tcW w:w="2204" w:type="dxa"/>
            <w:tcBorders>
              <w:top w:val="single" w:sz="4" w:space="0" w:color="auto"/>
              <w:left w:val="nil"/>
              <w:bottom w:val="single" w:sz="4" w:space="0" w:color="auto"/>
              <w:right w:val="single" w:sz="4" w:space="0" w:color="auto"/>
            </w:tcBorders>
            <w:shd w:val="clear" w:color="auto" w:fill="C6EFCE"/>
            <w:noWrap/>
          </w:tcPr>
          <w:p w14:paraId="09B9F2C5" w14:textId="77777777" w:rsidR="00A345F4" w:rsidRDefault="005E2D4E">
            <w:pPr>
              <w:pStyle w:val="P68B1DB1-Normal14"/>
              <w:spacing w:after="0" w:line="240" w:lineRule="auto"/>
              <w:jc w:val="both"/>
              <w:rPr>
                <w:noProof/>
              </w:rPr>
            </w:pPr>
            <w:r>
              <w:rPr>
                <w:noProof/>
              </w:rPr>
              <w:t xml:space="preserve">Investissement 10a. Construction d'un réseau d'écoles vertes </w:t>
            </w:r>
          </w:p>
        </w:tc>
        <w:tc>
          <w:tcPr>
            <w:tcW w:w="1351" w:type="dxa"/>
            <w:tcBorders>
              <w:top w:val="single" w:sz="4" w:space="0" w:color="auto"/>
              <w:left w:val="nil"/>
              <w:bottom w:val="single" w:sz="4" w:space="0" w:color="auto"/>
              <w:right w:val="single" w:sz="4" w:space="0" w:color="auto"/>
            </w:tcBorders>
            <w:shd w:val="clear" w:color="auto" w:fill="C6EFCE"/>
            <w:noWrap/>
          </w:tcPr>
          <w:p w14:paraId="3DA33852" w14:textId="77777777" w:rsidR="00A345F4" w:rsidRDefault="005E2D4E">
            <w:pPr>
              <w:pStyle w:val="P68B1DB1-Normal14"/>
              <w:spacing w:after="0" w:line="240" w:lineRule="auto"/>
              <w:jc w:val="both"/>
              <w:rPr>
                <w:noProof/>
              </w:rPr>
            </w:pPr>
            <w:r>
              <w:rPr>
                <w:noProof/>
              </w:rPr>
              <w:t>Objectif</w:t>
            </w:r>
          </w:p>
        </w:tc>
        <w:tc>
          <w:tcPr>
            <w:tcW w:w="1413" w:type="dxa"/>
            <w:tcBorders>
              <w:top w:val="single" w:sz="4" w:space="0" w:color="auto"/>
              <w:left w:val="nil"/>
              <w:bottom w:val="single" w:sz="4" w:space="0" w:color="auto"/>
              <w:right w:val="single" w:sz="4" w:space="0" w:color="auto"/>
            </w:tcBorders>
            <w:shd w:val="clear" w:color="auto" w:fill="C6EFCE"/>
            <w:noWrap/>
          </w:tcPr>
          <w:p w14:paraId="39B489F1" w14:textId="77777777" w:rsidR="00A345F4" w:rsidRDefault="005E2D4E">
            <w:pPr>
              <w:pStyle w:val="P68B1DB1-Normal14"/>
              <w:spacing w:after="0" w:line="240" w:lineRule="auto"/>
              <w:jc w:val="both"/>
              <w:rPr>
                <w:noProof/>
              </w:rPr>
            </w:pPr>
            <w:r>
              <w:rPr>
                <w:noProof/>
              </w:rPr>
              <w:t xml:space="preserve">Construction d'une nouvelle école verte </w:t>
            </w:r>
          </w:p>
        </w:tc>
        <w:tc>
          <w:tcPr>
            <w:tcW w:w="1383" w:type="dxa"/>
            <w:tcBorders>
              <w:top w:val="single" w:sz="4" w:space="0" w:color="auto"/>
              <w:left w:val="nil"/>
              <w:bottom w:val="single" w:sz="4" w:space="0" w:color="auto"/>
              <w:right w:val="single" w:sz="4" w:space="0" w:color="auto"/>
            </w:tcBorders>
            <w:shd w:val="clear" w:color="auto" w:fill="C6EFCE"/>
            <w:noWrap/>
          </w:tcPr>
          <w:p w14:paraId="5E1CA875" w14:textId="77777777" w:rsidR="00A345F4" w:rsidRDefault="00A345F4">
            <w:pPr>
              <w:spacing w:after="0" w:line="240" w:lineRule="auto"/>
              <w:jc w:val="center"/>
              <w:rPr>
                <w:rFonts w:ascii="Times New Roman" w:hAnsi="Times New Roman" w:cs="Times New Roman"/>
                <w:noProof/>
                <w:sz w:val="20"/>
                <w:szCs w:val="20"/>
              </w:rPr>
            </w:pPr>
          </w:p>
        </w:tc>
        <w:tc>
          <w:tcPr>
            <w:tcW w:w="968" w:type="dxa"/>
            <w:tcBorders>
              <w:top w:val="single" w:sz="4" w:space="0" w:color="auto"/>
              <w:left w:val="nil"/>
              <w:bottom w:val="single" w:sz="4" w:space="0" w:color="auto"/>
              <w:right w:val="single" w:sz="4" w:space="0" w:color="auto"/>
            </w:tcBorders>
            <w:shd w:val="clear" w:color="auto" w:fill="C6EFCE"/>
            <w:noWrap/>
          </w:tcPr>
          <w:p w14:paraId="0C777C67" w14:textId="77777777" w:rsidR="00A345F4" w:rsidRDefault="005E2D4E">
            <w:pPr>
              <w:pStyle w:val="P68B1DB1-Normal14"/>
              <w:spacing w:after="0" w:line="240" w:lineRule="auto"/>
              <w:jc w:val="center"/>
              <w:rPr>
                <w:noProof/>
              </w:rPr>
            </w:pPr>
            <w:r>
              <w:rPr>
                <w:noProof/>
              </w:rPr>
              <w:t>Nombre de m</w:t>
            </w:r>
            <w:r>
              <w:rPr>
                <w:noProof/>
                <w:vertAlign w:val="superscript"/>
              </w:rPr>
              <w:t xml:space="preserve"> 2</w:t>
            </w:r>
          </w:p>
        </w:tc>
        <w:tc>
          <w:tcPr>
            <w:tcW w:w="1272" w:type="dxa"/>
            <w:tcBorders>
              <w:top w:val="single" w:sz="4" w:space="0" w:color="auto"/>
              <w:left w:val="nil"/>
              <w:bottom w:val="single" w:sz="4" w:space="0" w:color="auto"/>
              <w:right w:val="single" w:sz="4" w:space="0" w:color="auto"/>
            </w:tcBorders>
            <w:shd w:val="clear" w:color="auto" w:fill="C6EFCE"/>
            <w:noWrap/>
          </w:tcPr>
          <w:p w14:paraId="5EEC4479" w14:textId="77777777" w:rsidR="00A345F4" w:rsidRDefault="005E2D4E">
            <w:pPr>
              <w:pStyle w:val="P68B1DB1-Normal14"/>
              <w:spacing w:after="0" w:line="240" w:lineRule="auto"/>
              <w:jc w:val="center"/>
              <w:rPr>
                <w:noProof/>
              </w:rPr>
            </w:pPr>
            <w:r>
              <w:rPr>
                <w:noProof/>
              </w:rPr>
              <w:t>0</w:t>
            </w:r>
          </w:p>
        </w:tc>
        <w:tc>
          <w:tcPr>
            <w:tcW w:w="909" w:type="dxa"/>
            <w:tcBorders>
              <w:top w:val="single" w:sz="4" w:space="0" w:color="auto"/>
              <w:left w:val="nil"/>
              <w:bottom w:val="single" w:sz="4" w:space="0" w:color="auto"/>
              <w:right w:val="single" w:sz="4" w:space="0" w:color="auto"/>
            </w:tcBorders>
            <w:shd w:val="clear" w:color="auto" w:fill="C6EFCE"/>
            <w:noWrap/>
          </w:tcPr>
          <w:p w14:paraId="290BB39E" w14:textId="26637A1E" w:rsidR="00A345F4" w:rsidRDefault="005E2D4E">
            <w:pPr>
              <w:pStyle w:val="P68B1DB1-Normal14"/>
              <w:spacing w:after="0" w:line="240" w:lineRule="auto"/>
              <w:jc w:val="center"/>
              <w:rPr>
                <w:noProof/>
              </w:rPr>
            </w:pPr>
            <w:r>
              <w:rPr>
                <w:noProof/>
              </w:rPr>
              <w:t>32 764</w:t>
            </w:r>
          </w:p>
        </w:tc>
        <w:tc>
          <w:tcPr>
            <w:tcW w:w="1124" w:type="dxa"/>
            <w:tcBorders>
              <w:top w:val="single" w:sz="4" w:space="0" w:color="auto"/>
              <w:left w:val="nil"/>
              <w:bottom w:val="single" w:sz="4" w:space="0" w:color="auto"/>
              <w:right w:val="single" w:sz="4" w:space="0" w:color="auto"/>
            </w:tcBorders>
            <w:shd w:val="clear" w:color="auto" w:fill="C6EFCE"/>
            <w:noWrap/>
          </w:tcPr>
          <w:p w14:paraId="40F69030" w14:textId="77777777" w:rsidR="00A345F4" w:rsidRDefault="005E2D4E">
            <w:pPr>
              <w:pStyle w:val="P68B1DB1-Normal14"/>
              <w:spacing w:after="0" w:line="240" w:lineRule="auto"/>
              <w:jc w:val="both"/>
              <w:rPr>
                <w:noProof/>
              </w:rPr>
            </w:pPr>
            <w:r>
              <w:rPr>
                <w:noProof/>
              </w:rPr>
              <w:t>T3</w:t>
            </w:r>
          </w:p>
        </w:tc>
        <w:tc>
          <w:tcPr>
            <w:tcW w:w="1106" w:type="dxa"/>
            <w:tcBorders>
              <w:top w:val="single" w:sz="4" w:space="0" w:color="auto"/>
              <w:left w:val="nil"/>
              <w:bottom w:val="single" w:sz="4" w:space="0" w:color="auto"/>
              <w:right w:val="single" w:sz="4" w:space="0" w:color="auto"/>
            </w:tcBorders>
            <w:shd w:val="clear" w:color="auto" w:fill="C6EFCE"/>
            <w:noWrap/>
          </w:tcPr>
          <w:p w14:paraId="4E064878" w14:textId="77777777" w:rsidR="00A345F4" w:rsidRDefault="005E2D4E">
            <w:pPr>
              <w:pStyle w:val="P68B1DB1-Normal14"/>
              <w:spacing w:after="0" w:line="240" w:lineRule="auto"/>
              <w:jc w:val="center"/>
              <w:rPr>
                <w:noProof/>
              </w:rPr>
            </w:pPr>
            <w:r>
              <w:rPr>
                <w:noProof/>
              </w:rPr>
              <w:t>2026</w:t>
            </w:r>
          </w:p>
        </w:tc>
        <w:tc>
          <w:tcPr>
            <w:tcW w:w="3407" w:type="dxa"/>
            <w:tcBorders>
              <w:top w:val="single" w:sz="4" w:space="0" w:color="auto"/>
              <w:left w:val="nil"/>
              <w:bottom w:val="single" w:sz="4" w:space="0" w:color="auto"/>
              <w:right w:val="single" w:sz="4" w:space="0" w:color="auto"/>
            </w:tcBorders>
            <w:shd w:val="clear" w:color="auto" w:fill="C6EFCE"/>
            <w:noWrap/>
          </w:tcPr>
          <w:p w14:paraId="621704ED" w14:textId="43A70061" w:rsidR="00A345F4" w:rsidRDefault="005E2D4E">
            <w:pPr>
              <w:pStyle w:val="P68B1DB1-Normal14"/>
              <w:spacing w:after="0" w:line="240" w:lineRule="auto"/>
              <w:jc w:val="both"/>
              <w:rPr>
                <w:noProof/>
              </w:rPr>
            </w:pPr>
            <w:r>
              <w:rPr>
                <w:noProof/>
              </w:rPr>
              <w:t>Les certificats de réception d’achèvement des travaux confirment la construction d’écoles vertes d’une surface totale d’au moins 32 764 m2.</w:t>
            </w:r>
          </w:p>
          <w:p w14:paraId="2824D011" w14:textId="77777777" w:rsidR="00A345F4" w:rsidRDefault="005E2D4E">
            <w:pPr>
              <w:pStyle w:val="P68B1DB1-Normal14"/>
              <w:spacing w:after="0" w:line="240" w:lineRule="auto"/>
              <w:jc w:val="both"/>
              <w:rPr>
                <w:noProof/>
              </w:rPr>
            </w:pPr>
            <w:r>
              <w:rPr>
                <w:noProof/>
              </w:rPr>
              <w:t xml:space="preserve">Les écoles vertes nouvellement construites respectent l’objectif d’atteindre une demande d’énergie primaire (DEP) inférieure d’au moins 20 % à l’exigence relative aux bâtiments dont la consommation d’énergie est quasi nulle conformément aux lignes directrices nationales, ce qui doit être démontré au moyen de certificats de performance énergétique. </w:t>
            </w:r>
          </w:p>
        </w:tc>
      </w:tr>
      <w:tr w:rsidR="00A345F4" w14:paraId="38370C09" w14:textId="77777777" w:rsidTr="000D606E">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6EB3B0C" w14:textId="77777777" w:rsidR="00A345F4" w:rsidRDefault="005E2D4E">
            <w:pPr>
              <w:pStyle w:val="P68B1DB1-Normal14"/>
              <w:spacing w:after="0" w:line="240" w:lineRule="auto"/>
              <w:jc w:val="center"/>
              <w:rPr>
                <w:noProof/>
              </w:rPr>
            </w:pPr>
            <w:r>
              <w:rPr>
                <w:noProof/>
              </w:rPr>
              <w:t xml:space="preserve"> 496</w:t>
            </w:r>
          </w:p>
        </w:tc>
        <w:tc>
          <w:tcPr>
            <w:tcW w:w="2204" w:type="dxa"/>
            <w:tcBorders>
              <w:top w:val="single" w:sz="4" w:space="0" w:color="auto"/>
              <w:left w:val="nil"/>
              <w:bottom w:val="single" w:sz="4" w:space="0" w:color="auto"/>
              <w:right w:val="single" w:sz="4" w:space="0" w:color="auto"/>
            </w:tcBorders>
            <w:shd w:val="clear" w:color="auto" w:fill="C6EFCE"/>
            <w:noWrap/>
          </w:tcPr>
          <w:p w14:paraId="59450038" w14:textId="77777777" w:rsidR="00A345F4" w:rsidRDefault="005E2D4E">
            <w:pPr>
              <w:pStyle w:val="P68B1DB1-Normal14"/>
              <w:spacing w:after="0" w:line="240" w:lineRule="auto"/>
              <w:jc w:val="both"/>
              <w:rPr>
                <w:noProof/>
              </w:rPr>
            </w:pPr>
            <w:r>
              <w:rPr>
                <w:noProof/>
              </w:rPr>
              <w:t>Investissement 13. Équipement de laboratoires informatiques dans les écoles d’enseignement et de formation professionnels (EFP)</w:t>
            </w:r>
          </w:p>
        </w:tc>
        <w:tc>
          <w:tcPr>
            <w:tcW w:w="1351" w:type="dxa"/>
            <w:tcBorders>
              <w:top w:val="single" w:sz="4" w:space="0" w:color="auto"/>
              <w:left w:val="nil"/>
              <w:bottom w:val="single" w:sz="4" w:space="0" w:color="auto"/>
              <w:right w:val="single" w:sz="4" w:space="0" w:color="auto"/>
            </w:tcBorders>
            <w:shd w:val="clear" w:color="auto" w:fill="C6EFCE"/>
            <w:noWrap/>
          </w:tcPr>
          <w:p w14:paraId="47263B69" w14:textId="77777777" w:rsidR="00A345F4" w:rsidRDefault="005E2D4E">
            <w:pPr>
              <w:pStyle w:val="P68B1DB1-Normal14"/>
              <w:spacing w:after="0" w:line="240" w:lineRule="auto"/>
              <w:jc w:val="both"/>
              <w:rPr>
                <w:noProof/>
              </w:rPr>
            </w:pPr>
            <w:r>
              <w:rPr>
                <w:noProof/>
              </w:rPr>
              <w:t>Étape</w:t>
            </w:r>
          </w:p>
        </w:tc>
        <w:tc>
          <w:tcPr>
            <w:tcW w:w="1413" w:type="dxa"/>
            <w:tcBorders>
              <w:top w:val="single" w:sz="4" w:space="0" w:color="auto"/>
              <w:left w:val="nil"/>
              <w:bottom w:val="single" w:sz="4" w:space="0" w:color="auto"/>
              <w:right w:val="single" w:sz="4" w:space="0" w:color="auto"/>
            </w:tcBorders>
            <w:shd w:val="clear" w:color="auto" w:fill="C6EFCE"/>
            <w:noWrap/>
          </w:tcPr>
          <w:p w14:paraId="20C20789" w14:textId="77777777" w:rsidR="00A345F4" w:rsidRDefault="005E2D4E">
            <w:pPr>
              <w:pStyle w:val="P68B1DB1-Normal14"/>
              <w:spacing w:after="0" w:line="240" w:lineRule="auto"/>
              <w:jc w:val="both"/>
              <w:rPr>
                <w:noProof/>
              </w:rPr>
            </w:pPr>
            <w:r>
              <w:rPr>
                <w:noProof/>
              </w:rPr>
              <w:t xml:space="preserve">Écoles d’EFP équipées d’équipements numériques pour les laboratoires informatiques </w:t>
            </w:r>
          </w:p>
        </w:tc>
        <w:tc>
          <w:tcPr>
            <w:tcW w:w="1383" w:type="dxa"/>
            <w:tcBorders>
              <w:top w:val="single" w:sz="4" w:space="0" w:color="auto"/>
              <w:left w:val="nil"/>
              <w:bottom w:val="single" w:sz="4" w:space="0" w:color="auto"/>
              <w:right w:val="single" w:sz="4" w:space="0" w:color="auto"/>
            </w:tcBorders>
            <w:shd w:val="clear" w:color="auto" w:fill="C6EFCE"/>
            <w:noWrap/>
          </w:tcPr>
          <w:p w14:paraId="4EA7C4D2" w14:textId="77777777" w:rsidR="00A345F4" w:rsidRDefault="005E2D4E">
            <w:pPr>
              <w:pStyle w:val="P68B1DB1-Normal14"/>
              <w:spacing w:after="0" w:line="240" w:lineRule="auto"/>
              <w:jc w:val="both"/>
              <w:rPr>
                <w:noProof/>
              </w:rPr>
            </w:pPr>
            <w:r>
              <w:rPr>
                <w:noProof/>
              </w:rPr>
              <w:t>Écoles d’EFP équipées d’équipements numériques pour les laboratoires informatiques</w:t>
            </w:r>
          </w:p>
        </w:tc>
        <w:tc>
          <w:tcPr>
            <w:tcW w:w="968" w:type="dxa"/>
            <w:tcBorders>
              <w:top w:val="single" w:sz="4" w:space="0" w:color="auto"/>
              <w:left w:val="nil"/>
              <w:bottom w:val="single" w:sz="4" w:space="0" w:color="auto"/>
              <w:right w:val="single" w:sz="4" w:space="0" w:color="auto"/>
            </w:tcBorders>
            <w:shd w:val="clear" w:color="auto" w:fill="C6EFCE"/>
            <w:noWrap/>
          </w:tcPr>
          <w:p w14:paraId="15369305" w14:textId="77777777" w:rsidR="00A345F4" w:rsidRDefault="00A345F4">
            <w:pPr>
              <w:spacing w:after="0" w:line="240" w:lineRule="auto"/>
              <w:jc w:val="center"/>
              <w:rPr>
                <w:rFonts w:ascii="Times New Roman" w:hAnsi="Times New Roman" w:cs="Times New Roman"/>
                <w:noProof/>
                <w:sz w:val="20"/>
                <w:szCs w:val="20"/>
              </w:rPr>
            </w:pPr>
          </w:p>
        </w:tc>
        <w:tc>
          <w:tcPr>
            <w:tcW w:w="1272" w:type="dxa"/>
            <w:tcBorders>
              <w:top w:val="single" w:sz="4" w:space="0" w:color="auto"/>
              <w:left w:val="nil"/>
              <w:bottom w:val="single" w:sz="4" w:space="0" w:color="auto"/>
              <w:right w:val="single" w:sz="4" w:space="0" w:color="auto"/>
            </w:tcBorders>
            <w:shd w:val="clear" w:color="auto" w:fill="C6EFCE"/>
            <w:noWrap/>
          </w:tcPr>
          <w:p w14:paraId="69B2DB6A" w14:textId="77777777" w:rsidR="00A345F4" w:rsidRDefault="00A345F4">
            <w:pPr>
              <w:spacing w:after="0" w:line="240" w:lineRule="auto"/>
              <w:jc w:val="center"/>
              <w:rPr>
                <w:rFonts w:ascii="Times New Roman" w:hAnsi="Times New Roman" w:cs="Times New Roman"/>
                <w:noProof/>
                <w:sz w:val="20"/>
                <w:szCs w:val="20"/>
              </w:rPr>
            </w:pPr>
          </w:p>
        </w:tc>
        <w:tc>
          <w:tcPr>
            <w:tcW w:w="909" w:type="dxa"/>
            <w:tcBorders>
              <w:top w:val="single" w:sz="4" w:space="0" w:color="auto"/>
              <w:left w:val="nil"/>
              <w:bottom w:val="single" w:sz="4" w:space="0" w:color="auto"/>
              <w:right w:val="single" w:sz="4" w:space="0" w:color="auto"/>
            </w:tcBorders>
            <w:shd w:val="clear" w:color="auto" w:fill="C6EFCE"/>
            <w:noWrap/>
          </w:tcPr>
          <w:p w14:paraId="0D985EFB" w14:textId="77777777" w:rsidR="00A345F4" w:rsidRDefault="00A345F4">
            <w:pPr>
              <w:spacing w:after="0" w:line="240" w:lineRule="auto"/>
              <w:jc w:val="center"/>
              <w:rPr>
                <w:rFonts w:ascii="Times New Roman" w:hAnsi="Times New Roman" w:cs="Times New Roman"/>
                <w:noProof/>
                <w:sz w:val="20"/>
                <w:szCs w:val="20"/>
              </w:rPr>
            </w:pPr>
          </w:p>
        </w:tc>
        <w:tc>
          <w:tcPr>
            <w:tcW w:w="1124" w:type="dxa"/>
            <w:tcBorders>
              <w:top w:val="single" w:sz="4" w:space="0" w:color="auto"/>
              <w:left w:val="nil"/>
              <w:bottom w:val="single" w:sz="4" w:space="0" w:color="auto"/>
              <w:right w:val="single" w:sz="4" w:space="0" w:color="auto"/>
            </w:tcBorders>
            <w:shd w:val="clear" w:color="auto" w:fill="C6EFCE"/>
            <w:noWrap/>
          </w:tcPr>
          <w:p w14:paraId="2980851F" w14:textId="77777777" w:rsidR="00A345F4" w:rsidRDefault="005E2D4E">
            <w:pPr>
              <w:pStyle w:val="P68B1DB1-Normal14"/>
              <w:spacing w:after="0" w:line="240" w:lineRule="auto"/>
              <w:jc w:val="both"/>
              <w:rPr>
                <w:noProof/>
              </w:rPr>
            </w:pPr>
            <w:r>
              <w:rPr>
                <w:noProof/>
              </w:rPr>
              <w:t>T4</w:t>
            </w:r>
          </w:p>
        </w:tc>
        <w:tc>
          <w:tcPr>
            <w:tcW w:w="1106" w:type="dxa"/>
            <w:tcBorders>
              <w:top w:val="single" w:sz="4" w:space="0" w:color="auto"/>
              <w:left w:val="nil"/>
              <w:bottom w:val="single" w:sz="4" w:space="0" w:color="auto"/>
              <w:right w:val="single" w:sz="4" w:space="0" w:color="auto"/>
            </w:tcBorders>
            <w:shd w:val="clear" w:color="auto" w:fill="C6EFCE"/>
            <w:noWrap/>
          </w:tcPr>
          <w:p w14:paraId="427FCA1B" w14:textId="77777777" w:rsidR="00A345F4" w:rsidRDefault="005E2D4E">
            <w:pPr>
              <w:pStyle w:val="P68B1DB1-Normal14"/>
              <w:spacing w:after="0" w:line="240" w:lineRule="auto"/>
              <w:jc w:val="center"/>
              <w:rPr>
                <w:noProof/>
              </w:rPr>
            </w:pPr>
            <w:r>
              <w:rPr>
                <w:noProof/>
              </w:rPr>
              <w:t>2025</w:t>
            </w:r>
          </w:p>
        </w:tc>
        <w:tc>
          <w:tcPr>
            <w:tcW w:w="3407" w:type="dxa"/>
            <w:tcBorders>
              <w:top w:val="single" w:sz="4" w:space="0" w:color="auto"/>
              <w:left w:val="nil"/>
              <w:bottom w:val="single" w:sz="4" w:space="0" w:color="auto"/>
              <w:right w:val="single" w:sz="4" w:space="0" w:color="auto"/>
            </w:tcBorders>
            <w:shd w:val="clear" w:color="auto" w:fill="C6EFCE"/>
            <w:noWrap/>
          </w:tcPr>
          <w:p w14:paraId="3B795177" w14:textId="77777777" w:rsidR="00A345F4" w:rsidRDefault="005E2D4E">
            <w:pPr>
              <w:pStyle w:val="P68B1DB1-Normal14"/>
              <w:spacing w:after="0" w:line="240" w:lineRule="auto"/>
              <w:jc w:val="both"/>
              <w:rPr>
                <w:noProof/>
              </w:rPr>
            </w:pPr>
            <w:r>
              <w:rPr>
                <w:noProof/>
              </w:rPr>
              <w:t>Certificats d’acceptation prouvant la livraison et la mise en service de l’équipement numérique pour 500 laboratoires informatiques dans les écoles d’EFP.</w:t>
            </w:r>
          </w:p>
        </w:tc>
      </w:tr>
      <w:tr w:rsidR="00A345F4" w14:paraId="7D630838" w14:textId="77777777" w:rsidTr="000D606E">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2D58BE3" w14:textId="77777777" w:rsidR="00A345F4" w:rsidRDefault="005E2D4E">
            <w:pPr>
              <w:pStyle w:val="P68B1DB1-Normal14"/>
              <w:spacing w:after="0" w:line="240" w:lineRule="auto"/>
              <w:jc w:val="center"/>
              <w:rPr>
                <w:noProof/>
              </w:rPr>
            </w:pPr>
            <w:r>
              <w:rPr>
                <w:noProof/>
              </w:rPr>
              <w:t>500</w:t>
            </w:r>
          </w:p>
        </w:tc>
        <w:tc>
          <w:tcPr>
            <w:tcW w:w="2204" w:type="dxa"/>
            <w:tcBorders>
              <w:top w:val="single" w:sz="4" w:space="0" w:color="auto"/>
              <w:left w:val="nil"/>
              <w:bottom w:val="single" w:sz="4" w:space="0" w:color="auto"/>
              <w:right w:val="single" w:sz="4" w:space="0" w:color="auto"/>
            </w:tcBorders>
            <w:shd w:val="clear" w:color="auto" w:fill="C6EFCE"/>
            <w:noWrap/>
          </w:tcPr>
          <w:p w14:paraId="45645C68" w14:textId="77777777" w:rsidR="00A345F4" w:rsidRDefault="005E2D4E">
            <w:pPr>
              <w:pStyle w:val="P68B1DB1-Normal14"/>
              <w:spacing w:after="0" w:line="240" w:lineRule="auto"/>
              <w:jc w:val="both"/>
              <w:rPr>
                <w:noProof/>
              </w:rPr>
            </w:pPr>
            <w:r>
              <w:rPr>
                <w:noProof/>
              </w:rPr>
              <w:t>Investissement 16. Numérisation des universités et préparation aux métiers du numérique de demain</w:t>
            </w:r>
          </w:p>
        </w:tc>
        <w:tc>
          <w:tcPr>
            <w:tcW w:w="1351" w:type="dxa"/>
            <w:tcBorders>
              <w:top w:val="single" w:sz="4" w:space="0" w:color="auto"/>
              <w:left w:val="nil"/>
              <w:bottom w:val="single" w:sz="4" w:space="0" w:color="auto"/>
              <w:right w:val="single" w:sz="4" w:space="0" w:color="auto"/>
            </w:tcBorders>
            <w:shd w:val="clear" w:color="auto" w:fill="C6EFCE"/>
            <w:noWrap/>
          </w:tcPr>
          <w:p w14:paraId="3639CC90" w14:textId="77777777" w:rsidR="00A345F4" w:rsidRDefault="005E2D4E">
            <w:pPr>
              <w:pStyle w:val="P68B1DB1-Normal14"/>
              <w:spacing w:after="0" w:line="240" w:lineRule="auto"/>
              <w:jc w:val="both"/>
              <w:rPr>
                <w:noProof/>
              </w:rPr>
            </w:pPr>
            <w:r>
              <w:rPr>
                <w:noProof/>
              </w:rPr>
              <w:t>Étape</w:t>
            </w:r>
          </w:p>
        </w:tc>
        <w:tc>
          <w:tcPr>
            <w:tcW w:w="1413" w:type="dxa"/>
            <w:tcBorders>
              <w:top w:val="single" w:sz="4" w:space="0" w:color="auto"/>
              <w:left w:val="nil"/>
              <w:bottom w:val="single" w:sz="4" w:space="0" w:color="auto"/>
              <w:right w:val="single" w:sz="4" w:space="0" w:color="auto"/>
            </w:tcBorders>
            <w:shd w:val="clear" w:color="auto" w:fill="C6EFCE"/>
            <w:noWrap/>
          </w:tcPr>
          <w:p w14:paraId="62696E6D" w14:textId="77777777" w:rsidR="00A345F4" w:rsidRDefault="005E2D4E">
            <w:pPr>
              <w:pStyle w:val="P68B1DB1-Normal14"/>
              <w:spacing w:after="0" w:line="240" w:lineRule="auto"/>
              <w:jc w:val="both"/>
              <w:rPr>
                <w:noProof/>
              </w:rPr>
            </w:pPr>
            <w:r>
              <w:rPr>
                <w:noProof/>
              </w:rPr>
              <w:t>Signature de contrats de subventions pour des centres de technologie innovante dans les universités</w:t>
            </w:r>
          </w:p>
        </w:tc>
        <w:tc>
          <w:tcPr>
            <w:tcW w:w="1383" w:type="dxa"/>
            <w:tcBorders>
              <w:top w:val="single" w:sz="4" w:space="0" w:color="auto"/>
              <w:left w:val="nil"/>
              <w:bottom w:val="single" w:sz="4" w:space="0" w:color="auto"/>
              <w:right w:val="single" w:sz="4" w:space="0" w:color="auto"/>
            </w:tcBorders>
            <w:shd w:val="clear" w:color="auto" w:fill="C6EFCE"/>
            <w:noWrap/>
          </w:tcPr>
          <w:p w14:paraId="01BE3BB2" w14:textId="77777777" w:rsidR="00A345F4" w:rsidRDefault="005E2D4E">
            <w:pPr>
              <w:pStyle w:val="P68B1DB1-Normal14"/>
              <w:spacing w:after="0" w:line="240" w:lineRule="auto"/>
              <w:jc w:val="center"/>
              <w:rPr>
                <w:noProof/>
              </w:rPr>
            </w:pPr>
            <w:r>
              <w:rPr>
                <w:noProof/>
              </w:rPr>
              <w:t>Signature des contrats</w:t>
            </w:r>
          </w:p>
        </w:tc>
        <w:tc>
          <w:tcPr>
            <w:tcW w:w="968" w:type="dxa"/>
            <w:tcBorders>
              <w:top w:val="single" w:sz="4" w:space="0" w:color="auto"/>
              <w:left w:val="nil"/>
              <w:bottom w:val="single" w:sz="4" w:space="0" w:color="auto"/>
              <w:right w:val="single" w:sz="4" w:space="0" w:color="auto"/>
            </w:tcBorders>
            <w:shd w:val="clear" w:color="auto" w:fill="C6EFCE"/>
            <w:noWrap/>
          </w:tcPr>
          <w:p w14:paraId="7A04C4F2" w14:textId="77777777" w:rsidR="00A345F4" w:rsidRDefault="00A345F4">
            <w:pPr>
              <w:spacing w:after="0" w:line="240" w:lineRule="auto"/>
              <w:jc w:val="center"/>
              <w:rPr>
                <w:rFonts w:ascii="Times New Roman" w:hAnsi="Times New Roman" w:cs="Times New Roman"/>
                <w:noProof/>
                <w:sz w:val="20"/>
                <w:szCs w:val="20"/>
              </w:rPr>
            </w:pPr>
          </w:p>
        </w:tc>
        <w:tc>
          <w:tcPr>
            <w:tcW w:w="1272" w:type="dxa"/>
            <w:tcBorders>
              <w:top w:val="single" w:sz="4" w:space="0" w:color="auto"/>
              <w:left w:val="nil"/>
              <w:bottom w:val="single" w:sz="4" w:space="0" w:color="auto"/>
              <w:right w:val="single" w:sz="4" w:space="0" w:color="auto"/>
            </w:tcBorders>
            <w:shd w:val="clear" w:color="auto" w:fill="C6EFCE"/>
            <w:noWrap/>
          </w:tcPr>
          <w:p w14:paraId="24047B58" w14:textId="77777777" w:rsidR="00A345F4" w:rsidRDefault="00A345F4">
            <w:pPr>
              <w:spacing w:after="0" w:line="240" w:lineRule="auto"/>
              <w:jc w:val="center"/>
              <w:rPr>
                <w:rFonts w:ascii="Times New Roman" w:hAnsi="Times New Roman" w:cs="Times New Roman"/>
                <w:noProof/>
                <w:sz w:val="20"/>
                <w:szCs w:val="20"/>
              </w:rPr>
            </w:pPr>
          </w:p>
        </w:tc>
        <w:tc>
          <w:tcPr>
            <w:tcW w:w="909" w:type="dxa"/>
            <w:tcBorders>
              <w:top w:val="single" w:sz="4" w:space="0" w:color="auto"/>
              <w:left w:val="nil"/>
              <w:bottom w:val="single" w:sz="4" w:space="0" w:color="auto"/>
              <w:right w:val="single" w:sz="4" w:space="0" w:color="auto"/>
            </w:tcBorders>
            <w:shd w:val="clear" w:color="auto" w:fill="C6EFCE"/>
            <w:noWrap/>
          </w:tcPr>
          <w:p w14:paraId="5AFC9A16" w14:textId="77777777" w:rsidR="00A345F4" w:rsidRDefault="00A345F4">
            <w:pPr>
              <w:spacing w:after="0" w:line="240" w:lineRule="auto"/>
              <w:jc w:val="center"/>
              <w:rPr>
                <w:rFonts w:ascii="Times New Roman" w:hAnsi="Times New Roman" w:cs="Times New Roman"/>
                <w:noProof/>
                <w:sz w:val="20"/>
                <w:szCs w:val="20"/>
              </w:rPr>
            </w:pPr>
          </w:p>
        </w:tc>
        <w:tc>
          <w:tcPr>
            <w:tcW w:w="1124" w:type="dxa"/>
            <w:tcBorders>
              <w:top w:val="single" w:sz="4" w:space="0" w:color="auto"/>
              <w:left w:val="nil"/>
              <w:bottom w:val="single" w:sz="4" w:space="0" w:color="auto"/>
              <w:right w:val="single" w:sz="4" w:space="0" w:color="auto"/>
            </w:tcBorders>
            <w:shd w:val="clear" w:color="auto" w:fill="C6EFCE"/>
            <w:noWrap/>
          </w:tcPr>
          <w:p w14:paraId="27B023E5" w14:textId="77777777" w:rsidR="00A345F4" w:rsidRDefault="005E2D4E">
            <w:pPr>
              <w:pStyle w:val="P68B1DB1-Normal14"/>
              <w:spacing w:after="0" w:line="240" w:lineRule="auto"/>
              <w:jc w:val="center"/>
              <w:rPr>
                <w:noProof/>
              </w:rPr>
            </w:pPr>
            <w:r>
              <w:rPr>
                <w:noProof/>
              </w:rPr>
              <w:t>T2</w:t>
            </w:r>
          </w:p>
        </w:tc>
        <w:tc>
          <w:tcPr>
            <w:tcW w:w="1106" w:type="dxa"/>
            <w:tcBorders>
              <w:top w:val="single" w:sz="4" w:space="0" w:color="auto"/>
              <w:left w:val="nil"/>
              <w:bottom w:val="single" w:sz="4" w:space="0" w:color="auto"/>
              <w:right w:val="single" w:sz="4" w:space="0" w:color="auto"/>
            </w:tcBorders>
            <w:shd w:val="clear" w:color="auto" w:fill="C6EFCE"/>
            <w:noWrap/>
          </w:tcPr>
          <w:p w14:paraId="2B5DE33B" w14:textId="77777777" w:rsidR="00A345F4" w:rsidRDefault="005E2D4E">
            <w:pPr>
              <w:pStyle w:val="P68B1DB1-Normal14"/>
              <w:spacing w:after="0" w:line="240" w:lineRule="auto"/>
              <w:jc w:val="center"/>
              <w:rPr>
                <w:noProof/>
              </w:rPr>
            </w:pPr>
            <w:r>
              <w:rPr>
                <w:noProof/>
              </w:rPr>
              <w:t>2022</w:t>
            </w:r>
          </w:p>
        </w:tc>
        <w:tc>
          <w:tcPr>
            <w:tcW w:w="3407" w:type="dxa"/>
            <w:tcBorders>
              <w:top w:val="single" w:sz="4" w:space="0" w:color="auto"/>
              <w:left w:val="nil"/>
              <w:bottom w:val="single" w:sz="4" w:space="0" w:color="auto"/>
              <w:right w:val="single" w:sz="4" w:space="0" w:color="auto"/>
            </w:tcBorders>
            <w:shd w:val="clear" w:color="auto" w:fill="C6EFCE"/>
            <w:noWrap/>
          </w:tcPr>
          <w:p w14:paraId="4BE31C82" w14:textId="77777777" w:rsidR="00A345F4" w:rsidRDefault="005E2D4E">
            <w:pPr>
              <w:pStyle w:val="P68B1DB1-Normal14"/>
              <w:spacing w:after="0" w:line="240" w:lineRule="auto"/>
              <w:jc w:val="both"/>
              <w:rPr>
                <w:noProof/>
              </w:rPr>
            </w:pPr>
            <w:r>
              <w:rPr>
                <w:noProof/>
              </w:rPr>
              <w:t>Signature de contrats de subventions à 60 universités pour financer des mesures intégrées visant à améliorer les infrastructures numériques et à développer les compétences des étudiants et du personnel enseignant des universités:</w:t>
            </w:r>
          </w:p>
          <w:p w14:paraId="62C98B67" w14:textId="77777777" w:rsidR="00A345F4" w:rsidRDefault="005E2D4E">
            <w:pPr>
              <w:pStyle w:val="P68B1DB1-Normal14"/>
              <w:numPr>
                <w:ilvl w:val="0"/>
                <w:numId w:val="77"/>
              </w:numPr>
              <w:spacing w:before="120" w:after="0" w:line="240" w:lineRule="auto"/>
              <w:ind w:left="262" w:hanging="218"/>
              <w:contextualSpacing/>
              <w:jc w:val="both"/>
              <w:rPr>
                <w:noProof/>
              </w:rPr>
            </w:pPr>
            <w:r>
              <w:rPr>
                <w:noProof/>
              </w:rPr>
              <w:t xml:space="preserve">la mise en service des centres numériques universitaires, </w:t>
            </w:r>
          </w:p>
          <w:p w14:paraId="68F5E900" w14:textId="77777777" w:rsidR="00A345F4" w:rsidRDefault="005E2D4E">
            <w:pPr>
              <w:pStyle w:val="P68B1DB1-Normal14"/>
              <w:numPr>
                <w:ilvl w:val="0"/>
                <w:numId w:val="77"/>
              </w:numPr>
              <w:spacing w:before="120" w:after="0" w:line="240" w:lineRule="auto"/>
              <w:ind w:left="262" w:hanging="218"/>
              <w:contextualSpacing/>
              <w:jc w:val="both"/>
              <w:rPr>
                <w:noProof/>
              </w:rPr>
            </w:pPr>
            <w:r>
              <w:rPr>
                <w:noProof/>
              </w:rPr>
              <w:t xml:space="preserve">les programmes de formation aux compétences numériques, </w:t>
            </w:r>
          </w:p>
          <w:p w14:paraId="3CF88522" w14:textId="77777777" w:rsidR="00A345F4" w:rsidRDefault="005E2D4E">
            <w:pPr>
              <w:pStyle w:val="P68B1DB1-Normal14"/>
              <w:numPr>
                <w:ilvl w:val="0"/>
                <w:numId w:val="77"/>
              </w:numPr>
              <w:spacing w:before="120" w:after="0" w:line="240" w:lineRule="auto"/>
              <w:ind w:left="262" w:hanging="218"/>
              <w:contextualSpacing/>
              <w:jc w:val="both"/>
              <w:rPr>
                <w:noProof/>
              </w:rPr>
            </w:pPr>
            <w:r>
              <w:rPr>
                <w:noProof/>
              </w:rPr>
              <w:t xml:space="preserve">le développement des compétences entrepreneuriales des étudiants pour le secteur numérique, </w:t>
            </w:r>
          </w:p>
          <w:p w14:paraId="251844EA" w14:textId="77777777" w:rsidR="00A345F4" w:rsidRDefault="005E2D4E">
            <w:pPr>
              <w:pStyle w:val="P68B1DB1-Normal14"/>
              <w:numPr>
                <w:ilvl w:val="0"/>
                <w:numId w:val="77"/>
              </w:numPr>
              <w:spacing w:before="120" w:after="0" w:line="240" w:lineRule="auto"/>
              <w:ind w:left="262" w:hanging="218"/>
              <w:contextualSpacing/>
              <w:jc w:val="both"/>
              <w:rPr>
                <w:noProof/>
              </w:rPr>
            </w:pPr>
            <w:r>
              <w:rPr>
                <w:noProof/>
              </w:rPr>
              <w:t xml:space="preserve">des programmes d'orientation professionnelle pour les étudiants en vue de choisir des professions émergentes dans le domaine des TIC, </w:t>
            </w:r>
          </w:p>
          <w:p w14:paraId="2F189D80" w14:textId="77777777" w:rsidR="00A345F4" w:rsidRDefault="005E2D4E">
            <w:pPr>
              <w:pStyle w:val="P68B1DB1-Normal14"/>
              <w:numPr>
                <w:ilvl w:val="0"/>
                <w:numId w:val="77"/>
              </w:numPr>
              <w:spacing w:before="120" w:after="0" w:line="240" w:lineRule="auto"/>
              <w:ind w:left="262" w:hanging="218"/>
              <w:contextualSpacing/>
              <w:jc w:val="both"/>
              <w:rPr>
                <w:noProof/>
              </w:rPr>
            </w:pPr>
            <w:r>
              <w:rPr>
                <w:noProof/>
              </w:rPr>
              <w:t>des programmes de formation pour de nouvelles compétences d’enseignement/d’évaluation dans un système hybride,</w:t>
            </w:r>
          </w:p>
          <w:p w14:paraId="5E5EFED5" w14:textId="77777777" w:rsidR="00A345F4" w:rsidRDefault="005E2D4E">
            <w:pPr>
              <w:pStyle w:val="P68B1DB1-Normal14"/>
              <w:spacing w:after="0" w:line="240" w:lineRule="auto"/>
              <w:jc w:val="both"/>
              <w:rPr>
                <w:noProof/>
              </w:rPr>
            </w:pPr>
            <w:r>
              <w:rPr>
                <w:noProof/>
              </w:rPr>
              <w:t xml:space="preserve">développement avancé des compétences numériques pour 1 000 étudiants de premier cycle et de master. </w:t>
            </w:r>
          </w:p>
        </w:tc>
      </w:tr>
      <w:tr w:rsidR="00A345F4" w14:paraId="2BE2D6BC" w14:textId="77777777" w:rsidTr="000D606E">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B3F3A30" w14:textId="77777777" w:rsidR="00A345F4" w:rsidRDefault="005E2D4E">
            <w:pPr>
              <w:pStyle w:val="P68B1DB1-Normal14"/>
              <w:spacing w:after="0" w:line="240" w:lineRule="auto"/>
              <w:jc w:val="center"/>
              <w:rPr>
                <w:noProof/>
              </w:rPr>
            </w:pPr>
            <w:r>
              <w:rPr>
                <w:noProof/>
              </w:rPr>
              <w:t>503</w:t>
            </w:r>
          </w:p>
        </w:tc>
        <w:tc>
          <w:tcPr>
            <w:tcW w:w="2204" w:type="dxa"/>
            <w:tcBorders>
              <w:top w:val="single" w:sz="4" w:space="0" w:color="auto"/>
              <w:left w:val="nil"/>
              <w:bottom w:val="single" w:sz="4" w:space="0" w:color="auto"/>
              <w:right w:val="single" w:sz="4" w:space="0" w:color="auto"/>
            </w:tcBorders>
            <w:shd w:val="clear" w:color="auto" w:fill="C6EFCE"/>
            <w:noWrap/>
          </w:tcPr>
          <w:p w14:paraId="23A8285E" w14:textId="77777777" w:rsidR="00A345F4" w:rsidRDefault="005E2D4E">
            <w:pPr>
              <w:pStyle w:val="P68B1DB1-Normal14"/>
              <w:spacing w:after="0" w:line="240" w:lineRule="auto"/>
              <w:jc w:val="both"/>
              <w:rPr>
                <w:noProof/>
              </w:rPr>
            </w:pPr>
            <w:r>
              <w:rPr>
                <w:noProof/>
              </w:rPr>
              <w:t>Investissement 17. Assurer l'infrastructure universitaire (hébergement, cantines, installations récréatives)</w:t>
            </w:r>
          </w:p>
        </w:tc>
        <w:tc>
          <w:tcPr>
            <w:tcW w:w="1351" w:type="dxa"/>
            <w:tcBorders>
              <w:top w:val="single" w:sz="4" w:space="0" w:color="auto"/>
              <w:left w:val="nil"/>
              <w:bottom w:val="single" w:sz="4" w:space="0" w:color="auto"/>
              <w:right w:val="single" w:sz="4" w:space="0" w:color="auto"/>
            </w:tcBorders>
            <w:shd w:val="clear" w:color="auto" w:fill="C6EFCE"/>
            <w:noWrap/>
          </w:tcPr>
          <w:p w14:paraId="05216B54" w14:textId="77777777" w:rsidR="00A345F4" w:rsidRDefault="005E2D4E">
            <w:pPr>
              <w:pStyle w:val="P68B1DB1-Normal14"/>
              <w:spacing w:after="0" w:line="240" w:lineRule="auto"/>
              <w:jc w:val="both"/>
              <w:rPr>
                <w:noProof/>
              </w:rPr>
            </w:pPr>
            <w:r>
              <w:rPr>
                <w:noProof/>
              </w:rPr>
              <w:t>Étape</w:t>
            </w:r>
          </w:p>
        </w:tc>
        <w:tc>
          <w:tcPr>
            <w:tcW w:w="1413" w:type="dxa"/>
            <w:tcBorders>
              <w:top w:val="single" w:sz="4" w:space="0" w:color="auto"/>
              <w:left w:val="nil"/>
              <w:bottom w:val="single" w:sz="4" w:space="0" w:color="auto"/>
              <w:right w:val="single" w:sz="4" w:space="0" w:color="auto"/>
            </w:tcBorders>
            <w:shd w:val="clear" w:color="auto" w:fill="C6EFCE"/>
            <w:noWrap/>
          </w:tcPr>
          <w:p w14:paraId="6E1F2C70" w14:textId="77777777" w:rsidR="00A345F4" w:rsidRDefault="005E2D4E">
            <w:pPr>
              <w:pStyle w:val="P68B1DB1-Normal14"/>
              <w:spacing w:after="0" w:line="240" w:lineRule="auto"/>
              <w:jc w:val="both"/>
              <w:rPr>
                <w:noProof/>
              </w:rPr>
            </w:pPr>
            <w:r>
              <w:rPr>
                <w:noProof/>
              </w:rPr>
              <w:t xml:space="preserve">Construction et modernisation de lieux de loisirs et de lecture, de cantines et de lieux d'hébergement </w:t>
            </w:r>
          </w:p>
        </w:tc>
        <w:tc>
          <w:tcPr>
            <w:tcW w:w="1383" w:type="dxa"/>
            <w:tcBorders>
              <w:top w:val="single" w:sz="4" w:space="0" w:color="auto"/>
              <w:left w:val="nil"/>
              <w:bottom w:val="single" w:sz="4" w:space="0" w:color="auto"/>
              <w:right w:val="single" w:sz="4" w:space="0" w:color="auto"/>
            </w:tcBorders>
            <w:shd w:val="clear" w:color="auto" w:fill="C6EFCE"/>
            <w:noWrap/>
          </w:tcPr>
          <w:p w14:paraId="3CF8A3FF" w14:textId="77777777" w:rsidR="00A345F4" w:rsidRDefault="005E2D4E">
            <w:pPr>
              <w:pStyle w:val="P68B1DB1-Normal14"/>
              <w:spacing w:after="0" w:line="240" w:lineRule="auto"/>
              <w:rPr>
                <w:noProof/>
              </w:rPr>
            </w:pPr>
            <w:r>
              <w:rPr>
                <w:noProof/>
              </w:rPr>
              <w:t xml:space="preserve">Construction et modernisation de lieux de loisirs et de lecture, de cantines et de lieux d'hébergement </w:t>
            </w:r>
          </w:p>
        </w:tc>
        <w:tc>
          <w:tcPr>
            <w:tcW w:w="968" w:type="dxa"/>
            <w:tcBorders>
              <w:top w:val="single" w:sz="4" w:space="0" w:color="auto"/>
              <w:left w:val="nil"/>
              <w:bottom w:val="single" w:sz="4" w:space="0" w:color="auto"/>
              <w:right w:val="single" w:sz="4" w:space="0" w:color="auto"/>
            </w:tcBorders>
            <w:shd w:val="clear" w:color="auto" w:fill="C6EFCE"/>
            <w:noWrap/>
          </w:tcPr>
          <w:p w14:paraId="29B84947" w14:textId="77777777" w:rsidR="00A345F4" w:rsidRDefault="00A345F4">
            <w:pPr>
              <w:spacing w:after="0" w:line="240" w:lineRule="auto"/>
              <w:jc w:val="center"/>
              <w:rPr>
                <w:rFonts w:ascii="Times New Roman" w:hAnsi="Times New Roman" w:cs="Times New Roman"/>
                <w:noProof/>
                <w:sz w:val="20"/>
                <w:szCs w:val="20"/>
              </w:rPr>
            </w:pPr>
          </w:p>
        </w:tc>
        <w:tc>
          <w:tcPr>
            <w:tcW w:w="1272" w:type="dxa"/>
            <w:tcBorders>
              <w:top w:val="single" w:sz="4" w:space="0" w:color="auto"/>
              <w:left w:val="nil"/>
              <w:bottom w:val="single" w:sz="4" w:space="0" w:color="auto"/>
              <w:right w:val="single" w:sz="4" w:space="0" w:color="auto"/>
            </w:tcBorders>
            <w:shd w:val="clear" w:color="auto" w:fill="C6EFCE"/>
            <w:noWrap/>
          </w:tcPr>
          <w:p w14:paraId="1DDFE1E4" w14:textId="77777777" w:rsidR="00A345F4" w:rsidRDefault="00A345F4">
            <w:pPr>
              <w:spacing w:after="0" w:line="240" w:lineRule="auto"/>
              <w:jc w:val="center"/>
              <w:rPr>
                <w:rFonts w:ascii="Times New Roman" w:hAnsi="Times New Roman" w:cs="Times New Roman"/>
                <w:noProof/>
                <w:sz w:val="20"/>
                <w:szCs w:val="20"/>
              </w:rPr>
            </w:pPr>
          </w:p>
        </w:tc>
        <w:tc>
          <w:tcPr>
            <w:tcW w:w="909" w:type="dxa"/>
            <w:tcBorders>
              <w:top w:val="single" w:sz="4" w:space="0" w:color="auto"/>
              <w:left w:val="nil"/>
              <w:bottom w:val="single" w:sz="4" w:space="0" w:color="auto"/>
              <w:right w:val="single" w:sz="4" w:space="0" w:color="auto"/>
            </w:tcBorders>
            <w:shd w:val="clear" w:color="auto" w:fill="C6EFCE"/>
            <w:noWrap/>
          </w:tcPr>
          <w:p w14:paraId="30E9AB0A" w14:textId="77777777" w:rsidR="00A345F4" w:rsidRDefault="00A345F4">
            <w:pPr>
              <w:spacing w:after="0" w:line="240" w:lineRule="auto"/>
              <w:jc w:val="center"/>
              <w:rPr>
                <w:rFonts w:ascii="Times New Roman" w:hAnsi="Times New Roman" w:cs="Times New Roman"/>
                <w:noProof/>
                <w:sz w:val="20"/>
                <w:szCs w:val="20"/>
              </w:rPr>
            </w:pPr>
          </w:p>
        </w:tc>
        <w:tc>
          <w:tcPr>
            <w:tcW w:w="1124" w:type="dxa"/>
            <w:tcBorders>
              <w:top w:val="single" w:sz="4" w:space="0" w:color="auto"/>
              <w:left w:val="nil"/>
              <w:bottom w:val="single" w:sz="4" w:space="0" w:color="auto"/>
              <w:right w:val="single" w:sz="4" w:space="0" w:color="auto"/>
            </w:tcBorders>
            <w:shd w:val="clear" w:color="auto" w:fill="C6EFCE"/>
            <w:noWrap/>
          </w:tcPr>
          <w:p w14:paraId="0F5375DA" w14:textId="77777777" w:rsidR="00A345F4" w:rsidRDefault="005E2D4E">
            <w:pPr>
              <w:pStyle w:val="P68B1DB1-Normal14"/>
              <w:spacing w:after="0" w:line="240" w:lineRule="auto"/>
              <w:jc w:val="center"/>
              <w:rPr>
                <w:noProof/>
              </w:rPr>
            </w:pPr>
            <w:r>
              <w:rPr>
                <w:noProof/>
              </w:rPr>
              <w:t>T3</w:t>
            </w:r>
          </w:p>
        </w:tc>
        <w:tc>
          <w:tcPr>
            <w:tcW w:w="1106" w:type="dxa"/>
            <w:tcBorders>
              <w:top w:val="single" w:sz="4" w:space="0" w:color="auto"/>
              <w:left w:val="nil"/>
              <w:bottom w:val="single" w:sz="4" w:space="0" w:color="auto"/>
              <w:right w:val="single" w:sz="4" w:space="0" w:color="auto"/>
            </w:tcBorders>
            <w:shd w:val="clear" w:color="auto" w:fill="C6EFCE"/>
            <w:noWrap/>
          </w:tcPr>
          <w:p w14:paraId="0FDCF029" w14:textId="77777777" w:rsidR="00A345F4" w:rsidRDefault="005E2D4E">
            <w:pPr>
              <w:pStyle w:val="P68B1DB1-Normal14"/>
              <w:spacing w:after="0" w:line="240" w:lineRule="auto"/>
              <w:jc w:val="center"/>
              <w:rPr>
                <w:noProof/>
              </w:rPr>
            </w:pPr>
            <w:r>
              <w:rPr>
                <w:noProof/>
              </w:rPr>
              <w:t>2026</w:t>
            </w:r>
          </w:p>
        </w:tc>
        <w:tc>
          <w:tcPr>
            <w:tcW w:w="3407" w:type="dxa"/>
            <w:tcBorders>
              <w:top w:val="single" w:sz="4" w:space="0" w:color="auto"/>
              <w:left w:val="nil"/>
              <w:bottom w:val="single" w:sz="4" w:space="0" w:color="auto"/>
              <w:right w:val="single" w:sz="4" w:space="0" w:color="auto"/>
            </w:tcBorders>
            <w:shd w:val="clear" w:color="auto" w:fill="C6EFCE"/>
            <w:noWrap/>
          </w:tcPr>
          <w:p w14:paraId="29F5FEB5" w14:textId="7F041441" w:rsidR="00A345F4" w:rsidRDefault="005E2D4E">
            <w:pPr>
              <w:pStyle w:val="P68B1DB1-Normal14"/>
              <w:spacing w:after="0" w:line="240" w:lineRule="auto"/>
              <w:jc w:val="both"/>
              <w:rPr>
                <w:noProof/>
              </w:rPr>
            </w:pPr>
            <w:r>
              <w:rPr>
                <w:noProof/>
              </w:rPr>
              <w:t xml:space="preserve">Construction de 3 687 lieux de loisirs et de lecture, 852 cantines et 1 853 places d ' hébergement; et la modernisation de 2 813 lieux de loisirs et de lecture, de 1 983 cantines et de 11 440 places d’hébergement sur les campus universitaires, attestée par des certificats d’achèvement de travaux. </w:t>
            </w:r>
          </w:p>
          <w:p w14:paraId="5D3926DD" w14:textId="77777777" w:rsidR="00A345F4" w:rsidRDefault="005E2D4E">
            <w:pPr>
              <w:pStyle w:val="P68B1DB1-Normal14"/>
              <w:spacing w:after="0" w:line="240" w:lineRule="auto"/>
              <w:jc w:val="both"/>
              <w:rPr>
                <w:noProof/>
              </w:rPr>
            </w:pPr>
            <w:r>
              <w:rPr>
                <w:noProof/>
              </w:rPr>
              <w:t xml:space="preserve">Les infrastructures rénovées génèrent une augmentation de 30 % des économies d’énergie primaire par rapport à l’état antérieur à la rénovation, qui doit être démontrée au moyen de certificats de performance énergétique ex ante et ex post. </w:t>
            </w:r>
          </w:p>
          <w:p w14:paraId="7494E691" w14:textId="77777777" w:rsidR="00A345F4" w:rsidRDefault="005E2D4E">
            <w:pPr>
              <w:pStyle w:val="P68B1DB1-Normal14"/>
              <w:spacing w:after="0" w:line="240" w:lineRule="auto"/>
              <w:jc w:val="both"/>
              <w:rPr>
                <w:noProof/>
              </w:rPr>
            </w:pPr>
            <w:r>
              <w:rPr>
                <w:noProof/>
              </w:rPr>
              <w:t>Les infrastructures nouvellement construites respectent l’objectif d’atteindre une demande d’énergie primaire (DEP) inférieure d’au moins 20 % à l’exigence relative aux bâtiments à consommation d’énergie quasi nulle conformément aux lignes directrices nationales, qui doit être démontrée au moyen de certificats de performance énergétique.</w:t>
            </w:r>
          </w:p>
          <w:p w14:paraId="0F5E334D" w14:textId="502D24F5" w:rsidR="00A345F4" w:rsidRDefault="005E2D4E">
            <w:pPr>
              <w:pStyle w:val="P68B1DB1-Normal14"/>
              <w:spacing w:after="0" w:line="240" w:lineRule="auto"/>
              <w:jc w:val="both"/>
              <w:rPr>
                <w:noProof/>
              </w:rPr>
            </w:pPr>
            <w:r>
              <w:rPr>
                <w:noProof/>
              </w:rPr>
              <w:t>Au moins 40 % du nombre total de 13 293 espaces de loisirs et de lecture, cantines et lieux d’hébergement sont destinés à des étudiants issus de milieux défavorisés.</w:t>
            </w:r>
          </w:p>
        </w:tc>
      </w:tr>
    </w:tbl>
    <w:p w14:paraId="3854A1E5" w14:textId="77777777" w:rsidR="00A345F4" w:rsidRDefault="00A345F4">
      <w:pPr>
        <w:rPr>
          <w:rFonts w:ascii="Times New Roman" w:hAnsi="Times New Roman" w:cs="Times New Roman"/>
          <w:noProof/>
        </w:rPr>
      </w:pPr>
    </w:p>
    <w:p w14:paraId="21D39F7E" w14:textId="77777777" w:rsidR="00A345F4" w:rsidRDefault="00A345F4">
      <w:pPr>
        <w:tabs>
          <w:tab w:val="left" w:pos="1945"/>
        </w:tabs>
        <w:rPr>
          <w:rFonts w:ascii="Times New Roman" w:hAnsi="Times New Roman" w:cs="Times New Roman"/>
          <w:noProof/>
        </w:rPr>
        <w:sectPr w:rsidR="00A345F4" w:rsidSect="00B803E9">
          <w:headerReference w:type="even" r:id="rId353"/>
          <w:headerReference w:type="default" r:id="rId354"/>
          <w:footerReference w:type="even" r:id="rId355"/>
          <w:footerReference w:type="default" r:id="rId356"/>
          <w:headerReference w:type="first" r:id="rId357"/>
          <w:footerReference w:type="first" r:id="rId358"/>
          <w:pgSz w:w="16839" w:h="11907" w:orient="landscape"/>
          <w:pgMar w:top="1134" w:right="1134" w:bottom="1134" w:left="1134" w:header="567" w:footer="567" w:gutter="0"/>
          <w:cols w:space="720"/>
          <w:docGrid w:linePitch="360"/>
        </w:sectPr>
      </w:pPr>
    </w:p>
    <w:p w14:paraId="16943B9E" w14:textId="77777777" w:rsidR="00A345F4" w:rsidRDefault="005E2D4E">
      <w:pPr>
        <w:pStyle w:val="P68B1DB1-Normal30"/>
        <w:keepNext/>
        <w:numPr>
          <w:ilvl w:val="0"/>
          <w:numId w:val="107"/>
        </w:numPr>
        <w:tabs>
          <w:tab w:val="left" w:pos="850"/>
        </w:tabs>
        <w:spacing w:before="360" w:after="120" w:line="240" w:lineRule="auto"/>
        <w:jc w:val="both"/>
        <w:outlineLvl w:val="0"/>
        <w:rPr>
          <w:bCs/>
          <w:noProof/>
        </w:rPr>
      </w:pPr>
      <w:r>
        <w:rPr>
          <w:noProof/>
        </w:rPr>
        <w:t>ÉLÉMENT 16: REPowerEU</w:t>
      </w:r>
    </w:p>
    <w:p w14:paraId="4FBFDEC9" w14:textId="77777777" w:rsidR="00A345F4" w:rsidRDefault="005E2D4E">
      <w:pPr>
        <w:pStyle w:val="P68B1DB1-Normal32"/>
        <w:tabs>
          <w:tab w:val="left" w:pos="312"/>
        </w:tabs>
        <w:spacing w:before="120" w:after="120" w:line="240" w:lineRule="auto"/>
        <w:jc w:val="both"/>
        <w:rPr>
          <w:rFonts w:eastAsia="Times New Roman"/>
          <w:noProof/>
        </w:rPr>
      </w:pPr>
      <w:r>
        <w:rPr>
          <w:noProof/>
        </w:rPr>
        <w:t xml:space="preserve">L’objectif du chapitre REPowerEU est de contribuer à réduire la dépendance à l’égard des combustibles fossiles en Roumanie, en soutenant le déploiement des sources d’énergie renouvelables et les rénovations en matière d’efficacité énergétique, en ciblant en particulier les consommateurs les plus vulnérables et en augmentant la capacité du réseau de transport d’électricité à intégrer les sources d’énergie renouvelables. </w:t>
      </w:r>
    </w:p>
    <w:p w14:paraId="0ED29C50" w14:textId="77777777" w:rsidR="00A345F4" w:rsidRDefault="005E2D4E">
      <w:pPr>
        <w:pStyle w:val="P68B1DB1-Normal32"/>
        <w:spacing w:before="120" w:after="120" w:line="240" w:lineRule="auto"/>
        <w:jc w:val="both"/>
        <w:rPr>
          <w:rFonts w:eastAsia="Times New Roman"/>
          <w:noProof/>
        </w:rPr>
      </w:pPr>
      <w:r>
        <w:rPr>
          <w:noProof/>
        </w:rPr>
        <w:t>Ce volet répond aux recommandations par pays visant à réduire la dépendance globale à l’égard des combustibles fossiles adressées à la Roumanie en 2022 et 2023. Il contribue notamment à accélérer la transition vers une énergie propre, notamment en déployant plus rapidement les énergies renouvelables et en améliorant la capacité du réseau pour permettre à la nouvelle capacité construite de fonctionner sur le marché. Elle contribue également à accroître le rythme et l’ambition des rénovations énergétiques afin d’améliorer l’efficacité énergétique du parc immobilier, notamment en offrant un meilleur accès à l’information et des options de financement durable. Enfin, il contribue à la fourniture et à l’acquisition des aptitudes et des compétences nécessaires à la transition écologique (recommandations par pays 3 2022 et 3 2023).</w:t>
      </w:r>
    </w:p>
    <w:p w14:paraId="40C373FE" w14:textId="77777777" w:rsidR="00A345F4" w:rsidRDefault="005E2D4E">
      <w:pPr>
        <w:pStyle w:val="P68B1DB1-Normal32"/>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[C(2023) 6454 final].</w:t>
      </w:r>
    </w:p>
    <w:p w14:paraId="2545A354" w14:textId="77777777" w:rsidR="00A345F4" w:rsidRDefault="00A345F4">
      <w:pPr>
        <w:spacing w:before="120" w:after="120" w:line="240" w:lineRule="auto"/>
        <w:jc w:val="both"/>
        <w:rPr>
          <w:rFonts w:ascii="Times New Roman" w:eastAsia="Times New Roman" w:hAnsi="Times New Roman" w:cs="Times New Roman"/>
          <w:noProof/>
          <w:kern w:val="2"/>
          <w14:ligatures w14:val="standardContextual"/>
        </w:rPr>
      </w:pPr>
    </w:p>
    <w:p w14:paraId="7B978F00" w14:textId="77777777" w:rsidR="00A345F4" w:rsidRDefault="005E2D4E">
      <w:pPr>
        <w:pStyle w:val="P68B1DB1-Normal32"/>
        <w:keepNext/>
        <w:spacing w:before="120" w:after="120" w:line="240" w:lineRule="auto"/>
        <w:jc w:val="both"/>
        <w:outlineLvl w:val="1"/>
        <w:rPr>
          <w:rFonts w:eastAsia="Yu Gothic Light"/>
          <w:b/>
          <w:bCs/>
          <w:noProof/>
        </w:rPr>
      </w:pPr>
      <w:r>
        <w:rPr>
          <w:b/>
          <w:noProof/>
          <w:szCs w:val="22"/>
        </w:rPr>
        <w:t>P.1.</w:t>
      </w:r>
      <w:r>
        <w:rPr>
          <w:noProof/>
        </w:rPr>
        <w:tab/>
      </w:r>
      <w:r>
        <w:rPr>
          <w:b/>
          <w:noProof/>
          <w:szCs w:val="22"/>
        </w:rPr>
        <w:t>Description des réformes et des investissements pour le soutien financier non remboursable</w:t>
      </w:r>
    </w:p>
    <w:p w14:paraId="0055E9C4" w14:textId="77777777" w:rsidR="00A345F4" w:rsidRDefault="00A345F4">
      <w:pPr>
        <w:spacing w:before="120" w:after="120" w:line="240" w:lineRule="auto"/>
        <w:jc w:val="both"/>
        <w:rPr>
          <w:rFonts w:ascii="Times New Roman" w:eastAsia="Aptos" w:hAnsi="Times New Roman" w:cs="Times New Roman"/>
          <w:noProof/>
          <w:kern w:val="2"/>
          <w:u w:val="single"/>
          <w14:ligatures w14:val="standardContextual"/>
        </w:rPr>
      </w:pPr>
    </w:p>
    <w:p w14:paraId="7AF5B3EE" w14:textId="77777777" w:rsidR="00A345F4" w:rsidRDefault="005E2D4E">
      <w:pPr>
        <w:pStyle w:val="P68B1DB1-Normal64"/>
        <w:spacing w:before="120" w:after="120" w:line="240" w:lineRule="auto"/>
        <w:jc w:val="both"/>
        <w:rPr>
          <w:rFonts w:eastAsia="Times New Roman"/>
          <w:noProof/>
        </w:rPr>
      </w:pPr>
      <w:r>
        <w:rPr>
          <w:noProof/>
        </w:rPr>
        <w:t xml:space="preserve">Réforme 1: Créer un cadre juridique pour l'utilisation des terres domaniales en tant que zones d'accélération des investissements dans les énergies renouvelables </w:t>
      </w:r>
    </w:p>
    <w:p w14:paraId="3F04A65A" w14:textId="77777777" w:rsidR="00A345F4" w:rsidRDefault="005E2D4E">
      <w:pPr>
        <w:pStyle w:val="P68B1DB1-Normal32"/>
        <w:spacing w:before="120" w:after="120" w:line="240" w:lineRule="auto"/>
        <w:jc w:val="both"/>
        <w:rPr>
          <w:noProof/>
        </w:rPr>
      </w:pPr>
      <w:r>
        <w:rPr>
          <w:noProof/>
        </w:rPr>
        <w:t xml:space="preserve">L’objectif de cette réforme est de mettre en place des actes juridiques et un cadre réglementaire spécifiques pour les domaines d’accélération des énergies renouvelables, avec des procédures d’autorisation courtes et simples. </w:t>
      </w:r>
    </w:p>
    <w:p w14:paraId="306E9A58" w14:textId="77777777" w:rsidR="00A345F4" w:rsidRDefault="005E2D4E">
      <w:pPr>
        <w:pStyle w:val="P68B1DB1-Normal32"/>
        <w:spacing w:before="120" w:after="120" w:line="240" w:lineRule="auto"/>
        <w:jc w:val="both"/>
        <w:rPr>
          <w:noProof/>
        </w:rPr>
      </w:pPr>
      <w:r>
        <w:rPr>
          <w:noProof/>
        </w:rPr>
        <w:t>La réforme consiste également en la mise en place d'un registre national unique pour les terres appartenant à l'État.</w:t>
      </w:r>
    </w:p>
    <w:p w14:paraId="1E23FF08" w14:textId="77777777" w:rsidR="00A345F4" w:rsidRDefault="00A345F4">
      <w:pPr>
        <w:spacing w:before="120" w:after="120" w:line="240" w:lineRule="auto"/>
        <w:jc w:val="both"/>
        <w:rPr>
          <w:rFonts w:ascii="Times New Roman" w:eastAsia="Aptos" w:hAnsi="Times New Roman" w:cs="Times New Roman"/>
          <w:noProof/>
          <w:kern w:val="2"/>
          <w:u w:val="single"/>
          <w14:ligatures w14:val="standardContextual"/>
        </w:rPr>
      </w:pPr>
    </w:p>
    <w:p w14:paraId="65FBA04F" w14:textId="77777777" w:rsidR="00A345F4" w:rsidRDefault="005E2D4E">
      <w:pPr>
        <w:pStyle w:val="P68B1DB1-Normal64"/>
        <w:spacing w:before="120" w:after="120" w:line="240" w:lineRule="auto"/>
        <w:jc w:val="both"/>
        <w:rPr>
          <w:rFonts w:eastAsia="Times New Roman"/>
          <w:noProof/>
        </w:rPr>
      </w:pPr>
      <w:r>
        <w:rPr>
          <w:noProof/>
        </w:rPr>
        <w:t xml:space="preserve">Réforme 2: Mise en place de guichets uniques (OSS) pour fournir des services de conseil en énergie </w:t>
      </w:r>
    </w:p>
    <w:p w14:paraId="0141DEB4" w14:textId="77777777" w:rsidR="00A345F4" w:rsidRDefault="005E2D4E">
      <w:pPr>
        <w:pStyle w:val="P68B1DB1-Normal33"/>
        <w:spacing w:line="259" w:lineRule="auto"/>
        <w:jc w:val="both"/>
        <w:rPr>
          <w:noProof/>
        </w:rPr>
      </w:pPr>
      <w:r>
        <w:rPr>
          <w:noProof/>
        </w:rPr>
        <w:t xml:space="preserve">L’objectif de la réforme est de mettre en place des guichets uniques dédiés aux services de conseil en matière d’énergie afin de sensibiliser les propriétaires et de faciliter les rénovations en matière d’efficacité énergétique et les installations d’énergie renouvelable. </w:t>
      </w:r>
    </w:p>
    <w:p w14:paraId="5709575C" w14:textId="77777777" w:rsidR="00A345F4" w:rsidRDefault="005E2D4E">
      <w:pPr>
        <w:pStyle w:val="P68B1DB1-Normal65"/>
        <w:spacing w:before="120" w:after="120" w:line="240" w:lineRule="auto"/>
        <w:jc w:val="both"/>
        <w:rPr>
          <w:rFonts w:eastAsia="Times New Roman"/>
          <w:noProof/>
        </w:rPr>
      </w:pPr>
      <w:r>
        <w:rPr>
          <w:noProof/>
        </w:rPr>
        <w:t>La réforme consiste en la mise en place de bureaux physiques et d’un point de contact en ligne afin de rationaliser le processus de documentation pour ces rénovations et installations d’énergies renouvelables.</w:t>
      </w:r>
    </w:p>
    <w:p w14:paraId="1C695890" w14:textId="77777777" w:rsidR="00A345F4" w:rsidRDefault="00A345F4">
      <w:pPr>
        <w:spacing w:before="120" w:after="120" w:line="240" w:lineRule="auto"/>
        <w:rPr>
          <w:rFonts w:ascii="Times New Roman" w:eastAsia="Aptos" w:hAnsi="Times New Roman" w:cs="Times New Roman"/>
          <w:noProof/>
          <w:kern w:val="2"/>
          <w:u w:val="single"/>
          <w14:ligatures w14:val="standardContextual"/>
        </w:rPr>
      </w:pPr>
    </w:p>
    <w:p w14:paraId="10776016" w14:textId="77777777" w:rsidR="00A345F4" w:rsidRDefault="005E2D4E">
      <w:pPr>
        <w:pStyle w:val="P68B1DB1-Normal64"/>
        <w:spacing w:before="120" w:after="120" w:line="240" w:lineRule="auto"/>
        <w:rPr>
          <w:rFonts w:eastAsia="Times New Roman"/>
          <w:noProof/>
        </w:rPr>
      </w:pPr>
      <w:r>
        <w:rPr>
          <w:noProof/>
        </w:rPr>
        <w:t xml:space="preserve">Investissement 2: Nouvelles capacités de production d'électricité à partir de sources renouvelables </w:t>
      </w:r>
    </w:p>
    <w:p w14:paraId="4EADE251" w14:textId="77777777" w:rsidR="00A345F4" w:rsidRDefault="005E2D4E">
      <w:pPr>
        <w:pStyle w:val="P68B1DB1-Normal32"/>
        <w:spacing w:before="120" w:after="120" w:line="240" w:lineRule="auto"/>
        <w:jc w:val="both"/>
        <w:rPr>
          <w:noProof/>
        </w:rPr>
      </w:pPr>
      <w:r>
        <w:rPr>
          <w:noProof/>
        </w:rPr>
        <w:t xml:space="preserve">L’objectif de l’investissement est l’installation d’une capacité de production d’énergie renouvelable. </w:t>
      </w:r>
    </w:p>
    <w:p w14:paraId="7FD00B59" w14:textId="77777777" w:rsidR="00A345F4" w:rsidRDefault="005E2D4E">
      <w:pPr>
        <w:pStyle w:val="P68B1DB1-Normal32"/>
        <w:spacing w:before="120" w:after="120" w:line="240" w:lineRule="auto"/>
        <w:jc w:val="both"/>
        <w:rPr>
          <w:noProof/>
        </w:rPr>
      </w:pPr>
      <w:r>
        <w:rPr>
          <w:noProof/>
        </w:rPr>
        <w:t xml:space="preserve">L'investissement consiste en l'installation d'une capacité de 950 MW à partir de sources d'énergie renouvelables. </w:t>
      </w:r>
    </w:p>
    <w:p w14:paraId="6B5051EF" w14:textId="77777777" w:rsidR="00A345F4" w:rsidRDefault="00A345F4">
      <w:pPr>
        <w:spacing w:before="120" w:after="120" w:line="240" w:lineRule="auto"/>
        <w:jc w:val="both"/>
        <w:rPr>
          <w:rFonts w:ascii="Times New Roman" w:eastAsia="Aptos" w:hAnsi="Times New Roman" w:cs="Times New Roman"/>
          <w:noProof/>
          <w:kern w:val="2"/>
          <w:u w:val="single"/>
          <w14:ligatures w14:val="standardContextual"/>
        </w:rPr>
      </w:pPr>
    </w:p>
    <w:p w14:paraId="036440BA" w14:textId="77777777" w:rsidR="00A345F4" w:rsidRDefault="005E2D4E">
      <w:pPr>
        <w:pStyle w:val="P68B1DB1-Normal64"/>
        <w:spacing w:before="120" w:after="120" w:line="240" w:lineRule="auto"/>
        <w:jc w:val="both"/>
        <w:rPr>
          <w:rFonts w:eastAsia="Times New Roman"/>
          <w:noProof/>
        </w:rPr>
      </w:pPr>
      <w:r>
        <w:rPr>
          <w:noProof/>
        </w:rPr>
        <w:t xml:space="preserve">Investissement 4: Octroi de bons pour accélérer le déploiement des énergies renouvelables par les ménages </w:t>
      </w:r>
    </w:p>
    <w:p w14:paraId="3813DFA3" w14:textId="77777777" w:rsidR="00A345F4" w:rsidRDefault="005E2D4E">
      <w:pPr>
        <w:pStyle w:val="P68B1DB1-Normal32"/>
        <w:spacing w:before="120" w:after="120" w:line="240" w:lineRule="auto"/>
        <w:jc w:val="both"/>
        <w:rPr>
          <w:noProof/>
        </w:rPr>
      </w:pPr>
      <w:r>
        <w:rPr>
          <w:noProof/>
        </w:rPr>
        <w:t xml:space="preserve">L'investissement vise à accroître le déploiement des énergies renouvelables en apportant un soutien financier aux propriétaires. </w:t>
      </w:r>
    </w:p>
    <w:p w14:paraId="6D772F4D" w14:textId="5DBE79C7" w:rsidR="00A345F4" w:rsidRDefault="005E2D4E">
      <w:pPr>
        <w:pStyle w:val="P68B1DB1-Normal32"/>
        <w:spacing w:before="120" w:after="120" w:line="240" w:lineRule="auto"/>
        <w:jc w:val="both"/>
        <w:rPr>
          <w:rFonts w:eastAsia="Times New Roman"/>
          <w:noProof/>
        </w:rPr>
      </w:pPr>
      <w:r>
        <w:rPr>
          <w:noProof/>
        </w:rPr>
        <w:t xml:space="preserve">Cet investissement consiste à décaisser des bons pour l'installation de panneaux solaires ou de systèmes de stockage d'électricité. </w:t>
      </w:r>
    </w:p>
    <w:p w14:paraId="105E9AEE" w14:textId="77777777" w:rsidR="00A345F4" w:rsidRDefault="00A345F4">
      <w:pPr>
        <w:spacing w:before="120" w:after="120" w:line="240" w:lineRule="auto"/>
        <w:jc w:val="both"/>
        <w:rPr>
          <w:rFonts w:ascii="Times New Roman" w:eastAsia="Aptos" w:hAnsi="Times New Roman" w:cs="Times New Roman"/>
          <w:noProof/>
          <w:kern w:val="2"/>
          <w:u w:val="single"/>
          <w14:ligatures w14:val="standardContextual"/>
        </w:rPr>
      </w:pPr>
    </w:p>
    <w:p w14:paraId="186A5CFA" w14:textId="77777777" w:rsidR="00A345F4" w:rsidRDefault="005E2D4E">
      <w:pPr>
        <w:pStyle w:val="P68B1DB1-Normal64"/>
        <w:spacing w:before="120" w:after="120" w:line="240" w:lineRule="auto"/>
        <w:jc w:val="both"/>
        <w:rPr>
          <w:rFonts w:eastAsia="Times New Roman"/>
          <w:noProof/>
        </w:rPr>
      </w:pPr>
      <w:r>
        <w:rPr>
          <w:noProof/>
        </w:rPr>
        <w:t>Investissement 5: Numérisation et modernisation du réseau national de transport d’électricité</w:t>
      </w:r>
    </w:p>
    <w:p w14:paraId="437DA55B" w14:textId="77777777" w:rsidR="00A345F4" w:rsidRDefault="005E2D4E">
      <w:pPr>
        <w:pStyle w:val="P68B1DB1-Normal32"/>
        <w:spacing w:before="120" w:after="120" w:line="240" w:lineRule="auto"/>
        <w:jc w:val="both"/>
        <w:rPr>
          <w:noProof/>
        </w:rPr>
      </w:pPr>
      <w:r>
        <w:rPr>
          <w:noProof/>
        </w:rPr>
        <w:t xml:space="preserve">L’objectif de l’investissement est d’accroître la flexibilité et de remédier aux goulets d’étranglement du réseau électrique géré par le gestionnaire de réseau de transport (GRT). </w:t>
      </w:r>
    </w:p>
    <w:p w14:paraId="463D7949" w14:textId="77777777" w:rsidR="00A345F4" w:rsidRDefault="005E2D4E">
      <w:pPr>
        <w:pStyle w:val="P68B1DB1-Normal65"/>
        <w:spacing w:before="120" w:after="120" w:line="240" w:lineRule="auto"/>
        <w:jc w:val="both"/>
        <w:rPr>
          <w:rFonts w:eastAsia="Times New Roman"/>
          <w:noProof/>
        </w:rPr>
      </w:pPr>
      <w:r>
        <w:rPr>
          <w:noProof/>
        </w:rPr>
        <w:t>L’investissement consiste en l’installation de panneaux solaires et d’installations de stockage d’électricité dans les sous-stations électriques du GRT afin de réduire la consommation propre d’électricité, en l’achat d’équipements visant à réduire la durée moyenne des interventions sur le réseau du GRT et en l’équipement d’un centre de données.</w:t>
      </w:r>
    </w:p>
    <w:p w14:paraId="3F62CE92" w14:textId="77777777" w:rsidR="00A345F4" w:rsidRDefault="00A345F4">
      <w:pPr>
        <w:spacing w:before="120" w:after="120" w:line="240" w:lineRule="auto"/>
        <w:jc w:val="both"/>
        <w:rPr>
          <w:rFonts w:ascii="Times New Roman" w:eastAsia="Aptos" w:hAnsi="Times New Roman" w:cs="Times New Roman"/>
          <w:noProof/>
          <w:kern w:val="2"/>
          <w:u w:val="single"/>
          <w14:ligatures w14:val="standardContextual"/>
        </w:rPr>
      </w:pPr>
    </w:p>
    <w:p w14:paraId="4C9B83D7" w14:textId="77777777" w:rsidR="00A345F4" w:rsidRDefault="005E2D4E">
      <w:pPr>
        <w:pStyle w:val="P68B1DB1-Normal64"/>
        <w:spacing w:before="120" w:after="120" w:line="240" w:lineRule="auto"/>
        <w:jc w:val="both"/>
        <w:rPr>
          <w:noProof/>
        </w:rPr>
      </w:pPr>
      <w:r>
        <w:rPr>
          <w:noProof/>
        </w:rPr>
        <w:t>Investissement 7: Bons de subvention pour soutenir les améliorations de l’efficacité énergétique des ménages</w:t>
      </w:r>
    </w:p>
    <w:p w14:paraId="051DAFEB" w14:textId="77777777" w:rsidR="00A345F4" w:rsidRDefault="005E2D4E">
      <w:pPr>
        <w:pStyle w:val="P68B1DB1-Normal32"/>
        <w:spacing w:before="120" w:after="120" w:line="240" w:lineRule="auto"/>
        <w:jc w:val="both"/>
        <w:rPr>
          <w:noProof/>
        </w:rPr>
      </w:pPr>
      <w:r>
        <w:rPr>
          <w:noProof/>
        </w:rPr>
        <w:t>Cet investissement vise à réduire la demande d’énergie primaire des ménages en fournissant aux propriétaires un soutien financier pour la rénovation combinée de l’efficacité énergétique et l’installation de panneaux solaires sur les bâtiments résidentiels unifamiliaux uniquement pour les ménages en situation de précarité énergétique et les consommateurs d’énergie vulnérables.</w:t>
      </w:r>
    </w:p>
    <w:p w14:paraId="5EF2718F" w14:textId="77777777" w:rsidR="00A345F4" w:rsidRDefault="005E2D4E">
      <w:pPr>
        <w:pStyle w:val="P68B1DB1-Normal32"/>
        <w:spacing w:before="120" w:after="120" w:line="240" w:lineRule="auto"/>
        <w:jc w:val="both"/>
        <w:rPr>
          <w:noProof/>
        </w:rPr>
      </w:pPr>
      <w:r>
        <w:rPr>
          <w:noProof/>
        </w:rPr>
        <w:t>L'investissement consiste à décaisser des bons pour effectuer des rénovations d'efficacité énergétique dans leurs maisons.</w:t>
      </w:r>
    </w:p>
    <w:p w14:paraId="15FB54B7" w14:textId="77777777" w:rsidR="00A345F4" w:rsidRDefault="00A345F4">
      <w:pPr>
        <w:spacing w:before="120" w:after="120" w:line="240" w:lineRule="auto"/>
        <w:jc w:val="both"/>
        <w:rPr>
          <w:rFonts w:ascii="Times New Roman" w:eastAsia="Aptos" w:hAnsi="Times New Roman" w:cs="Times New Roman"/>
          <w:noProof/>
          <w:kern w:val="2"/>
          <w:u w:val="single"/>
          <w14:ligatures w14:val="standardContextual"/>
        </w:rPr>
      </w:pPr>
    </w:p>
    <w:p w14:paraId="65EDBB2F" w14:textId="77777777" w:rsidR="00A345F4" w:rsidRDefault="005E2D4E">
      <w:pPr>
        <w:pStyle w:val="P68B1DB1-Normal64"/>
        <w:spacing w:before="120" w:after="120" w:line="240" w:lineRule="auto"/>
        <w:jc w:val="both"/>
        <w:rPr>
          <w:noProof/>
        </w:rPr>
      </w:pPr>
      <w:r>
        <w:rPr>
          <w:noProof/>
        </w:rPr>
        <w:t>Investissement 9: Nouvelles capacités de stockage d'électricité</w:t>
      </w:r>
    </w:p>
    <w:p w14:paraId="6C32D795" w14:textId="77777777" w:rsidR="00A345F4" w:rsidRDefault="005E2D4E">
      <w:pPr>
        <w:pStyle w:val="P68B1DB1-Normal32"/>
        <w:spacing w:before="120" w:after="120" w:line="240" w:lineRule="auto"/>
        <w:jc w:val="both"/>
        <w:rPr>
          <w:noProof/>
        </w:rPr>
      </w:pPr>
      <w:r>
        <w:rPr>
          <w:noProof/>
        </w:rPr>
        <w:t>L’objectif de l’investissement est d’accroître la flexibilité et la stabilité des réseaux électriques.</w:t>
      </w:r>
    </w:p>
    <w:p w14:paraId="75856357" w14:textId="52DF25C9" w:rsidR="00A345F4" w:rsidRDefault="005E2D4E">
      <w:pPr>
        <w:pStyle w:val="P68B1DB1-Normal32"/>
        <w:spacing w:before="120" w:after="120" w:line="240" w:lineRule="auto"/>
        <w:jc w:val="both"/>
        <w:rPr>
          <w:noProof/>
        </w:rPr>
      </w:pPr>
      <w:r>
        <w:rPr>
          <w:noProof/>
        </w:rPr>
        <w:t xml:space="preserve">L'investissement consiste en l'installation et le raccordement de capacités de stockage d'électricité. </w:t>
      </w:r>
    </w:p>
    <w:p w14:paraId="1940F652" w14:textId="77777777" w:rsidR="00A345F4" w:rsidRDefault="00A345F4">
      <w:pPr>
        <w:spacing w:before="120" w:after="120" w:line="240" w:lineRule="auto"/>
        <w:jc w:val="both"/>
        <w:rPr>
          <w:rFonts w:ascii="Times New Roman" w:eastAsia="Aptos" w:hAnsi="Times New Roman" w:cs="Times New Roman"/>
          <w:noProof/>
          <w:kern w:val="2"/>
          <w:u w:val="single"/>
          <w14:ligatures w14:val="standardContextual"/>
        </w:rPr>
      </w:pPr>
    </w:p>
    <w:p w14:paraId="6C36690D" w14:textId="77777777" w:rsidR="00A345F4" w:rsidRDefault="005E2D4E">
      <w:pPr>
        <w:pStyle w:val="P68B1DB1-Normal64"/>
        <w:spacing w:before="120" w:after="120" w:line="240" w:lineRule="auto"/>
        <w:jc w:val="both"/>
        <w:rPr>
          <w:noProof/>
        </w:rPr>
      </w:pPr>
      <w:r>
        <w:rPr>
          <w:noProof/>
        </w:rPr>
        <w:t>Investissement 10: Assurer l'efficacité énergétique dans le secteur industriel</w:t>
      </w:r>
    </w:p>
    <w:p w14:paraId="7E68F993" w14:textId="77777777" w:rsidR="00A345F4" w:rsidRDefault="005E2D4E">
      <w:pPr>
        <w:pStyle w:val="P68B1DB1-Normal32"/>
        <w:spacing w:before="120" w:after="120" w:line="240" w:lineRule="auto"/>
        <w:jc w:val="both"/>
        <w:rPr>
          <w:noProof/>
        </w:rPr>
      </w:pPr>
      <w:r>
        <w:rPr>
          <w:noProof/>
        </w:rPr>
        <w:t>L'objectif de l'investissement est d'accroître l'efficacité énergétique de l'industrie.</w:t>
      </w:r>
    </w:p>
    <w:p w14:paraId="1C3B854D" w14:textId="77777777" w:rsidR="00A345F4" w:rsidRDefault="005E2D4E">
      <w:pPr>
        <w:pStyle w:val="P68B1DB1-Normal66"/>
        <w:spacing w:before="120" w:after="120" w:line="240" w:lineRule="auto"/>
        <w:jc w:val="both"/>
        <w:rPr>
          <w:rFonts w:ascii="Times New Roman" w:eastAsia="Aptos" w:hAnsi="Times New Roman" w:cs="Times New Roman"/>
          <w:noProof/>
        </w:rPr>
      </w:pPr>
      <w:r>
        <w:rPr>
          <w:rFonts w:ascii="Times New Roman" w:eastAsia="Aptos" w:hAnsi="Times New Roman" w:cs="Times New Roman"/>
          <w:noProof/>
        </w:rPr>
        <w:t>L'investissement consiste en</w:t>
      </w:r>
      <w:r>
        <w:rPr>
          <w:rFonts w:ascii="Aptos" w:eastAsia="Aptos" w:hAnsi="Aptos" w:cs="Arial"/>
          <w:noProof/>
          <w:sz w:val="22"/>
          <w:szCs w:val="22"/>
        </w:rPr>
        <w:t xml:space="preserve"> </w:t>
      </w:r>
      <w:r>
        <w:rPr>
          <w:rFonts w:ascii="Times New Roman" w:eastAsia="Aptos" w:hAnsi="Times New Roman" w:cs="Times New Roman"/>
          <w:noProof/>
        </w:rPr>
        <w:t>la réalisation d'au moins 30 projets d'efficacité énergétique dans l'industrie.</w:t>
      </w:r>
    </w:p>
    <w:p w14:paraId="3275890E" w14:textId="77777777" w:rsidR="00A345F4" w:rsidRDefault="00A345F4">
      <w:pPr>
        <w:spacing w:before="120" w:after="120" w:line="240" w:lineRule="auto"/>
        <w:jc w:val="both"/>
        <w:rPr>
          <w:rFonts w:ascii="Times New Roman" w:eastAsia="Aptos" w:hAnsi="Times New Roman" w:cs="Times New Roman"/>
          <w:noProof/>
          <w:kern w:val="2"/>
          <w14:ligatures w14:val="standardContextual"/>
        </w:rPr>
      </w:pPr>
    </w:p>
    <w:p w14:paraId="6217ACC2" w14:textId="77777777" w:rsidR="00A345F4" w:rsidRDefault="00A345F4">
      <w:pPr>
        <w:spacing w:before="120" w:after="120" w:line="240" w:lineRule="auto"/>
        <w:jc w:val="both"/>
        <w:rPr>
          <w:rFonts w:ascii="Times New Roman" w:eastAsia="Aptos" w:hAnsi="Times New Roman" w:cs="Times New Roman"/>
          <w:noProof/>
          <w:kern w:val="2"/>
          <w14:ligatures w14:val="standardContextual"/>
        </w:rPr>
        <w:sectPr w:rsidR="00A345F4" w:rsidSect="00F54DA9">
          <w:headerReference w:type="even" r:id="rId359"/>
          <w:headerReference w:type="default" r:id="rId360"/>
          <w:footerReference w:type="even" r:id="rId361"/>
          <w:footerReference w:type="default" r:id="rId362"/>
          <w:headerReference w:type="first" r:id="rId363"/>
          <w:footerReference w:type="first" r:id="rId364"/>
          <w:pgSz w:w="11907" w:h="16839" w:code="1"/>
          <w:pgMar w:top="1134" w:right="1134" w:bottom="1134" w:left="1134" w:header="567" w:footer="567" w:gutter="0"/>
          <w:cols w:space="720"/>
          <w:docGrid w:linePitch="360"/>
        </w:sectPr>
      </w:pPr>
    </w:p>
    <w:p w14:paraId="414B840A" w14:textId="77777777" w:rsidR="00A345F4" w:rsidRDefault="005E2D4E">
      <w:pPr>
        <w:pStyle w:val="P68B1DB1-Normal67"/>
        <w:keepNext/>
        <w:spacing w:before="120" w:after="120" w:line="240" w:lineRule="auto"/>
        <w:jc w:val="both"/>
        <w:outlineLvl w:val="1"/>
        <w:rPr>
          <w:rFonts w:eastAsia="Yu Gothic Light"/>
          <w:bCs/>
          <w:noProof/>
        </w:rPr>
      </w:pPr>
      <w:r>
        <w:rPr>
          <w:noProof/>
        </w:rPr>
        <w:t xml:space="preserve">P.2. Étapes, cibles, indicateurs et calendrier pour le suivi et la mise en œuvre du soutien financier non remboursable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A0" w:firstRow="1" w:lastRow="0" w:firstColumn="1" w:lastColumn="0" w:noHBand="1" w:noVBand="1"/>
      </w:tblPr>
      <w:tblGrid>
        <w:gridCol w:w="955"/>
        <w:gridCol w:w="1800"/>
        <w:gridCol w:w="1320"/>
        <w:gridCol w:w="1590"/>
        <w:gridCol w:w="1290"/>
        <w:gridCol w:w="1200"/>
        <w:gridCol w:w="960"/>
        <w:gridCol w:w="960"/>
        <w:gridCol w:w="977"/>
        <w:gridCol w:w="709"/>
        <w:gridCol w:w="2800"/>
      </w:tblGrid>
      <w:tr w:rsidR="00A345F4" w14:paraId="14716F1E" w14:textId="77777777" w:rsidTr="000D606E">
        <w:trPr>
          <w:trHeight w:val="300"/>
          <w:tblHeader/>
          <w:jc w:val="center"/>
        </w:trPr>
        <w:tc>
          <w:tcPr>
            <w:tcW w:w="955" w:type="dxa"/>
            <w:vMerge w:val="restart"/>
            <w:shd w:val="clear" w:color="auto" w:fill="C5D9F0"/>
            <w:tcMar>
              <w:left w:w="57" w:type="dxa"/>
              <w:right w:w="57" w:type="dxa"/>
            </w:tcMar>
            <w:vAlign w:val="center"/>
          </w:tcPr>
          <w:p w14:paraId="09154D40" w14:textId="2CA9690A" w:rsidR="00A345F4" w:rsidRDefault="005E2D4E">
            <w:pPr>
              <w:pStyle w:val="P68B1DB1-Normal36"/>
              <w:spacing w:after="0" w:line="245" w:lineRule="auto"/>
              <w:jc w:val="center"/>
              <w:rPr>
                <w:noProof/>
              </w:rPr>
            </w:pPr>
            <w:r>
              <w:rPr>
                <w:noProof/>
              </w:rPr>
              <w:t>Seq. Num.</w:t>
            </w:r>
          </w:p>
        </w:tc>
        <w:tc>
          <w:tcPr>
            <w:tcW w:w="1800" w:type="dxa"/>
            <w:vMerge w:val="restart"/>
            <w:shd w:val="clear" w:color="auto" w:fill="C5D9F0"/>
            <w:tcMar>
              <w:left w:w="57" w:type="dxa"/>
              <w:right w:w="57" w:type="dxa"/>
            </w:tcMar>
            <w:vAlign w:val="center"/>
          </w:tcPr>
          <w:p w14:paraId="11414D05" w14:textId="75F0244D" w:rsidR="00A345F4" w:rsidRDefault="005E2D4E">
            <w:pPr>
              <w:pStyle w:val="P68B1DB1-Normal13"/>
              <w:spacing w:after="0" w:line="252" w:lineRule="auto"/>
              <w:jc w:val="center"/>
              <w:rPr>
                <w:rFonts w:eastAsia="Aptos"/>
                <w:noProof/>
                <w:kern w:val="2"/>
                <w14:ligatures w14:val="standardContextual"/>
              </w:rPr>
            </w:pPr>
            <w:r>
              <w:rPr>
                <w:noProof/>
              </w:rPr>
              <w:t>Mesure connexe (réforme ou investissement)</w:t>
            </w:r>
          </w:p>
        </w:tc>
        <w:tc>
          <w:tcPr>
            <w:tcW w:w="1320" w:type="dxa"/>
            <w:vMerge w:val="restart"/>
            <w:shd w:val="clear" w:color="auto" w:fill="C5D9F0"/>
            <w:tcMar>
              <w:left w:w="57" w:type="dxa"/>
              <w:right w:w="57" w:type="dxa"/>
            </w:tcMar>
            <w:vAlign w:val="center"/>
          </w:tcPr>
          <w:p w14:paraId="11347835" w14:textId="2443604D" w:rsidR="00A345F4" w:rsidRDefault="005E2D4E">
            <w:pPr>
              <w:pStyle w:val="P68B1DB1-Normal36"/>
              <w:spacing w:before="142" w:after="0" w:line="259" w:lineRule="auto"/>
              <w:jc w:val="center"/>
              <w:rPr>
                <w:noProof/>
              </w:rPr>
            </w:pPr>
            <w:r>
              <w:rPr>
                <w:noProof/>
              </w:rPr>
              <w:t>Étape/objectif</w:t>
            </w:r>
          </w:p>
        </w:tc>
        <w:tc>
          <w:tcPr>
            <w:tcW w:w="1590" w:type="dxa"/>
            <w:vMerge w:val="restart"/>
            <w:shd w:val="clear" w:color="auto" w:fill="C5D9F0"/>
            <w:tcMar>
              <w:left w:w="57" w:type="dxa"/>
              <w:right w:w="57" w:type="dxa"/>
            </w:tcMar>
            <w:vAlign w:val="center"/>
          </w:tcPr>
          <w:p w14:paraId="24F4565B" w14:textId="77777777" w:rsidR="00A345F4" w:rsidRDefault="005E2D4E">
            <w:pPr>
              <w:pStyle w:val="P68B1DB1-Normal36"/>
              <w:spacing w:before="4" w:after="0" w:line="257" w:lineRule="auto"/>
              <w:jc w:val="center"/>
              <w:rPr>
                <w:noProof/>
              </w:rPr>
            </w:pPr>
            <w:r>
              <w:rPr>
                <w:noProof/>
              </w:rPr>
              <w:t>Nom</w:t>
            </w:r>
          </w:p>
        </w:tc>
        <w:tc>
          <w:tcPr>
            <w:tcW w:w="1290" w:type="dxa"/>
            <w:vMerge w:val="restart"/>
            <w:shd w:val="clear" w:color="auto" w:fill="C5D9F0"/>
            <w:tcMar>
              <w:left w:w="57" w:type="dxa"/>
              <w:right w:w="57" w:type="dxa"/>
            </w:tcMar>
            <w:vAlign w:val="center"/>
          </w:tcPr>
          <w:p w14:paraId="4CA1B760" w14:textId="77777777" w:rsidR="00A345F4" w:rsidRDefault="005E2D4E">
            <w:pPr>
              <w:pStyle w:val="P68B1DB1-Normal36"/>
              <w:spacing w:before="1" w:after="0" w:line="242" w:lineRule="auto"/>
              <w:ind w:firstLine="45"/>
              <w:jc w:val="center"/>
              <w:rPr>
                <w:noProof/>
              </w:rPr>
            </w:pPr>
            <w:r>
              <w:rPr>
                <w:noProof/>
              </w:rPr>
              <w:t>Indicateur qualitatif (pour les jalons)</w:t>
            </w:r>
          </w:p>
        </w:tc>
        <w:tc>
          <w:tcPr>
            <w:tcW w:w="3120" w:type="dxa"/>
            <w:gridSpan w:val="3"/>
            <w:shd w:val="clear" w:color="auto" w:fill="C5D9F0"/>
            <w:tcMar>
              <w:left w:w="57" w:type="dxa"/>
              <w:right w:w="57" w:type="dxa"/>
            </w:tcMar>
            <w:vAlign w:val="center"/>
          </w:tcPr>
          <w:p w14:paraId="7304C14D" w14:textId="77777777" w:rsidR="00A345F4" w:rsidRDefault="005E2D4E">
            <w:pPr>
              <w:pStyle w:val="P68B1DB1-Normal37"/>
              <w:spacing w:before="142" w:after="0" w:line="223" w:lineRule="auto"/>
              <w:jc w:val="center"/>
              <w:rPr>
                <w:noProof/>
              </w:rPr>
            </w:pPr>
            <w:r>
              <w:rPr>
                <w:b/>
                <w:noProof/>
              </w:rPr>
              <w:t>Indicateur quantitatif</w:t>
            </w:r>
            <w:r>
              <w:rPr>
                <w:noProof/>
              </w:rPr>
              <w:br/>
            </w:r>
            <w:r>
              <w:rPr>
                <w:b/>
                <w:noProof/>
              </w:rPr>
              <w:t>pour la cible</w:t>
            </w:r>
          </w:p>
        </w:tc>
        <w:tc>
          <w:tcPr>
            <w:tcW w:w="1686" w:type="dxa"/>
            <w:gridSpan w:val="2"/>
            <w:shd w:val="clear" w:color="auto" w:fill="C5D9F0"/>
            <w:tcMar>
              <w:left w:w="57" w:type="dxa"/>
              <w:right w:w="57" w:type="dxa"/>
            </w:tcMar>
            <w:vAlign w:val="center"/>
          </w:tcPr>
          <w:p w14:paraId="1878A89A" w14:textId="77777777" w:rsidR="00A345F4" w:rsidRDefault="005E2D4E">
            <w:pPr>
              <w:pStyle w:val="P68B1DB1-Normal36"/>
              <w:spacing w:before="1" w:after="0" w:line="259" w:lineRule="auto"/>
              <w:jc w:val="center"/>
              <w:rPr>
                <w:noProof/>
              </w:rPr>
            </w:pPr>
            <w:r>
              <w:rPr>
                <w:noProof/>
              </w:rPr>
              <w:t>Temps</w:t>
            </w:r>
          </w:p>
        </w:tc>
        <w:tc>
          <w:tcPr>
            <w:tcW w:w="2800" w:type="dxa"/>
            <w:vMerge w:val="restart"/>
            <w:shd w:val="clear" w:color="auto" w:fill="C5D9F0"/>
            <w:tcMar>
              <w:left w:w="57" w:type="dxa"/>
              <w:right w:w="57" w:type="dxa"/>
            </w:tcMar>
            <w:vAlign w:val="center"/>
          </w:tcPr>
          <w:p w14:paraId="6ACEA3DE" w14:textId="77777777" w:rsidR="00A345F4" w:rsidRDefault="005E2D4E">
            <w:pPr>
              <w:pStyle w:val="P68B1DB1-Normal36"/>
              <w:spacing w:after="0" w:line="259" w:lineRule="auto"/>
              <w:jc w:val="center"/>
              <w:rPr>
                <w:noProof/>
              </w:rPr>
            </w:pPr>
            <w:r>
              <w:rPr>
                <w:noProof/>
              </w:rPr>
              <w:t>Description de chaque jalon et cible</w:t>
            </w:r>
          </w:p>
        </w:tc>
      </w:tr>
      <w:tr w:rsidR="00A345F4" w14:paraId="35B22C20" w14:textId="77777777" w:rsidTr="000D606E">
        <w:trPr>
          <w:trHeight w:val="692"/>
          <w:tblHeader/>
          <w:jc w:val="center"/>
        </w:trPr>
        <w:tc>
          <w:tcPr>
            <w:tcW w:w="955" w:type="dxa"/>
            <w:vMerge/>
            <w:tcMar>
              <w:left w:w="57" w:type="dxa"/>
              <w:right w:w="57" w:type="dxa"/>
            </w:tcMar>
            <w:vAlign w:val="center"/>
          </w:tcPr>
          <w:p w14:paraId="5EC081ED"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c>
          <w:tcPr>
            <w:tcW w:w="1800" w:type="dxa"/>
            <w:vMerge/>
            <w:tcMar>
              <w:left w:w="57" w:type="dxa"/>
              <w:right w:w="57" w:type="dxa"/>
            </w:tcMar>
            <w:vAlign w:val="center"/>
          </w:tcPr>
          <w:p w14:paraId="1A454B80"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c>
          <w:tcPr>
            <w:tcW w:w="1320" w:type="dxa"/>
            <w:vMerge/>
            <w:tcMar>
              <w:left w:w="57" w:type="dxa"/>
              <w:right w:w="57" w:type="dxa"/>
            </w:tcMar>
            <w:vAlign w:val="center"/>
          </w:tcPr>
          <w:p w14:paraId="6F6E1E47"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c>
          <w:tcPr>
            <w:tcW w:w="1590" w:type="dxa"/>
            <w:vMerge/>
            <w:tcMar>
              <w:left w:w="57" w:type="dxa"/>
              <w:right w:w="57" w:type="dxa"/>
            </w:tcMar>
            <w:vAlign w:val="center"/>
          </w:tcPr>
          <w:p w14:paraId="6E8C6D25"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c>
          <w:tcPr>
            <w:tcW w:w="1290" w:type="dxa"/>
            <w:vMerge/>
            <w:tcMar>
              <w:left w:w="57" w:type="dxa"/>
              <w:right w:w="57" w:type="dxa"/>
            </w:tcMar>
            <w:vAlign w:val="center"/>
          </w:tcPr>
          <w:p w14:paraId="1C441F40"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c>
          <w:tcPr>
            <w:tcW w:w="1200" w:type="dxa"/>
            <w:shd w:val="clear" w:color="auto" w:fill="C5D9F0"/>
            <w:tcMar>
              <w:left w:w="57" w:type="dxa"/>
              <w:right w:w="57" w:type="dxa"/>
            </w:tcMar>
            <w:vAlign w:val="center"/>
          </w:tcPr>
          <w:p w14:paraId="7C6FA8FF" w14:textId="41D02C2B" w:rsidR="00A345F4" w:rsidRDefault="005E2D4E">
            <w:pPr>
              <w:pStyle w:val="P68B1DB1-Normal36"/>
              <w:spacing w:before="142" w:after="0" w:line="223" w:lineRule="auto"/>
              <w:jc w:val="center"/>
              <w:rPr>
                <w:noProof/>
              </w:rPr>
            </w:pPr>
            <w:r>
              <w:rPr>
                <w:noProof/>
              </w:rPr>
              <w:t>Unité de mesure</w:t>
            </w:r>
          </w:p>
        </w:tc>
        <w:tc>
          <w:tcPr>
            <w:tcW w:w="960" w:type="dxa"/>
            <w:shd w:val="clear" w:color="auto" w:fill="C5D9F0"/>
            <w:tcMar>
              <w:left w:w="57" w:type="dxa"/>
              <w:right w:w="57" w:type="dxa"/>
            </w:tcMar>
            <w:vAlign w:val="center"/>
          </w:tcPr>
          <w:p w14:paraId="62B33B2A" w14:textId="77777777" w:rsidR="00A345F4" w:rsidRDefault="005E2D4E">
            <w:pPr>
              <w:pStyle w:val="P68B1DB1-Normal36"/>
              <w:spacing w:before="142" w:after="0" w:line="223" w:lineRule="auto"/>
              <w:jc w:val="center"/>
              <w:rPr>
                <w:noProof/>
              </w:rPr>
            </w:pPr>
            <w:r>
              <w:rPr>
                <w:noProof/>
              </w:rPr>
              <w:t>Données de référence</w:t>
            </w:r>
          </w:p>
        </w:tc>
        <w:tc>
          <w:tcPr>
            <w:tcW w:w="960" w:type="dxa"/>
            <w:shd w:val="clear" w:color="auto" w:fill="C5D9F0"/>
            <w:tcMar>
              <w:left w:w="57" w:type="dxa"/>
              <w:right w:w="57" w:type="dxa"/>
            </w:tcMar>
            <w:vAlign w:val="center"/>
          </w:tcPr>
          <w:p w14:paraId="10F1B644" w14:textId="561E872A" w:rsidR="00A345F4" w:rsidRDefault="005E2D4E">
            <w:pPr>
              <w:pStyle w:val="P68B1DB1-Normal36"/>
              <w:spacing w:before="142" w:after="0" w:line="223" w:lineRule="auto"/>
              <w:jc w:val="center"/>
              <w:rPr>
                <w:noProof/>
              </w:rPr>
            </w:pPr>
            <w:r>
              <w:rPr>
                <w:noProof/>
              </w:rPr>
              <w:t>Objectif</w:t>
            </w:r>
          </w:p>
        </w:tc>
        <w:tc>
          <w:tcPr>
            <w:tcW w:w="977" w:type="dxa"/>
            <w:shd w:val="clear" w:color="auto" w:fill="C5D9F0"/>
            <w:tcMar>
              <w:left w:w="57" w:type="dxa"/>
              <w:right w:w="57" w:type="dxa"/>
            </w:tcMar>
            <w:vAlign w:val="center"/>
          </w:tcPr>
          <w:p w14:paraId="66EBE7A5" w14:textId="77777777" w:rsidR="00A345F4" w:rsidRDefault="005E2D4E">
            <w:pPr>
              <w:pStyle w:val="P68B1DB1-Normal36"/>
              <w:spacing w:before="142" w:after="0" w:line="223" w:lineRule="auto"/>
              <w:jc w:val="center"/>
              <w:rPr>
                <w:noProof/>
              </w:rPr>
            </w:pPr>
            <w:r>
              <w:rPr>
                <w:noProof/>
              </w:rPr>
              <w:t>Trimestre</w:t>
            </w:r>
          </w:p>
        </w:tc>
        <w:tc>
          <w:tcPr>
            <w:tcW w:w="709" w:type="dxa"/>
            <w:shd w:val="clear" w:color="auto" w:fill="C5D9F0"/>
            <w:tcMar>
              <w:left w:w="57" w:type="dxa"/>
              <w:right w:w="57" w:type="dxa"/>
            </w:tcMar>
            <w:vAlign w:val="center"/>
          </w:tcPr>
          <w:p w14:paraId="5E43E65E" w14:textId="77777777" w:rsidR="00A345F4" w:rsidRDefault="005E2D4E">
            <w:pPr>
              <w:pStyle w:val="P68B1DB1-Normal36"/>
              <w:spacing w:before="142" w:after="0" w:line="223" w:lineRule="auto"/>
              <w:jc w:val="center"/>
              <w:rPr>
                <w:noProof/>
              </w:rPr>
            </w:pPr>
            <w:r>
              <w:rPr>
                <w:noProof/>
              </w:rPr>
              <w:t>Année</w:t>
            </w:r>
          </w:p>
        </w:tc>
        <w:tc>
          <w:tcPr>
            <w:tcW w:w="2800" w:type="dxa"/>
            <w:vMerge/>
            <w:tcMar>
              <w:left w:w="57" w:type="dxa"/>
              <w:right w:w="57" w:type="dxa"/>
            </w:tcMar>
            <w:vAlign w:val="center"/>
          </w:tcPr>
          <w:p w14:paraId="6DE9997C"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r>
      <w:tr w:rsidR="00A345F4" w14:paraId="0B62A4F3"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F5387B1" w14:textId="77777777" w:rsidR="00A345F4" w:rsidRDefault="005E2D4E">
            <w:pPr>
              <w:pStyle w:val="P68B1DB1-Normal37"/>
              <w:spacing w:after="0" w:line="259" w:lineRule="auto"/>
              <w:jc w:val="center"/>
              <w:rPr>
                <w:noProof/>
              </w:rPr>
            </w:pPr>
            <w:r>
              <w:rPr>
                <w:noProof/>
              </w:rPr>
              <w:t>508</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2895065" w14:textId="77777777" w:rsidR="00A345F4" w:rsidRDefault="005E2D4E">
            <w:pPr>
              <w:pStyle w:val="P68B1DB1-Normal37"/>
              <w:spacing w:after="0" w:line="245" w:lineRule="auto"/>
              <w:jc w:val="both"/>
              <w:rPr>
                <w:noProof/>
              </w:rPr>
            </w:pPr>
            <w:r>
              <w:rPr>
                <w:noProof/>
              </w:rPr>
              <w:t>Réforme 1. Créer un cadre juridique pour l'utilisation des terres domaniales en tant que zones d'accélération des investissements dans les énergies renouvelables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8DDE3EC" w14:textId="77777777" w:rsidR="00A345F4" w:rsidRDefault="005E2D4E">
            <w:pPr>
              <w:pStyle w:val="P68B1DB1-Normal37"/>
              <w:spacing w:after="0" w:line="254" w:lineRule="auto"/>
              <w:jc w:val="both"/>
              <w:rPr>
                <w:noProof/>
              </w:rPr>
            </w:pPr>
            <w:r>
              <w:rPr>
                <w:noProof/>
              </w:rPr>
              <w:t>Étape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37D952C" w14:textId="77777777" w:rsidR="00A345F4" w:rsidRDefault="005E2D4E">
            <w:pPr>
              <w:pStyle w:val="P68B1DB1-Normal37"/>
              <w:spacing w:after="0" w:line="254" w:lineRule="auto"/>
              <w:jc w:val="both"/>
              <w:rPr>
                <w:noProof/>
              </w:rPr>
            </w:pPr>
            <w:r>
              <w:rPr>
                <w:noProof/>
              </w:rPr>
              <w:t>Équipement pour l'Agence nationale des domaines (ADS)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3D09AEA" w14:textId="77777777" w:rsidR="00A345F4" w:rsidRDefault="005E2D4E">
            <w:pPr>
              <w:pStyle w:val="P68B1DB1-Normal37"/>
              <w:spacing w:after="0" w:line="254" w:lineRule="auto"/>
              <w:jc w:val="both"/>
              <w:rPr>
                <w:noProof/>
              </w:rPr>
            </w:pPr>
            <w:r>
              <w:rPr>
                <w:noProof/>
              </w:rPr>
              <w:t>Équipements livrés</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4D3EC5C" w14:textId="77777777" w:rsidR="00A345F4" w:rsidRDefault="00A345F4">
            <w:pPr>
              <w:spacing w:after="0" w:line="259" w:lineRule="auto"/>
              <w:jc w:val="both"/>
              <w:rPr>
                <w:rFonts w:ascii="Times New Roman" w:eastAsia="Aptos" w:hAnsi="Times New Roman" w:cs="Times New Roman"/>
                <w:noProof/>
                <w:kern w:val="2"/>
                <w:sz w:val="20"/>
                <w:szCs w:val="20"/>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11F47E1" w14:textId="77777777" w:rsidR="00A345F4" w:rsidRDefault="00A345F4">
            <w:pPr>
              <w:spacing w:after="0" w:line="259" w:lineRule="auto"/>
              <w:jc w:val="both"/>
              <w:rPr>
                <w:rFonts w:ascii="Times New Roman" w:eastAsia="Aptos" w:hAnsi="Times New Roman" w:cs="Times New Roman"/>
                <w:noProof/>
                <w:kern w:val="2"/>
                <w:sz w:val="20"/>
                <w:szCs w:val="20"/>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815875C" w14:textId="77777777" w:rsidR="00A345F4" w:rsidRDefault="00A345F4">
            <w:pPr>
              <w:spacing w:after="0" w:line="259" w:lineRule="auto"/>
              <w:jc w:val="both"/>
              <w:rPr>
                <w:rFonts w:ascii="Times New Roman" w:eastAsia="Aptos" w:hAnsi="Times New Roman" w:cs="Times New Roman"/>
                <w:noProof/>
                <w:kern w:val="2"/>
                <w:sz w:val="20"/>
                <w:szCs w:val="20"/>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CF6C1BE" w14:textId="77777777" w:rsidR="00A345F4" w:rsidRDefault="005E2D4E">
            <w:pPr>
              <w:pStyle w:val="P68B1DB1-Normal37"/>
              <w:spacing w:after="0" w:line="259" w:lineRule="auto"/>
              <w:jc w:val="both"/>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1737063" w14:textId="77777777" w:rsidR="00A345F4" w:rsidRDefault="005E2D4E">
            <w:pPr>
              <w:pStyle w:val="P68B1DB1-Normal37"/>
              <w:spacing w:after="0" w:line="259" w:lineRule="auto"/>
              <w:jc w:val="both"/>
              <w:rPr>
                <w:noProof/>
              </w:rPr>
            </w:pPr>
            <w:r>
              <w:rPr>
                <w:noProof/>
              </w:rPr>
              <w:t>2026</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4AB620D" w14:textId="77777777" w:rsidR="00A345F4" w:rsidRDefault="005E2D4E">
            <w:pPr>
              <w:pStyle w:val="P68B1DB1-Normal37"/>
              <w:spacing w:after="0" w:line="259" w:lineRule="auto"/>
              <w:jc w:val="both"/>
              <w:rPr>
                <w:noProof/>
              </w:rPr>
            </w:pPr>
            <w:r>
              <w:rPr>
                <w:noProof/>
              </w:rPr>
              <w:t xml:space="preserve">Des certificats de livraison ont été délivrés pour les équipements suivants: </w:t>
            </w:r>
          </w:p>
          <w:p w14:paraId="2DDD6FA1" w14:textId="77777777" w:rsidR="00A345F4" w:rsidRDefault="005E2D4E">
            <w:pPr>
              <w:pStyle w:val="P68B1DB1-Normal37"/>
              <w:spacing w:after="0" w:line="259" w:lineRule="auto"/>
              <w:jc w:val="both"/>
              <w:rPr>
                <w:noProof/>
              </w:rPr>
            </w:pPr>
            <w:r>
              <w:rPr>
                <w:noProof/>
              </w:rPr>
              <w:t>1. au moins deux serveurs prenant en charge le nouveau système numérique performant et quatre ordinateurs portables équipés de logiciels (par exemple, Self-CAD, TopoLT, DIGI I Terra);</w:t>
            </w:r>
          </w:p>
          <w:p w14:paraId="23104457" w14:textId="77777777" w:rsidR="00A345F4" w:rsidRDefault="005E2D4E">
            <w:pPr>
              <w:pStyle w:val="P68B1DB1-Normal37"/>
              <w:spacing w:after="0" w:line="259" w:lineRule="auto"/>
              <w:jc w:val="both"/>
              <w:rPr>
                <w:noProof/>
              </w:rPr>
            </w:pPr>
            <w:r>
              <w:rPr>
                <w:noProof/>
              </w:rPr>
              <w:t>2. au moins quatre drones équipés de stations de transmission RTK;</w:t>
            </w:r>
          </w:p>
          <w:p w14:paraId="421A70B5" w14:textId="77777777" w:rsidR="00A345F4" w:rsidRDefault="005E2D4E">
            <w:pPr>
              <w:pStyle w:val="P68B1DB1-Normal37"/>
              <w:spacing w:after="0" w:line="259" w:lineRule="auto"/>
              <w:jc w:val="both"/>
              <w:rPr>
                <w:noProof/>
              </w:rPr>
            </w:pPr>
            <w:r>
              <w:rPr>
                <w:noProof/>
              </w:rPr>
              <w:t>3. au moins quatre véhicules hors route à émissions nulles.</w:t>
            </w:r>
          </w:p>
        </w:tc>
      </w:tr>
      <w:tr w:rsidR="00A345F4" w14:paraId="44A1B305"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25EC5E8" w14:textId="77777777" w:rsidR="00A345F4" w:rsidRDefault="005E2D4E">
            <w:pPr>
              <w:pStyle w:val="P68B1DB1-Normal37"/>
              <w:spacing w:after="0" w:line="259" w:lineRule="auto"/>
              <w:jc w:val="center"/>
              <w:rPr>
                <w:noProof/>
              </w:rPr>
            </w:pPr>
            <w:r>
              <w:rPr>
                <w:noProof/>
              </w:rPr>
              <w:t>509</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8DB47FF" w14:textId="77777777" w:rsidR="00A345F4" w:rsidRDefault="005E2D4E">
            <w:pPr>
              <w:pStyle w:val="P68B1DB1-Normal37"/>
              <w:spacing w:after="0" w:line="245" w:lineRule="auto"/>
              <w:jc w:val="both"/>
              <w:rPr>
                <w:noProof/>
              </w:rPr>
            </w:pPr>
            <w:r>
              <w:rPr>
                <w:noProof/>
              </w:rPr>
              <w:t>Réforme 1. Créer un cadre juridique pour l'utilisation des terres domaniales en tant que zones d'accélération des investissements dans les énergies renouvelables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65DEFF" w14:textId="77777777" w:rsidR="00A345F4" w:rsidRDefault="005E2D4E">
            <w:pPr>
              <w:pStyle w:val="P68B1DB1-Normal37"/>
              <w:spacing w:after="0" w:line="254" w:lineRule="auto"/>
              <w:jc w:val="both"/>
              <w:rPr>
                <w:noProof/>
              </w:rPr>
            </w:pPr>
            <w:r>
              <w:rPr>
                <w:noProof/>
              </w:rPr>
              <w:t>Étape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228C2EA" w14:textId="77777777" w:rsidR="00A345F4" w:rsidRDefault="005E2D4E">
            <w:pPr>
              <w:pStyle w:val="P68B1DB1-Normal37"/>
              <w:spacing w:after="0" w:line="254" w:lineRule="auto"/>
              <w:jc w:val="both"/>
              <w:rPr>
                <w:noProof/>
              </w:rPr>
            </w:pPr>
            <w:r>
              <w:rPr>
                <w:noProof/>
              </w:rPr>
              <w:t>Entrée en vigueur du ou des actes juridiques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0CA6286" w14:textId="77777777" w:rsidR="00A345F4" w:rsidRDefault="005E2D4E">
            <w:pPr>
              <w:pStyle w:val="P68B1DB1-Normal37"/>
              <w:spacing w:after="0" w:line="254" w:lineRule="auto"/>
              <w:jc w:val="both"/>
              <w:rPr>
                <w:noProof/>
              </w:rPr>
            </w:pPr>
            <w:r>
              <w:rPr>
                <w:noProof/>
              </w:rPr>
              <w:t>Disposition relative à l'entrée en vigueur</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F328E83" w14:textId="77777777" w:rsidR="00A345F4" w:rsidRDefault="005E2D4E">
            <w:pPr>
              <w:pStyle w:val="P68B1DB1-Normal37"/>
              <w:spacing w:after="0" w:line="259" w:lineRule="auto"/>
              <w:jc w:val="both"/>
              <w:rPr>
                <w:noProof/>
              </w:rPr>
            </w:pPr>
            <w:r>
              <w:rPr>
                <w:noProof/>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1921DA5" w14:textId="77777777" w:rsidR="00A345F4" w:rsidRDefault="005E2D4E">
            <w:pPr>
              <w:pStyle w:val="P68B1DB1-Normal37"/>
              <w:spacing w:after="0" w:line="259" w:lineRule="auto"/>
              <w:jc w:val="both"/>
              <w:rPr>
                <w:noProof/>
              </w:rPr>
            </w:pPr>
            <w:r>
              <w:rPr>
                <w:noProof/>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88058D" w14:textId="77777777" w:rsidR="00A345F4" w:rsidRDefault="005E2D4E">
            <w:pPr>
              <w:pStyle w:val="P68B1DB1-Normal37"/>
              <w:spacing w:after="0" w:line="259" w:lineRule="auto"/>
              <w:jc w:val="both"/>
              <w:rPr>
                <w:noProof/>
              </w:rPr>
            </w:pPr>
            <w:r>
              <w:rPr>
                <w:noProof/>
              </w:rPr>
              <w:t xml:space="preserve"> </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649DE6B" w14:textId="77777777" w:rsidR="00A345F4" w:rsidRDefault="005E2D4E">
            <w:pPr>
              <w:pStyle w:val="P68B1DB1-Normal37"/>
              <w:spacing w:after="0" w:line="259" w:lineRule="auto"/>
              <w:jc w:val="both"/>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AE693CE" w14:textId="77777777" w:rsidR="00A345F4" w:rsidRDefault="005E2D4E">
            <w:pPr>
              <w:pStyle w:val="P68B1DB1-Normal37"/>
              <w:spacing w:after="0" w:line="259" w:lineRule="auto"/>
              <w:jc w:val="both"/>
              <w:rPr>
                <w:noProof/>
              </w:rPr>
            </w:pPr>
            <w:r>
              <w:rPr>
                <w:noProof/>
              </w:rPr>
              <w:t>2026</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C0ECB9" w14:textId="5305A947" w:rsidR="00A345F4" w:rsidRDefault="005E2D4E">
            <w:pPr>
              <w:pStyle w:val="P68B1DB1-Normal37"/>
              <w:spacing w:after="0" w:line="259" w:lineRule="auto"/>
              <w:jc w:val="both"/>
              <w:rPr>
                <w:noProof/>
              </w:rPr>
            </w:pPr>
            <w:r>
              <w:rPr>
                <w:noProof/>
              </w:rPr>
              <w:t>Les modifications apportées aux actes juridiques et réglementaires entrent en vigueur et introduisent un cadre pour l’utilisation des terres domaniales sous l’administration de l’Agence nationale des domaines (ADS) en tant que zones d’accélération des investissements dans les sources d’énergie renouvelables (SER). Le cadre juridique comprend des dispositions concernant:</w:t>
            </w:r>
          </w:p>
          <w:p w14:paraId="66465976" w14:textId="77777777" w:rsidR="00A345F4" w:rsidRDefault="005E2D4E">
            <w:pPr>
              <w:pStyle w:val="P68B1DB1-Normal37"/>
              <w:numPr>
                <w:ilvl w:val="0"/>
                <w:numId w:val="108"/>
              </w:numPr>
              <w:spacing w:after="0" w:line="259" w:lineRule="auto"/>
              <w:contextualSpacing/>
              <w:jc w:val="both"/>
              <w:rPr>
                <w:noProof/>
              </w:rPr>
            </w:pPr>
            <w:r>
              <w:rPr>
                <w:noProof/>
              </w:rPr>
              <w:t>la désignation de zones d’accélération renouvelables sur des terres dégradées;</w:t>
            </w:r>
          </w:p>
          <w:p w14:paraId="33E2DF0E" w14:textId="77777777" w:rsidR="00A345F4" w:rsidRDefault="005E2D4E">
            <w:pPr>
              <w:pStyle w:val="P68B1DB1-Normal37"/>
              <w:numPr>
                <w:ilvl w:val="0"/>
                <w:numId w:val="108"/>
              </w:numPr>
              <w:spacing w:after="0" w:line="259" w:lineRule="auto"/>
              <w:contextualSpacing/>
              <w:jc w:val="both"/>
              <w:rPr>
                <w:noProof/>
              </w:rPr>
            </w:pPr>
            <w:r>
              <w:rPr>
                <w:noProof/>
              </w:rPr>
              <w:t>les procédures d'autorisation autorisées dans un délai de six mois;</w:t>
            </w:r>
          </w:p>
          <w:p w14:paraId="2193F81A" w14:textId="77777777" w:rsidR="00A345F4" w:rsidRDefault="005E2D4E">
            <w:pPr>
              <w:pStyle w:val="P68B1DB1-Normal37"/>
              <w:numPr>
                <w:ilvl w:val="0"/>
                <w:numId w:val="108"/>
              </w:numPr>
              <w:spacing w:after="0" w:line="259" w:lineRule="auto"/>
              <w:contextualSpacing/>
              <w:jc w:val="both"/>
              <w:rPr>
                <w:noProof/>
              </w:rPr>
            </w:pPr>
            <w:r>
              <w:rPr>
                <w:noProof/>
              </w:rPr>
              <w:t>numérisation de l’autorisation (guichet unique).</w:t>
            </w:r>
          </w:p>
        </w:tc>
      </w:tr>
      <w:tr w:rsidR="00A345F4" w14:paraId="6ACFA1BE"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A5D9BCA" w14:textId="77777777" w:rsidR="00A345F4" w:rsidRDefault="005E2D4E">
            <w:pPr>
              <w:pStyle w:val="P68B1DB1-Normal37"/>
              <w:spacing w:after="0" w:line="259" w:lineRule="auto"/>
              <w:jc w:val="center"/>
              <w:rPr>
                <w:noProof/>
              </w:rPr>
            </w:pPr>
            <w:r>
              <w:rPr>
                <w:noProof/>
              </w:rPr>
              <w:t>510</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42E471C" w14:textId="77777777" w:rsidR="00A345F4" w:rsidRDefault="005E2D4E">
            <w:pPr>
              <w:pStyle w:val="P68B1DB1-Normal37"/>
              <w:spacing w:after="0" w:line="245" w:lineRule="auto"/>
              <w:jc w:val="both"/>
              <w:rPr>
                <w:noProof/>
              </w:rPr>
            </w:pPr>
            <w:r>
              <w:rPr>
                <w:noProof/>
              </w:rPr>
              <w:t>Réforme 1. Créer un cadre juridique pour l'utilisation des terres domaniales en tant que zones d'accélération des investissements dans les énergies renouvelables</w:t>
            </w:r>
          </w:p>
          <w:p w14:paraId="3E6AD5E3" w14:textId="77777777" w:rsidR="00A345F4" w:rsidRDefault="00A345F4">
            <w:pPr>
              <w:spacing w:after="0" w:line="245" w:lineRule="auto"/>
              <w:ind w:firstLine="4"/>
              <w:jc w:val="both"/>
              <w:rPr>
                <w:rFonts w:ascii="Times New Roman" w:eastAsia="Aptos" w:hAnsi="Times New Roman" w:cs="Times New Roman"/>
                <w:noProof/>
                <w:kern w:val="2"/>
                <w:sz w:val="20"/>
                <w:szCs w:val="20"/>
                <w14:ligatures w14:val="standardContextual"/>
              </w:rPr>
            </w:pP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39C41B4" w14:textId="77777777" w:rsidR="00A345F4" w:rsidRDefault="005E2D4E">
            <w:pPr>
              <w:pStyle w:val="P68B1DB1-Normal37"/>
              <w:spacing w:after="0" w:line="254" w:lineRule="auto"/>
              <w:jc w:val="both"/>
              <w:rPr>
                <w:noProof/>
              </w:rPr>
            </w:pPr>
            <w:r>
              <w:rPr>
                <w:noProof/>
              </w:rPr>
              <w:t>Étape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C9160DF" w14:textId="77777777" w:rsidR="00A345F4" w:rsidRDefault="005E2D4E">
            <w:pPr>
              <w:pStyle w:val="P68B1DB1-Normal37"/>
              <w:spacing w:after="0" w:line="254" w:lineRule="auto"/>
              <w:jc w:val="both"/>
              <w:rPr>
                <w:rFonts w:eastAsia="Times New Roman"/>
                <w:noProof/>
              </w:rPr>
            </w:pPr>
            <w:r>
              <w:rPr>
                <w:noProof/>
              </w:rPr>
              <w:t>Mise en place d'un registre national unique pour les terrains appartenant à l'État</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03E139E" w14:textId="77777777" w:rsidR="00A345F4" w:rsidRDefault="005E2D4E">
            <w:pPr>
              <w:pStyle w:val="P68B1DB1-Normal37"/>
              <w:spacing w:after="0" w:line="254" w:lineRule="auto"/>
              <w:jc w:val="both"/>
              <w:rPr>
                <w:noProof/>
              </w:rPr>
            </w:pPr>
            <w:r>
              <w:rPr>
                <w:noProof/>
              </w:rPr>
              <w:t>Création et mise en service d'un registre national unique</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8836E9C" w14:textId="77777777" w:rsidR="00A345F4" w:rsidRDefault="00A345F4">
            <w:pPr>
              <w:spacing w:after="0" w:line="259" w:lineRule="auto"/>
              <w:jc w:val="both"/>
              <w:rPr>
                <w:rFonts w:ascii="Times New Roman" w:eastAsia="Times New Roman" w:hAnsi="Times New Roman" w:cs="Times New Roman"/>
                <w:noProof/>
                <w:kern w:val="2"/>
                <w:sz w:val="20"/>
                <w:szCs w:val="20"/>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5374B2F" w14:textId="77777777" w:rsidR="00A345F4" w:rsidRDefault="00A345F4">
            <w:pPr>
              <w:spacing w:after="0" w:line="259" w:lineRule="auto"/>
              <w:ind w:left="360"/>
              <w:contextualSpacing/>
              <w:jc w:val="both"/>
              <w:rPr>
                <w:rFonts w:ascii="Times New Roman" w:eastAsia="Times New Roman" w:hAnsi="Times New Roman" w:cs="Times New Roman"/>
                <w:noProof/>
                <w:kern w:val="2"/>
                <w:sz w:val="20"/>
                <w:szCs w:val="20"/>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54C3538" w14:textId="77777777" w:rsidR="00A345F4" w:rsidRDefault="00A345F4">
            <w:pPr>
              <w:spacing w:after="0" w:line="259" w:lineRule="auto"/>
              <w:jc w:val="both"/>
              <w:rPr>
                <w:rFonts w:ascii="Times New Roman" w:eastAsia="Times New Roman" w:hAnsi="Times New Roman" w:cs="Times New Roman"/>
                <w:noProof/>
                <w:kern w:val="2"/>
                <w:sz w:val="20"/>
                <w:szCs w:val="20"/>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7A29BCF" w14:textId="77777777" w:rsidR="00A345F4" w:rsidRDefault="005E2D4E">
            <w:pPr>
              <w:pStyle w:val="P68B1DB1-Normal37"/>
              <w:spacing w:after="0" w:line="259" w:lineRule="auto"/>
              <w:jc w:val="both"/>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4400E6C" w14:textId="77777777" w:rsidR="00A345F4" w:rsidRDefault="005E2D4E">
            <w:pPr>
              <w:pStyle w:val="P68B1DB1-Normal37"/>
              <w:spacing w:after="0" w:line="259" w:lineRule="auto"/>
              <w:jc w:val="both"/>
              <w:rPr>
                <w:rFonts w:eastAsia="Times New Roman"/>
                <w:noProof/>
              </w:rPr>
            </w:pPr>
            <w:r>
              <w:rPr>
                <w:noProof/>
              </w:rPr>
              <w:t>2026</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875FDE2" w14:textId="77777777" w:rsidR="00A345F4" w:rsidRDefault="005E2D4E">
            <w:pPr>
              <w:pStyle w:val="P68B1DB1-Normal37"/>
              <w:spacing w:after="0" w:line="252" w:lineRule="auto"/>
              <w:jc w:val="both"/>
              <w:rPr>
                <w:noProof/>
              </w:rPr>
            </w:pPr>
            <w:r>
              <w:rPr>
                <w:noProof/>
              </w:rPr>
              <w:t>Pour que le jalon soit atteint, il faut:</w:t>
            </w:r>
          </w:p>
          <w:p w14:paraId="519986DD" w14:textId="6EEFA7FD" w:rsidR="00A345F4" w:rsidRDefault="005E2D4E">
            <w:pPr>
              <w:pStyle w:val="P68B1DB1-Normal37"/>
              <w:numPr>
                <w:ilvl w:val="0"/>
                <w:numId w:val="109"/>
              </w:numPr>
              <w:spacing w:after="0" w:line="252" w:lineRule="auto"/>
              <w:contextualSpacing/>
              <w:jc w:val="both"/>
              <w:rPr>
                <w:noProof/>
              </w:rPr>
            </w:pPr>
            <w:r>
              <w:rPr>
                <w:noProof/>
              </w:rPr>
              <w:t xml:space="preserve">un registre national unique pour les terrains appartenant à l’État mis en place et en service; </w:t>
            </w:r>
          </w:p>
          <w:p w14:paraId="09D7BC3B" w14:textId="77777777" w:rsidR="00A345F4" w:rsidRDefault="005E2D4E">
            <w:pPr>
              <w:pStyle w:val="P68B1DB1-Normal37"/>
              <w:numPr>
                <w:ilvl w:val="0"/>
                <w:numId w:val="109"/>
              </w:numPr>
              <w:spacing w:after="0" w:line="252" w:lineRule="auto"/>
              <w:contextualSpacing/>
              <w:jc w:val="both"/>
              <w:rPr>
                <w:noProof/>
              </w:rPr>
            </w:pPr>
            <w:r>
              <w:rPr>
                <w:noProof/>
              </w:rPr>
              <w:t>Études pédologiques menées sur 84 000 hectares de terres gérées par ADS;</w:t>
            </w:r>
          </w:p>
          <w:p w14:paraId="345CE526" w14:textId="761C5648" w:rsidR="00A345F4" w:rsidRDefault="005E2D4E">
            <w:pPr>
              <w:pStyle w:val="P68B1DB1-Normal37"/>
              <w:numPr>
                <w:ilvl w:val="0"/>
                <w:numId w:val="109"/>
              </w:numPr>
              <w:spacing w:after="0" w:line="252" w:lineRule="auto"/>
              <w:contextualSpacing/>
              <w:jc w:val="both"/>
              <w:rPr>
                <w:noProof/>
              </w:rPr>
            </w:pPr>
            <w:r>
              <w:rPr>
                <w:noProof/>
              </w:rPr>
              <w:t xml:space="preserve">Désignation de 32 000 hectares de terres gérées par ADS comme zones d'accélération pour les SER. </w:t>
            </w:r>
          </w:p>
        </w:tc>
      </w:tr>
      <w:tr w:rsidR="00A345F4" w14:paraId="186A901E"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A7CE60B" w14:textId="77777777" w:rsidR="00A345F4" w:rsidRDefault="005E2D4E">
            <w:pPr>
              <w:pStyle w:val="P68B1DB1-Normal37"/>
              <w:spacing w:after="0" w:line="259" w:lineRule="auto"/>
              <w:jc w:val="center"/>
              <w:rPr>
                <w:noProof/>
              </w:rPr>
            </w:pPr>
            <w:r>
              <w:rPr>
                <w:noProof/>
              </w:rPr>
              <w:t>516</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491FCC0" w14:textId="77777777" w:rsidR="00A345F4" w:rsidRDefault="005E2D4E">
            <w:pPr>
              <w:pStyle w:val="P68B1DB1-Normal37"/>
              <w:spacing w:after="0" w:line="245" w:lineRule="auto"/>
              <w:ind w:firstLine="4"/>
              <w:jc w:val="both"/>
              <w:rPr>
                <w:noProof/>
              </w:rPr>
            </w:pPr>
            <w:r>
              <w:rPr>
                <w:noProof/>
              </w:rPr>
              <w:t>Investissement 4. Octroi de bons pour accélérer le déploiement des énergies renouvelables par les ménages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F9A39E6" w14:textId="77777777" w:rsidR="00A345F4" w:rsidRDefault="005E2D4E">
            <w:pPr>
              <w:pStyle w:val="P68B1DB1-Normal37"/>
              <w:spacing w:after="0" w:line="254" w:lineRule="auto"/>
              <w:rPr>
                <w:noProof/>
              </w:rPr>
            </w:pPr>
            <w:r>
              <w:rPr>
                <w:noProof/>
              </w:rPr>
              <w:t>Objectif</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AC18D3" w14:textId="77777777" w:rsidR="00A345F4" w:rsidRDefault="005E2D4E">
            <w:pPr>
              <w:pStyle w:val="P68B1DB1-Normal37"/>
              <w:spacing w:after="0" w:line="254" w:lineRule="auto"/>
              <w:jc w:val="both"/>
              <w:rPr>
                <w:noProof/>
              </w:rPr>
            </w:pPr>
            <w:r>
              <w:rPr>
                <w:noProof/>
              </w:rPr>
              <w:t>Installation de panneaux solaires et de systèmes de stockage d'électricité par les ménages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741428C" w14:textId="77777777" w:rsidR="00A345F4" w:rsidRDefault="00A345F4">
            <w:pPr>
              <w:spacing w:before="138" w:after="0" w:line="254" w:lineRule="auto"/>
              <w:jc w:val="both"/>
              <w:rPr>
                <w:rFonts w:ascii="Times New Roman" w:eastAsia="Aptos" w:hAnsi="Times New Roman" w:cs="Times New Roman"/>
                <w:noProof/>
                <w:kern w:val="2"/>
                <w:sz w:val="20"/>
                <w:szCs w:val="20"/>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A2E447" w14:textId="77777777" w:rsidR="00A345F4" w:rsidRDefault="005E2D4E">
            <w:pPr>
              <w:pStyle w:val="P68B1DB1-Normal37"/>
              <w:spacing w:after="0" w:line="259" w:lineRule="auto"/>
              <w:rPr>
                <w:rFonts w:eastAsia="Times New Roman"/>
                <w:noProof/>
              </w:rPr>
            </w:pPr>
            <w:r>
              <w:rPr>
                <w:noProof/>
              </w:rPr>
              <w:t>Nombre de bons</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D1C5573" w14:textId="77777777" w:rsidR="00A345F4" w:rsidRDefault="005E2D4E">
            <w:pPr>
              <w:pStyle w:val="P68B1DB1-Normal37"/>
              <w:spacing w:after="0" w:line="259" w:lineRule="auto"/>
              <w:rPr>
                <w:rFonts w:eastAsia="Times New Roman"/>
                <w:noProof/>
              </w:rPr>
            </w:pPr>
            <w:r>
              <w:rPr>
                <w:noProof/>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071EEE" w14:textId="7CE46091" w:rsidR="00A345F4" w:rsidRDefault="005E2D4E">
            <w:pPr>
              <w:pStyle w:val="P68B1DB1-Normal37"/>
              <w:spacing w:after="0" w:line="257" w:lineRule="auto"/>
              <w:jc w:val="both"/>
              <w:rPr>
                <w:noProof/>
              </w:rPr>
            </w:pPr>
            <w:r>
              <w:rPr>
                <w:noProof/>
              </w:rPr>
              <w:t>122 000</w:t>
            </w:r>
          </w:p>
          <w:p w14:paraId="033A5792" w14:textId="77777777" w:rsidR="00A345F4" w:rsidRDefault="00A345F4">
            <w:pPr>
              <w:spacing w:after="0" w:line="259" w:lineRule="auto"/>
              <w:rPr>
                <w:rFonts w:ascii="Times New Roman" w:eastAsia="Times New Roman" w:hAnsi="Times New Roman" w:cs="Times New Roman"/>
                <w:noProof/>
                <w:kern w:val="2"/>
                <w:sz w:val="20"/>
                <w:szCs w:val="20"/>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03E3DF9" w14:textId="77777777" w:rsidR="00A345F4" w:rsidRDefault="005E2D4E">
            <w:pPr>
              <w:pStyle w:val="P68B1DB1-Normal37"/>
              <w:spacing w:after="0" w:line="259"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EDC73AB" w14:textId="77777777" w:rsidR="00A345F4" w:rsidRDefault="005E2D4E">
            <w:pPr>
              <w:pStyle w:val="P68B1DB1-Normal37"/>
              <w:spacing w:after="0" w:line="259" w:lineRule="auto"/>
              <w:rPr>
                <w:noProof/>
              </w:rPr>
            </w:pPr>
            <w:r>
              <w:rPr>
                <w:noProof/>
              </w:rPr>
              <w:t>2026</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A4E3B6B" w14:textId="77777777" w:rsidR="00A345F4" w:rsidRDefault="005E2D4E">
            <w:pPr>
              <w:pStyle w:val="P68B1DB1-Normal37"/>
              <w:spacing w:after="0" w:line="252" w:lineRule="auto"/>
              <w:jc w:val="both"/>
              <w:rPr>
                <w:noProof/>
              </w:rPr>
            </w:pPr>
            <w:r>
              <w:rPr>
                <w:noProof/>
              </w:rPr>
              <w:t>Le décaissement des bons est attesté par ménage au moyen de certificats de réception confirmant l’installation de panneaux solaires (d’une capacité nette d’au moins 3 kW) ou de systèmes de stockage d’électricité (d’une capacité utilisable d’au moins 5 kWh). Les systèmes autonomes de stockage d’électricité ne peuvent bénéficier d’une aide que si le propriétaire est déjà propriétaire d’un système solaire photovoltaïque d’une capacité nette d’au moins 3 kW.</w:t>
            </w:r>
          </w:p>
          <w:p w14:paraId="764A389B" w14:textId="77777777" w:rsidR="00A345F4" w:rsidRDefault="00A345F4">
            <w:pPr>
              <w:spacing w:after="0" w:line="252" w:lineRule="auto"/>
              <w:jc w:val="both"/>
              <w:rPr>
                <w:rFonts w:ascii="Times New Roman" w:eastAsia="Aptos" w:hAnsi="Times New Roman" w:cs="Times New Roman"/>
                <w:noProof/>
                <w:kern w:val="2"/>
                <w:sz w:val="20"/>
                <w:szCs w:val="20"/>
                <w14:ligatures w14:val="standardContextual"/>
              </w:rPr>
            </w:pPr>
          </w:p>
        </w:tc>
      </w:tr>
      <w:tr w:rsidR="00A345F4" w14:paraId="0E13832C"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27817A" w14:textId="77777777" w:rsidR="00A345F4" w:rsidRDefault="005E2D4E">
            <w:pPr>
              <w:pStyle w:val="P68B1DB1-Normal37"/>
              <w:spacing w:after="0" w:line="259" w:lineRule="auto"/>
              <w:jc w:val="center"/>
              <w:rPr>
                <w:noProof/>
              </w:rPr>
            </w:pPr>
            <w:r>
              <w:rPr>
                <w:noProof/>
              </w:rPr>
              <w:t>523</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59EF019" w14:textId="77777777" w:rsidR="00A345F4" w:rsidRDefault="005E2D4E">
            <w:pPr>
              <w:pStyle w:val="P68B1DB1-Normal37"/>
              <w:spacing w:after="0" w:line="245" w:lineRule="auto"/>
              <w:ind w:firstLine="4"/>
              <w:jc w:val="both"/>
              <w:rPr>
                <w:noProof/>
              </w:rPr>
            </w:pPr>
            <w:r>
              <w:rPr>
                <w:noProof/>
              </w:rPr>
              <w:t xml:space="preserve">Réforme 2. Mise en place de guichets uniques (OSS) pour fournir des services de conseil en énergie </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D6DD38F" w14:textId="77777777" w:rsidR="00A345F4" w:rsidRDefault="005E2D4E">
            <w:pPr>
              <w:pStyle w:val="P68B1DB1-Normal37"/>
              <w:spacing w:after="0" w:line="254" w:lineRule="auto"/>
              <w:rPr>
                <w:noProof/>
              </w:rPr>
            </w:pPr>
            <w:r>
              <w:rPr>
                <w:noProof/>
              </w:rPr>
              <w:t>Étape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95A050A" w14:textId="77777777" w:rsidR="00A345F4" w:rsidRDefault="005E2D4E">
            <w:pPr>
              <w:pStyle w:val="P68B1DB1-Normal37"/>
              <w:spacing w:after="0" w:line="254" w:lineRule="auto"/>
              <w:jc w:val="both"/>
              <w:rPr>
                <w:noProof/>
              </w:rPr>
            </w:pPr>
            <w:r>
              <w:rPr>
                <w:noProof/>
              </w:rPr>
              <w:t>Entrée en vigueur d’actes juridiques et réglementaires pour la création de bureaux OSS chargés de fournir des services de conseil en matière d’énergie</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D8046A6" w14:textId="77777777" w:rsidR="00A345F4" w:rsidRDefault="005E2D4E">
            <w:pPr>
              <w:pStyle w:val="P68B1DB1-Normal37"/>
              <w:spacing w:after="0" w:line="254" w:lineRule="auto"/>
              <w:jc w:val="both"/>
              <w:rPr>
                <w:noProof/>
              </w:rPr>
            </w:pPr>
            <w:r>
              <w:rPr>
                <w:noProof/>
              </w:rPr>
              <w:t>Disposition relative à l'entrée en vigueur</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D230515" w14:textId="77777777" w:rsidR="00A345F4" w:rsidRDefault="00A345F4">
            <w:pPr>
              <w:spacing w:after="0" w:line="259" w:lineRule="auto"/>
              <w:rPr>
                <w:rFonts w:ascii="Times New Roman" w:eastAsia="Times New Roman" w:hAnsi="Times New Roman" w:cs="Times New Roman"/>
                <w:noProof/>
                <w:kern w:val="2"/>
                <w:sz w:val="20"/>
                <w:szCs w:val="20"/>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vAlign w:val="center"/>
          </w:tcPr>
          <w:p w14:paraId="1386A1A4" w14:textId="77777777" w:rsidR="00A345F4" w:rsidRDefault="00A345F4">
            <w:pPr>
              <w:spacing w:after="0" w:line="259" w:lineRule="auto"/>
              <w:rPr>
                <w:rFonts w:ascii="Times New Roman" w:eastAsia="Times New Roman" w:hAnsi="Times New Roman" w:cs="Times New Roman"/>
                <w:noProof/>
                <w:kern w:val="2"/>
                <w:sz w:val="20"/>
                <w:szCs w:val="20"/>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EF3CE18" w14:textId="77777777" w:rsidR="00A345F4" w:rsidRDefault="00A345F4">
            <w:pPr>
              <w:spacing w:after="0" w:line="259" w:lineRule="auto"/>
              <w:rPr>
                <w:rFonts w:ascii="Times New Roman" w:eastAsia="Times New Roman" w:hAnsi="Times New Roman" w:cs="Times New Roman"/>
                <w:noProof/>
                <w:kern w:val="2"/>
                <w:sz w:val="20"/>
                <w:szCs w:val="20"/>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A364D6D" w14:textId="77777777" w:rsidR="00A345F4" w:rsidRDefault="005E2D4E">
            <w:pPr>
              <w:pStyle w:val="P68B1DB1-Normal37"/>
              <w:spacing w:after="0" w:line="259"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0453F36" w14:textId="77777777" w:rsidR="00A345F4" w:rsidRDefault="005E2D4E">
            <w:pPr>
              <w:pStyle w:val="P68B1DB1-Normal37"/>
              <w:spacing w:after="0" w:line="259" w:lineRule="auto"/>
              <w:rPr>
                <w:noProof/>
              </w:rPr>
            </w:pPr>
            <w:r>
              <w:rPr>
                <w:noProof/>
              </w:rPr>
              <w:t>2024</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B96FB0C" w14:textId="77777777" w:rsidR="00A345F4" w:rsidRDefault="005E2D4E">
            <w:pPr>
              <w:pStyle w:val="P68B1DB1-Normal37"/>
              <w:spacing w:after="0" w:line="252" w:lineRule="auto"/>
              <w:jc w:val="both"/>
              <w:rPr>
                <w:noProof/>
              </w:rPr>
            </w:pPr>
            <w:r>
              <w:rPr>
                <w:noProof/>
              </w:rPr>
              <w:t>Entrée en vigueur d’actes juridiques et réglementaires fournissant le cadre pour la mise en place de bureaux OSS physiques, chargés de fournir des services de conseil en énergie aux propriétaires.</w:t>
            </w:r>
          </w:p>
          <w:p w14:paraId="5A29BBB9" w14:textId="77777777" w:rsidR="00A345F4" w:rsidRDefault="005E2D4E">
            <w:pPr>
              <w:pStyle w:val="P68B1DB1-Normal37"/>
              <w:spacing w:before="138" w:after="0" w:line="252" w:lineRule="auto"/>
              <w:jc w:val="both"/>
              <w:rPr>
                <w:noProof/>
              </w:rPr>
            </w:pPr>
            <w:r>
              <w:rPr>
                <w:noProof/>
              </w:rPr>
              <w:t>Le cadre établi par les actes juridiques contient des dispositions précisant les tâches, la gouvernance et la structure de financement des bureaux du guichet unique.</w:t>
            </w:r>
          </w:p>
        </w:tc>
      </w:tr>
      <w:tr w:rsidR="00A345F4" w14:paraId="2347E8CC"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D9BF618" w14:textId="77777777" w:rsidR="00A345F4" w:rsidRDefault="005E2D4E">
            <w:pPr>
              <w:pStyle w:val="P68B1DB1-Normal39"/>
              <w:spacing w:after="0" w:line="259" w:lineRule="auto"/>
              <w:jc w:val="center"/>
              <w:rPr>
                <w:rFonts w:eastAsia="Aptos"/>
                <w:noProof/>
              </w:rPr>
            </w:pPr>
            <w:r>
              <w:rPr>
                <w:noProof/>
              </w:rPr>
              <w:t>524</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33CB8A9" w14:textId="77777777" w:rsidR="00A345F4" w:rsidRDefault="005E2D4E">
            <w:pPr>
              <w:pStyle w:val="P68B1DB1-Normal37"/>
              <w:spacing w:after="0" w:line="245" w:lineRule="auto"/>
              <w:ind w:firstLine="4"/>
              <w:jc w:val="both"/>
              <w:rPr>
                <w:noProof/>
              </w:rPr>
            </w:pPr>
            <w:r>
              <w:rPr>
                <w:noProof/>
              </w:rPr>
              <w:t xml:space="preserve">Réforme 2. Mise en place de guichets uniques (OSS) pour fournir des services de conseil en énergie </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84D8E0" w14:textId="77777777" w:rsidR="00A345F4" w:rsidRDefault="005E2D4E">
            <w:pPr>
              <w:pStyle w:val="P68B1DB1-Normal37"/>
              <w:spacing w:after="0" w:line="254" w:lineRule="auto"/>
              <w:rPr>
                <w:noProof/>
              </w:rPr>
            </w:pPr>
            <w:r>
              <w:rPr>
                <w:noProof/>
              </w:rPr>
              <w:t>Objectif</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280ED08" w14:textId="77777777" w:rsidR="00A345F4" w:rsidRDefault="005E2D4E">
            <w:pPr>
              <w:pStyle w:val="P68B1DB1-Normal37"/>
              <w:spacing w:after="0" w:line="254" w:lineRule="auto"/>
              <w:jc w:val="both"/>
              <w:rPr>
                <w:noProof/>
              </w:rPr>
            </w:pPr>
            <w:r>
              <w:rPr>
                <w:noProof/>
              </w:rPr>
              <w:t>Formation du personnel du guichet unique</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7122CB6" w14:textId="77777777" w:rsidR="00A345F4" w:rsidRDefault="00A345F4">
            <w:pPr>
              <w:spacing w:after="0" w:line="254" w:lineRule="auto"/>
              <w:jc w:val="both"/>
              <w:rPr>
                <w:rFonts w:ascii="Times New Roman" w:eastAsia="Aptos" w:hAnsi="Times New Roman" w:cs="Times New Roman"/>
                <w:noProof/>
                <w:kern w:val="2"/>
                <w:sz w:val="20"/>
                <w:szCs w:val="20"/>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4A3608" w14:textId="77777777" w:rsidR="00A345F4" w:rsidRDefault="005E2D4E">
            <w:pPr>
              <w:pStyle w:val="P68B1DB1-Normal37"/>
              <w:spacing w:after="0" w:line="259" w:lineRule="auto"/>
              <w:rPr>
                <w:rFonts w:eastAsia="Times New Roman"/>
                <w:noProof/>
              </w:rPr>
            </w:pPr>
            <w:r>
              <w:rPr>
                <w:noProof/>
              </w:rPr>
              <w:t>Numéro</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D07AAAC" w14:textId="77777777" w:rsidR="00A345F4" w:rsidRDefault="005E2D4E">
            <w:pPr>
              <w:pStyle w:val="P68B1DB1-Normal37"/>
              <w:spacing w:after="0" w:line="259" w:lineRule="auto"/>
              <w:rPr>
                <w:rFonts w:eastAsia="Times New Roman"/>
                <w:noProof/>
              </w:rPr>
            </w:pPr>
            <w:r>
              <w:rPr>
                <w:noProof/>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2B5330" w14:textId="77777777" w:rsidR="00A345F4" w:rsidRDefault="005E2D4E">
            <w:pPr>
              <w:pStyle w:val="P68B1DB1-Normal37"/>
              <w:spacing w:after="0" w:line="259" w:lineRule="auto"/>
              <w:rPr>
                <w:rFonts w:eastAsia="Times New Roman"/>
                <w:noProof/>
              </w:rPr>
            </w:pPr>
            <w:r>
              <w:rPr>
                <w:noProof/>
              </w:rPr>
              <w:t>84</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B2335F2" w14:textId="77777777" w:rsidR="00A345F4" w:rsidRDefault="005E2D4E">
            <w:pPr>
              <w:pStyle w:val="P68B1DB1-Normal37"/>
              <w:spacing w:after="0" w:line="259"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0D97922" w14:textId="77777777" w:rsidR="00A345F4" w:rsidRDefault="005E2D4E">
            <w:pPr>
              <w:pStyle w:val="P68B1DB1-Normal37"/>
              <w:spacing w:after="0" w:line="259" w:lineRule="auto"/>
              <w:rPr>
                <w:noProof/>
              </w:rPr>
            </w:pPr>
            <w:r>
              <w:rPr>
                <w:noProof/>
              </w:rPr>
              <w:t>2024</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208B657" w14:textId="2193BF6A" w:rsidR="00A345F4" w:rsidRDefault="005E2D4E">
            <w:pPr>
              <w:pStyle w:val="P68B1DB1-Normal37"/>
              <w:spacing w:after="0" w:line="252" w:lineRule="auto"/>
              <w:jc w:val="both"/>
              <w:rPr>
                <w:noProof/>
              </w:rPr>
            </w:pPr>
            <w:r>
              <w:rPr>
                <w:noProof/>
              </w:rPr>
              <w:t>Certificats d'achèvement de la formation pour 84 membres du personnel de l'OSS pour exercer différents rôles dans les bureaux de l'OSS.</w:t>
            </w:r>
          </w:p>
        </w:tc>
      </w:tr>
      <w:tr w:rsidR="00A345F4" w14:paraId="33E0A72C"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8BA8EA4" w14:textId="77777777" w:rsidR="00A345F4" w:rsidRDefault="005E2D4E">
            <w:pPr>
              <w:pStyle w:val="P68B1DB1-Normal39"/>
              <w:spacing w:after="0" w:line="259" w:lineRule="auto"/>
              <w:jc w:val="center"/>
              <w:rPr>
                <w:rFonts w:eastAsia="Aptos"/>
                <w:noProof/>
              </w:rPr>
            </w:pPr>
            <w:r>
              <w:rPr>
                <w:noProof/>
              </w:rPr>
              <w:t>525</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7FEDA5B" w14:textId="77777777" w:rsidR="00A345F4" w:rsidRDefault="005E2D4E">
            <w:pPr>
              <w:pStyle w:val="P68B1DB1-Normal37"/>
              <w:spacing w:after="0" w:line="245" w:lineRule="auto"/>
              <w:ind w:firstLine="4"/>
              <w:jc w:val="both"/>
              <w:rPr>
                <w:noProof/>
              </w:rPr>
            </w:pPr>
            <w:r>
              <w:rPr>
                <w:noProof/>
              </w:rPr>
              <w:t>Réforme 2. Mise en place de guichets uniques pour fournir aux prosommateurs des services de conseil en matière d’énergie pour les rénovations en matière d’efficacité énergétique et la production d’énergie à partir de sources renouvelables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70BB86B" w14:textId="77777777" w:rsidR="00A345F4" w:rsidRDefault="005E2D4E">
            <w:pPr>
              <w:pStyle w:val="P68B1DB1-Normal37"/>
              <w:spacing w:after="0" w:line="254" w:lineRule="auto"/>
              <w:rPr>
                <w:noProof/>
              </w:rPr>
            </w:pPr>
            <w:r>
              <w:rPr>
                <w:noProof/>
              </w:rPr>
              <w:t>Objectif</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7AE8ECE" w14:textId="77777777" w:rsidR="00A345F4" w:rsidRDefault="005E2D4E">
            <w:pPr>
              <w:pStyle w:val="P68B1DB1-Normal37"/>
              <w:spacing w:after="0" w:line="254" w:lineRule="auto"/>
              <w:jc w:val="both"/>
              <w:rPr>
                <w:noProof/>
              </w:rPr>
            </w:pPr>
            <w:r>
              <w:rPr>
                <w:noProof/>
              </w:rPr>
              <w:t>Ouverture de bureaux OSS physiques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EA93593" w14:textId="77777777" w:rsidR="00A345F4" w:rsidRDefault="00A345F4">
            <w:pPr>
              <w:spacing w:after="0" w:line="254" w:lineRule="auto"/>
              <w:jc w:val="both"/>
              <w:rPr>
                <w:rFonts w:ascii="Times New Roman" w:eastAsia="Aptos" w:hAnsi="Times New Roman" w:cs="Times New Roman"/>
                <w:noProof/>
                <w:kern w:val="2"/>
                <w:sz w:val="20"/>
                <w:szCs w:val="20"/>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C791FD7" w14:textId="77777777" w:rsidR="00A345F4" w:rsidRDefault="005E2D4E">
            <w:pPr>
              <w:pStyle w:val="P68B1DB1-Normal37"/>
              <w:spacing w:after="0" w:line="259" w:lineRule="auto"/>
              <w:rPr>
                <w:rFonts w:eastAsia="Times New Roman"/>
                <w:noProof/>
              </w:rPr>
            </w:pPr>
            <w:r>
              <w:rPr>
                <w:noProof/>
              </w:rPr>
              <w:t>Numéro</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C77A55" w14:textId="77777777" w:rsidR="00A345F4" w:rsidRDefault="005E2D4E">
            <w:pPr>
              <w:pStyle w:val="P68B1DB1-Normal37"/>
              <w:spacing w:after="0" w:line="259" w:lineRule="auto"/>
              <w:rPr>
                <w:rFonts w:eastAsia="Times New Roman"/>
                <w:noProof/>
              </w:rPr>
            </w:pPr>
            <w:r>
              <w:rPr>
                <w:noProof/>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8ACF933" w14:textId="77777777" w:rsidR="00A345F4" w:rsidRDefault="005E2D4E">
            <w:pPr>
              <w:pStyle w:val="P68B1DB1-Normal37"/>
              <w:spacing w:after="0" w:line="259" w:lineRule="auto"/>
              <w:rPr>
                <w:rFonts w:eastAsia="Times New Roman"/>
                <w:noProof/>
              </w:rPr>
            </w:pPr>
            <w:r>
              <w:rPr>
                <w:noProof/>
              </w:rPr>
              <w:t>42</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EE11011" w14:textId="77777777" w:rsidR="00A345F4" w:rsidRDefault="005E2D4E">
            <w:pPr>
              <w:pStyle w:val="P68B1DB1-Normal37"/>
              <w:spacing w:after="0" w:line="259"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B321D70" w14:textId="77777777" w:rsidR="00A345F4" w:rsidRDefault="005E2D4E">
            <w:pPr>
              <w:pStyle w:val="P68B1DB1-Normal37"/>
              <w:spacing w:after="0" w:line="259" w:lineRule="auto"/>
              <w:rPr>
                <w:noProof/>
              </w:rPr>
            </w:pPr>
            <w:r>
              <w:rPr>
                <w:noProof/>
              </w:rPr>
              <w:t>2026</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CA0338C" w14:textId="77777777" w:rsidR="00A345F4" w:rsidRDefault="005E2D4E">
            <w:pPr>
              <w:pStyle w:val="P68B1DB1-Normal37"/>
              <w:spacing w:after="0" w:line="259" w:lineRule="auto"/>
              <w:jc w:val="both"/>
              <w:rPr>
                <w:noProof/>
              </w:rPr>
            </w:pPr>
            <w:r>
              <w:rPr>
                <w:noProof/>
              </w:rPr>
              <w:t>42 bureaux OSS physiques sont prêts à servir et ouverts aux citoyens.</w:t>
            </w:r>
          </w:p>
          <w:p w14:paraId="78E63DE0" w14:textId="77777777" w:rsidR="00A345F4" w:rsidRDefault="00A345F4">
            <w:pPr>
              <w:spacing w:after="0" w:line="252" w:lineRule="auto"/>
              <w:jc w:val="both"/>
              <w:rPr>
                <w:rFonts w:ascii="Times New Roman" w:eastAsia="Aptos" w:hAnsi="Times New Roman" w:cs="Times New Roman"/>
                <w:noProof/>
                <w:kern w:val="2"/>
                <w:sz w:val="20"/>
                <w:szCs w:val="20"/>
                <w14:ligatures w14:val="standardContextual"/>
              </w:rPr>
            </w:pPr>
          </w:p>
        </w:tc>
      </w:tr>
      <w:tr w:rsidR="00A345F4" w14:paraId="39BAE85C"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C7A12EF" w14:textId="77777777" w:rsidR="00A345F4" w:rsidRDefault="005E2D4E">
            <w:pPr>
              <w:pStyle w:val="P68B1DB1-Normal37"/>
              <w:spacing w:after="0" w:line="259" w:lineRule="auto"/>
              <w:jc w:val="center"/>
              <w:rPr>
                <w:noProof/>
              </w:rPr>
            </w:pPr>
            <w:r>
              <w:rPr>
                <w:noProof/>
              </w:rPr>
              <w:t>124</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2352D66" w14:textId="77777777" w:rsidR="00A345F4" w:rsidRDefault="005E2D4E">
            <w:pPr>
              <w:pStyle w:val="P68B1DB1-Normal37"/>
              <w:spacing w:after="0" w:line="259" w:lineRule="auto"/>
              <w:jc w:val="both"/>
              <w:rPr>
                <w:noProof/>
              </w:rPr>
            </w:pPr>
            <w:r>
              <w:rPr>
                <w:noProof/>
              </w:rPr>
              <w:t>Investissement 2. Nouvelles capacités de production d'électricité à partir de sources renouvelables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1B5BF9" w14:textId="77777777" w:rsidR="00A345F4" w:rsidRDefault="005E2D4E">
            <w:pPr>
              <w:pStyle w:val="P68B1DB1-Normal37"/>
              <w:spacing w:after="0" w:line="252" w:lineRule="auto"/>
              <w:rPr>
                <w:noProof/>
              </w:rPr>
            </w:pPr>
            <w:r>
              <w:rPr>
                <w:noProof/>
              </w:rPr>
              <w:t>Étape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DA448F6" w14:textId="77777777" w:rsidR="00A345F4" w:rsidRDefault="005E2D4E">
            <w:pPr>
              <w:pStyle w:val="P68B1DB1-Normal37"/>
              <w:spacing w:after="0" w:line="252" w:lineRule="auto"/>
              <w:jc w:val="both"/>
              <w:rPr>
                <w:noProof/>
              </w:rPr>
            </w:pPr>
            <w:r>
              <w:rPr>
                <w:noProof/>
              </w:rPr>
              <w:t>Ouverture d'un appel d'offres pour des projets de production d'énergie à partir de sources renouvelables (éolienne et solaire)</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28FC642" w14:textId="77777777" w:rsidR="00A345F4" w:rsidRDefault="00A345F4">
            <w:pPr>
              <w:spacing w:after="0" w:line="252" w:lineRule="auto"/>
              <w:jc w:val="both"/>
              <w:rPr>
                <w:rFonts w:ascii="Times New Roman" w:eastAsia="Aptos" w:hAnsi="Times New Roman" w:cs="Times New Roman"/>
                <w:noProof/>
                <w:kern w:val="2"/>
                <w:sz w:val="20"/>
                <w:szCs w:val="20"/>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0B590FE" w14:textId="77777777" w:rsidR="00A345F4" w:rsidRDefault="00A345F4">
            <w:pPr>
              <w:spacing w:after="0" w:line="259" w:lineRule="auto"/>
              <w:rPr>
                <w:rFonts w:ascii="Times New Roman" w:eastAsia="Times New Roman" w:hAnsi="Times New Roman" w:cs="Times New Roman"/>
                <w:noProof/>
                <w:kern w:val="2"/>
                <w:sz w:val="20"/>
                <w:szCs w:val="20"/>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08830E6" w14:textId="77777777" w:rsidR="00A345F4" w:rsidRDefault="00A345F4">
            <w:pPr>
              <w:spacing w:after="0" w:line="259" w:lineRule="auto"/>
              <w:jc w:val="center"/>
              <w:rPr>
                <w:rFonts w:ascii="Times New Roman" w:eastAsia="Times New Roman" w:hAnsi="Times New Roman" w:cs="Times New Roman"/>
                <w:noProof/>
                <w:kern w:val="2"/>
                <w:sz w:val="20"/>
                <w:szCs w:val="20"/>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C8AC1D" w14:textId="77777777" w:rsidR="00A345F4" w:rsidRDefault="00A345F4">
            <w:pPr>
              <w:spacing w:after="0" w:line="259" w:lineRule="auto"/>
              <w:jc w:val="center"/>
              <w:rPr>
                <w:rFonts w:ascii="Times New Roman" w:eastAsia="Times New Roman" w:hAnsi="Times New Roman" w:cs="Times New Roman"/>
                <w:noProof/>
                <w:kern w:val="2"/>
                <w:sz w:val="20"/>
                <w:szCs w:val="20"/>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47FB619" w14:textId="77777777" w:rsidR="00A345F4" w:rsidRDefault="005E2D4E">
            <w:pPr>
              <w:pStyle w:val="P68B1DB1-Normal37"/>
              <w:spacing w:after="0" w:line="259"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2797D3A" w14:textId="77777777" w:rsidR="00A345F4" w:rsidRDefault="005E2D4E">
            <w:pPr>
              <w:pStyle w:val="P68B1DB1-Normal37"/>
              <w:spacing w:after="0" w:line="259" w:lineRule="auto"/>
              <w:rPr>
                <w:rFonts w:eastAsia="Times New Roman"/>
                <w:noProof/>
              </w:rPr>
            </w:pPr>
            <w:r>
              <w:rPr>
                <w:noProof/>
              </w:rPr>
              <w:t>2022</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9C5F0FC" w14:textId="77777777" w:rsidR="00A345F4" w:rsidRDefault="005E2D4E">
            <w:pPr>
              <w:pStyle w:val="P68B1DB1-Normal37"/>
              <w:spacing w:after="0" w:line="264" w:lineRule="auto"/>
              <w:jc w:val="both"/>
              <w:rPr>
                <w:noProof/>
              </w:rPr>
            </w:pPr>
            <w:r>
              <w:rPr>
                <w:noProof/>
              </w:rPr>
              <w:t>Un appel d'offres pour la sélection de projets de production d'énergie à partir de sources renouvelables (éolienne et solaire) est publié. Les critères de sélection garantissent le respect des orientations techniques «ne pas causer de préjudice important» [C(2023) 6454 final]. L'appel est ouvert à la fois aux PME et aux grands investisseurs.</w:t>
            </w:r>
          </w:p>
        </w:tc>
      </w:tr>
      <w:tr w:rsidR="00A345F4" w14:paraId="62C4D639"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270F227" w14:textId="77777777" w:rsidR="00A345F4" w:rsidRDefault="005E2D4E">
            <w:pPr>
              <w:pStyle w:val="P68B1DB1-Normal37"/>
              <w:spacing w:after="0" w:line="259" w:lineRule="auto"/>
              <w:jc w:val="center"/>
              <w:rPr>
                <w:noProof/>
              </w:rPr>
            </w:pPr>
            <w:r>
              <w:rPr>
                <w:noProof/>
              </w:rPr>
              <w:t>125</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206AF1D" w14:textId="77777777" w:rsidR="00A345F4" w:rsidRDefault="005E2D4E">
            <w:pPr>
              <w:pStyle w:val="P68B1DB1-Normal37"/>
              <w:spacing w:after="0" w:line="259" w:lineRule="auto"/>
              <w:jc w:val="both"/>
              <w:rPr>
                <w:noProof/>
              </w:rPr>
            </w:pPr>
            <w:r>
              <w:rPr>
                <w:noProof/>
              </w:rPr>
              <w:t xml:space="preserve">Investissement 2. Nouvelles capacités de production d'électricité à partir de sources renouvelables </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578C96B" w14:textId="77777777" w:rsidR="00A345F4" w:rsidRDefault="005E2D4E">
            <w:pPr>
              <w:pStyle w:val="P68B1DB1-Normal37"/>
              <w:spacing w:after="0" w:line="252" w:lineRule="auto"/>
              <w:rPr>
                <w:noProof/>
              </w:rPr>
            </w:pPr>
            <w:r>
              <w:rPr>
                <w:noProof/>
              </w:rPr>
              <w:t>Objectif</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5D3FE90" w14:textId="2A178F46" w:rsidR="00A345F4" w:rsidRDefault="005E2D4E">
            <w:pPr>
              <w:pStyle w:val="P68B1DB1-Normal37"/>
              <w:spacing w:after="0" w:line="252" w:lineRule="auto"/>
              <w:jc w:val="both"/>
              <w:rPr>
                <w:noProof/>
              </w:rPr>
            </w:pPr>
            <w:r>
              <w:rPr>
                <w:noProof/>
              </w:rPr>
              <w:t>Capacité installée et raccordée au réseau</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0D9BB59" w14:textId="77777777" w:rsidR="00A345F4" w:rsidRDefault="00A345F4">
            <w:pPr>
              <w:spacing w:after="0" w:line="252" w:lineRule="auto"/>
              <w:jc w:val="both"/>
              <w:rPr>
                <w:rFonts w:ascii="Times New Roman" w:eastAsia="Aptos" w:hAnsi="Times New Roman" w:cs="Times New Roman"/>
                <w:noProof/>
                <w:kern w:val="2"/>
                <w:sz w:val="20"/>
                <w:szCs w:val="20"/>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BF5016E" w14:textId="77777777" w:rsidR="00A345F4" w:rsidRDefault="005E2D4E">
            <w:pPr>
              <w:pStyle w:val="P68B1DB1-Normal37"/>
              <w:spacing w:after="0" w:line="259" w:lineRule="auto"/>
              <w:rPr>
                <w:rFonts w:eastAsia="Times New Roman"/>
                <w:noProof/>
              </w:rPr>
            </w:pPr>
            <w:r>
              <w:rPr>
                <w:noProof/>
              </w:rPr>
              <w:t>Mégawatts (MW)</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1447FFF" w14:textId="77777777" w:rsidR="00A345F4" w:rsidRDefault="005E2D4E">
            <w:pPr>
              <w:pStyle w:val="P68B1DB1-Normal37"/>
              <w:spacing w:after="0" w:line="259" w:lineRule="auto"/>
              <w:jc w:val="center"/>
              <w:rPr>
                <w:rFonts w:eastAsia="Times New Roman"/>
                <w:noProof/>
              </w:rPr>
            </w:pPr>
            <w:r>
              <w:rPr>
                <w:noProof/>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EF4BD4" w14:textId="77777777" w:rsidR="00A345F4" w:rsidRDefault="005E2D4E">
            <w:pPr>
              <w:pStyle w:val="P68B1DB1-Normal37"/>
              <w:spacing w:after="0" w:line="259" w:lineRule="auto"/>
              <w:jc w:val="center"/>
              <w:rPr>
                <w:rFonts w:eastAsia="Times New Roman"/>
                <w:noProof/>
              </w:rPr>
            </w:pPr>
            <w:r>
              <w:rPr>
                <w:noProof/>
              </w:rPr>
              <w:t>950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63CD6F6" w14:textId="77777777" w:rsidR="00A345F4" w:rsidRDefault="005E2D4E">
            <w:pPr>
              <w:pStyle w:val="P68B1DB1-Normal37"/>
              <w:spacing w:after="0" w:line="259"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70F7821" w14:textId="77777777" w:rsidR="00A345F4" w:rsidRDefault="005E2D4E">
            <w:pPr>
              <w:pStyle w:val="P68B1DB1-Normal37"/>
              <w:spacing w:after="0" w:line="259" w:lineRule="auto"/>
              <w:rPr>
                <w:rFonts w:eastAsia="Times New Roman"/>
                <w:noProof/>
              </w:rPr>
            </w:pPr>
            <w:r>
              <w:rPr>
                <w:noProof/>
              </w:rPr>
              <w:t>2026</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7805EE3" w14:textId="08DF09A7" w:rsidR="00A345F4" w:rsidRDefault="005E2D4E">
            <w:pPr>
              <w:pStyle w:val="P68B1DB1-Normal37"/>
              <w:spacing w:after="0" w:line="264" w:lineRule="auto"/>
              <w:jc w:val="both"/>
              <w:rPr>
                <w:noProof/>
              </w:rPr>
            </w:pPr>
            <w:r>
              <w:rPr>
                <w:noProof/>
              </w:rPr>
              <w:t xml:space="preserve">Des certificats d’acceptation de l’installation pour une capacité d’au moins 950 MW provenant de sources renouvelables (éolienne et solaire), accompagnés d’une notification de mise sous tension (NTP) ou d’un certificat de raccordement, certifiant le raccordement de l’installation au réseau de transport ou de distribution d’électricité sont délivrés. </w:t>
            </w:r>
          </w:p>
        </w:tc>
      </w:tr>
      <w:tr w:rsidR="00A345F4" w14:paraId="72052A46"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45B258B" w14:textId="77777777" w:rsidR="00A345F4" w:rsidRDefault="005E2D4E">
            <w:pPr>
              <w:pStyle w:val="P68B1DB1-Normal37"/>
              <w:spacing w:line="259" w:lineRule="auto"/>
              <w:jc w:val="center"/>
              <w:rPr>
                <w:noProof/>
              </w:rPr>
            </w:pPr>
            <w:r>
              <w:rPr>
                <w:noProof/>
              </w:rPr>
              <w:t>518</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7BC215C" w14:textId="77777777" w:rsidR="00A345F4" w:rsidRDefault="005E2D4E">
            <w:pPr>
              <w:pStyle w:val="P68B1DB1-Normal37"/>
              <w:spacing w:line="245" w:lineRule="auto"/>
              <w:jc w:val="both"/>
              <w:rPr>
                <w:noProof/>
              </w:rPr>
            </w:pPr>
            <w:r>
              <w:rPr>
                <w:noProof/>
              </w:rPr>
              <w:t>Investissement 5: Numérisation et modernisation du réseau national de transport d’électricité</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758946B" w14:textId="77777777" w:rsidR="00A345F4" w:rsidRDefault="005E2D4E">
            <w:pPr>
              <w:pStyle w:val="P68B1DB1-Normal37"/>
              <w:spacing w:line="245" w:lineRule="auto"/>
              <w:rPr>
                <w:noProof/>
              </w:rPr>
            </w:pPr>
            <w:r>
              <w:rPr>
                <w:noProof/>
              </w:rPr>
              <w:t>Objectif</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C42D073" w14:textId="77777777" w:rsidR="00A345F4" w:rsidRDefault="005E2D4E">
            <w:pPr>
              <w:pStyle w:val="P68B1DB1-Normal37"/>
              <w:spacing w:line="252" w:lineRule="auto"/>
              <w:jc w:val="both"/>
              <w:rPr>
                <w:noProof/>
              </w:rPr>
            </w:pPr>
            <w:r>
              <w:rPr>
                <w:noProof/>
              </w:rPr>
              <w:t>Réduction de la consommation annuelle d'électricité</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437DC1" w14:textId="77777777" w:rsidR="00A345F4" w:rsidRDefault="00A345F4">
            <w:pPr>
              <w:spacing w:line="252" w:lineRule="auto"/>
              <w:jc w:val="both"/>
              <w:rPr>
                <w:rFonts w:ascii="Times New Roman" w:eastAsia="Aptos" w:hAnsi="Times New Roman" w:cs="Times New Roman"/>
                <w:noProof/>
                <w:kern w:val="2"/>
                <w:sz w:val="20"/>
                <w:szCs w:val="20"/>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A3C34E0" w14:textId="77777777" w:rsidR="00A345F4" w:rsidRDefault="005E2D4E">
            <w:pPr>
              <w:pStyle w:val="P68B1DB1-Normal37"/>
              <w:spacing w:line="259" w:lineRule="auto"/>
              <w:rPr>
                <w:rFonts w:eastAsia="Times New Roman"/>
                <w:noProof/>
              </w:rPr>
            </w:pPr>
            <w:r>
              <w:rPr>
                <w:noProof/>
              </w:rPr>
              <w:t>GWh</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2C52E19" w14:textId="77777777" w:rsidR="00A345F4" w:rsidRDefault="005E2D4E">
            <w:pPr>
              <w:pStyle w:val="P68B1DB1-Normal37"/>
              <w:spacing w:line="259" w:lineRule="auto"/>
              <w:jc w:val="center"/>
              <w:rPr>
                <w:rFonts w:eastAsia="Times New Roman"/>
                <w:noProof/>
              </w:rPr>
            </w:pPr>
            <w:r>
              <w:rPr>
                <w:noProof/>
              </w:rPr>
              <w:t>18</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1863BD1" w14:textId="77777777" w:rsidR="00A345F4" w:rsidRDefault="005E2D4E">
            <w:pPr>
              <w:pStyle w:val="P68B1DB1-Normal37"/>
              <w:spacing w:line="257" w:lineRule="auto"/>
              <w:jc w:val="center"/>
              <w:rPr>
                <w:noProof/>
              </w:rPr>
            </w:pPr>
            <w:r>
              <w:rPr>
                <w:noProof/>
              </w:rPr>
              <w:t>9</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5B18663" w14:textId="77777777" w:rsidR="00A345F4" w:rsidRDefault="005E2D4E">
            <w:pPr>
              <w:pStyle w:val="P68B1DB1-Normal37"/>
              <w:spacing w:line="259"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67D460E" w14:textId="77777777" w:rsidR="00A345F4" w:rsidRDefault="005E2D4E">
            <w:pPr>
              <w:pStyle w:val="P68B1DB1-Normal37"/>
              <w:spacing w:after="0" w:line="259" w:lineRule="auto"/>
              <w:rPr>
                <w:rFonts w:eastAsia="Times New Roman"/>
                <w:noProof/>
              </w:rPr>
            </w:pPr>
            <w:r>
              <w:rPr>
                <w:noProof/>
              </w:rPr>
              <w:t>2026</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EF54282" w14:textId="42315C69" w:rsidR="00A345F4" w:rsidRDefault="005E2D4E">
            <w:pPr>
              <w:pStyle w:val="P68B1DB1-Normal37"/>
              <w:spacing w:after="0" w:line="252" w:lineRule="auto"/>
              <w:jc w:val="both"/>
              <w:rPr>
                <w:noProof/>
              </w:rPr>
            </w:pPr>
            <w:r>
              <w:rPr>
                <w:noProof/>
              </w:rPr>
              <w:t>Un ou plusieurs certificats d’acceptation sont délivrés pour l’installation de 10,76 MW de panneaux solaires photovoltaïques et de 12 MW de capacité de stockage d’énergie (dans 29 sous-stations), accompagnés d’un rapport d’expert indépendant certifiant une réduction estimée de 50 % de la consommation annuelle d’électricité par rapport au niveau de référence de 2022.</w:t>
            </w:r>
          </w:p>
        </w:tc>
      </w:tr>
      <w:tr w:rsidR="00A345F4" w14:paraId="668CB503"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33B059" w14:textId="77777777" w:rsidR="00A345F4" w:rsidRDefault="005E2D4E">
            <w:pPr>
              <w:pStyle w:val="P68B1DB1-Normal37"/>
              <w:spacing w:line="259" w:lineRule="auto"/>
              <w:jc w:val="center"/>
              <w:rPr>
                <w:noProof/>
              </w:rPr>
            </w:pPr>
            <w:r>
              <w:rPr>
                <w:noProof/>
              </w:rPr>
              <w:t>520</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90115FC" w14:textId="77777777" w:rsidR="00A345F4" w:rsidRDefault="005E2D4E">
            <w:pPr>
              <w:pStyle w:val="P68B1DB1-Normal37"/>
              <w:spacing w:line="245" w:lineRule="auto"/>
              <w:jc w:val="both"/>
              <w:rPr>
                <w:noProof/>
              </w:rPr>
            </w:pPr>
            <w:r>
              <w:rPr>
                <w:noProof/>
              </w:rPr>
              <w:t>Investissement 5: Numérisation et modernisation du réseau national de transport d’électricité</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9B51B3E" w14:textId="77777777" w:rsidR="00A345F4" w:rsidRDefault="005E2D4E">
            <w:pPr>
              <w:pStyle w:val="P68B1DB1-Normal37"/>
              <w:spacing w:line="245" w:lineRule="auto"/>
              <w:rPr>
                <w:noProof/>
              </w:rPr>
            </w:pPr>
            <w:r>
              <w:rPr>
                <w:noProof/>
              </w:rPr>
              <w:t>Objectif</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3E30A4B" w14:textId="77777777" w:rsidR="00A345F4" w:rsidRDefault="005E2D4E">
            <w:pPr>
              <w:pStyle w:val="P68B1DB1-Normal37"/>
              <w:spacing w:line="252" w:lineRule="auto"/>
              <w:jc w:val="both"/>
              <w:rPr>
                <w:noProof/>
              </w:rPr>
            </w:pPr>
            <w:r>
              <w:rPr>
                <w:noProof/>
              </w:rPr>
              <w:t>Durée moyenne des interventions sur le réseau du GRT</w:t>
            </w:r>
          </w:p>
          <w:p w14:paraId="080EA0E3" w14:textId="77777777" w:rsidR="00A345F4" w:rsidRDefault="00A345F4">
            <w:pPr>
              <w:spacing w:line="252" w:lineRule="auto"/>
              <w:jc w:val="both"/>
              <w:rPr>
                <w:rFonts w:ascii="Times New Roman" w:eastAsia="Aptos" w:hAnsi="Times New Roman" w:cs="Times New Roman"/>
                <w:noProof/>
                <w:kern w:val="2"/>
                <w:sz w:val="20"/>
                <w:szCs w:val="20"/>
                <w14:ligatures w14:val="standardContextual"/>
              </w:rPr>
            </w:pP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43EDC70" w14:textId="77777777" w:rsidR="00A345F4" w:rsidRDefault="00A345F4">
            <w:pPr>
              <w:spacing w:line="252" w:lineRule="auto"/>
              <w:jc w:val="both"/>
              <w:rPr>
                <w:rFonts w:ascii="Times New Roman" w:eastAsia="Aptos" w:hAnsi="Times New Roman" w:cs="Times New Roman"/>
                <w:noProof/>
                <w:kern w:val="2"/>
                <w:sz w:val="20"/>
                <w:szCs w:val="20"/>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9B8276" w14:textId="77777777" w:rsidR="00A345F4" w:rsidRDefault="005E2D4E">
            <w:pPr>
              <w:pStyle w:val="P68B1DB1-Normal39"/>
              <w:spacing w:line="259" w:lineRule="auto"/>
              <w:rPr>
                <w:noProof/>
              </w:rPr>
            </w:pPr>
            <w:r>
              <w:rPr>
                <w:noProof/>
              </w:rPr>
              <w:t>Pourcentage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E8D789" w14:textId="77777777" w:rsidR="00A345F4" w:rsidRDefault="005E2D4E">
            <w:pPr>
              <w:pStyle w:val="P68B1DB1-Normal37"/>
              <w:spacing w:line="259" w:lineRule="auto"/>
              <w:jc w:val="center"/>
              <w:rPr>
                <w:rFonts w:eastAsia="Times New Roman"/>
                <w:noProof/>
              </w:rPr>
            </w:pPr>
            <w:r>
              <w:rPr>
                <w:noProof/>
              </w:rPr>
              <w:t xml:space="preserve">100%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1A1877A" w14:textId="77777777" w:rsidR="00A345F4" w:rsidRDefault="005E2D4E">
            <w:pPr>
              <w:pStyle w:val="P68B1DB1-Normal37"/>
              <w:spacing w:line="257" w:lineRule="auto"/>
              <w:rPr>
                <w:noProof/>
              </w:rPr>
            </w:pPr>
            <w:r>
              <w:rPr>
                <w:noProof/>
              </w:rPr>
              <w:t xml:space="preserve">50% </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CD70B98" w14:textId="77777777" w:rsidR="00A345F4" w:rsidRDefault="005E2D4E">
            <w:pPr>
              <w:pStyle w:val="P68B1DB1-Normal37"/>
              <w:spacing w:line="259"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0E48981" w14:textId="77777777" w:rsidR="00A345F4" w:rsidRDefault="005E2D4E">
            <w:pPr>
              <w:pStyle w:val="P68B1DB1-Normal37"/>
              <w:spacing w:line="259" w:lineRule="auto"/>
              <w:rPr>
                <w:rFonts w:eastAsia="Times New Roman"/>
                <w:noProof/>
              </w:rPr>
            </w:pPr>
            <w:r>
              <w:rPr>
                <w:noProof/>
              </w:rPr>
              <w:t>2026</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7C038C" w14:textId="6734B67C" w:rsidR="00A345F4" w:rsidRDefault="005E2D4E">
            <w:pPr>
              <w:pStyle w:val="P68B1DB1-Normal37"/>
              <w:spacing w:after="0" w:line="252" w:lineRule="auto"/>
              <w:jc w:val="both"/>
              <w:rPr>
                <w:noProof/>
              </w:rPr>
            </w:pPr>
            <w:r>
              <w:rPr>
                <w:noProof/>
              </w:rPr>
              <w:t xml:space="preserve">Un rapport d’expert indépendant certifie la réduction de la durée moyenne des interventions sur le réseau du GRT, ainsi que les certificats de livraison et d’installation d’équipements pour l’entretien des lignes de transport et des sous-stations (qui peuvent inclure, sans s’y limiter, les dispositifs de mesure et de contrôle des lignes électriques, des transformateurs, des isolations, de la mise à la terre électrique ou des plates-formes et grues mobiles surélevées). </w:t>
            </w:r>
          </w:p>
          <w:p w14:paraId="32A106C0" w14:textId="77777777" w:rsidR="00A345F4" w:rsidRDefault="005E2D4E">
            <w:pPr>
              <w:pStyle w:val="P68B1DB1-Normal37"/>
              <w:spacing w:after="0" w:line="252" w:lineRule="auto"/>
              <w:jc w:val="both"/>
              <w:rPr>
                <w:noProof/>
              </w:rPr>
            </w:pPr>
            <w:r>
              <w:rPr>
                <w:noProof/>
              </w:rPr>
              <w:t xml:space="preserve">En règle générale, tous les véhicules doivent être à émissions nulles. Toutefois, lorsque la technologie à émissions nulles n’est pas disponible pour une catégorie donnée, seule la meilleure technologie à faibles émissions disponible est utilisée. </w:t>
            </w:r>
          </w:p>
        </w:tc>
      </w:tr>
      <w:tr w:rsidR="00A345F4" w14:paraId="4B30DFCD"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0915F2" w14:textId="77777777" w:rsidR="00A345F4" w:rsidRDefault="005E2D4E">
            <w:pPr>
              <w:pStyle w:val="P68B1DB1-Normal37"/>
              <w:spacing w:line="259" w:lineRule="auto"/>
              <w:jc w:val="center"/>
              <w:rPr>
                <w:noProof/>
              </w:rPr>
            </w:pPr>
            <w:r>
              <w:rPr>
                <w:noProof/>
              </w:rPr>
              <w:t>522</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A9BC74B" w14:textId="77777777" w:rsidR="00A345F4" w:rsidRDefault="005E2D4E">
            <w:pPr>
              <w:pStyle w:val="P68B1DB1-Normal37"/>
              <w:spacing w:line="245" w:lineRule="auto"/>
              <w:jc w:val="both"/>
              <w:rPr>
                <w:noProof/>
              </w:rPr>
            </w:pPr>
            <w:r>
              <w:rPr>
                <w:noProof/>
              </w:rPr>
              <w:t>Investissement 5: Numérisation et modernisation du réseau national de transport d’électricité</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539750B" w14:textId="77777777" w:rsidR="00A345F4" w:rsidRDefault="005E2D4E">
            <w:pPr>
              <w:pStyle w:val="P68B1DB1-Normal37"/>
              <w:spacing w:line="245" w:lineRule="auto"/>
              <w:rPr>
                <w:noProof/>
              </w:rPr>
            </w:pPr>
            <w:r>
              <w:rPr>
                <w:noProof/>
              </w:rPr>
              <w:t>Étape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84BF6F2" w14:textId="77777777" w:rsidR="00A345F4" w:rsidRDefault="005E2D4E">
            <w:pPr>
              <w:pStyle w:val="P68B1DB1-Normal37"/>
              <w:spacing w:line="252" w:lineRule="auto"/>
              <w:jc w:val="both"/>
              <w:rPr>
                <w:noProof/>
              </w:rPr>
            </w:pPr>
            <w:r>
              <w:rPr>
                <w:noProof/>
              </w:rPr>
              <w:t>Centre de données en service</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54D747D" w14:textId="77777777" w:rsidR="00A345F4" w:rsidRDefault="005E2D4E">
            <w:pPr>
              <w:pStyle w:val="P68B1DB1-Normal37"/>
              <w:spacing w:line="252" w:lineRule="auto"/>
              <w:jc w:val="both"/>
              <w:rPr>
                <w:noProof/>
              </w:rPr>
            </w:pPr>
            <w:r>
              <w:rPr>
                <w:noProof/>
              </w:rPr>
              <w:t xml:space="preserve">Mise en place et utilisation d'un centre de données </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77A9955" w14:textId="77777777" w:rsidR="00A345F4" w:rsidRDefault="00A345F4">
            <w:pPr>
              <w:spacing w:line="259" w:lineRule="auto"/>
              <w:rPr>
                <w:rFonts w:ascii="Times New Roman" w:eastAsia="Times New Roman" w:hAnsi="Times New Roman" w:cs="Times New Roman"/>
                <w:noProof/>
                <w:kern w:val="2"/>
                <w:sz w:val="20"/>
                <w:szCs w:val="20"/>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5591505" w14:textId="77777777" w:rsidR="00A345F4" w:rsidRDefault="00A345F4">
            <w:pPr>
              <w:spacing w:line="259" w:lineRule="auto"/>
              <w:jc w:val="center"/>
              <w:rPr>
                <w:rFonts w:ascii="Times New Roman" w:eastAsia="Times New Roman" w:hAnsi="Times New Roman" w:cs="Times New Roman"/>
                <w:noProof/>
                <w:kern w:val="2"/>
                <w:sz w:val="20"/>
                <w:szCs w:val="20"/>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5880AB4" w14:textId="77777777" w:rsidR="00A345F4" w:rsidRDefault="00A345F4">
            <w:pPr>
              <w:spacing w:line="257" w:lineRule="auto"/>
              <w:jc w:val="center"/>
              <w:rPr>
                <w:rFonts w:ascii="Times New Roman" w:eastAsia="Aptos" w:hAnsi="Times New Roman" w:cs="Times New Roman"/>
                <w:noProof/>
                <w:kern w:val="2"/>
                <w:sz w:val="20"/>
                <w:szCs w:val="20"/>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F0F637A" w14:textId="77777777" w:rsidR="00A345F4" w:rsidRDefault="005E2D4E">
            <w:pPr>
              <w:pStyle w:val="P68B1DB1-Normal37"/>
              <w:spacing w:line="252" w:lineRule="auto"/>
              <w:jc w:val="center"/>
              <w:rPr>
                <w:noProof/>
              </w:rPr>
            </w:pPr>
            <w:r>
              <w:rPr>
                <w:noProof/>
              </w:rPr>
              <w:t>T1</w:t>
            </w:r>
          </w:p>
          <w:p w14:paraId="5C67E8C1" w14:textId="77777777" w:rsidR="00A345F4" w:rsidRDefault="00A345F4">
            <w:pPr>
              <w:spacing w:line="259" w:lineRule="auto"/>
              <w:jc w:val="center"/>
              <w:rPr>
                <w:rFonts w:ascii="Times New Roman" w:eastAsia="Times New Roman" w:hAnsi="Times New Roman" w:cs="Times New Roman"/>
                <w:noProof/>
                <w:kern w:val="2"/>
                <w:sz w:val="20"/>
                <w:szCs w:val="20"/>
                <w14:ligatures w14:val="standardContextual"/>
              </w:rPr>
            </w:pP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9591F1D" w14:textId="77777777" w:rsidR="00A345F4" w:rsidRDefault="005E2D4E">
            <w:pPr>
              <w:pStyle w:val="P68B1DB1-Normal37"/>
              <w:spacing w:line="252" w:lineRule="auto"/>
              <w:jc w:val="center"/>
              <w:rPr>
                <w:noProof/>
              </w:rPr>
            </w:pPr>
            <w:r>
              <w:rPr>
                <w:noProof/>
              </w:rPr>
              <w:t>2026</w:t>
            </w:r>
          </w:p>
          <w:p w14:paraId="0B0B5DB3" w14:textId="77777777" w:rsidR="00A345F4" w:rsidRDefault="00A345F4">
            <w:pPr>
              <w:spacing w:line="259" w:lineRule="auto"/>
              <w:rPr>
                <w:rFonts w:ascii="Times New Roman" w:eastAsia="Times New Roman" w:hAnsi="Times New Roman" w:cs="Times New Roman"/>
                <w:noProof/>
                <w:kern w:val="2"/>
                <w:sz w:val="20"/>
                <w:szCs w:val="20"/>
                <w14:ligatures w14:val="standardContextual"/>
              </w:rPr>
            </w:pP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E165E6A" w14:textId="766B6FA5" w:rsidR="00A345F4" w:rsidRDefault="005E2D4E">
            <w:pPr>
              <w:pStyle w:val="P68B1DB1-Normal37"/>
              <w:spacing w:after="0" w:line="252" w:lineRule="auto"/>
              <w:jc w:val="both"/>
              <w:rPr>
                <w:noProof/>
              </w:rPr>
            </w:pPr>
            <w:r>
              <w:rPr>
                <w:noProof/>
              </w:rPr>
              <w:t>Un rapport d’expert indépendant certifie la mise en place du centre de données, complété par des certificats de livraison et d’installation des équipements et des logiciels (y compris, entre autres: serveurs, routeurs, pare-feu, conteneurs de puissance), analyse du trafic réseau (y compris, entre autres, analyseur de trafic L2-7; quatre ports SFP; SFP multimodes et émetteurs-récepteurs SFP monomodes) et la sécurité du réseau (y compris, entre autres, les pare-feu, les commutateurs PoE, les routeurs de distribution).</w:t>
            </w:r>
          </w:p>
        </w:tc>
      </w:tr>
      <w:tr w:rsidR="00A345F4" w14:paraId="50757C76"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D068667" w14:textId="77777777" w:rsidR="00A345F4" w:rsidRDefault="005E2D4E">
            <w:pPr>
              <w:pStyle w:val="P68B1DB1-Normal37"/>
              <w:spacing w:line="259" w:lineRule="auto"/>
              <w:jc w:val="center"/>
              <w:rPr>
                <w:noProof/>
              </w:rPr>
            </w:pPr>
            <w:r>
              <w:rPr>
                <w:noProof/>
              </w:rPr>
              <w:t>529</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E5EE978" w14:textId="77777777" w:rsidR="00A345F4" w:rsidRDefault="005E2D4E">
            <w:pPr>
              <w:pStyle w:val="P68B1DB1-Normal37"/>
              <w:spacing w:line="259" w:lineRule="auto"/>
              <w:rPr>
                <w:noProof/>
              </w:rPr>
            </w:pPr>
            <w:r>
              <w:rPr>
                <w:noProof/>
              </w:rPr>
              <w:t>Investissement 7. Bons de subvention pour soutenir les améliorations de l’efficacité énergétique des ménages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2F8872" w14:textId="77777777" w:rsidR="00A345F4" w:rsidRDefault="005E2D4E">
            <w:pPr>
              <w:pStyle w:val="P68B1DB1-Normal37"/>
              <w:spacing w:line="259" w:lineRule="auto"/>
              <w:jc w:val="center"/>
              <w:rPr>
                <w:noProof/>
              </w:rPr>
            </w:pPr>
            <w:r>
              <w:rPr>
                <w:noProof/>
              </w:rPr>
              <w:t>Objectif</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C924DF7" w14:textId="77777777" w:rsidR="00A345F4" w:rsidRDefault="005E2D4E">
            <w:pPr>
              <w:pStyle w:val="P68B1DB1-Normal37"/>
              <w:spacing w:line="259" w:lineRule="auto"/>
              <w:rPr>
                <w:noProof/>
              </w:rPr>
            </w:pPr>
            <w:r>
              <w:rPr>
                <w:noProof/>
              </w:rPr>
              <w:t>Rénovation énergétique des logements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3C5BA53" w14:textId="77777777" w:rsidR="00A345F4" w:rsidRDefault="00A345F4">
            <w:pPr>
              <w:spacing w:line="259" w:lineRule="auto"/>
              <w:jc w:val="center"/>
              <w:rPr>
                <w:rFonts w:ascii="Times New Roman" w:eastAsia="Aptos" w:hAnsi="Times New Roman" w:cs="Times New Roman"/>
                <w:noProof/>
                <w:kern w:val="2"/>
                <w:sz w:val="20"/>
                <w:szCs w:val="20"/>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89C178" w14:textId="77777777" w:rsidR="00A345F4" w:rsidRDefault="005E2D4E">
            <w:pPr>
              <w:pStyle w:val="P68B1DB1-Normal37"/>
              <w:spacing w:line="259" w:lineRule="auto"/>
              <w:rPr>
                <w:noProof/>
              </w:rPr>
            </w:pPr>
            <w:r>
              <w:rPr>
                <w:noProof/>
              </w:rPr>
              <w:t>Nombre (logements)</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6CFDEBB" w14:textId="77777777" w:rsidR="00A345F4" w:rsidRDefault="005E2D4E">
            <w:pPr>
              <w:pStyle w:val="P68B1DB1-Normal37"/>
              <w:spacing w:line="259" w:lineRule="auto"/>
              <w:jc w:val="center"/>
              <w:rPr>
                <w:noProof/>
              </w:rPr>
            </w:pPr>
            <w:r>
              <w:rPr>
                <w:noProof/>
              </w:rPr>
              <w:t xml:space="preserve">0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A06002" w14:textId="06DAA750" w:rsidR="00A345F4" w:rsidRDefault="005E2D4E">
            <w:pPr>
              <w:pStyle w:val="P68B1DB1-Normal37"/>
              <w:spacing w:line="259" w:lineRule="auto"/>
              <w:jc w:val="center"/>
              <w:rPr>
                <w:noProof/>
              </w:rPr>
            </w:pPr>
            <w:r>
              <w:rPr>
                <w:noProof/>
              </w:rPr>
              <w:t>8 260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6900FC9" w14:textId="77777777" w:rsidR="00A345F4" w:rsidRDefault="005E2D4E">
            <w:pPr>
              <w:pStyle w:val="P68B1DB1-Normal37"/>
              <w:spacing w:line="259"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FBA4A70" w14:textId="77777777" w:rsidR="00A345F4" w:rsidRDefault="005E2D4E">
            <w:pPr>
              <w:pStyle w:val="P68B1DB1-Normal37"/>
              <w:spacing w:line="259" w:lineRule="auto"/>
              <w:jc w:val="center"/>
              <w:rPr>
                <w:noProof/>
              </w:rPr>
            </w:pPr>
            <w:r>
              <w:rPr>
                <w:noProof/>
              </w:rPr>
              <w:t>2026</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8C6A247" w14:textId="03DE5E12" w:rsidR="00A345F4" w:rsidRDefault="005E2D4E">
            <w:pPr>
              <w:pStyle w:val="P68B1DB1-Normal37"/>
              <w:spacing w:after="0" w:line="259" w:lineRule="auto"/>
              <w:jc w:val="both"/>
              <w:rPr>
                <w:noProof/>
              </w:rPr>
            </w:pPr>
            <w:r>
              <w:rPr>
                <w:noProof/>
              </w:rPr>
              <w:t>Certificat de réception d’achèvement des travaux de rénovation pour au moins 8 260 logements, accompagné de certificats de performance énergétique ex ante et ex post démontrant une économie d’énergie primaire d’au moins 30 % par logement, ainsi que la certification de l’installation de panneaux solaires d’une capacité nette d’au moins 3 kW.</w:t>
            </w:r>
          </w:p>
          <w:p w14:paraId="474C2D5F" w14:textId="77777777" w:rsidR="00A345F4" w:rsidRDefault="005E2D4E">
            <w:pPr>
              <w:pStyle w:val="P68B1DB1-Normal37"/>
              <w:spacing w:after="0" w:line="259" w:lineRule="auto"/>
              <w:jc w:val="both"/>
              <w:rPr>
                <w:noProof/>
              </w:rPr>
            </w:pPr>
            <w:r>
              <w:rPr>
                <w:noProof/>
              </w:rPr>
              <w:t xml:space="preserve">Seuls les ménages vulnérables et pauvres ainsi que les logements des catégories d’efficacité énergétique G, F, E ou D sont éligibles. Les logements classés dans les classes de risque sismique RsI et RsII sont exclus du financement des interventions en matière d’efficacité énergétique. </w:t>
            </w:r>
          </w:p>
        </w:tc>
      </w:tr>
      <w:tr w:rsidR="00A345F4" w14:paraId="057E3997"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634AABC" w14:textId="77777777" w:rsidR="00A345F4" w:rsidRDefault="005E2D4E">
            <w:pPr>
              <w:pStyle w:val="P68B1DB1-Normal37"/>
              <w:spacing w:line="259" w:lineRule="auto"/>
              <w:jc w:val="center"/>
              <w:rPr>
                <w:noProof/>
              </w:rPr>
            </w:pPr>
            <w:r>
              <w:rPr>
                <w:noProof/>
              </w:rPr>
              <w:t xml:space="preserve">139 </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D86CF67" w14:textId="77777777" w:rsidR="00A345F4" w:rsidRDefault="005E2D4E">
            <w:pPr>
              <w:pStyle w:val="P68B1DB1-Normal37"/>
              <w:spacing w:line="245" w:lineRule="auto"/>
              <w:jc w:val="both"/>
              <w:rPr>
                <w:noProof/>
              </w:rPr>
            </w:pPr>
            <w:r>
              <w:rPr>
                <w:noProof/>
              </w:rPr>
              <w:t>Investissement 9. Nouvelles capacités de stockage d'électricité</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7CF8BD7" w14:textId="77777777" w:rsidR="00A345F4" w:rsidRDefault="005E2D4E">
            <w:pPr>
              <w:pStyle w:val="P68B1DB1-Normal37"/>
              <w:spacing w:line="245" w:lineRule="auto"/>
              <w:rPr>
                <w:noProof/>
              </w:rPr>
            </w:pPr>
            <w:r>
              <w:rPr>
                <w:noProof/>
              </w:rPr>
              <w:t xml:space="preserve">Objectif </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034A6D3" w14:textId="77777777" w:rsidR="00A345F4" w:rsidRDefault="005E2D4E">
            <w:pPr>
              <w:pStyle w:val="P68B1DB1-Normal37"/>
              <w:spacing w:line="252" w:lineRule="auto"/>
              <w:jc w:val="both"/>
              <w:rPr>
                <w:noProof/>
              </w:rPr>
            </w:pPr>
            <w:r>
              <w:rPr>
                <w:noProof/>
              </w:rPr>
              <w:t>Capacité de stockage d'électricité installée</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EF0BFD3" w14:textId="77777777" w:rsidR="00A345F4" w:rsidRDefault="00A345F4">
            <w:pPr>
              <w:spacing w:line="252" w:lineRule="auto"/>
              <w:jc w:val="both"/>
              <w:rPr>
                <w:rFonts w:ascii="Times New Roman" w:eastAsia="Aptos" w:hAnsi="Times New Roman" w:cs="Times New Roman"/>
                <w:noProof/>
                <w:kern w:val="2"/>
                <w:sz w:val="20"/>
                <w:szCs w:val="20"/>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4FBCCF5" w14:textId="77777777" w:rsidR="00A345F4" w:rsidRDefault="005E2D4E">
            <w:pPr>
              <w:pStyle w:val="P68B1DB1-Normal37"/>
              <w:spacing w:line="259" w:lineRule="auto"/>
              <w:rPr>
                <w:rFonts w:eastAsia="Times New Roman"/>
                <w:noProof/>
              </w:rPr>
            </w:pPr>
            <w:r>
              <w:rPr>
                <w:noProof/>
              </w:rPr>
              <w:t>Mégawatts (MW)</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AF29B89" w14:textId="77777777" w:rsidR="00A345F4" w:rsidRDefault="005E2D4E">
            <w:pPr>
              <w:pStyle w:val="P68B1DB1-Normal37"/>
              <w:spacing w:line="259" w:lineRule="auto"/>
              <w:jc w:val="center"/>
              <w:rPr>
                <w:rFonts w:eastAsia="Times New Roman"/>
                <w:noProof/>
              </w:rPr>
            </w:pPr>
            <w:r>
              <w:rPr>
                <w:noProof/>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845AA03" w14:textId="77777777" w:rsidR="00A345F4" w:rsidRDefault="005E2D4E">
            <w:pPr>
              <w:pStyle w:val="P68B1DB1-Normal37"/>
              <w:spacing w:line="257" w:lineRule="auto"/>
              <w:jc w:val="center"/>
              <w:rPr>
                <w:noProof/>
              </w:rPr>
            </w:pPr>
            <w:r>
              <w:rPr>
                <w:noProof/>
              </w:rPr>
              <w:t>240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3982DB9" w14:textId="77777777" w:rsidR="00A345F4" w:rsidRDefault="005E2D4E">
            <w:pPr>
              <w:pStyle w:val="P68B1DB1-Normal37"/>
              <w:spacing w:line="252"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01EFCFC" w14:textId="77777777" w:rsidR="00A345F4" w:rsidRDefault="005E2D4E">
            <w:pPr>
              <w:pStyle w:val="P68B1DB1-Normal37"/>
              <w:spacing w:line="252" w:lineRule="auto"/>
              <w:jc w:val="center"/>
              <w:rPr>
                <w:noProof/>
              </w:rPr>
            </w:pPr>
            <w:r>
              <w:rPr>
                <w:noProof/>
              </w:rPr>
              <w:t>2026</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FDBFCCF" w14:textId="77777777" w:rsidR="00A345F4" w:rsidRDefault="005E2D4E">
            <w:pPr>
              <w:pStyle w:val="P68B1DB1-Normal37"/>
              <w:spacing w:line="252" w:lineRule="auto"/>
              <w:jc w:val="both"/>
              <w:rPr>
                <w:noProof/>
              </w:rPr>
            </w:pPr>
            <w:r>
              <w:rPr>
                <w:noProof/>
              </w:rPr>
              <w:t>Le gestionnaire de réseau de distribution ou le gestionnaire de réseau de transport délivre des certificats d’acceptation attestant l’installation d’une capacité de stockage d’électricité d’au moins 240 MW, ainsi qu’une notification de mise sous tension (NPT) certifiant le raccordement de l’installation au réseau de transport ou de distribution d’électricité. L’investissement est mis en œuvre conformément aux conditions énoncées dans les orientations techniques «Ne pas causer de préjudice important» (2021/C58/01), notamment par le recours à des exclusions dans les domaines de la gestion des déchets et de l’extraction de matières premières.</w:t>
            </w:r>
          </w:p>
        </w:tc>
      </w:tr>
      <w:tr w:rsidR="00A345F4" w14:paraId="3773B500" w14:textId="77777777" w:rsidTr="000D606E">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67405A9" w14:textId="77777777" w:rsidR="00A345F4" w:rsidRDefault="005E2D4E">
            <w:pPr>
              <w:pStyle w:val="P68B1DB1-Normal37"/>
              <w:spacing w:line="259" w:lineRule="auto"/>
              <w:jc w:val="center"/>
              <w:rPr>
                <w:noProof/>
              </w:rPr>
            </w:pPr>
            <w:r>
              <w:rPr>
                <w:noProof/>
              </w:rPr>
              <w:t>141</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C09F9E3" w14:textId="77777777" w:rsidR="00A345F4" w:rsidRDefault="005E2D4E">
            <w:pPr>
              <w:pStyle w:val="P68B1DB1-Normal37"/>
              <w:spacing w:line="245" w:lineRule="auto"/>
              <w:jc w:val="both"/>
              <w:rPr>
                <w:noProof/>
              </w:rPr>
            </w:pPr>
            <w:r>
              <w:rPr>
                <w:noProof/>
              </w:rPr>
              <w:t>Investissement 10. Assurer l'efficacité énergétique dans le secteur industriel</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5C45CF8" w14:textId="77777777" w:rsidR="00A345F4" w:rsidRDefault="005E2D4E">
            <w:pPr>
              <w:pStyle w:val="P68B1DB1-Normal37"/>
              <w:spacing w:line="245" w:lineRule="auto"/>
              <w:rPr>
                <w:noProof/>
              </w:rPr>
            </w:pPr>
            <w:r>
              <w:rPr>
                <w:noProof/>
              </w:rPr>
              <w:t xml:space="preserve">Objectif </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92F7853" w14:textId="77777777" w:rsidR="00A345F4" w:rsidRDefault="005E2D4E">
            <w:pPr>
              <w:pStyle w:val="P68B1DB1-Normal37"/>
              <w:spacing w:line="252" w:lineRule="auto"/>
              <w:jc w:val="both"/>
              <w:rPr>
                <w:noProof/>
              </w:rPr>
            </w:pPr>
            <w:r>
              <w:rPr>
                <w:noProof/>
              </w:rPr>
              <w:t>Réalisation de projets d'efficacité énergétique</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D27E702" w14:textId="77777777" w:rsidR="00A345F4" w:rsidRDefault="005E2D4E">
            <w:pPr>
              <w:pStyle w:val="P68B1DB1-Normal37"/>
              <w:spacing w:line="252" w:lineRule="auto"/>
              <w:jc w:val="both"/>
              <w:rPr>
                <w:noProof/>
              </w:rPr>
            </w:pPr>
            <w:r>
              <w:rPr>
                <w:noProof/>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ED63648" w14:textId="77777777" w:rsidR="00A345F4" w:rsidRDefault="005E2D4E">
            <w:pPr>
              <w:pStyle w:val="P68B1DB1-Normal37"/>
              <w:spacing w:line="259" w:lineRule="auto"/>
              <w:rPr>
                <w:rFonts w:eastAsia="Times New Roman"/>
                <w:noProof/>
              </w:rPr>
            </w:pPr>
            <w:r>
              <w:rPr>
                <w:noProof/>
              </w:rPr>
              <w:t>Numéro</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ED3A0D" w14:textId="77777777" w:rsidR="00A345F4" w:rsidRDefault="005E2D4E">
            <w:pPr>
              <w:pStyle w:val="P68B1DB1-Normal37"/>
              <w:spacing w:line="259" w:lineRule="auto"/>
              <w:jc w:val="center"/>
              <w:rPr>
                <w:rFonts w:eastAsia="Times New Roman"/>
                <w:noProof/>
              </w:rPr>
            </w:pPr>
            <w:r>
              <w:rPr>
                <w:noProof/>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9D8F305" w14:textId="77777777" w:rsidR="00A345F4" w:rsidRDefault="005E2D4E">
            <w:pPr>
              <w:pStyle w:val="P68B1DB1-Normal37"/>
              <w:spacing w:line="257" w:lineRule="auto"/>
              <w:jc w:val="center"/>
              <w:rPr>
                <w:noProof/>
              </w:rPr>
            </w:pPr>
            <w:r>
              <w:rPr>
                <w:noProof/>
              </w:rPr>
              <w:t>30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2EFC8AF" w14:textId="77777777" w:rsidR="00A345F4" w:rsidRDefault="005E2D4E">
            <w:pPr>
              <w:pStyle w:val="P68B1DB1-Normal37"/>
              <w:spacing w:line="252"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F28816" w14:textId="77777777" w:rsidR="00A345F4" w:rsidRDefault="005E2D4E">
            <w:pPr>
              <w:pStyle w:val="P68B1DB1-Normal37"/>
              <w:spacing w:line="252" w:lineRule="auto"/>
              <w:jc w:val="center"/>
              <w:rPr>
                <w:noProof/>
              </w:rPr>
            </w:pPr>
            <w:r>
              <w:rPr>
                <w:noProof/>
              </w:rPr>
              <w:t>2025</w:t>
            </w:r>
          </w:p>
        </w:tc>
        <w:tc>
          <w:tcPr>
            <w:tcW w:w="2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5B9BC5" w14:textId="77777777" w:rsidR="00A345F4" w:rsidRDefault="005E2D4E">
            <w:pPr>
              <w:pStyle w:val="P68B1DB1-Normal37"/>
              <w:spacing w:line="252" w:lineRule="auto"/>
              <w:jc w:val="both"/>
              <w:rPr>
                <w:noProof/>
              </w:rPr>
            </w:pPr>
            <w:r>
              <w:rPr>
                <w:noProof/>
              </w:rPr>
              <w:t xml:space="preserve">Réalisation d’au moins 30 projets d’efficacité énergétique, dans l’industrie auditée par une partie externe, visant à réduire d’au moins 30 % les émissions indirectes et directes de GES par rapport aux émissions ex ante à surveiller au moyen d’une plateforme informatique pour la centralisation et l’analyse de la consommation d’énergie nationale. </w:t>
            </w:r>
          </w:p>
        </w:tc>
      </w:tr>
    </w:tbl>
    <w:p w14:paraId="6CF39212" w14:textId="77777777" w:rsidR="00A345F4" w:rsidRDefault="00A345F4">
      <w:pPr>
        <w:spacing w:before="20" w:after="20" w:line="257" w:lineRule="auto"/>
        <w:jc w:val="both"/>
        <w:rPr>
          <w:rFonts w:ascii="Times New Roman" w:eastAsia="Times New Roman" w:hAnsi="Times New Roman" w:cs="Times New Roman"/>
          <w:noProof/>
          <w:kern w:val="2"/>
          <w14:ligatures w14:val="standardContextual"/>
        </w:rPr>
      </w:pPr>
    </w:p>
    <w:p w14:paraId="5737AAE8" w14:textId="77777777" w:rsidR="00A345F4" w:rsidRDefault="00A345F4">
      <w:pPr>
        <w:spacing w:before="20" w:after="20" w:line="257" w:lineRule="auto"/>
        <w:jc w:val="both"/>
        <w:rPr>
          <w:rFonts w:ascii="Times New Roman" w:eastAsia="Times New Roman" w:hAnsi="Times New Roman" w:cs="Times New Roman"/>
          <w:noProof/>
          <w:kern w:val="2"/>
          <w14:ligatures w14:val="standardContextual"/>
        </w:rPr>
        <w:sectPr w:rsidR="00A345F4" w:rsidSect="00F54DA9">
          <w:headerReference w:type="even" r:id="rId365"/>
          <w:headerReference w:type="default" r:id="rId366"/>
          <w:footerReference w:type="even" r:id="rId367"/>
          <w:footerReference w:type="default" r:id="rId368"/>
          <w:headerReference w:type="first" r:id="rId369"/>
          <w:footerReference w:type="first" r:id="rId370"/>
          <w:pgSz w:w="16839" w:h="11907" w:orient="landscape" w:code="1"/>
          <w:pgMar w:top="1134" w:right="1134" w:bottom="1134" w:left="1134" w:header="567" w:footer="567" w:gutter="0"/>
          <w:cols w:space="720"/>
          <w:docGrid w:linePitch="360"/>
        </w:sectPr>
      </w:pPr>
    </w:p>
    <w:p w14:paraId="0DA4758E" w14:textId="77777777" w:rsidR="00A345F4" w:rsidRDefault="005E2D4E">
      <w:pPr>
        <w:pStyle w:val="P68B1DB1-Normal67"/>
        <w:keepNext/>
        <w:spacing w:before="120" w:after="120" w:line="240" w:lineRule="auto"/>
        <w:jc w:val="both"/>
        <w:outlineLvl w:val="1"/>
        <w:rPr>
          <w:rFonts w:eastAsia="Yu Gothic Light"/>
          <w:bCs/>
          <w:noProof/>
        </w:rPr>
      </w:pPr>
      <w:r>
        <w:rPr>
          <w:noProof/>
        </w:rPr>
        <w:t>P.3. Description des réformes et des investissements pour le prêt</w:t>
      </w:r>
    </w:p>
    <w:p w14:paraId="4946BC7C" w14:textId="77777777" w:rsidR="00A345F4" w:rsidRDefault="00A345F4">
      <w:pPr>
        <w:spacing w:before="120" w:after="120" w:line="240" w:lineRule="auto"/>
        <w:jc w:val="both"/>
        <w:rPr>
          <w:rFonts w:ascii="Times New Roman" w:eastAsia="Aptos" w:hAnsi="Times New Roman" w:cs="Times New Roman"/>
          <w:noProof/>
          <w:kern w:val="2"/>
          <w:u w:val="single"/>
          <w14:ligatures w14:val="standardContextual"/>
        </w:rPr>
      </w:pPr>
    </w:p>
    <w:p w14:paraId="39B9BEB5" w14:textId="77777777" w:rsidR="00A345F4" w:rsidRDefault="005E2D4E">
      <w:pPr>
        <w:pStyle w:val="P68B1DB1-Normal64"/>
        <w:spacing w:before="120" w:after="120" w:line="240" w:lineRule="auto"/>
        <w:jc w:val="both"/>
        <w:rPr>
          <w:noProof/>
        </w:rPr>
      </w:pPr>
      <w:r>
        <w:rPr>
          <w:noProof/>
        </w:rPr>
        <w:t>Investissement 7a: Bons de subvention pour soutenir les rénovations énergétiques des ménages</w:t>
      </w:r>
    </w:p>
    <w:p w14:paraId="25D6018B" w14:textId="77777777" w:rsidR="00A345F4" w:rsidRDefault="005E2D4E">
      <w:pPr>
        <w:pStyle w:val="P68B1DB1-Normal32"/>
        <w:spacing w:before="120" w:after="120" w:line="240" w:lineRule="auto"/>
        <w:jc w:val="both"/>
        <w:rPr>
          <w:noProof/>
        </w:rPr>
      </w:pPr>
      <w:r>
        <w:rPr>
          <w:noProof/>
        </w:rPr>
        <w:t>Cet investissement vise à réduire la demande d’énergie primaire des ménages en fournissant aux propriétaires un soutien financier pour la rénovation combinée de l’efficacité énergétique et l’installation de panneaux solaires.</w:t>
      </w:r>
    </w:p>
    <w:p w14:paraId="1E05F888" w14:textId="77777777" w:rsidR="00A345F4" w:rsidRDefault="005E2D4E">
      <w:pPr>
        <w:pStyle w:val="P68B1DB1-Normal32"/>
        <w:spacing w:before="120" w:after="120" w:line="240" w:lineRule="auto"/>
        <w:jc w:val="both"/>
        <w:rPr>
          <w:noProof/>
        </w:rPr>
      </w:pPr>
      <w:r>
        <w:rPr>
          <w:noProof/>
        </w:rPr>
        <w:t>L’investissement consiste en l’autorisation de décaissement de bons pour effectuer des rénovations liées à l’efficacité énergétique pour les ménages.</w:t>
      </w:r>
    </w:p>
    <w:p w14:paraId="661C345F" w14:textId="77777777" w:rsidR="00A345F4" w:rsidRDefault="00A345F4">
      <w:pPr>
        <w:spacing w:before="120" w:after="120" w:line="240" w:lineRule="auto"/>
        <w:jc w:val="both"/>
        <w:rPr>
          <w:rFonts w:ascii="Times New Roman" w:eastAsia="Times New Roman" w:hAnsi="Times New Roman" w:cs="Times New Roman"/>
          <w:noProof/>
          <w:kern w:val="2"/>
          <w14:ligatures w14:val="standardContextual"/>
        </w:rPr>
      </w:pPr>
    </w:p>
    <w:p w14:paraId="63121ED7" w14:textId="77777777" w:rsidR="00A345F4" w:rsidRDefault="005E2D4E">
      <w:pPr>
        <w:pStyle w:val="P68B1DB1-Normal64"/>
        <w:spacing w:before="120" w:after="120" w:line="240" w:lineRule="auto"/>
        <w:jc w:val="both"/>
        <w:rPr>
          <w:noProof/>
        </w:rPr>
      </w:pPr>
      <w:r>
        <w:rPr>
          <w:noProof/>
        </w:rPr>
        <w:t xml:space="preserve">Investissement 8: Contrats de répartition des différences </w:t>
      </w:r>
    </w:p>
    <w:p w14:paraId="49360163" w14:textId="77777777" w:rsidR="00A345F4" w:rsidRDefault="005E2D4E">
      <w:pPr>
        <w:pStyle w:val="P68B1DB1-Normal32"/>
        <w:spacing w:before="120" w:after="120" w:line="240" w:lineRule="auto"/>
        <w:jc w:val="both"/>
        <w:rPr>
          <w:noProof/>
        </w:rPr>
      </w:pPr>
      <w:r>
        <w:rPr>
          <w:noProof/>
        </w:rPr>
        <w:t xml:space="preserve">L’objectif de cet investissement est de soutenir le déploiement de capacités éoliennes terrestres dans le cadre d’un cycle d’allocation de contrats d’écart compensatoire (CfD). </w:t>
      </w:r>
    </w:p>
    <w:p w14:paraId="37E0004B" w14:textId="77777777" w:rsidR="00A345F4" w:rsidRDefault="005E2D4E">
      <w:pPr>
        <w:pStyle w:val="P68B1DB1-Normal32"/>
        <w:spacing w:before="120" w:after="120" w:line="240" w:lineRule="auto"/>
        <w:jc w:val="both"/>
        <w:rPr>
          <w:noProof/>
        </w:rPr>
      </w:pPr>
      <w:r>
        <w:rPr>
          <w:noProof/>
        </w:rPr>
        <w:t>Cet investissement consiste en la signature de CfD avec les développeurs de projets à succès.</w:t>
      </w:r>
    </w:p>
    <w:p w14:paraId="2778021B" w14:textId="77777777" w:rsidR="00A345F4" w:rsidRDefault="00A345F4">
      <w:pPr>
        <w:spacing w:before="120" w:after="120" w:line="240" w:lineRule="auto"/>
        <w:jc w:val="both"/>
        <w:rPr>
          <w:rFonts w:ascii="Times New Roman" w:eastAsia="Times New Roman" w:hAnsi="Times New Roman" w:cs="Times New Roman"/>
          <w:b/>
          <w:bCs/>
          <w:noProof/>
          <w:kern w:val="2"/>
          <w:sz w:val="22"/>
          <w:szCs w:val="22"/>
          <w:u w:val="single"/>
          <w14:ligatures w14:val="standardContextual"/>
        </w:rPr>
      </w:pPr>
    </w:p>
    <w:p w14:paraId="41F59CE0" w14:textId="77777777" w:rsidR="00A345F4" w:rsidRDefault="00A345F4">
      <w:pPr>
        <w:spacing w:before="120" w:after="120" w:line="240" w:lineRule="auto"/>
        <w:jc w:val="both"/>
        <w:rPr>
          <w:rFonts w:ascii="Times New Roman" w:eastAsia="Times New Roman" w:hAnsi="Times New Roman" w:cs="Times New Roman"/>
          <w:b/>
          <w:bCs/>
          <w:noProof/>
          <w:kern w:val="2"/>
          <w:sz w:val="22"/>
          <w:szCs w:val="22"/>
          <w:u w:val="single"/>
          <w14:ligatures w14:val="standardContextual"/>
        </w:rPr>
        <w:sectPr w:rsidR="00A345F4" w:rsidSect="00F54DA9">
          <w:headerReference w:type="even" r:id="rId371"/>
          <w:headerReference w:type="default" r:id="rId372"/>
          <w:footerReference w:type="even" r:id="rId373"/>
          <w:footerReference w:type="default" r:id="rId374"/>
          <w:headerReference w:type="first" r:id="rId375"/>
          <w:footerReference w:type="first" r:id="rId376"/>
          <w:pgSz w:w="11907" w:h="16839" w:code="1"/>
          <w:pgMar w:top="1134" w:right="1134" w:bottom="1134" w:left="1134" w:header="567" w:footer="567" w:gutter="0"/>
          <w:cols w:space="720"/>
          <w:docGrid w:linePitch="360"/>
        </w:sectPr>
      </w:pPr>
    </w:p>
    <w:p w14:paraId="069019C4" w14:textId="77777777" w:rsidR="00A345F4" w:rsidRDefault="005E2D4E">
      <w:pPr>
        <w:pStyle w:val="P68B1DB1-Normal67"/>
        <w:keepNext/>
        <w:spacing w:before="120" w:after="120" w:line="240" w:lineRule="auto"/>
        <w:jc w:val="both"/>
        <w:outlineLvl w:val="1"/>
        <w:rPr>
          <w:rFonts w:eastAsia="Yu Gothic Light"/>
          <w:bCs/>
          <w:noProof/>
        </w:rPr>
      </w:pPr>
      <w:r>
        <w:rPr>
          <w:noProof/>
        </w:rPr>
        <w:t>P.4. Étapes, objectifs, indicateurs et calendrier du suivi et de la mise en œuvre du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6A0" w:firstRow="1" w:lastRow="0" w:firstColumn="1" w:lastColumn="0" w:noHBand="1" w:noVBand="1"/>
      </w:tblPr>
      <w:tblGrid>
        <w:gridCol w:w="771"/>
        <w:gridCol w:w="1950"/>
        <w:gridCol w:w="1314"/>
        <w:gridCol w:w="1672"/>
        <w:gridCol w:w="1343"/>
        <w:gridCol w:w="1223"/>
        <w:gridCol w:w="910"/>
        <w:gridCol w:w="949"/>
        <w:gridCol w:w="951"/>
        <w:gridCol w:w="659"/>
        <w:gridCol w:w="2819"/>
      </w:tblGrid>
      <w:tr w:rsidR="00A345F4" w14:paraId="5C835EAA" w14:textId="77777777">
        <w:trPr>
          <w:trHeight w:val="585"/>
          <w:tblHeader/>
        </w:trPr>
        <w:tc>
          <w:tcPr>
            <w:tcW w:w="287" w:type="pct"/>
            <w:vMerge w:val="restart"/>
            <w:shd w:val="clear" w:color="auto" w:fill="C5D9F0"/>
            <w:tcMar>
              <w:left w:w="57" w:type="dxa"/>
              <w:right w:w="57" w:type="dxa"/>
            </w:tcMar>
            <w:vAlign w:val="center"/>
          </w:tcPr>
          <w:p w14:paraId="61392641" w14:textId="77777777" w:rsidR="00A345F4" w:rsidRDefault="005E2D4E">
            <w:pPr>
              <w:pStyle w:val="P68B1DB1-Normal36"/>
              <w:spacing w:after="0" w:line="245" w:lineRule="auto"/>
              <w:jc w:val="center"/>
              <w:rPr>
                <w:noProof/>
              </w:rPr>
            </w:pPr>
            <w:r>
              <w:rPr>
                <w:noProof/>
              </w:rPr>
              <w:t>Seq Num</w:t>
            </w:r>
          </w:p>
        </w:tc>
        <w:tc>
          <w:tcPr>
            <w:tcW w:w="692" w:type="pct"/>
            <w:vMerge w:val="restart"/>
            <w:shd w:val="clear" w:color="auto" w:fill="C5D9F0"/>
            <w:tcMar>
              <w:left w:w="57" w:type="dxa"/>
              <w:right w:w="57" w:type="dxa"/>
            </w:tcMar>
            <w:vAlign w:val="center"/>
          </w:tcPr>
          <w:p w14:paraId="687D7256" w14:textId="29F263E2" w:rsidR="00A345F4" w:rsidRDefault="005E2D4E">
            <w:pPr>
              <w:pStyle w:val="P68B1DB1-Normal13"/>
              <w:spacing w:after="0" w:line="252" w:lineRule="auto"/>
              <w:jc w:val="center"/>
              <w:rPr>
                <w:rFonts w:eastAsia="Aptos"/>
                <w:noProof/>
                <w:kern w:val="2"/>
                <w14:ligatures w14:val="standardContextual"/>
              </w:rPr>
            </w:pPr>
            <w:r>
              <w:rPr>
                <w:noProof/>
              </w:rPr>
              <w:t>Mesure connexe (réforme ou investissement)</w:t>
            </w:r>
          </w:p>
        </w:tc>
        <w:tc>
          <w:tcPr>
            <w:tcW w:w="379" w:type="pct"/>
            <w:vMerge w:val="restart"/>
            <w:shd w:val="clear" w:color="auto" w:fill="C5D9F0"/>
            <w:tcMar>
              <w:left w:w="57" w:type="dxa"/>
              <w:right w:w="57" w:type="dxa"/>
            </w:tcMar>
            <w:vAlign w:val="center"/>
          </w:tcPr>
          <w:p w14:paraId="2F984E92" w14:textId="69BAED60" w:rsidR="00A345F4" w:rsidRDefault="005E2D4E">
            <w:pPr>
              <w:pStyle w:val="P68B1DB1-Normal36"/>
              <w:spacing w:before="142" w:after="0" w:line="259" w:lineRule="auto"/>
              <w:jc w:val="center"/>
              <w:rPr>
                <w:noProof/>
              </w:rPr>
            </w:pPr>
            <w:r>
              <w:rPr>
                <w:noProof/>
              </w:rPr>
              <w:t>Étape/objectif</w:t>
            </w:r>
          </w:p>
        </w:tc>
        <w:tc>
          <w:tcPr>
            <w:tcW w:w="596" w:type="pct"/>
            <w:vMerge w:val="restart"/>
            <w:shd w:val="clear" w:color="auto" w:fill="C5D9F0"/>
            <w:tcMar>
              <w:left w:w="57" w:type="dxa"/>
              <w:right w:w="57" w:type="dxa"/>
            </w:tcMar>
            <w:vAlign w:val="center"/>
          </w:tcPr>
          <w:p w14:paraId="010AFE26" w14:textId="77777777" w:rsidR="00A345F4" w:rsidRDefault="005E2D4E">
            <w:pPr>
              <w:pStyle w:val="P68B1DB1-Normal36"/>
              <w:spacing w:before="4" w:after="0" w:line="257" w:lineRule="auto"/>
              <w:jc w:val="center"/>
              <w:rPr>
                <w:noProof/>
              </w:rPr>
            </w:pPr>
            <w:r>
              <w:rPr>
                <w:noProof/>
              </w:rPr>
              <w:t>Nom</w:t>
            </w:r>
          </w:p>
        </w:tc>
        <w:tc>
          <w:tcPr>
            <w:tcW w:w="483" w:type="pct"/>
            <w:vMerge w:val="restart"/>
            <w:shd w:val="clear" w:color="auto" w:fill="C5D9F0"/>
            <w:tcMar>
              <w:left w:w="57" w:type="dxa"/>
              <w:right w:w="57" w:type="dxa"/>
            </w:tcMar>
            <w:vAlign w:val="center"/>
          </w:tcPr>
          <w:p w14:paraId="1DC4B9BE" w14:textId="77777777" w:rsidR="00A345F4" w:rsidRDefault="005E2D4E">
            <w:pPr>
              <w:pStyle w:val="P68B1DB1-Normal36"/>
              <w:spacing w:before="1" w:after="0" w:line="242" w:lineRule="auto"/>
              <w:ind w:firstLine="45"/>
              <w:jc w:val="center"/>
              <w:rPr>
                <w:noProof/>
              </w:rPr>
            </w:pPr>
            <w:r>
              <w:rPr>
                <w:noProof/>
              </w:rPr>
              <w:t>Indicateur qualitatif (pour les jalons)</w:t>
            </w:r>
          </w:p>
        </w:tc>
        <w:tc>
          <w:tcPr>
            <w:tcW w:w="1091" w:type="pct"/>
            <w:gridSpan w:val="3"/>
            <w:shd w:val="clear" w:color="auto" w:fill="C5D9F0"/>
            <w:tcMar>
              <w:left w:w="57" w:type="dxa"/>
              <w:right w:w="57" w:type="dxa"/>
            </w:tcMar>
            <w:vAlign w:val="center"/>
          </w:tcPr>
          <w:p w14:paraId="1F1681DF" w14:textId="77777777" w:rsidR="00A345F4" w:rsidRDefault="005E2D4E">
            <w:pPr>
              <w:pStyle w:val="P68B1DB1-Normal37"/>
              <w:spacing w:before="142" w:after="0" w:line="223" w:lineRule="auto"/>
              <w:jc w:val="center"/>
              <w:rPr>
                <w:noProof/>
              </w:rPr>
            </w:pPr>
            <w:r>
              <w:rPr>
                <w:b/>
                <w:noProof/>
              </w:rPr>
              <w:t>Indicateur quantitatif</w:t>
            </w:r>
            <w:r>
              <w:rPr>
                <w:noProof/>
              </w:rPr>
              <w:br/>
            </w:r>
            <w:r>
              <w:rPr>
                <w:b/>
                <w:noProof/>
              </w:rPr>
              <w:t>pour la cible</w:t>
            </w:r>
          </w:p>
        </w:tc>
        <w:tc>
          <w:tcPr>
            <w:tcW w:w="481" w:type="pct"/>
            <w:gridSpan w:val="2"/>
            <w:shd w:val="clear" w:color="auto" w:fill="C5D9F0"/>
            <w:tcMar>
              <w:left w:w="57" w:type="dxa"/>
              <w:right w:w="57" w:type="dxa"/>
            </w:tcMar>
            <w:vAlign w:val="center"/>
          </w:tcPr>
          <w:p w14:paraId="3D8110CE" w14:textId="77777777" w:rsidR="00A345F4" w:rsidRDefault="005E2D4E">
            <w:pPr>
              <w:pStyle w:val="P68B1DB1-Normal36"/>
              <w:spacing w:before="3" w:line="259" w:lineRule="auto"/>
              <w:jc w:val="center"/>
              <w:rPr>
                <w:noProof/>
              </w:rPr>
            </w:pPr>
            <w:r>
              <w:rPr>
                <w:noProof/>
              </w:rPr>
              <w:t>Temps</w:t>
            </w:r>
          </w:p>
        </w:tc>
        <w:tc>
          <w:tcPr>
            <w:tcW w:w="990" w:type="pct"/>
            <w:vMerge w:val="restart"/>
            <w:shd w:val="clear" w:color="auto" w:fill="C5D9F0"/>
            <w:tcMar>
              <w:left w:w="57" w:type="dxa"/>
              <w:right w:w="57" w:type="dxa"/>
            </w:tcMar>
            <w:vAlign w:val="center"/>
          </w:tcPr>
          <w:p w14:paraId="1B6E874B" w14:textId="77777777" w:rsidR="00A345F4" w:rsidRDefault="005E2D4E">
            <w:pPr>
              <w:pStyle w:val="P68B1DB1-Normal37"/>
              <w:spacing w:before="6" w:after="0" w:line="259" w:lineRule="auto"/>
              <w:jc w:val="center"/>
              <w:rPr>
                <w:noProof/>
              </w:rPr>
            </w:pPr>
            <w:r>
              <w:rPr>
                <w:noProof/>
              </w:rPr>
              <w:t xml:space="preserve"> </w:t>
            </w:r>
          </w:p>
          <w:p w14:paraId="7A48F8F2" w14:textId="77777777" w:rsidR="00A345F4" w:rsidRDefault="005E2D4E">
            <w:pPr>
              <w:pStyle w:val="P68B1DB1-Normal36"/>
              <w:spacing w:after="0" w:line="259" w:lineRule="auto"/>
              <w:jc w:val="center"/>
              <w:rPr>
                <w:noProof/>
              </w:rPr>
            </w:pPr>
            <w:r>
              <w:rPr>
                <w:noProof/>
              </w:rPr>
              <w:t>Description de chaque jalon et cible</w:t>
            </w:r>
          </w:p>
        </w:tc>
      </w:tr>
      <w:tr w:rsidR="00A345F4" w14:paraId="776B1356" w14:textId="77777777">
        <w:trPr>
          <w:trHeight w:val="585"/>
          <w:tblHeader/>
        </w:trPr>
        <w:tc>
          <w:tcPr>
            <w:tcW w:w="287" w:type="pct"/>
            <w:vMerge/>
            <w:tcMar>
              <w:left w:w="57" w:type="dxa"/>
              <w:right w:w="57" w:type="dxa"/>
            </w:tcMar>
            <w:vAlign w:val="center"/>
          </w:tcPr>
          <w:p w14:paraId="36D37840"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c>
          <w:tcPr>
            <w:tcW w:w="692" w:type="pct"/>
            <w:vMerge/>
            <w:tcMar>
              <w:left w:w="57" w:type="dxa"/>
              <w:right w:w="57" w:type="dxa"/>
            </w:tcMar>
            <w:vAlign w:val="center"/>
          </w:tcPr>
          <w:p w14:paraId="69B8F694"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c>
          <w:tcPr>
            <w:tcW w:w="379" w:type="pct"/>
            <w:vMerge/>
            <w:tcMar>
              <w:left w:w="57" w:type="dxa"/>
              <w:right w:w="57" w:type="dxa"/>
            </w:tcMar>
            <w:vAlign w:val="center"/>
          </w:tcPr>
          <w:p w14:paraId="77D888F8"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c>
          <w:tcPr>
            <w:tcW w:w="596" w:type="pct"/>
            <w:vMerge/>
            <w:tcMar>
              <w:left w:w="57" w:type="dxa"/>
              <w:right w:w="57" w:type="dxa"/>
            </w:tcMar>
            <w:vAlign w:val="center"/>
          </w:tcPr>
          <w:p w14:paraId="490B7FF0"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c>
          <w:tcPr>
            <w:tcW w:w="483" w:type="pct"/>
            <w:vMerge/>
            <w:tcMar>
              <w:left w:w="57" w:type="dxa"/>
              <w:right w:w="57" w:type="dxa"/>
            </w:tcMar>
            <w:vAlign w:val="center"/>
          </w:tcPr>
          <w:p w14:paraId="5937FF1D"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c>
          <w:tcPr>
            <w:tcW w:w="442" w:type="pct"/>
            <w:shd w:val="clear" w:color="auto" w:fill="C5D9F0"/>
            <w:tcMar>
              <w:left w:w="57" w:type="dxa"/>
              <w:right w:w="57" w:type="dxa"/>
            </w:tcMar>
            <w:vAlign w:val="center"/>
          </w:tcPr>
          <w:p w14:paraId="5442EF13" w14:textId="5C70CC42" w:rsidR="00A345F4" w:rsidRDefault="005E2D4E">
            <w:pPr>
              <w:pStyle w:val="P68B1DB1-Normal36"/>
              <w:spacing w:before="142" w:after="0" w:line="223" w:lineRule="auto"/>
              <w:jc w:val="center"/>
              <w:rPr>
                <w:noProof/>
              </w:rPr>
            </w:pPr>
            <w:r>
              <w:rPr>
                <w:noProof/>
              </w:rPr>
              <w:t>Unité de mesure</w:t>
            </w:r>
          </w:p>
        </w:tc>
        <w:tc>
          <w:tcPr>
            <w:tcW w:w="301" w:type="pct"/>
            <w:shd w:val="clear" w:color="auto" w:fill="C5D9F0"/>
            <w:tcMar>
              <w:left w:w="57" w:type="dxa"/>
              <w:right w:w="57" w:type="dxa"/>
            </w:tcMar>
            <w:vAlign w:val="center"/>
          </w:tcPr>
          <w:p w14:paraId="26DA8931" w14:textId="77777777" w:rsidR="00A345F4" w:rsidRDefault="005E2D4E">
            <w:pPr>
              <w:pStyle w:val="P68B1DB1-Normal36"/>
              <w:spacing w:before="142" w:after="0" w:line="223" w:lineRule="auto"/>
              <w:jc w:val="center"/>
              <w:rPr>
                <w:noProof/>
              </w:rPr>
            </w:pPr>
            <w:r>
              <w:rPr>
                <w:noProof/>
              </w:rPr>
              <w:t>Données de référence</w:t>
            </w:r>
          </w:p>
        </w:tc>
        <w:tc>
          <w:tcPr>
            <w:tcW w:w="348" w:type="pct"/>
            <w:shd w:val="clear" w:color="auto" w:fill="C5D9F0"/>
            <w:tcMar>
              <w:left w:w="57" w:type="dxa"/>
              <w:right w:w="57" w:type="dxa"/>
            </w:tcMar>
            <w:vAlign w:val="center"/>
          </w:tcPr>
          <w:p w14:paraId="28CDD5BF" w14:textId="77777777" w:rsidR="00A345F4" w:rsidRDefault="005E2D4E">
            <w:pPr>
              <w:pStyle w:val="P68B1DB1-Normal36"/>
              <w:spacing w:before="142" w:after="0" w:line="223" w:lineRule="auto"/>
              <w:jc w:val="center"/>
              <w:rPr>
                <w:noProof/>
              </w:rPr>
            </w:pPr>
            <w:r>
              <w:rPr>
                <w:noProof/>
              </w:rPr>
              <w:t>Objectif</w:t>
            </w:r>
          </w:p>
        </w:tc>
        <w:tc>
          <w:tcPr>
            <w:tcW w:w="297" w:type="pct"/>
            <w:shd w:val="clear" w:color="auto" w:fill="C5D9F0"/>
            <w:tcMar>
              <w:left w:w="57" w:type="dxa"/>
              <w:right w:w="57" w:type="dxa"/>
            </w:tcMar>
            <w:vAlign w:val="center"/>
          </w:tcPr>
          <w:p w14:paraId="7B8DDC05" w14:textId="77777777" w:rsidR="00A345F4" w:rsidRDefault="005E2D4E">
            <w:pPr>
              <w:pStyle w:val="P68B1DB1-Normal36"/>
              <w:spacing w:before="142" w:after="0" w:line="223" w:lineRule="auto"/>
              <w:jc w:val="center"/>
              <w:rPr>
                <w:rFonts w:eastAsia="Times New Roman"/>
                <w:bCs/>
                <w:noProof/>
              </w:rPr>
            </w:pPr>
            <w:r>
              <w:rPr>
                <w:noProof/>
              </w:rPr>
              <w:t>Trimestre</w:t>
            </w:r>
          </w:p>
        </w:tc>
        <w:tc>
          <w:tcPr>
            <w:tcW w:w="184" w:type="pct"/>
            <w:shd w:val="clear" w:color="auto" w:fill="C5D9F0"/>
            <w:tcMar>
              <w:left w:w="57" w:type="dxa"/>
              <w:right w:w="57" w:type="dxa"/>
            </w:tcMar>
            <w:vAlign w:val="center"/>
          </w:tcPr>
          <w:p w14:paraId="0C3EB1A4" w14:textId="77777777" w:rsidR="00A345F4" w:rsidRDefault="005E2D4E">
            <w:pPr>
              <w:pStyle w:val="P68B1DB1-Normal36"/>
              <w:spacing w:before="142" w:after="0" w:line="223" w:lineRule="auto"/>
              <w:jc w:val="center"/>
              <w:rPr>
                <w:rFonts w:eastAsia="Times New Roman"/>
                <w:bCs/>
                <w:noProof/>
              </w:rPr>
            </w:pPr>
            <w:r>
              <w:rPr>
                <w:noProof/>
              </w:rPr>
              <w:t>Année</w:t>
            </w:r>
          </w:p>
        </w:tc>
        <w:tc>
          <w:tcPr>
            <w:tcW w:w="990" w:type="pct"/>
            <w:vMerge/>
            <w:tcMar>
              <w:left w:w="57" w:type="dxa"/>
              <w:right w:w="57" w:type="dxa"/>
            </w:tcMar>
            <w:vAlign w:val="center"/>
          </w:tcPr>
          <w:p w14:paraId="5C31A3F0" w14:textId="77777777" w:rsidR="00A345F4" w:rsidRDefault="00A345F4">
            <w:pPr>
              <w:spacing w:line="259" w:lineRule="auto"/>
              <w:rPr>
                <w:rFonts w:ascii="Times New Roman" w:eastAsia="Aptos" w:hAnsi="Times New Roman" w:cs="Times New Roman"/>
                <w:noProof/>
                <w:kern w:val="2"/>
                <w:sz w:val="20"/>
                <w:szCs w:val="20"/>
                <w14:ligatures w14:val="standardContextual"/>
              </w:rPr>
            </w:pPr>
          </w:p>
        </w:tc>
      </w:tr>
      <w:tr w:rsidR="00A345F4" w14:paraId="58E1C57C" w14:textId="77777777">
        <w:trPr>
          <w:trHeight w:val="406"/>
        </w:trPr>
        <w:tc>
          <w:tcPr>
            <w:tcW w:w="287" w:type="pct"/>
            <w:shd w:val="clear" w:color="auto" w:fill="C5EECE"/>
            <w:tcMar>
              <w:left w:w="57" w:type="dxa"/>
              <w:right w:w="57" w:type="dxa"/>
            </w:tcMar>
          </w:tcPr>
          <w:p w14:paraId="5DA9D8B3" w14:textId="77777777" w:rsidR="00A345F4" w:rsidRDefault="005E2D4E">
            <w:pPr>
              <w:pStyle w:val="P68B1DB1-Normal37"/>
              <w:spacing w:after="0" w:line="259" w:lineRule="auto"/>
              <w:jc w:val="center"/>
              <w:rPr>
                <w:noProof/>
              </w:rPr>
            </w:pPr>
            <w:r>
              <w:rPr>
                <w:noProof/>
              </w:rPr>
              <w:t>529 bis</w:t>
            </w:r>
          </w:p>
        </w:tc>
        <w:tc>
          <w:tcPr>
            <w:tcW w:w="692" w:type="pct"/>
            <w:shd w:val="clear" w:color="auto" w:fill="C5EECE"/>
            <w:tcMar>
              <w:left w:w="57" w:type="dxa"/>
              <w:right w:w="57" w:type="dxa"/>
            </w:tcMar>
          </w:tcPr>
          <w:p w14:paraId="57EB2B29" w14:textId="77777777" w:rsidR="00A345F4" w:rsidRDefault="005E2D4E">
            <w:pPr>
              <w:pStyle w:val="P68B1DB1-Normal37"/>
              <w:spacing w:after="0" w:line="245" w:lineRule="auto"/>
              <w:jc w:val="both"/>
              <w:rPr>
                <w:noProof/>
              </w:rPr>
            </w:pPr>
            <w:r>
              <w:rPr>
                <w:noProof/>
              </w:rPr>
              <w:t>Investissement 7a. Bons de subvention pour soutenir les rénovations énergétiques des ménages</w:t>
            </w:r>
          </w:p>
        </w:tc>
        <w:tc>
          <w:tcPr>
            <w:tcW w:w="379" w:type="pct"/>
            <w:shd w:val="clear" w:color="auto" w:fill="C5EECE"/>
            <w:tcMar>
              <w:left w:w="57" w:type="dxa"/>
              <w:right w:w="57" w:type="dxa"/>
            </w:tcMar>
          </w:tcPr>
          <w:p w14:paraId="73E39F74" w14:textId="77777777" w:rsidR="00A345F4" w:rsidRDefault="005E2D4E">
            <w:pPr>
              <w:pStyle w:val="P68B1DB1-Normal37"/>
              <w:spacing w:after="0" w:line="254" w:lineRule="auto"/>
              <w:jc w:val="both"/>
              <w:rPr>
                <w:noProof/>
              </w:rPr>
            </w:pPr>
            <w:r>
              <w:rPr>
                <w:noProof/>
              </w:rPr>
              <w:t>Objectif</w:t>
            </w:r>
          </w:p>
        </w:tc>
        <w:tc>
          <w:tcPr>
            <w:tcW w:w="596" w:type="pct"/>
            <w:shd w:val="clear" w:color="auto" w:fill="C5EECE"/>
            <w:tcMar>
              <w:left w:w="57" w:type="dxa"/>
              <w:right w:w="57" w:type="dxa"/>
            </w:tcMar>
          </w:tcPr>
          <w:p w14:paraId="7E6923FE" w14:textId="77777777" w:rsidR="00A345F4" w:rsidRDefault="005E2D4E">
            <w:pPr>
              <w:pStyle w:val="P68B1DB1-Normal37"/>
              <w:spacing w:after="0" w:line="254" w:lineRule="auto"/>
              <w:jc w:val="both"/>
              <w:rPr>
                <w:noProof/>
              </w:rPr>
            </w:pPr>
            <w:r>
              <w:rPr>
                <w:noProof/>
              </w:rPr>
              <w:t>Autorisation des paiements pour la rénovation énergétique des logements</w:t>
            </w:r>
          </w:p>
        </w:tc>
        <w:tc>
          <w:tcPr>
            <w:tcW w:w="483" w:type="pct"/>
            <w:shd w:val="clear" w:color="auto" w:fill="C5EECE"/>
            <w:tcMar>
              <w:left w:w="57" w:type="dxa"/>
              <w:right w:w="57" w:type="dxa"/>
            </w:tcMar>
          </w:tcPr>
          <w:p w14:paraId="2296B50C" w14:textId="77777777" w:rsidR="00A345F4" w:rsidRDefault="00A345F4">
            <w:pPr>
              <w:spacing w:after="0" w:line="254" w:lineRule="auto"/>
              <w:jc w:val="both"/>
              <w:rPr>
                <w:rFonts w:ascii="Times New Roman" w:eastAsia="Aptos" w:hAnsi="Times New Roman" w:cs="Times New Roman"/>
                <w:noProof/>
                <w:kern w:val="2"/>
                <w:sz w:val="20"/>
                <w:szCs w:val="20"/>
                <w14:ligatures w14:val="standardContextual"/>
              </w:rPr>
            </w:pPr>
          </w:p>
        </w:tc>
        <w:tc>
          <w:tcPr>
            <w:tcW w:w="442" w:type="pct"/>
            <w:shd w:val="clear" w:color="auto" w:fill="C5EECE"/>
            <w:tcMar>
              <w:left w:w="57" w:type="dxa"/>
              <w:right w:w="57" w:type="dxa"/>
            </w:tcMar>
          </w:tcPr>
          <w:p w14:paraId="0AAC44E3" w14:textId="77777777" w:rsidR="00A345F4" w:rsidRDefault="005E2D4E">
            <w:pPr>
              <w:pStyle w:val="P68B1DB1-Normal37"/>
              <w:spacing w:after="0" w:line="259" w:lineRule="auto"/>
              <w:jc w:val="both"/>
              <w:rPr>
                <w:noProof/>
              </w:rPr>
            </w:pPr>
            <w:r>
              <w:rPr>
                <w:noProof/>
              </w:rPr>
              <w:t>EUR</w:t>
            </w:r>
          </w:p>
        </w:tc>
        <w:tc>
          <w:tcPr>
            <w:tcW w:w="301" w:type="pct"/>
            <w:shd w:val="clear" w:color="auto" w:fill="C5EECE"/>
            <w:tcMar>
              <w:left w:w="57" w:type="dxa"/>
              <w:right w:w="57" w:type="dxa"/>
            </w:tcMar>
          </w:tcPr>
          <w:p w14:paraId="0DDB5C6F" w14:textId="77777777" w:rsidR="00A345F4" w:rsidRDefault="005E2D4E">
            <w:pPr>
              <w:pStyle w:val="P68B1DB1-Normal37"/>
              <w:spacing w:after="0" w:line="259" w:lineRule="auto"/>
              <w:jc w:val="both"/>
              <w:rPr>
                <w:noProof/>
              </w:rPr>
            </w:pPr>
            <w:r>
              <w:rPr>
                <w:noProof/>
              </w:rPr>
              <w:t>0</w:t>
            </w:r>
          </w:p>
        </w:tc>
        <w:tc>
          <w:tcPr>
            <w:tcW w:w="348" w:type="pct"/>
            <w:shd w:val="clear" w:color="auto" w:fill="C5EECE"/>
            <w:tcMar>
              <w:left w:w="57" w:type="dxa"/>
              <w:right w:w="57" w:type="dxa"/>
            </w:tcMar>
          </w:tcPr>
          <w:p w14:paraId="3375C8FF" w14:textId="52A290CD" w:rsidR="00A345F4" w:rsidRDefault="005E2D4E">
            <w:pPr>
              <w:pStyle w:val="P68B1DB1-Normal37"/>
              <w:spacing w:after="0" w:line="257" w:lineRule="auto"/>
              <w:jc w:val="both"/>
              <w:rPr>
                <w:noProof/>
              </w:rPr>
            </w:pPr>
            <w:r>
              <w:rPr>
                <w:noProof/>
              </w:rPr>
              <w:t>96 698 120</w:t>
            </w:r>
          </w:p>
        </w:tc>
        <w:tc>
          <w:tcPr>
            <w:tcW w:w="297" w:type="pct"/>
            <w:shd w:val="clear" w:color="auto" w:fill="C5EECE"/>
            <w:tcMar>
              <w:left w:w="57" w:type="dxa"/>
              <w:right w:w="57" w:type="dxa"/>
            </w:tcMar>
          </w:tcPr>
          <w:p w14:paraId="48AC9ABB" w14:textId="77777777" w:rsidR="00A345F4" w:rsidRDefault="005E2D4E">
            <w:pPr>
              <w:pStyle w:val="P68B1DB1-Normal37"/>
              <w:spacing w:after="0" w:line="259" w:lineRule="auto"/>
              <w:jc w:val="both"/>
              <w:rPr>
                <w:noProof/>
              </w:rPr>
            </w:pPr>
            <w:r>
              <w:rPr>
                <w:noProof/>
              </w:rPr>
              <w:t>T3</w:t>
            </w:r>
          </w:p>
        </w:tc>
        <w:tc>
          <w:tcPr>
            <w:tcW w:w="184" w:type="pct"/>
            <w:shd w:val="clear" w:color="auto" w:fill="C5EECE"/>
            <w:tcMar>
              <w:left w:w="57" w:type="dxa"/>
              <w:right w:w="57" w:type="dxa"/>
            </w:tcMar>
          </w:tcPr>
          <w:p w14:paraId="20B8C556" w14:textId="77777777" w:rsidR="00A345F4" w:rsidRDefault="005E2D4E">
            <w:pPr>
              <w:pStyle w:val="P68B1DB1-Normal37"/>
              <w:spacing w:after="0" w:line="259" w:lineRule="auto"/>
              <w:jc w:val="both"/>
              <w:rPr>
                <w:noProof/>
              </w:rPr>
            </w:pPr>
            <w:r>
              <w:rPr>
                <w:noProof/>
              </w:rPr>
              <w:t>2026</w:t>
            </w:r>
          </w:p>
        </w:tc>
        <w:tc>
          <w:tcPr>
            <w:tcW w:w="990" w:type="pct"/>
            <w:shd w:val="clear" w:color="auto" w:fill="C5EECE"/>
            <w:tcMar>
              <w:left w:w="57" w:type="dxa"/>
              <w:right w:w="57" w:type="dxa"/>
            </w:tcMar>
          </w:tcPr>
          <w:p w14:paraId="6B774011" w14:textId="3422B0DC" w:rsidR="00A345F4" w:rsidRDefault="005E2D4E">
            <w:pPr>
              <w:pStyle w:val="P68B1DB1-Normal37"/>
              <w:spacing w:after="0" w:line="259" w:lineRule="auto"/>
              <w:jc w:val="both"/>
              <w:rPr>
                <w:noProof/>
              </w:rPr>
            </w:pPr>
            <w:r>
              <w:rPr>
                <w:noProof/>
              </w:rPr>
              <w:t>Décisions d’autoriser le paiement des chèques-subventions pour un montant total de 96 698 120 EUR adoptées par le ministère des fonds et des investissements de l’UE.</w:t>
            </w:r>
          </w:p>
        </w:tc>
      </w:tr>
      <w:tr w:rsidR="00A345F4" w14:paraId="253E18B5" w14:textId="77777777">
        <w:trPr>
          <w:trHeight w:val="406"/>
        </w:trPr>
        <w:tc>
          <w:tcPr>
            <w:tcW w:w="287" w:type="pct"/>
            <w:shd w:val="clear" w:color="auto" w:fill="C5EECE"/>
            <w:tcMar>
              <w:left w:w="57" w:type="dxa"/>
              <w:right w:w="57" w:type="dxa"/>
            </w:tcMar>
          </w:tcPr>
          <w:p w14:paraId="686202E2" w14:textId="77777777" w:rsidR="00A345F4" w:rsidRDefault="005E2D4E">
            <w:pPr>
              <w:pStyle w:val="P68B1DB1-Normal37"/>
              <w:spacing w:after="0" w:line="259" w:lineRule="auto"/>
              <w:jc w:val="center"/>
              <w:rPr>
                <w:noProof/>
              </w:rPr>
            </w:pPr>
            <w:r>
              <w:rPr>
                <w:noProof/>
              </w:rPr>
              <w:t>535</w:t>
            </w:r>
          </w:p>
        </w:tc>
        <w:tc>
          <w:tcPr>
            <w:tcW w:w="692" w:type="pct"/>
            <w:shd w:val="clear" w:color="auto" w:fill="C5EECE"/>
            <w:tcMar>
              <w:left w:w="57" w:type="dxa"/>
              <w:right w:w="57" w:type="dxa"/>
            </w:tcMar>
          </w:tcPr>
          <w:p w14:paraId="131573F7" w14:textId="77777777" w:rsidR="00A345F4" w:rsidRDefault="005E2D4E">
            <w:pPr>
              <w:pStyle w:val="P68B1DB1-Normal37"/>
              <w:spacing w:after="0" w:line="245" w:lineRule="auto"/>
              <w:jc w:val="both"/>
              <w:rPr>
                <w:noProof/>
              </w:rPr>
            </w:pPr>
            <w:r>
              <w:rPr>
                <w:noProof/>
              </w:rPr>
              <w:t>Investissement 8. Contrats de répartition des différences</w:t>
            </w:r>
          </w:p>
        </w:tc>
        <w:tc>
          <w:tcPr>
            <w:tcW w:w="379" w:type="pct"/>
            <w:shd w:val="clear" w:color="auto" w:fill="C5EECE"/>
            <w:tcMar>
              <w:left w:w="57" w:type="dxa"/>
              <w:right w:w="57" w:type="dxa"/>
            </w:tcMar>
          </w:tcPr>
          <w:p w14:paraId="390E98BB" w14:textId="77777777" w:rsidR="00A345F4" w:rsidRDefault="005E2D4E">
            <w:pPr>
              <w:pStyle w:val="P68B1DB1-Normal37"/>
              <w:spacing w:after="0" w:line="254" w:lineRule="auto"/>
              <w:jc w:val="both"/>
              <w:rPr>
                <w:noProof/>
              </w:rPr>
            </w:pPr>
            <w:r>
              <w:rPr>
                <w:noProof/>
              </w:rPr>
              <w:t>Étape</w:t>
            </w:r>
          </w:p>
        </w:tc>
        <w:tc>
          <w:tcPr>
            <w:tcW w:w="596" w:type="pct"/>
            <w:shd w:val="clear" w:color="auto" w:fill="C5EECE"/>
            <w:tcMar>
              <w:left w:w="57" w:type="dxa"/>
              <w:right w:w="57" w:type="dxa"/>
            </w:tcMar>
          </w:tcPr>
          <w:p w14:paraId="00061B26" w14:textId="77777777" w:rsidR="00A345F4" w:rsidRDefault="005E2D4E">
            <w:pPr>
              <w:pStyle w:val="P68B1DB1-Normal37"/>
              <w:spacing w:after="0" w:line="254" w:lineRule="auto"/>
              <w:jc w:val="both"/>
              <w:rPr>
                <w:noProof/>
              </w:rPr>
            </w:pPr>
            <w:r>
              <w:rPr>
                <w:noProof/>
              </w:rPr>
              <w:t>Signature de CfD pour des projets de production d'électricité renouvelable</w:t>
            </w:r>
          </w:p>
        </w:tc>
        <w:tc>
          <w:tcPr>
            <w:tcW w:w="483" w:type="pct"/>
            <w:shd w:val="clear" w:color="auto" w:fill="C5EECE"/>
            <w:tcMar>
              <w:left w:w="57" w:type="dxa"/>
              <w:right w:w="57" w:type="dxa"/>
            </w:tcMar>
          </w:tcPr>
          <w:p w14:paraId="054C32C9" w14:textId="77777777" w:rsidR="00A345F4" w:rsidRDefault="005E2D4E">
            <w:pPr>
              <w:pStyle w:val="P68B1DB1-Normal37"/>
              <w:spacing w:after="0" w:line="254" w:lineRule="auto"/>
              <w:jc w:val="both"/>
              <w:rPr>
                <w:rFonts w:eastAsia="Times New Roman"/>
                <w:noProof/>
              </w:rPr>
            </w:pPr>
            <w:r>
              <w:rPr>
                <w:noProof/>
              </w:rPr>
              <w:t xml:space="preserve">Signature des CdD </w:t>
            </w:r>
          </w:p>
        </w:tc>
        <w:tc>
          <w:tcPr>
            <w:tcW w:w="442" w:type="pct"/>
            <w:shd w:val="clear" w:color="auto" w:fill="C5EECE"/>
            <w:tcMar>
              <w:left w:w="57" w:type="dxa"/>
              <w:right w:w="57" w:type="dxa"/>
            </w:tcMar>
          </w:tcPr>
          <w:p w14:paraId="5745026A" w14:textId="77777777" w:rsidR="00A345F4" w:rsidRDefault="00A345F4">
            <w:pPr>
              <w:spacing w:after="0" w:line="259" w:lineRule="auto"/>
              <w:jc w:val="both"/>
              <w:rPr>
                <w:rFonts w:ascii="Times New Roman" w:eastAsia="Aptos" w:hAnsi="Times New Roman" w:cs="Times New Roman"/>
                <w:noProof/>
                <w:kern w:val="2"/>
                <w:sz w:val="20"/>
                <w:szCs w:val="20"/>
                <w14:ligatures w14:val="standardContextual"/>
              </w:rPr>
            </w:pPr>
          </w:p>
        </w:tc>
        <w:tc>
          <w:tcPr>
            <w:tcW w:w="301" w:type="pct"/>
            <w:shd w:val="clear" w:color="auto" w:fill="C5EECE"/>
            <w:tcMar>
              <w:left w:w="57" w:type="dxa"/>
              <w:right w:w="57" w:type="dxa"/>
            </w:tcMar>
          </w:tcPr>
          <w:p w14:paraId="0D7A8940" w14:textId="77777777" w:rsidR="00A345F4" w:rsidRDefault="00A345F4">
            <w:pPr>
              <w:spacing w:after="0" w:line="259" w:lineRule="auto"/>
              <w:jc w:val="both"/>
              <w:rPr>
                <w:rFonts w:ascii="Times New Roman" w:eastAsia="Aptos" w:hAnsi="Times New Roman" w:cs="Times New Roman"/>
                <w:noProof/>
                <w:kern w:val="2"/>
                <w:sz w:val="20"/>
                <w:szCs w:val="20"/>
                <w14:ligatures w14:val="standardContextual"/>
              </w:rPr>
            </w:pPr>
          </w:p>
        </w:tc>
        <w:tc>
          <w:tcPr>
            <w:tcW w:w="348" w:type="pct"/>
            <w:shd w:val="clear" w:color="auto" w:fill="C5EECE"/>
            <w:tcMar>
              <w:left w:w="57" w:type="dxa"/>
              <w:right w:w="57" w:type="dxa"/>
            </w:tcMar>
          </w:tcPr>
          <w:p w14:paraId="30F01D5D" w14:textId="77777777" w:rsidR="00A345F4" w:rsidRDefault="00A345F4">
            <w:pPr>
              <w:spacing w:after="0" w:line="257" w:lineRule="auto"/>
              <w:jc w:val="both"/>
              <w:rPr>
                <w:rFonts w:ascii="Times New Roman" w:eastAsia="Aptos" w:hAnsi="Times New Roman" w:cs="Times New Roman"/>
                <w:noProof/>
                <w:kern w:val="2"/>
                <w:sz w:val="20"/>
                <w:szCs w:val="20"/>
                <w14:ligatures w14:val="standardContextual"/>
              </w:rPr>
            </w:pPr>
          </w:p>
        </w:tc>
        <w:tc>
          <w:tcPr>
            <w:tcW w:w="297" w:type="pct"/>
            <w:shd w:val="clear" w:color="auto" w:fill="C5EECE"/>
            <w:tcMar>
              <w:left w:w="57" w:type="dxa"/>
              <w:right w:w="57" w:type="dxa"/>
            </w:tcMar>
          </w:tcPr>
          <w:p w14:paraId="06A34CB5" w14:textId="77777777" w:rsidR="00A345F4" w:rsidRDefault="005E2D4E">
            <w:pPr>
              <w:pStyle w:val="P68B1DB1-Normal37"/>
              <w:spacing w:after="0" w:line="259" w:lineRule="auto"/>
              <w:jc w:val="both"/>
              <w:rPr>
                <w:noProof/>
              </w:rPr>
            </w:pPr>
            <w:r>
              <w:rPr>
                <w:noProof/>
              </w:rPr>
              <w:t>T1</w:t>
            </w:r>
          </w:p>
        </w:tc>
        <w:tc>
          <w:tcPr>
            <w:tcW w:w="184" w:type="pct"/>
            <w:shd w:val="clear" w:color="auto" w:fill="C5EECE"/>
            <w:tcMar>
              <w:left w:w="57" w:type="dxa"/>
              <w:right w:w="57" w:type="dxa"/>
            </w:tcMar>
          </w:tcPr>
          <w:p w14:paraId="41C28004" w14:textId="77777777" w:rsidR="00A345F4" w:rsidRDefault="005E2D4E">
            <w:pPr>
              <w:pStyle w:val="P68B1DB1-Normal37"/>
              <w:spacing w:after="0" w:line="259" w:lineRule="auto"/>
              <w:jc w:val="both"/>
              <w:rPr>
                <w:noProof/>
              </w:rPr>
            </w:pPr>
            <w:r>
              <w:rPr>
                <w:noProof/>
              </w:rPr>
              <w:t>2026</w:t>
            </w:r>
          </w:p>
        </w:tc>
        <w:tc>
          <w:tcPr>
            <w:tcW w:w="990" w:type="pct"/>
            <w:shd w:val="clear" w:color="auto" w:fill="C5EECE"/>
            <w:tcMar>
              <w:left w:w="57" w:type="dxa"/>
              <w:right w:w="57" w:type="dxa"/>
            </w:tcMar>
          </w:tcPr>
          <w:p w14:paraId="5DB5DF23" w14:textId="77777777" w:rsidR="00A345F4" w:rsidRDefault="005E2D4E">
            <w:pPr>
              <w:pStyle w:val="P68B1DB1-Normal37"/>
              <w:spacing w:after="0" w:line="264" w:lineRule="auto"/>
              <w:jc w:val="both"/>
              <w:rPr>
                <w:noProof/>
              </w:rPr>
            </w:pPr>
            <w:r>
              <w:rPr>
                <w:noProof/>
              </w:rPr>
              <w:t>Signature de contrats d’appel d’offres pour des projets d’énergie renouvelable d’un montant de 315 MW pour des installations éoliennes terrestres.</w:t>
            </w:r>
          </w:p>
        </w:tc>
      </w:tr>
    </w:tbl>
    <w:p w14:paraId="5A46AD2C" w14:textId="77777777" w:rsidR="00A345F4" w:rsidRDefault="00A345F4">
      <w:pPr>
        <w:spacing w:line="259" w:lineRule="auto"/>
        <w:rPr>
          <w:rFonts w:ascii="Times New Roman" w:eastAsia="Aptos" w:hAnsi="Times New Roman" w:cs="Times New Roman"/>
          <w:noProof/>
          <w:kern w:val="2"/>
          <w:sz w:val="22"/>
          <w:szCs w:val="22"/>
          <w14:ligatures w14:val="standardContextual"/>
        </w:rPr>
        <w:sectPr w:rsidR="00A345F4" w:rsidSect="00F54DA9">
          <w:headerReference w:type="even" r:id="rId377"/>
          <w:headerReference w:type="default" r:id="rId378"/>
          <w:footerReference w:type="even" r:id="rId379"/>
          <w:footerReference w:type="default" r:id="rId380"/>
          <w:headerReference w:type="first" r:id="rId381"/>
          <w:footerReference w:type="first" r:id="rId382"/>
          <w:pgSz w:w="16839" w:h="11907" w:orient="landscape" w:code="1"/>
          <w:pgMar w:top="1134" w:right="1134" w:bottom="1134" w:left="1134" w:header="567" w:footer="567" w:gutter="0"/>
          <w:cols w:space="720"/>
          <w:docGrid w:linePitch="360"/>
        </w:sectPr>
      </w:pPr>
    </w:p>
    <w:p w14:paraId="7ABD505E" w14:textId="77777777" w:rsidR="00A345F4" w:rsidRDefault="005E2D4E">
      <w:pPr>
        <w:pStyle w:val="P68B1DB1-Normal68"/>
        <w:spacing w:before="120" w:after="120" w:line="240" w:lineRule="auto"/>
        <w:jc w:val="both"/>
        <w:rPr>
          <w:bCs/>
          <w:noProof/>
        </w:rPr>
      </w:pPr>
      <w:r>
        <w:rPr>
          <w:noProof/>
        </w:rPr>
        <w:t xml:space="preserve">1.2 Coût total estimé du plan pour la reprise et la résilience </w:t>
      </w:r>
    </w:p>
    <w:p w14:paraId="4BC12620" w14:textId="5BCBD980" w:rsidR="00A345F4" w:rsidRDefault="005E2D4E">
      <w:pPr>
        <w:pStyle w:val="P68B1DB1-Normal4"/>
        <w:spacing w:before="120" w:after="120" w:line="240" w:lineRule="auto"/>
        <w:ind w:left="850"/>
        <w:jc w:val="both"/>
        <w:rPr>
          <w:noProof/>
        </w:rPr>
      </w:pPr>
      <w:r>
        <w:rPr>
          <w:noProof/>
        </w:rPr>
        <w:t>Le coût total du plan pour la reprise et la résilience révisé de la Roumanie est estimé à 20 106 860 700 EUR.</w:t>
      </w:r>
    </w:p>
    <w:p w14:paraId="52FABB88" w14:textId="5C00EBC8" w:rsidR="00A345F4" w:rsidRDefault="005E2D4E">
      <w:pPr>
        <w:pStyle w:val="P68B1DB1-Normal69"/>
        <w:keepNext/>
        <w:keepLines/>
        <w:spacing w:before="360" w:after="80" w:line="259" w:lineRule="auto"/>
        <w:outlineLvl w:val="0"/>
        <w:rPr>
          <w:bCs/>
          <w:smallCaps/>
          <w:noProof/>
        </w:rPr>
      </w:pPr>
      <w:r>
        <w:rPr>
          <w:noProof/>
        </w:rPr>
        <w:t xml:space="preserve">2. SECTION 2: SOUTIEN FINANCIER </w:t>
      </w:r>
    </w:p>
    <w:p w14:paraId="77F944D7" w14:textId="77777777" w:rsidR="00A345F4" w:rsidRDefault="005E2D4E">
      <w:pPr>
        <w:pStyle w:val="P68B1DB1-Normal70"/>
        <w:keepNext/>
        <w:keepLines/>
        <w:numPr>
          <w:ilvl w:val="1"/>
          <w:numId w:val="0"/>
        </w:numPr>
        <w:spacing w:before="160" w:after="80" w:line="259" w:lineRule="auto"/>
        <w:ind w:left="360" w:hanging="360"/>
        <w:outlineLvl w:val="1"/>
        <w:rPr>
          <w:b/>
          <w:noProof/>
        </w:rPr>
      </w:pPr>
      <w:r>
        <w:rPr>
          <w:noProof/>
        </w:rPr>
        <w:t xml:space="preserve">2.1 Contribution financière </w:t>
      </w:r>
    </w:p>
    <w:p w14:paraId="30D2F6A6" w14:textId="77777777" w:rsidR="00A345F4" w:rsidRDefault="005E2D4E">
      <w:pPr>
        <w:pStyle w:val="P68B1DB1-Normal31"/>
        <w:spacing w:before="120" w:after="120" w:line="240" w:lineRule="auto"/>
        <w:ind w:left="850"/>
        <w:jc w:val="both"/>
        <w:rPr>
          <w:noProof/>
        </w:rPr>
      </w:pPr>
      <w:r>
        <w:rPr>
          <w:noProof/>
        </w:rPr>
        <w:t>Les tranches visées à l'article 2, paragraphe 2, sont organisées de la manière suivante:</w:t>
      </w:r>
    </w:p>
    <w:p w14:paraId="284D129A" w14:textId="77777777" w:rsidR="00A345F4" w:rsidRDefault="005E2D4E">
      <w:pPr>
        <w:pStyle w:val="P68B1DB1-Normal71"/>
        <w:keepNext/>
        <w:tabs>
          <w:tab w:val="num" w:pos="1417"/>
        </w:tabs>
        <w:spacing w:before="120" w:after="120" w:line="240" w:lineRule="auto"/>
        <w:ind w:left="1417" w:hanging="850"/>
        <w:jc w:val="both"/>
        <w:outlineLvl w:val="2"/>
        <w:rPr>
          <w:noProof/>
        </w:rPr>
      </w:pPr>
      <w:r>
        <w:rPr>
          <w:noProof/>
        </w:rPr>
        <w:t xml:space="preserve">2.1.1 Première tranche (soutien non remboursable): </w:t>
      </w:r>
    </w:p>
    <w:tbl>
      <w:tblPr>
        <w:tblW w:w="9463" w:type="dxa"/>
        <w:tblInd w:w="113" w:type="dxa"/>
        <w:tblLook w:val="04A0" w:firstRow="1" w:lastRow="0" w:firstColumn="1" w:lastColumn="0" w:noHBand="0" w:noVBand="1"/>
      </w:tblPr>
      <w:tblGrid>
        <w:gridCol w:w="1288"/>
        <w:gridCol w:w="3627"/>
        <w:gridCol w:w="1320"/>
        <w:gridCol w:w="3228"/>
      </w:tblGrid>
      <w:tr w:rsidR="00A345F4" w14:paraId="3231E86E" w14:textId="77777777">
        <w:trPr>
          <w:trHeight w:val="906"/>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FCF5EAF" w14:textId="77777777" w:rsidR="00A345F4" w:rsidRDefault="005E2D4E">
            <w:pPr>
              <w:pStyle w:val="P68B1DB1-Normal72"/>
              <w:spacing w:after="0" w:line="259" w:lineRule="auto"/>
              <w:jc w:val="center"/>
              <w:rPr>
                <w:noProof/>
              </w:rPr>
            </w:pPr>
            <w:r>
              <w:rPr>
                <w:noProof/>
              </w:rPr>
              <w:t>Numéro séquentiel</w:t>
            </w:r>
          </w:p>
        </w:tc>
        <w:tc>
          <w:tcPr>
            <w:tcW w:w="36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703704" w14:textId="77777777" w:rsidR="00A345F4" w:rsidRDefault="005E2D4E">
            <w:pPr>
              <w:pStyle w:val="P68B1DB1-Normal72"/>
              <w:spacing w:after="0" w:line="259" w:lineRule="auto"/>
              <w:jc w:val="center"/>
              <w:rPr>
                <w:noProof/>
              </w:rPr>
            </w:pPr>
            <w:r>
              <w:rPr>
                <w:noProof/>
              </w:rPr>
              <w:t xml:space="preserve">Mesure connexe </w:t>
            </w:r>
          </w:p>
          <w:p w14:paraId="08FB6D52" w14:textId="77777777" w:rsidR="00A345F4" w:rsidRDefault="005E2D4E">
            <w:pPr>
              <w:pStyle w:val="P68B1DB1-Normal72"/>
              <w:spacing w:after="0" w:line="259" w:lineRule="auto"/>
              <w:jc w:val="center"/>
              <w:rPr>
                <w:noProof/>
              </w:rPr>
            </w:pPr>
            <w:r>
              <w:rPr>
                <w:noProof/>
              </w:rPr>
              <w:t>(Réforme ou investissement)</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9DA69A" w14:textId="77777777" w:rsidR="00A345F4" w:rsidRDefault="005E2D4E">
            <w:pPr>
              <w:pStyle w:val="P68B1DB1-Normal72"/>
              <w:spacing w:after="0" w:line="259" w:lineRule="auto"/>
              <w:jc w:val="center"/>
              <w:rPr>
                <w:noProof/>
              </w:rPr>
            </w:pPr>
            <w:r>
              <w:rPr>
                <w:noProof/>
              </w:rPr>
              <w:t>Étape/cible</w:t>
            </w:r>
          </w:p>
        </w:tc>
        <w:tc>
          <w:tcPr>
            <w:tcW w:w="32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0D242F" w14:textId="77777777" w:rsidR="00A345F4" w:rsidRDefault="005E2D4E">
            <w:pPr>
              <w:pStyle w:val="P68B1DB1-Normal72"/>
              <w:spacing w:after="0" w:line="259" w:lineRule="auto"/>
              <w:jc w:val="center"/>
              <w:rPr>
                <w:noProof/>
              </w:rPr>
            </w:pPr>
            <w:r>
              <w:rPr>
                <w:noProof/>
              </w:rPr>
              <w:t>Nom</w:t>
            </w:r>
          </w:p>
        </w:tc>
      </w:tr>
      <w:tr w:rsidR="00A345F4" w14:paraId="6995BE38" w14:textId="77777777">
        <w:trPr>
          <w:trHeight w:val="509"/>
          <w:tblHeader/>
        </w:trPr>
        <w:tc>
          <w:tcPr>
            <w:tcW w:w="1288" w:type="dxa"/>
            <w:vMerge/>
            <w:tcBorders>
              <w:top w:val="single" w:sz="4" w:space="0" w:color="auto"/>
              <w:left w:val="single" w:sz="4" w:space="0" w:color="auto"/>
              <w:bottom w:val="single" w:sz="4" w:space="0" w:color="auto"/>
              <w:right w:val="single" w:sz="4" w:space="0" w:color="auto"/>
            </w:tcBorders>
            <w:vAlign w:val="center"/>
            <w:hideMark/>
          </w:tcPr>
          <w:p w14:paraId="3FAE9722" w14:textId="77777777" w:rsidR="00A345F4" w:rsidRDefault="00A345F4">
            <w:pPr>
              <w:spacing w:after="0" w:line="259" w:lineRule="auto"/>
              <w:jc w:val="center"/>
              <w:rPr>
                <w:rFonts w:ascii="Times New Roman" w:eastAsia="Times New Roman" w:hAnsi="Times New Roman" w:cs="Times New Roman"/>
                <w:b/>
                <w:bCs/>
                <w:noProof/>
                <w:kern w:val="2"/>
                <w:sz w:val="22"/>
                <w:szCs w:val="22"/>
                <w14:ligatures w14:val="standardContextual"/>
              </w:rPr>
            </w:pPr>
          </w:p>
        </w:tc>
        <w:tc>
          <w:tcPr>
            <w:tcW w:w="3627" w:type="dxa"/>
            <w:vMerge/>
            <w:tcBorders>
              <w:top w:val="single" w:sz="4" w:space="0" w:color="auto"/>
              <w:left w:val="single" w:sz="4" w:space="0" w:color="auto"/>
              <w:bottom w:val="single" w:sz="4" w:space="0" w:color="auto"/>
              <w:right w:val="single" w:sz="4" w:space="0" w:color="auto"/>
            </w:tcBorders>
            <w:vAlign w:val="center"/>
            <w:hideMark/>
          </w:tcPr>
          <w:p w14:paraId="27E8BEA8"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26E6FB90" w14:textId="77777777" w:rsidR="00A345F4" w:rsidRDefault="00A345F4">
            <w:pPr>
              <w:spacing w:after="0" w:line="259" w:lineRule="auto"/>
              <w:jc w:val="center"/>
              <w:rPr>
                <w:rFonts w:ascii="Times New Roman" w:eastAsia="Times New Roman" w:hAnsi="Times New Roman" w:cs="Times New Roman"/>
                <w:b/>
                <w:bCs/>
                <w:noProof/>
                <w:kern w:val="2"/>
                <w:sz w:val="22"/>
                <w:szCs w:val="22"/>
                <w14:ligatures w14:val="standardContextual"/>
              </w:rPr>
            </w:pPr>
          </w:p>
        </w:tc>
        <w:tc>
          <w:tcPr>
            <w:tcW w:w="3228" w:type="dxa"/>
            <w:vMerge/>
            <w:tcBorders>
              <w:top w:val="single" w:sz="4" w:space="0" w:color="auto"/>
              <w:left w:val="single" w:sz="4" w:space="0" w:color="auto"/>
              <w:bottom w:val="single" w:sz="4" w:space="0" w:color="auto"/>
              <w:right w:val="single" w:sz="4" w:space="0" w:color="auto"/>
            </w:tcBorders>
            <w:vAlign w:val="center"/>
            <w:hideMark/>
          </w:tcPr>
          <w:p w14:paraId="064D9690"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r>
      <w:tr w:rsidR="00A345F4" w14:paraId="56E9A95F" w14:textId="77777777">
        <w:trPr>
          <w:trHeight w:val="302"/>
        </w:trPr>
        <w:tc>
          <w:tcPr>
            <w:tcW w:w="1288" w:type="dxa"/>
            <w:tcBorders>
              <w:top w:val="single" w:sz="4" w:space="0" w:color="auto"/>
              <w:left w:val="single" w:sz="4" w:space="0" w:color="auto"/>
              <w:bottom w:val="single" w:sz="4" w:space="0" w:color="auto"/>
              <w:right w:val="single" w:sz="4" w:space="0" w:color="auto"/>
            </w:tcBorders>
            <w:shd w:val="clear" w:color="auto" w:fill="C6EFCE"/>
            <w:noWrap/>
          </w:tcPr>
          <w:p w14:paraId="30AF551E" w14:textId="77777777" w:rsidR="00A345F4" w:rsidRDefault="005E2D4E">
            <w:pPr>
              <w:pStyle w:val="P68B1DB1-Normal73"/>
              <w:spacing w:after="0" w:line="259" w:lineRule="auto"/>
              <w:jc w:val="center"/>
              <w:rPr>
                <w:rFonts w:eastAsia="Times New Roman"/>
                <w:noProof/>
              </w:rPr>
            </w:pPr>
            <w:r>
              <w:rPr>
                <w:noProof/>
              </w:rPr>
              <w:t>146</w:t>
            </w:r>
          </w:p>
        </w:tc>
        <w:tc>
          <w:tcPr>
            <w:tcW w:w="3627" w:type="dxa"/>
            <w:tcBorders>
              <w:top w:val="single" w:sz="4" w:space="0" w:color="auto"/>
              <w:left w:val="nil"/>
              <w:bottom w:val="single" w:sz="4" w:space="0" w:color="auto"/>
              <w:right w:val="single" w:sz="4" w:space="0" w:color="auto"/>
            </w:tcBorders>
            <w:shd w:val="clear" w:color="auto" w:fill="C6EFCE"/>
            <w:noWrap/>
          </w:tcPr>
          <w:p w14:paraId="51613385" w14:textId="77777777" w:rsidR="00A345F4" w:rsidRDefault="005E2D4E">
            <w:pPr>
              <w:pStyle w:val="P68B1DB1-Normal73"/>
              <w:spacing w:after="0" w:line="259" w:lineRule="auto"/>
              <w:jc w:val="both"/>
              <w:rPr>
                <w:noProof/>
              </w:rPr>
            </w:pPr>
            <w:r>
              <w:rPr>
                <w:noProof/>
              </w:rPr>
              <w:t>C7.R2</w:t>
            </w:r>
          </w:p>
          <w:p w14:paraId="19024412" w14:textId="77777777" w:rsidR="00A345F4" w:rsidRDefault="005E2D4E">
            <w:pPr>
              <w:pStyle w:val="P68B1DB1-Normal73"/>
              <w:spacing w:after="0" w:line="259" w:lineRule="auto"/>
              <w:jc w:val="both"/>
              <w:rPr>
                <w:rFonts w:eastAsia="Times New Roman"/>
                <w:noProof/>
              </w:rPr>
            </w:pPr>
            <w:r>
              <w:rPr>
                <w:noProof/>
              </w:rPr>
              <w:t xml:space="preserve">Transition vers les objectifs de connectivité de l’UE à l’horizon 2025 et stimulation des investissements privés pour le déploiement de réseaux à très haute capacité </w:t>
            </w:r>
          </w:p>
        </w:tc>
        <w:tc>
          <w:tcPr>
            <w:tcW w:w="1320" w:type="dxa"/>
            <w:tcBorders>
              <w:top w:val="single" w:sz="4" w:space="0" w:color="auto"/>
              <w:left w:val="nil"/>
              <w:bottom w:val="single" w:sz="4" w:space="0" w:color="auto"/>
              <w:right w:val="single" w:sz="4" w:space="0" w:color="auto"/>
            </w:tcBorders>
            <w:shd w:val="clear" w:color="auto" w:fill="C6EFCE"/>
            <w:noWrap/>
          </w:tcPr>
          <w:p w14:paraId="06FA1659"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single" w:sz="4" w:space="0" w:color="auto"/>
              <w:left w:val="nil"/>
              <w:bottom w:val="single" w:sz="4" w:space="0" w:color="auto"/>
              <w:right w:val="single" w:sz="4" w:space="0" w:color="auto"/>
            </w:tcBorders>
            <w:shd w:val="clear" w:color="auto" w:fill="C6EFCE"/>
            <w:noWrap/>
          </w:tcPr>
          <w:p w14:paraId="43380376" w14:textId="77777777" w:rsidR="00A345F4" w:rsidRDefault="005E2D4E">
            <w:pPr>
              <w:pStyle w:val="P68B1DB1-Normal73"/>
              <w:spacing w:after="0" w:line="259" w:lineRule="auto"/>
              <w:jc w:val="both"/>
              <w:rPr>
                <w:rFonts w:eastAsia="Times New Roman"/>
                <w:noProof/>
              </w:rPr>
            </w:pPr>
            <w:r>
              <w:rPr>
                <w:noProof/>
              </w:rPr>
              <w:t>Entrée en vigueur de la loi sur la sécurité des réseaux 5G</w:t>
            </w:r>
          </w:p>
        </w:tc>
      </w:tr>
      <w:tr w:rsidR="00A345F4" w14:paraId="34E484D9"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hideMark/>
          </w:tcPr>
          <w:p w14:paraId="5D1383BE" w14:textId="77777777" w:rsidR="00A345F4" w:rsidRDefault="005E2D4E">
            <w:pPr>
              <w:pStyle w:val="P68B1DB1-Normal73"/>
              <w:spacing w:after="0" w:line="259" w:lineRule="auto"/>
              <w:jc w:val="center"/>
              <w:rPr>
                <w:rFonts w:eastAsia="Times New Roman"/>
                <w:noProof/>
              </w:rPr>
            </w:pPr>
            <w:r>
              <w:rPr>
                <w:noProof/>
              </w:rPr>
              <w:t>69</w:t>
            </w:r>
          </w:p>
        </w:tc>
        <w:tc>
          <w:tcPr>
            <w:tcW w:w="3627" w:type="dxa"/>
            <w:tcBorders>
              <w:top w:val="nil"/>
              <w:left w:val="nil"/>
              <w:bottom w:val="single" w:sz="4" w:space="0" w:color="auto"/>
              <w:right w:val="single" w:sz="4" w:space="0" w:color="auto"/>
            </w:tcBorders>
            <w:shd w:val="clear" w:color="auto" w:fill="C6EFCE"/>
            <w:noWrap/>
            <w:hideMark/>
          </w:tcPr>
          <w:p w14:paraId="50B1EEE2" w14:textId="77777777" w:rsidR="00A345F4" w:rsidRDefault="005E2D4E">
            <w:pPr>
              <w:pStyle w:val="P68B1DB1-Normal73"/>
              <w:spacing w:after="0" w:line="259" w:lineRule="auto"/>
              <w:jc w:val="both"/>
              <w:rPr>
                <w:noProof/>
              </w:rPr>
            </w:pPr>
            <w:r>
              <w:rPr>
                <w:noProof/>
              </w:rPr>
              <w:t>C4.R1</w:t>
            </w:r>
          </w:p>
          <w:p w14:paraId="55262C4B" w14:textId="77777777" w:rsidR="00A345F4" w:rsidRDefault="005E2D4E">
            <w:pPr>
              <w:pStyle w:val="P68B1DB1-Normal73"/>
              <w:spacing w:after="0" w:line="259" w:lineRule="auto"/>
              <w:jc w:val="both"/>
              <w:rPr>
                <w:rFonts w:eastAsia="Times New Roman"/>
                <w:noProof/>
              </w:rPr>
            </w:pPr>
            <w:r>
              <w:rPr>
                <w:noProof/>
              </w:rPr>
              <w:t>Transports durables, décarbonation et sécurité routière /</w:t>
            </w:r>
            <w:r>
              <w:rPr>
                <w:noProof/>
              </w:rPr>
              <w:br/>
              <w:t>Développement de l'infrastructure ferroviaire et gestion du trafic ferroviaire</w:t>
            </w:r>
          </w:p>
        </w:tc>
        <w:tc>
          <w:tcPr>
            <w:tcW w:w="1320" w:type="dxa"/>
            <w:tcBorders>
              <w:top w:val="nil"/>
              <w:left w:val="nil"/>
              <w:bottom w:val="single" w:sz="4" w:space="0" w:color="auto"/>
              <w:right w:val="single" w:sz="4" w:space="0" w:color="auto"/>
            </w:tcBorders>
            <w:shd w:val="clear" w:color="auto" w:fill="C6EFCE"/>
            <w:noWrap/>
            <w:hideMark/>
          </w:tcPr>
          <w:p w14:paraId="347E0B12"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hideMark/>
          </w:tcPr>
          <w:p w14:paraId="627B7280" w14:textId="77777777" w:rsidR="00A345F4" w:rsidRDefault="005E2D4E">
            <w:pPr>
              <w:pStyle w:val="P68B1DB1-Normal73"/>
              <w:spacing w:after="0" w:line="259" w:lineRule="auto"/>
              <w:jc w:val="both"/>
              <w:rPr>
                <w:rFonts w:eastAsia="Times New Roman"/>
                <w:noProof/>
              </w:rPr>
            </w:pPr>
            <w:r>
              <w:rPr>
                <w:noProof/>
              </w:rPr>
              <w:t>Adoption de la stratégie de développement de l’infrastructure ferroviaire 2021-2025 et application du plan d’action</w:t>
            </w:r>
          </w:p>
        </w:tc>
      </w:tr>
      <w:tr w:rsidR="00A345F4" w14:paraId="5D87B2C8"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hideMark/>
          </w:tcPr>
          <w:p w14:paraId="3DC94556" w14:textId="77777777" w:rsidR="00A345F4" w:rsidRDefault="005E2D4E">
            <w:pPr>
              <w:pStyle w:val="P68B1DB1-Normal73"/>
              <w:spacing w:after="0" w:line="259" w:lineRule="auto"/>
              <w:jc w:val="center"/>
              <w:rPr>
                <w:rFonts w:eastAsia="Times New Roman"/>
                <w:noProof/>
              </w:rPr>
            </w:pPr>
            <w:r>
              <w:rPr>
                <w:noProof/>
              </w:rPr>
              <w:t>113</w:t>
            </w:r>
          </w:p>
        </w:tc>
        <w:tc>
          <w:tcPr>
            <w:tcW w:w="3627" w:type="dxa"/>
            <w:tcBorders>
              <w:top w:val="nil"/>
              <w:left w:val="nil"/>
              <w:bottom w:val="single" w:sz="4" w:space="0" w:color="auto"/>
              <w:right w:val="single" w:sz="4" w:space="0" w:color="auto"/>
            </w:tcBorders>
            <w:shd w:val="clear" w:color="auto" w:fill="C6EFCE"/>
            <w:noWrap/>
            <w:hideMark/>
          </w:tcPr>
          <w:p w14:paraId="6D75B92C" w14:textId="77777777" w:rsidR="00A345F4" w:rsidRDefault="005E2D4E">
            <w:pPr>
              <w:pStyle w:val="P68B1DB1-Normal73"/>
              <w:spacing w:after="0" w:line="259" w:lineRule="auto"/>
              <w:jc w:val="both"/>
              <w:rPr>
                <w:noProof/>
              </w:rPr>
            </w:pPr>
            <w:r>
              <w:rPr>
                <w:noProof/>
              </w:rPr>
              <w:t>C6.R1</w:t>
            </w:r>
          </w:p>
          <w:p w14:paraId="584DD162" w14:textId="77777777" w:rsidR="00A345F4" w:rsidRDefault="005E2D4E">
            <w:pPr>
              <w:pStyle w:val="P68B1DB1-Normal73"/>
              <w:spacing w:after="0" w:line="259" w:lineRule="auto"/>
              <w:jc w:val="both"/>
              <w:rPr>
                <w:rFonts w:eastAsia="Times New Roman"/>
                <w:noProof/>
              </w:rPr>
            </w:pPr>
            <w:r>
              <w:rPr>
                <w:noProof/>
              </w:rPr>
              <w:t>Réforme du marché de l'électricité, remplacement du charbon dans le bouquet énergétique et soutien à un cadre législatif et réglementaire pour les investissements privés dans la production d'électricité renouvelable</w:t>
            </w:r>
          </w:p>
        </w:tc>
        <w:tc>
          <w:tcPr>
            <w:tcW w:w="1320" w:type="dxa"/>
            <w:tcBorders>
              <w:top w:val="nil"/>
              <w:left w:val="nil"/>
              <w:bottom w:val="single" w:sz="4" w:space="0" w:color="auto"/>
              <w:right w:val="single" w:sz="4" w:space="0" w:color="auto"/>
            </w:tcBorders>
            <w:shd w:val="clear" w:color="auto" w:fill="C6EFCE"/>
            <w:noWrap/>
            <w:hideMark/>
          </w:tcPr>
          <w:p w14:paraId="3C6674F1" w14:textId="77777777" w:rsidR="00A345F4" w:rsidRDefault="005E2D4E">
            <w:pPr>
              <w:pStyle w:val="P68B1DB1-Normal73"/>
              <w:spacing w:after="0" w:line="259" w:lineRule="auto"/>
              <w:jc w:val="center"/>
              <w:rPr>
                <w:rFonts w:eastAsia="Times New Roman"/>
                <w:noProof/>
              </w:rPr>
            </w:pPr>
            <w:r>
              <w:rPr>
                <w:noProof/>
              </w:rPr>
              <w:t>T</w:t>
            </w:r>
          </w:p>
        </w:tc>
        <w:tc>
          <w:tcPr>
            <w:tcW w:w="3228" w:type="dxa"/>
            <w:tcBorders>
              <w:top w:val="nil"/>
              <w:left w:val="nil"/>
              <w:bottom w:val="single" w:sz="4" w:space="0" w:color="auto"/>
              <w:right w:val="single" w:sz="4" w:space="0" w:color="auto"/>
            </w:tcBorders>
            <w:shd w:val="clear" w:color="auto" w:fill="C6EFCE"/>
            <w:noWrap/>
            <w:hideMark/>
          </w:tcPr>
          <w:p w14:paraId="41A1214F" w14:textId="77777777" w:rsidR="00A345F4" w:rsidRDefault="005E2D4E">
            <w:pPr>
              <w:pStyle w:val="P68B1DB1-Normal73"/>
              <w:spacing w:after="0" w:line="259" w:lineRule="auto"/>
              <w:jc w:val="both"/>
              <w:rPr>
                <w:rFonts w:eastAsia="Times New Roman"/>
                <w:noProof/>
              </w:rPr>
            </w:pPr>
            <w:r>
              <w:rPr>
                <w:noProof/>
              </w:rPr>
              <w:t xml:space="preserve">Démantèlement de la capacité de production d'électricité à partir de charbon </w:t>
            </w:r>
          </w:p>
        </w:tc>
      </w:tr>
      <w:tr w:rsidR="00A345F4" w14:paraId="5371A589"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39E28FC1" w14:textId="77777777" w:rsidR="00A345F4" w:rsidRDefault="005E2D4E">
            <w:pPr>
              <w:pStyle w:val="P68B1DB1-Normal73"/>
              <w:spacing w:after="0" w:line="259" w:lineRule="auto"/>
              <w:jc w:val="center"/>
              <w:rPr>
                <w:rFonts w:eastAsia="Times New Roman"/>
                <w:noProof/>
              </w:rPr>
            </w:pPr>
            <w:r>
              <w:rPr>
                <w:noProof/>
              </w:rPr>
              <w:t>142</w:t>
            </w:r>
          </w:p>
        </w:tc>
        <w:tc>
          <w:tcPr>
            <w:tcW w:w="3627" w:type="dxa"/>
            <w:tcBorders>
              <w:top w:val="nil"/>
              <w:left w:val="nil"/>
              <w:bottom w:val="single" w:sz="4" w:space="0" w:color="auto"/>
              <w:right w:val="single" w:sz="4" w:space="0" w:color="auto"/>
            </w:tcBorders>
            <w:shd w:val="clear" w:color="auto" w:fill="C6EFCE"/>
            <w:noWrap/>
          </w:tcPr>
          <w:p w14:paraId="43B1A492" w14:textId="77777777" w:rsidR="00A345F4" w:rsidRDefault="005E2D4E">
            <w:pPr>
              <w:pStyle w:val="P68B1DB1-Normal73"/>
              <w:spacing w:after="0" w:line="259" w:lineRule="auto"/>
              <w:jc w:val="both"/>
              <w:rPr>
                <w:noProof/>
              </w:rPr>
            </w:pPr>
            <w:r>
              <w:rPr>
                <w:noProof/>
              </w:rPr>
              <w:t xml:space="preserve">C7.R1 </w:t>
            </w:r>
          </w:p>
          <w:p w14:paraId="11035D7E" w14:textId="77777777" w:rsidR="00A345F4" w:rsidRDefault="005E2D4E">
            <w:pPr>
              <w:pStyle w:val="P68B1DB1-Normal73"/>
              <w:spacing w:after="0" w:line="259" w:lineRule="auto"/>
              <w:jc w:val="both"/>
              <w:rPr>
                <w:rFonts w:eastAsia="Times New Roman"/>
                <w:noProof/>
              </w:rPr>
            </w:pPr>
            <w:r>
              <w:rPr>
                <w:noProof/>
              </w:rPr>
              <w:t>Développement d'un cadre unitaire pour définir l'architecture d'un système cloud gouvernemental</w:t>
            </w:r>
          </w:p>
        </w:tc>
        <w:tc>
          <w:tcPr>
            <w:tcW w:w="1320" w:type="dxa"/>
            <w:tcBorders>
              <w:top w:val="nil"/>
              <w:left w:val="nil"/>
              <w:bottom w:val="single" w:sz="4" w:space="0" w:color="auto"/>
              <w:right w:val="single" w:sz="4" w:space="0" w:color="auto"/>
            </w:tcBorders>
            <w:shd w:val="clear" w:color="auto" w:fill="C6EFCE"/>
            <w:noWrap/>
          </w:tcPr>
          <w:p w14:paraId="49266631"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tcPr>
          <w:p w14:paraId="612B4136" w14:textId="77777777" w:rsidR="00A345F4" w:rsidRDefault="005E2D4E">
            <w:pPr>
              <w:pStyle w:val="P68B1DB1-Normal73"/>
              <w:spacing w:after="0" w:line="259" w:lineRule="auto"/>
              <w:jc w:val="both"/>
              <w:rPr>
                <w:rFonts w:eastAsia="Times New Roman"/>
                <w:noProof/>
              </w:rPr>
            </w:pPr>
            <w:r>
              <w:rPr>
                <w:noProof/>
              </w:rPr>
              <w:t>Mise en place et fonctionnement d’une task-force chargée de mettre en œuvre et de suivre les réformes et les investissements en matière de transformation numérique</w:t>
            </w:r>
          </w:p>
        </w:tc>
      </w:tr>
      <w:tr w:rsidR="00A345F4" w14:paraId="25A94282"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9E84858" w14:textId="77777777" w:rsidR="00A345F4" w:rsidRDefault="005E2D4E">
            <w:pPr>
              <w:pStyle w:val="P68B1DB1-Normal73"/>
              <w:spacing w:after="0" w:line="259" w:lineRule="auto"/>
              <w:jc w:val="center"/>
              <w:rPr>
                <w:rFonts w:eastAsia="Times New Roman"/>
                <w:noProof/>
              </w:rPr>
            </w:pPr>
            <w:r>
              <w:rPr>
                <w:noProof/>
              </w:rPr>
              <w:t>150</w:t>
            </w:r>
          </w:p>
        </w:tc>
        <w:tc>
          <w:tcPr>
            <w:tcW w:w="3627" w:type="dxa"/>
            <w:tcBorders>
              <w:top w:val="nil"/>
              <w:left w:val="nil"/>
              <w:bottom w:val="single" w:sz="4" w:space="0" w:color="auto"/>
              <w:right w:val="single" w:sz="4" w:space="0" w:color="auto"/>
            </w:tcBorders>
            <w:shd w:val="clear" w:color="auto" w:fill="C6EFCE"/>
            <w:noWrap/>
          </w:tcPr>
          <w:p w14:paraId="6F2C2E0F" w14:textId="77777777" w:rsidR="00A345F4" w:rsidRDefault="005E2D4E">
            <w:pPr>
              <w:pStyle w:val="P68B1DB1-Normal73"/>
              <w:spacing w:after="0" w:line="259" w:lineRule="auto"/>
              <w:jc w:val="both"/>
              <w:rPr>
                <w:rFonts w:eastAsia="Times New Roman"/>
                <w:noProof/>
              </w:rPr>
            </w:pPr>
            <w:r>
              <w:rPr>
                <w:noProof/>
              </w:rPr>
              <w:t>C7.R3</w:t>
            </w:r>
            <w:r>
              <w:rPr>
                <w:noProof/>
              </w:rPr>
              <w:br/>
              <w:t xml:space="preserve">Garantir la cybersécurité des entités publiques et privées possédant des infrastructures de valeur critique </w:t>
            </w:r>
          </w:p>
        </w:tc>
        <w:tc>
          <w:tcPr>
            <w:tcW w:w="1320" w:type="dxa"/>
            <w:tcBorders>
              <w:top w:val="nil"/>
              <w:left w:val="nil"/>
              <w:bottom w:val="single" w:sz="4" w:space="0" w:color="auto"/>
              <w:right w:val="single" w:sz="4" w:space="0" w:color="auto"/>
            </w:tcBorders>
            <w:shd w:val="clear" w:color="auto" w:fill="C6EFCE"/>
            <w:noWrap/>
          </w:tcPr>
          <w:p w14:paraId="0CEFEA57"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tcPr>
          <w:p w14:paraId="6AFDCCDE" w14:textId="77777777" w:rsidR="00A345F4" w:rsidRDefault="005E2D4E">
            <w:pPr>
              <w:pStyle w:val="P68B1DB1-Normal73"/>
              <w:spacing w:after="0" w:line="259" w:lineRule="auto"/>
              <w:jc w:val="both"/>
              <w:rPr>
                <w:rFonts w:eastAsia="Times New Roman"/>
                <w:noProof/>
              </w:rPr>
            </w:pPr>
            <w:r>
              <w:rPr>
                <w:noProof/>
              </w:rPr>
              <w:t>Adoption de la stratégie nationale de cybersécurité 2021-2026</w:t>
            </w:r>
          </w:p>
        </w:tc>
      </w:tr>
      <w:tr w:rsidR="00A345F4" w14:paraId="5A4924CB"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69693164" w14:textId="77777777" w:rsidR="00A345F4" w:rsidRDefault="005E2D4E">
            <w:pPr>
              <w:pStyle w:val="P68B1DB1-Normal73"/>
              <w:spacing w:after="0" w:line="259" w:lineRule="auto"/>
              <w:jc w:val="center"/>
              <w:rPr>
                <w:rFonts w:eastAsia="Times New Roman"/>
                <w:noProof/>
              </w:rPr>
            </w:pPr>
            <w:r>
              <w:rPr>
                <w:noProof/>
              </w:rPr>
              <w:t>211</w:t>
            </w:r>
          </w:p>
        </w:tc>
        <w:tc>
          <w:tcPr>
            <w:tcW w:w="3627" w:type="dxa"/>
            <w:tcBorders>
              <w:top w:val="nil"/>
              <w:left w:val="nil"/>
              <w:bottom w:val="single" w:sz="4" w:space="0" w:color="auto"/>
              <w:right w:val="single" w:sz="4" w:space="0" w:color="auto"/>
            </w:tcBorders>
            <w:shd w:val="clear" w:color="auto" w:fill="C6EFCE"/>
            <w:noWrap/>
          </w:tcPr>
          <w:p w14:paraId="0398C411" w14:textId="77777777" w:rsidR="00A345F4" w:rsidRDefault="005E2D4E">
            <w:pPr>
              <w:pStyle w:val="P68B1DB1-Normal73"/>
              <w:spacing w:after="0" w:line="259" w:lineRule="auto"/>
              <w:jc w:val="both"/>
              <w:rPr>
                <w:noProof/>
              </w:rPr>
            </w:pPr>
            <w:r>
              <w:rPr>
                <w:noProof/>
              </w:rPr>
              <w:t>C8.R6</w:t>
            </w:r>
          </w:p>
          <w:p w14:paraId="16A66186" w14:textId="77777777" w:rsidR="00A345F4" w:rsidRDefault="005E2D4E">
            <w:pPr>
              <w:pStyle w:val="P68B1DB1-Normal73"/>
              <w:spacing w:after="0" w:line="259" w:lineRule="auto"/>
              <w:jc w:val="both"/>
              <w:rPr>
                <w:rFonts w:eastAsia="Times New Roman"/>
                <w:noProof/>
              </w:rPr>
            </w:pPr>
            <w:r>
              <w:rPr>
                <w:noProof/>
              </w:rPr>
              <w:t>Réforme du système public de retraite</w:t>
            </w:r>
          </w:p>
        </w:tc>
        <w:tc>
          <w:tcPr>
            <w:tcW w:w="1320" w:type="dxa"/>
            <w:tcBorders>
              <w:top w:val="nil"/>
              <w:left w:val="nil"/>
              <w:bottom w:val="single" w:sz="4" w:space="0" w:color="auto"/>
              <w:right w:val="single" w:sz="4" w:space="0" w:color="auto"/>
            </w:tcBorders>
            <w:shd w:val="clear" w:color="auto" w:fill="C6EFCE"/>
            <w:noWrap/>
          </w:tcPr>
          <w:p w14:paraId="07F7FEA4"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tcPr>
          <w:p w14:paraId="4FF08C74" w14:textId="77777777" w:rsidR="00A345F4" w:rsidRDefault="005E2D4E">
            <w:pPr>
              <w:pStyle w:val="P68B1DB1-Normal73"/>
              <w:spacing w:after="0" w:line="259" w:lineRule="auto"/>
              <w:jc w:val="both"/>
              <w:rPr>
                <w:rFonts w:eastAsia="Times New Roman"/>
                <w:noProof/>
              </w:rPr>
            </w:pPr>
            <w:r>
              <w:rPr>
                <w:noProof/>
              </w:rPr>
              <w:t xml:space="preserve">Assistance technique contractuelle fournie par une entité qui doit être sélectionnée conformément à la législation nationale en matière de marchés publics </w:t>
            </w:r>
          </w:p>
        </w:tc>
      </w:tr>
      <w:tr w:rsidR="00A345F4" w14:paraId="10BB69EA"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31553BE" w14:textId="77777777" w:rsidR="00A345F4" w:rsidRDefault="005E2D4E">
            <w:pPr>
              <w:pStyle w:val="P68B1DB1-Normal73"/>
              <w:spacing w:after="0" w:line="259" w:lineRule="auto"/>
              <w:jc w:val="center"/>
              <w:rPr>
                <w:rFonts w:eastAsia="Times New Roman"/>
                <w:noProof/>
              </w:rPr>
            </w:pPr>
            <w:r>
              <w:rPr>
                <w:noProof/>
              </w:rPr>
              <w:t>212</w:t>
            </w:r>
          </w:p>
        </w:tc>
        <w:tc>
          <w:tcPr>
            <w:tcW w:w="3627" w:type="dxa"/>
            <w:tcBorders>
              <w:top w:val="nil"/>
              <w:left w:val="nil"/>
              <w:bottom w:val="single" w:sz="4" w:space="0" w:color="auto"/>
              <w:right w:val="single" w:sz="4" w:space="0" w:color="auto"/>
            </w:tcBorders>
            <w:shd w:val="clear" w:color="auto" w:fill="C6EFCE"/>
            <w:noWrap/>
          </w:tcPr>
          <w:p w14:paraId="243A6B41" w14:textId="77777777" w:rsidR="00A345F4" w:rsidRDefault="005E2D4E">
            <w:pPr>
              <w:pStyle w:val="P68B1DB1-Normal73"/>
              <w:spacing w:after="0" w:line="259" w:lineRule="auto"/>
              <w:jc w:val="both"/>
              <w:rPr>
                <w:noProof/>
              </w:rPr>
            </w:pPr>
            <w:r>
              <w:rPr>
                <w:noProof/>
              </w:rPr>
              <w:t xml:space="preserve">C8.R6 </w:t>
            </w:r>
          </w:p>
          <w:p w14:paraId="70315E2C" w14:textId="77777777" w:rsidR="00A345F4" w:rsidRDefault="005E2D4E">
            <w:pPr>
              <w:pStyle w:val="P68B1DB1-Normal73"/>
              <w:spacing w:after="0" w:line="259" w:lineRule="auto"/>
              <w:jc w:val="both"/>
              <w:rPr>
                <w:rFonts w:eastAsia="Times New Roman"/>
                <w:noProof/>
              </w:rPr>
            </w:pPr>
            <w:r>
              <w:rPr>
                <w:noProof/>
              </w:rPr>
              <w:t>Réforme du système public de retraite</w:t>
            </w:r>
          </w:p>
        </w:tc>
        <w:tc>
          <w:tcPr>
            <w:tcW w:w="1320" w:type="dxa"/>
            <w:tcBorders>
              <w:top w:val="nil"/>
              <w:left w:val="nil"/>
              <w:bottom w:val="single" w:sz="4" w:space="0" w:color="auto"/>
              <w:right w:val="single" w:sz="4" w:space="0" w:color="auto"/>
            </w:tcBorders>
            <w:shd w:val="clear" w:color="auto" w:fill="C6EFCE"/>
            <w:noWrap/>
          </w:tcPr>
          <w:p w14:paraId="30F6BBB7"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tcPr>
          <w:p w14:paraId="048C2D88" w14:textId="77777777" w:rsidR="00A345F4" w:rsidRDefault="005E2D4E">
            <w:pPr>
              <w:pStyle w:val="P68B1DB1-Normal73"/>
              <w:spacing w:after="0" w:line="259" w:lineRule="auto"/>
              <w:jc w:val="both"/>
              <w:rPr>
                <w:rFonts w:eastAsia="Times New Roman"/>
                <w:noProof/>
              </w:rPr>
            </w:pPr>
            <w:r>
              <w:rPr>
                <w:noProof/>
              </w:rPr>
              <w:t>Entrée en vigueur d’un arrêté ministériel instituant un comité de suivi chargé d’examiner, avec le soutien du prestataire d’assistance technique, le système de retraite et les interventions politiques dans le système de retraite</w:t>
            </w:r>
          </w:p>
        </w:tc>
      </w:tr>
      <w:tr w:rsidR="00A345F4" w14:paraId="329BE467"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00DAEFA2" w14:textId="77777777" w:rsidR="00A345F4" w:rsidRDefault="005E2D4E">
            <w:pPr>
              <w:pStyle w:val="P68B1DB1-Normal73"/>
              <w:spacing w:after="0" w:line="259" w:lineRule="auto"/>
              <w:jc w:val="center"/>
              <w:rPr>
                <w:rFonts w:eastAsia="Times New Roman"/>
                <w:noProof/>
              </w:rPr>
            </w:pPr>
            <w:r>
              <w:rPr>
                <w:noProof/>
              </w:rPr>
              <w:t>220</w:t>
            </w:r>
          </w:p>
        </w:tc>
        <w:tc>
          <w:tcPr>
            <w:tcW w:w="3627" w:type="dxa"/>
            <w:tcBorders>
              <w:top w:val="nil"/>
              <w:left w:val="nil"/>
              <w:bottom w:val="single" w:sz="4" w:space="0" w:color="auto"/>
              <w:right w:val="single" w:sz="4" w:space="0" w:color="auto"/>
            </w:tcBorders>
            <w:shd w:val="clear" w:color="auto" w:fill="C6EFCE"/>
            <w:noWrap/>
          </w:tcPr>
          <w:p w14:paraId="6A27C11D" w14:textId="77777777" w:rsidR="00A345F4" w:rsidRDefault="005E2D4E">
            <w:pPr>
              <w:pStyle w:val="P68B1DB1-Normal73"/>
              <w:spacing w:after="0" w:line="259" w:lineRule="auto"/>
              <w:jc w:val="both"/>
              <w:rPr>
                <w:noProof/>
              </w:rPr>
            </w:pPr>
            <w:r>
              <w:rPr>
                <w:noProof/>
              </w:rPr>
              <w:t xml:space="preserve">C8.I2 </w:t>
            </w:r>
          </w:p>
          <w:p w14:paraId="12285646" w14:textId="01F7A4F5" w:rsidR="00A345F4" w:rsidRDefault="005E2D4E">
            <w:pPr>
              <w:pStyle w:val="P68B1DB1-Normal73"/>
              <w:spacing w:after="0" w:line="259" w:lineRule="auto"/>
              <w:jc w:val="both"/>
              <w:rPr>
                <w:rFonts w:eastAsia="Times New Roman"/>
                <w:noProof/>
              </w:rPr>
            </w:pPr>
            <w:r>
              <w:rPr>
                <w:noProof/>
              </w:rPr>
              <w:t>Améliorer les processus fiscaux et administratifs</w:t>
            </w:r>
          </w:p>
        </w:tc>
        <w:tc>
          <w:tcPr>
            <w:tcW w:w="1320" w:type="dxa"/>
            <w:tcBorders>
              <w:top w:val="nil"/>
              <w:left w:val="nil"/>
              <w:bottom w:val="single" w:sz="4" w:space="0" w:color="auto"/>
              <w:right w:val="single" w:sz="4" w:space="0" w:color="auto"/>
            </w:tcBorders>
            <w:shd w:val="clear" w:color="auto" w:fill="C6EFCE"/>
            <w:noWrap/>
          </w:tcPr>
          <w:p w14:paraId="3082671D" w14:textId="77777777" w:rsidR="00A345F4" w:rsidRDefault="005E2D4E">
            <w:pPr>
              <w:pStyle w:val="P68B1DB1-Normal73"/>
              <w:spacing w:after="0" w:line="259" w:lineRule="auto"/>
              <w:jc w:val="center"/>
              <w:rPr>
                <w:rFonts w:eastAsia="Times New Roman"/>
                <w:noProof/>
              </w:rPr>
            </w:pPr>
            <w:r>
              <w:rPr>
                <w:noProof/>
              </w:rPr>
              <w:t>T</w:t>
            </w:r>
          </w:p>
        </w:tc>
        <w:tc>
          <w:tcPr>
            <w:tcW w:w="3228" w:type="dxa"/>
            <w:tcBorders>
              <w:top w:val="nil"/>
              <w:left w:val="nil"/>
              <w:bottom w:val="single" w:sz="4" w:space="0" w:color="auto"/>
              <w:right w:val="single" w:sz="4" w:space="0" w:color="auto"/>
            </w:tcBorders>
            <w:shd w:val="clear" w:color="auto" w:fill="C6EFCE"/>
            <w:noWrap/>
          </w:tcPr>
          <w:p w14:paraId="15BA9968" w14:textId="77777777" w:rsidR="00A345F4" w:rsidRDefault="005E2D4E">
            <w:pPr>
              <w:pStyle w:val="P68B1DB1-Normal73"/>
              <w:spacing w:after="0" w:line="259" w:lineRule="auto"/>
              <w:jc w:val="both"/>
              <w:rPr>
                <w:rFonts w:eastAsia="Times New Roman"/>
                <w:noProof/>
              </w:rPr>
            </w:pPr>
            <w:r>
              <w:rPr>
                <w:noProof/>
              </w:rPr>
              <w:t xml:space="preserve">Nombre de caisses enregistreuses connectées au système informatique de l’Agence nationale pour l’administration fiscale </w:t>
            </w:r>
          </w:p>
        </w:tc>
      </w:tr>
      <w:tr w:rsidR="00A345F4" w14:paraId="3E93C93A"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2196110C" w14:textId="77777777" w:rsidR="00A345F4" w:rsidRDefault="005E2D4E">
            <w:pPr>
              <w:pStyle w:val="P68B1DB1-Normal73"/>
              <w:spacing w:after="0" w:line="259" w:lineRule="auto"/>
              <w:jc w:val="center"/>
              <w:rPr>
                <w:rFonts w:eastAsia="Times New Roman"/>
                <w:noProof/>
              </w:rPr>
            </w:pPr>
            <w:r>
              <w:rPr>
                <w:noProof/>
              </w:rPr>
              <w:t>366</w:t>
            </w:r>
          </w:p>
        </w:tc>
        <w:tc>
          <w:tcPr>
            <w:tcW w:w="3627" w:type="dxa"/>
            <w:tcBorders>
              <w:top w:val="nil"/>
              <w:left w:val="nil"/>
              <w:bottom w:val="single" w:sz="4" w:space="0" w:color="auto"/>
              <w:right w:val="single" w:sz="4" w:space="0" w:color="auto"/>
            </w:tcBorders>
            <w:shd w:val="clear" w:color="auto" w:fill="C6EFCE"/>
            <w:noWrap/>
          </w:tcPr>
          <w:p w14:paraId="1518B3BB" w14:textId="77777777" w:rsidR="00A345F4" w:rsidRDefault="005E2D4E">
            <w:pPr>
              <w:pStyle w:val="P68B1DB1-Normal73"/>
              <w:spacing w:after="0" w:line="259" w:lineRule="auto"/>
              <w:jc w:val="both"/>
              <w:rPr>
                <w:noProof/>
              </w:rPr>
            </w:pPr>
            <w:r>
              <w:rPr>
                <w:noProof/>
              </w:rPr>
              <w:t>C12.I1</w:t>
            </w:r>
          </w:p>
          <w:p w14:paraId="6FB3D383" w14:textId="77777777" w:rsidR="00A345F4" w:rsidRDefault="005E2D4E">
            <w:pPr>
              <w:pStyle w:val="P68B1DB1-Normal73"/>
              <w:spacing w:after="0" w:line="259" w:lineRule="auto"/>
              <w:jc w:val="both"/>
              <w:rPr>
                <w:noProof/>
              </w:rPr>
            </w:pPr>
            <w:r>
              <w:rPr>
                <w:noProof/>
              </w:rPr>
              <w:t>Infrastructures médicales préhospitalières</w:t>
            </w:r>
          </w:p>
        </w:tc>
        <w:tc>
          <w:tcPr>
            <w:tcW w:w="1320" w:type="dxa"/>
            <w:tcBorders>
              <w:top w:val="nil"/>
              <w:left w:val="nil"/>
              <w:bottom w:val="single" w:sz="4" w:space="0" w:color="auto"/>
              <w:right w:val="single" w:sz="4" w:space="0" w:color="auto"/>
            </w:tcBorders>
            <w:shd w:val="clear" w:color="auto" w:fill="C6EFCE"/>
            <w:noWrap/>
          </w:tcPr>
          <w:p w14:paraId="60C64CD6"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tcPr>
          <w:p w14:paraId="327E9E83" w14:textId="77777777" w:rsidR="00A345F4" w:rsidRDefault="005E2D4E">
            <w:pPr>
              <w:pStyle w:val="P68B1DB1-Normal73"/>
              <w:spacing w:after="0" w:line="259" w:lineRule="auto"/>
              <w:jc w:val="both"/>
              <w:rPr>
                <w:rFonts w:eastAsia="Times New Roman"/>
                <w:noProof/>
              </w:rPr>
            </w:pPr>
            <w:r>
              <w:rPr>
                <w:noProof/>
              </w:rPr>
              <w:t>Adoption de critères pour hiérarchiser les investissements dans les centres communautaires intégrés</w:t>
            </w:r>
          </w:p>
        </w:tc>
      </w:tr>
      <w:tr w:rsidR="00A345F4" w14:paraId="6A64FA19"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69B9468" w14:textId="77777777" w:rsidR="00A345F4" w:rsidRDefault="005E2D4E">
            <w:pPr>
              <w:pStyle w:val="P68B1DB1-Normal73"/>
              <w:spacing w:after="0" w:line="259" w:lineRule="auto"/>
              <w:jc w:val="center"/>
              <w:rPr>
                <w:rFonts w:eastAsia="Times New Roman"/>
                <w:noProof/>
              </w:rPr>
            </w:pPr>
            <w:r>
              <w:rPr>
                <w:noProof/>
              </w:rPr>
              <w:t>426</w:t>
            </w:r>
          </w:p>
        </w:tc>
        <w:tc>
          <w:tcPr>
            <w:tcW w:w="3627" w:type="dxa"/>
            <w:tcBorders>
              <w:top w:val="nil"/>
              <w:left w:val="nil"/>
              <w:bottom w:val="single" w:sz="4" w:space="0" w:color="auto"/>
              <w:right w:val="single" w:sz="4" w:space="0" w:color="auto"/>
            </w:tcBorders>
            <w:shd w:val="clear" w:color="auto" w:fill="C6EFCE"/>
            <w:noWrap/>
          </w:tcPr>
          <w:p w14:paraId="5999278E" w14:textId="77777777" w:rsidR="00A345F4" w:rsidRDefault="005E2D4E">
            <w:pPr>
              <w:pStyle w:val="P68B1DB1-Normal73"/>
              <w:spacing w:after="0" w:line="259" w:lineRule="auto"/>
              <w:jc w:val="both"/>
              <w:rPr>
                <w:noProof/>
              </w:rPr>
            </w:pPr>
            <w:r>
              <w:rPr>
                <w:noProof/>
              </w:rPr>
              <w:t>C14.R6</w:t>
            </w:r>
          </w:p>
          <w:p w14:paraId="638F6141" w14:textId="77777777" w:rsidR="00A345F4" w:rsidRDefault="005E2D4E">
            <w:pPr>
              <w:pStyle w:val="P68B1DB1-Normal73"/>
              <w:spacing w:after="0" w:line="259" w:lineRule="auto"/>
              <w:jc w:val="both"/>
              <w:rPr>
                <w:rFonts w:eastAsia="Times New Roman"/>
                <w:noProof/>
              </w:rPr>
            </w:pPr>
            <w:r>
              <w:rPr>
                <w:noProof/>
              </w:rPr>
              <w:t xml:space="preserve">Intensifier la lutte contre la corruption </w:t>
            </w:r>
          </w:p>
        </w:tc>
        <w:tc>
          <w:tcPr>
            <w:tcW w:w="1320" w:type="dxa"/>
            <w:tcBorders>
              <w:top w:val="nil"/>
              <w:left w:val="nil"/>
              <w:bottom w:val="single" w:sz="4" w:space="0" w:color="auto"/>
              <w:right w:val="single" w:sz="4" w:space="0" w:color="auto"/>
            </w:tcBorders>
            <w:shd w:val="clear" w:color="auto" w:fill="C6EFCE"/>
            <w:noWrap/>
          </w:tcPr>
          <w:p w14:paraId="0E92DF52"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tcPr>
          <w:p w14:paraId="338E0510" w14:textId="77777777" w:rsidR="00A345F4" w:rsidRDefault="005E2D4E">
            <w:pPr>
              <w:pStyle w:val="P68B1DB1-Normal73"/>
              <w:spacing w:after="0" w:line="259" w:lineRule="auto"/>
              <w:jc w:val="both"/>
              <w:rPr>
                <w:rFonts w:eastAsia="Times New Roman"/>
                <w:noProof/>
              </w:rPr>
            </w:pPr>
            <w:r>
              <w:rPr>
                <w:noProof/>
              </w:rPr>
              <w:t xml:space="preserve">Entrée en vigueur de la décision du gouvernement approuvant la nouvelle stratégie nationale de lutte contre la corruption </w:t>
            </w:r>
          </w:p>
        </w:tc>
      </w:tr>
      <w:tr w:rsidR="00A345F4" w14:paraId="34088680"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3EDB6F44" w14:textId="77777777" w:rsidR="00A345F4" w:rsidRDefault="005E2D4E">
            <w:pPr>
              <w:pStyle w:val="P68B1DB1-Normal73"/>
              <w:spacing w:after="0" w:line="259" w:lineRule="auto"/>
              <w:jc w:val="center"/>
              <w:rPr>
                <w:rFonts w:eastAsia="Times New Roman"/>
                <w:noProof/>
              </w:rPr>
            </w:pPr>
            <w:r>
              <w:rPr>
                <w:noProof/>
              </w:rPr>
              <w:t>450</w:t>
            </w:r>
          </w:p>
        </w:tc>
        <w:tc>
          <w:tcPr>
            <w:tcW w:w="3627" w:type="dxa"/>
            <w:tcBorders>
              <w:top w:val="nil"/>
              <w:left w:val="nil"/>
              <w:bottom w:val="single" w:sz="4" w:space="0" w:color="auto"/>
              <w:right w:val="single" w:sz="4" w:space="0" w:color="auto"/>
            </w:tcBorders>
            <w:shd w:val="clear" w:color="auto" w:fill="C6EFCE"/>
            <w:noWrap/>
          </w:tcPr>
          <w:p w14:paraId="034869E9" w14:textId="77777777" w:rsidR="00A345F4" w:rsidRDefault="005E2D4E">
            <w:pPr>
              <w:pStyle w:val="P68B1DB1-Normal73"/>
              <w:spacing w:after="0" w:line="259" w:lineRule="auto"/>
              <w:jc w:val="both"/>
              <w:rPr>
                <w:noProof/>
              </w:rPr>
            </w:pPr>
            <w:r>
              <w:rPr>
                <w:noProof/>
              </w:rPr>
              <w:t xml:space="preserve">C14.I5 </w:t>
            </w:r>
          </w:p>
          <w:p w14:paraId="0C13B9D5" w14:textId="77777777" w:rsidR="00A345F4" w:rsidRDefault="005E2D4E">
            <w:pPr>
              <w:pStyle w:val="P68B1DB1-Normal73"/>
              <w:spacing w:after="0" w:line="259" w:lineRule="auto"/>
              <w:jc w:val="both"/>
              <w:rPr>
                <w:rFonts w:eastAsia="Times New Roman"/>
                <w:noProof/>
              </w:rPr>
            </w:pPr>
            <w:r>
              <w:rPr>
                <w:noProof/>
              </w:rPr>
              <w:t xml:space="preserve">Suivi et mise en œuvre du plan </w:t>
            </w:r>
          </w:p>
        </w:tc>
        <w:tc>
          <w:tcPr>
            <w:tcW w:w="1320" w:type="dxa"/>
            <w:tcBorders>
              <w:top w:val="nil"/>
              <w:left w:val="nil"/>
              <w:bottom w:val="single" w:sz="4" w:space="0" w:color="auto"/>
              <w:right w:val="single" w:sz="4" w:space="0" w:color="auto"/>
            </w:tcBorders>
            <w:shd w:val="clear" w:color="auto" w:fill="C6EFCE"/>
            <w:noWrap/>
          </w:tcPr>
          <w:p w14:paraId="6BCCDDF8"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tcPr>
          <w:p w14:paraId="2D6C6FC4" w14:textId="77777777" w:rsidR="00A345F4" w:rsidRDefault="005E2D4E">
            <w:pPr>
              <w:pStyle w:val="P68B1DB1-Normal73"/>
              <w:spacing w:after="0" w:line="259" w:lineRule="auto"/>
              <w:jc w:val="both"/>
              <w:rPr>
                <w:rFonts w:eastAsia="Times New Roman"/>
                <w:noProof/>
              </w:rPr>
            </w:pPr>
            <w:r>
              <w:rPr>
                <w:noProof/>
              </w:rPr>
              <w:t>Audit et contrôles: informations pour le suivi de la mise en œuvre du plan pour la reprise et la résilience</w:t>
            </w:r>
          </w:p>
        </w:tc>
      </w:tr>
      <w:tr w:rsidR="00A345F4" w14:paraId="242919E4"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61C9D3D" w14:textId="77777777" w:rsidR="00A345F4" w:rsidRDefault="005E2D4E">
            <w:pPr>
              <w:pStyle w:val="P68B1DB1-Normal73"/>
              <w:spacing w:after="0" w:line="259" w:lineRule="auto"/>
              <w:jc w:val="center"/>
              <w:rPr>
                <w:rFonts w:eastAsia="Times New Roman"/>
                <w:noProof/>
              </w:rPr>
            </w:pPr>
            <w:r>
              <w:rPr>
                <w:noProof/>
              </w:rPr>
              <w:t>451</w:t>
            </w:r>
          </w:p>
        </w:tc>
        <w:tc>
          <w:tcPr>
            <w:tcW w:w="3627" w:type="dxa"/>
            <w:tcBorders>
              <w:top w:val="nil"/>
              <w:left w:val="nil"/>
              <w:bottom w:val="single" w:sz="4" w:space="0" w:color="auto"/>
              <w:right w:val="single" w:sz="4" w:space="0" w:color="auto"/>
            </w:tcBorders>
            <w:shd w:val="clear" w:color="auto" w:fill="C6EFCE"/>
            <w:noWrap/>
          </w:tcPr>
          <w:p w14:paraId="52C9049A" w14:textId="77777777" w:rsidR="00A345F4" w:rsidRDefault="005E2D4E">
            <w:pPr>
              <w:pStyle w:val="P68B1DB1-Normal73"/>
              <w:spacing w:after="0" w:line="259" w:lineRule="auto"/>
              <w:jc w:val="both"/>
              <w:rPr>
                <w:noProof/>
              </w:rPr>
            </w:pPr>
            <w:r>
              <w:rPr>
                <w:noProof/>
              </w:rPr>
              <w:t xml:space="preserve">C14.I5 </w:t>
            </w:r>
          </w:p>
          <w:p w14:paraId="04C260D0" w14:textId="77777777" w:rsidR="00A345F4" w:rsidRDefault="005E2D4E">
            <w:pPr>
              <w:pStyle w:val="P68B1DB1-Normal73"/>
              <w:spacing w:after="0" w:line="259" w:lineRule="auto"/>
              <w:jc w:val="both"/>
              <w:rPr>
                <w:rFonts w:eastAsia="Times New Roman"/>
                <w:noProof/>
              </w:rPr>
            </w:pPr>
            <w:r>
              <w:rPr>
                <w:noProof/>
              </w:rPr>
              <w:t xml:space="preserve">Suivi et mise en œuvre du plan </w:t>
            </w:r>
          </w:p>
        </w:tc>
        <w:tc>
          <w:tcPr>
            <w:tcW w:w="1320" w:type="dxa"/>
            <w:tcBorders>
              <w:top w:val="nil"/>
              <w:left w:val="nil"/>
              <w:bottom w:val="single" w:sz="4" w:space="0" w:color="auto"/>
              <w:right w:val="single" w:sz="4" w:space="0" w:color="auto"/>
            </w:tcBorders>
            <w:shd w:val="clear" w:color="auto" w:fill="C6EFCE"/>
            <w:noWrap/>
          </w:tcPr>
          <w:p w14:paraId="3008CF60"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tcPr>
          <w:p w14:paraId="5D08581C" w14:textId="77777777" w:rsidR="00A345F4" w:rsidRDefault="005E2D4E">
            <w:pPr>
              <w:pStyle w:val="P68B1DB1-Normal73"/>
              <w:spacing w:after="0" w:line="259" w:lineRule="auto"/>
              <w:jc w:val="both"/>
              <w:rPr>
                <w:rFonts w:eastAsia="Times New Roman"/>
                <w:noProof/>
              </w:rPr>
            </w:pPr>
            <w:r>
              <w:rPr>
                <w:noProof/>
              </w:rPr>
              <w:t>Entrée en vigueur d’une ordonnance gouvernementale promulguant le mandat juridique du ministère des investissements et du projet européen (MIPE), du ministère des finances (MoF) et de l’autorité d’audit (AA)</w:t>
            </w:r>
          </w:p>
        </w:tc>
      </w:tr>
      <w:tr w:rsidR="00A345F4" w14:paraId="645109CA"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57D312FF" w14:textId="77777777" w:rsidR="00A345F4" w:rsidRDefault="005E2D4E">
            <w:pPr>
              <w:pStyle w:val="P68B1DB1-Normal73"/>
              <w:spacing w:after="0" w:line="259" w:lineRule="auto"/>
              <w:jc w:val="center"/>
              <w:rPr>
                <w:rFonts w:eastAsia="Times New Roman"/>
                <w:noProof/>
              </w:rPr>
            </w:pPr>
            <w:r>
              <w:rPr>
                <w:noProof/>
              </w:rPr>
              <w:t>462</w:t>
            </w:r>
          </w:p>
        </w:tc>
        <w:tc>
          <w:tcPr>
            <w:tcW w:w="3627" w:type="dxa"/>
            <w:tcBorders>
              <w:top w:val="nil"/>
              <w:left w:val="nil"/>
              <w:bottom w:val="single" w:sz="4" w:space="0" w:color="auto"/>
              <w:right w:val="single" w:sz="4" w:space="0" w:color="auto"/>
            </w:tcBorders>
            <w:shd w:val="clear" w:color="auto" w:fill="C6EFCE"/>
            <w:noWrap/>
          </w:tcPr>
          <w:p w14:paraId="578CB24D" w14:textId="77777777" w:rsidR="00A345F4" w:rsidRDefault="005E2D4E">
            <w:pPr>
              <w:pStyle w:val="P68B1DB1-Normal73"/>
              <w:spacing w:after="0" w:line="259" w:lineRule="auto"/>
              <w:jc w:val="both"/>
              <w:rPr>
                <w:noProof/>
              </w:rPr>
            </w:pPr>
            <w:r>
              <w:rPr>
                <w:noProof/>
              </w:rPr>
              <w:t>C15.R3</w:t>
            </w:r>
          </w:p>
          <w:p w14:paraId="4BA122DE" w14:textId="77777777" w:rsidR="00A345F4" w:rsidRDefault="005E2D4E">
            <w:pPr>
              <w:pStyle w:val="P68B1DB1-Normal73"/>
              <w:spacing w:after="0" w:line="259" w:lineRule="auto"/>
              <w:jc w:val="both"/>
              <w:rPr>
                <w:rFonts w:eastAsia="Times New Roman"/>
                <w:noProof/>
              </w:rPr>
            </w:pPr>
            <w:r>
              <w:rPr>
                <w:noProof/>
              </w:rPr>
              <w:t>Réforme du système d'enseignement obligatoire pour prévenir et réduire le décrochage scolaire</w:t>
            </w:r>
          </w:p>
        </w:tc>
        <w:tc>
          <w:tcPr>
            <w:tcW w:w="1320" w:type="dxa"/>
            <w:tcBorders>
              <w:top w:val="nil"/>
              <w:left w:val="nil"/>
              <w:bottom w:val="single" w:sz="4" w:space="0" w:color="auto"/>
              <w:right w:val="single" w:sz="4" w:space="0" w:color="auto"/>
            </w:tcBorders>
            <w:shd w:val="clear" w:color="auto" w:fill="C6EFCE"/>
            <w:noWrap/>
          </w:tcPr>
          <w:p w14:paraId="7FC371E4"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tcPr>
          <w:p w14:paraId="07F53077" w14:textId="77777777" w:rsidR="00A345F4" w:rsidRDefault="005E2D4E">
            <w:pPr>
              <w:pStyle w:val="P68B1DB1-Normal73"/>
              <w:spacing w:after="0" w:line="259" w:lineRule="auto"/>
              <w:jc w:val="both"/>
              <w:rPr>
                <w:rFonts w:eastAsia="Times New Roman"/>
                <w:noProof/>
              </w:rPr>
            </w:pPr>
            <w:r>
              <w:rPr>
                <w:noProof/>
              </w:rPr>
              <w:t>Entrée en vigueur de la décision du gouvernement établissant la mise en œuvre du programme national de réduction du décrochage scolaire</w:t>
            </w:r>
          </w:p>
        </w:tc>
      </w:tr>
      <w:tr w:rsidR="00A345F4" w14:paraId="52556515"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13F16BF1" w14:textId="77777777" w:rsidR="00A345F4" w:rsidRDefault="005E2D4E">
            <w:pPr>
              <w:pStyle w:val="P68B1DB1-Normal73"/>
              <w:spacing w:after="0" w:line="259" w:lineRule="auto"/>
              <w:jc w:val="center"/>
              <w:rPr>
                <w:rFonts w:eastAsia="Times New Roman"/>
                <w:noProof/>
              </w:rPr>
            </w:pPr>
            <w:r>
              <w:rPr>
                <w:noProof/>
              </w:rPr>
              <w:t>464</w:t>
            </w:r>
          </w:p>
        </w:tc>
        <w:tc>
          <w:tcPr>
            <w:tcW w:w="3627" w:type="dxa"/>
            <w:tcBorders>
              <w:top w:val="nil"/>
              <w:left w:val="nil"/>
              <w:bottom w:val="single" w:sz="4" w:space="0" w:color="auto"/>
              <w:right w:val="single" w:sz="4" w:space="0" w:color="auto"/>
            </w:tcBorders>
            <w:shd w:val="clear" w:color="auto" w:fill="C6EFCE"/>
            <w:noWrap/>
          </w:tcPr>
          <w:p w14:paraId="2FC6C30F" w14:textId="77777777" w:rsidR="00A345F4" w:rsidRDefault="005E2D4E">
            <w:pPr>
              <w:pStyle w:val="P68B1DB1-Normal73"/>
              <w:spacing w:after="0" w:line="259" w:lineRule="auto"/>
              <w:jc w:val="both"/>
              <w:rPr>
                <w:noProof/>
              </w:rPr>
            </w:pPr>
            <w:r>
              <w:rPr>
                <w:noProof/>
              </w:rPr>
              <w:t>C15.I4</w:t>
            </w:r>
          </w:p>
          <w:p w14:paraId="7735ED5D" w14:textId="77777777" w:rsidR="00A345F4" w:rsidRDefault="005E2D4E">
            <w:pPr>
              <w:pStyle w:val="P68B1DB1-Normal73"/>
              <w:spacing w:after="0" w:line="259" w:lineRule="auto"/>
              <w:jc w:val="both"/>
              <w:rPr>
                <w:rFonts w:eastAsia="Times New Roman"/>
                <w:noProof/>
              </w:rPr>
            </w:pPr>
            <w:r>
              <w:rPr>
                <w:noProof/>
              </w:rPr>
              <w:t>Soutenir les établissements d’enseignement présentant un risque élevé d’abandon scolaire</w:t>
            </w:r>
          </w:p>
        </w:tc>
        <w:tc>
          <w:tcPr>
            <w:tcW w:w="1320" w:type="dxa"/>
            <w:tcBorders>
              <w:top w:val="nil"/>
              <w:left w:val="nil"/>
              <w:bottom w:val="single" w:sz="4" w:space="0" w:color="auto"/>
              <w:right w:val="single" w:sz="4" w:space="0" w:color="auto"/>
            </w:tcBorders>
            <w:shd w:val="clear" w:color="auto" w:fill="C6EFCE"/>
            <w:noWrap/>
          </w:tcPr>
          <w:p w14:paraId="6ADFFD99" w14:textId="77777777" w:rsidR="00A345F4" w:rsidRDefault="005E2D4E">
            <w:pPr>
              <w:pStyle w:val="P68B1DB1-Normal73"/>
              <w:spacing w:after="0" w:line="259" w:lineRule="auto"/>
              <w:jc w:val="center"/>
              <w:rPr>
                <w:rFonts w:eastAsia="Times New Roman"/>
                <w:noProof/>
              </w:rPr>
            </w:pPr>
            <w:r>
              <w:rPr>
                <w:noProof/>
              </w:rPr>
              <w:t>M</w:t>
            </w:r>
          </w:p>
        </w:tc>
        <w:tc>
          <w:tcPr>
            <w:tcW w:w="3228" w:type="dxa"/>
            <w:tcBorders>
              <w:top w:val="nil"/>
              <w:left w:val="nil"/>
              <w:bottom w:val="single" w:sz="4" w:space="0" w:color="auto"/>
              <w:right w:val="single" w:sz="4" w:space="0" w:color="auto"/>
            </w:tcBorders>
            <w:shd w:val="clear" w:color="auto" w:fill="C6EFCE"/>
            <w:noWrap/>
          </w:tcPr>
          <w:p w14:paraId="2E10B751" w14:textId="77777777" w:rsidR="00A345F4" w:rsidRDefault="005E2D4E">
            <w:pPr>
              <w:pStyle w:val="P68B1DB1-Normal73"/>
              <w:spacing w:after="0" w:line="259" w:lineRule="auto"/>
              <w:jc w:val="both"/>
              <w:rPr>
                <w:rFonts w:eastAsia="Times New Roman"/>
                <w:noProof/>
              </w:rPr>
            </w:pPr>
            <w:r>
              <w:rPr>
                <w:noProof/>
              </w:rPr>
              <w:t>Appel à projets ouvert pour le soutien des élèves à la transition de l'enseignement secondaire inférieur à l'enseignement secondaire supérieur, sur la base de 5 indicateurs définis dans le mécanisme d'alerte précoce en matière d'éducation</w:t>
            </w:r>
          </w:p>
        </w:tc>
      </w:tr>
      <w:tr w:rsidR="00A345F4" w14:paraId="76C353E8" w14:textId="77777777">
        <w:trPr>
          <w:trHeight w:val="302"/>
        </w:trPr>
        <w:tc>
          <w:tcPr>
            <w:tcW w:w="1288" w:type="dxa"/>
            <w:tcBorders>
              <w:top w:val="single" w:sz="4" w:space="0" w:color="auto"/>
              <w:left w:val="single" w:sz="4" w:space="0" w:color="auto"/>
              <w:bottom w:val="single" w:sz="4" w:space="0" w:color="auto"/>
              <w:right w:val="single" w:sz="4" w:space="0" w:color="auto"/>
            </w:tcBorders>
            <w:shd w:val="clear" w:color="auto" w:fill="C6EFCE"/>
            <w:noWrap/>
          </w:tcPr>
          <w:p w14:paraId="3113BB7C"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627" w:type="dxa"/>
            <w:tcBorders>
              <w:top w:val="single" w:sz="4" w:space="0" w:color="auto"/>
              <w:left w:val="nil"/>
              <w:bottom w:val="single" w:sz="4" w:space="0" w:color="auto"/>
              <w:right w:val="single" w:sz="4" w:space="0" w:color="auto"/>
            </w:tcBorders>
            <w:shd w:val="clear" w:color="auto" w:fill="C6EFCE"/>
            <w:noWrap/>
          </w:tcPr>
          <w:p w14:paraId="5D0C4A41" w14:textId="77777777" w:rsidR="00A345F4" w:rsidRDefault="00A345F4">
            <w:pPr>
              <w:spacing w:after="0" w:line="259" w:lineRule="auto"/>
              <w:jc w:val="both"/>
              <w:rPr>
                <w:rFonts w:ascii="Times New Roman" w:eastAsia="Times New Roman" w:hAnsi="Times New Roman" w:cs="Times New Roman"/>
                <w:noProof/>
                <w:kern w:val="2"/>
                <w:sz w:val="22"/>
                <w:szCs w:val="22"/>
                <w14:ligatures w14:val="standardContextual"/>
              </w:rPr>
            </w:pPr>
          </w:p>
        </w:tc>
        <w:tc>
          <w:tcPr>
            <w:tcW w:w="1320" w:type="dxa"/>
            <w:tcBorders>
              <w:top w:val="single" w:sz="4" w:space="0" w:color="auto"/>
              <w:left w:val="nil"/>
              <w:bottom w:val="single" w:sz="4" w:space="0" w:color="auto"/>
              <w:right w:val="single" w:sz="4" w:space="0" w:color="auto"/>
            </w:tcBorders>
            <w:shd w:val="clear" w:color="auto" w:fill="C6EFCE"/>
            <w:noWrap/>
          </w:tcPr>
          <w:p w14:paraId="3B898105" w14:textId="77777777" w:rsidR="00A345F4" w:rsidRDefault="005E2D4E">
            <w:pPr>
              <w:pStyle w:val="P68B1DB1-Normal74"/>
              <w:spacing w:after="0" w:line="259" w:lineRule="auto"/>
              <w:jc w:val="center"/>
              <w:rPr>
                <w:noProof/>
              </w:rPr>
            </w:pPr>
            <w:r>
              <w:rPr>
                <w:noProof/>
              </w:rPr>
              <w:t>Instalmet Montant</w:t>
            </w:r>
          </w:p>
        </w:tc>
        <w:tc>
          <w:tcPr>
            <w:tcW w:w="3228" w:type="dxa"/>
            <w:tcBorders>
              <w:top w:val="single" w:sz="4" w:space="0" w:color="auto"/>
              <w:left w:val="nil"/>
              <w:bottom w:val="single" w:sz="4" w:space="0" w:color="auto"/>
              <w:right w:val="single" w:sz="4" w:space="0" w:color="auto"/>
            </w:tcBorders>
            <w:shd w:val="clear" w:color="auto" w:fill="C6EFCE"/>
            <w:noWrap/>
            <w:vAlign w:val="center"/>
          </w:tcPr>
          <w:p w14:paraId="25277BC1" w14:textId="77777777" w:rsidR="00A345F4" w:rsidRDefault="005E2D4E">
            <w:pPr>
              <w:pStyle w:val="P68B1DB1-Normal74"/>
              <w:spacing w:after="0" w:line="259" w:lineRule="auto"/>
              <w:jc w:val="right"/>
              <w:rPr>
                <w:noProof/>
              </w:rPr>
            </w:pPr>
            <w:r>
              <w:rPr>
                <w:noProof/>
              </w:rPr>
              <w:t>2 037 146 414 EUR</w:t>
            </w:r>
          </w:p>
        </w:tc>
      </w:tr>
    </w:tbl>
    <w:p w14:paraId="3E76DF58" w14:textId="77777777" w:rsidR="00A345F4" w:rsidRDefault="005E2D4E">
      <w:pPr>
        <w:pStyle w:val="P68B1DB1-Normal71"/>
        <w:keepNext/>
        <w:tabs>
          <w:tab w:val="num" w:pos="1417"/>
        </w:tabs>
        <w:spacing w:before="120" w:after="120" w:line="240" w:lineRule="auto"/>
        <w:ind w:left="1417" w:hanging="850"/>
        <w:jc w:val="both"/>
        <w:outlineLvl w:val="2"/>
        <w:rPr>
          <w:bCs/>
          <w:noProof/>
        </w:rPr>
      </w:pPr>
      <w:r>
        <w:rPr>
          <w:noProof/>
        </w:rPr>
        <w:t xml:space="preserve">2.1.2 Deuxième tranche (soutien non remboursable): </w:t>
      </w:r>
    </w:p>
    <w:tbl>
      <w:tblPr>
        <w:tblW w:w="9634" w:type="dxa"/>
        <w:tblInd w:w="113" w:type="dxa"/>
        <w:tblLook w:val="04A0" w:firstRow="1" w:lastRow="0" w:firstColumn="1" w:lastColumn="0" w:noHBand="0" w:noVBand="1"/>
      </w:tblPr>
      <w:tblGrid>
        <w:gridCol w:w="1345"/>
        <w:gridCol w:w="3604"/>
        <w:gridCol w:w="1525"/>
        <w:gridCol w:w="3375"/>
      </w:tblGrid>
      <w:tr w:rsidR="00A345F4" w14:paraId="74E7E989" w14:textId="77777777">
        <w:trPr>
          <w:trHeight w:val="906"/>
          <w:tblHeader/>
        </w:trPr>
        <w:tc>
          <w:tcPr>
            <w:tcW w:w="13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631ABE" w14:textId="77777777" w:rsidR="00A345F4" w:rsidRDefault="005E2D4E">
            <w:pPr>
              <w:pStyle w:val="P68B1DB1-Normal72"/>
              <w:spacing w:after="0" w:line="259" w:lineRule="auto"/>
              <w:jc w:val="center"/>
              <w:rPr>
                <w:noProof/>
              </w:rPr>
            </w:pPr>
            <w:r>
              <w:rPr>
                <w:noProof/>
              </w:rPr>
              <w:t>Numéro séquentiel</w:t>
            </w:r>
          </w:p>
        </w:tc>
        <w:tc>
          <w:tcPr>
            <w:tcW w:w="36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05DAD2" w14:textId="77777777" w:rsidR="00A345F4" w:rsidRDefault="005E2D4E">
            <w:pPr>
              <w:pStyle w:val="P68B1DB1-Normal72"/>
              <w:spacing w:after="0" w:line="259" w:lineRule="auto"/>
              <w:jc w:val="center"/>
              <w:rPr>
                <w:noProof/>
              </w:rPr>
            </w:pPr>
            <w:r>
              <w:rPr>
                <w:noProof/>
              </w:rPr>
              <w:t xml:space="preserve">Mesure connexe </w:t>
            </w:r>
          </w:p>
          <w:p w14:paraId="35A85E11" w14:textId="77777777" w:rsidR="00A345F4" w:rsidRDefault="005E2D4E">
            <w:pPr>
              <w:pStyle w:val="P68B1DB1-Normal72"/>
              <w:spacing w:after="0" w:line="259" w:lineRule="auto"/>
              <w:jc w:val="center"/>
              <w:rPr>
                <w:noProof/>
              </w:rPr>
            </w:pPr>
            <w:r>
              <w:rPr>
                <w:noProof/>
              </w:rPr>
              <w:t>(Réforme ou investissement)</w:t>
            </w:r>
          </w:p>
        </w:tc>
        <w:tc>
          <w:tcPr>
            <w:tcW w:w="12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2D795D" w14:textId="43317D34" w:rsidR="00A345F4" w:rsidRDefault="005E2D4E">
            <w:pPr>
              <w:pStyle w:val="P68B1DB1-Normal72"/>
              <w:spacing w:after="0" w:line="259" w:lineRule="auto"/>
              <w:jc w:val="center"/>
              <w:rPr>
                <w:noProof/>
              </w:rPr>
            </w:pPr>
            <w:r>
              <w:rPr>
                <w:noProof/>
              </w:rPr>
              <w:t>Étape/objectif</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959E54" w14:textId="77777777" w:rsidR="00A345F4" w:rsidRDefault="005E2D4E">
            <w:pPr>
              <w:pStyle w:val="P68B1DB1-Normal72"/>
              <w:spacing w:after="0" w:line="259" w:lineRule="auto"/>
              <w:jc w:val="center"/>
              <w:rPr>
                <w:noProof/>
              </w:rPr>
            </w:pPr>
            <w:r>
              <w:rPr>
                <w:noProof/>
              </w:rPr>
              <w:t>Nom</w:t>
            </w:r>
          </w:p>
        </w:tc>
      </w:tr>
      <w:tr w:rsidR="00A345F4" w14:paraId="01642DC0" w14:textId="77777777">
        <w:trPr>
          <w:trHeight w:val="509"/>
          <w:tblHeader/>
        </w:trPr>
        <w:tc>
          <w:tcPr>
            <w:tcW w:w="1356" w:type="dxa"/>
            <w:vMerge/>
            <w:tcBorders>
              <w:top w:val="single" w:sz="4" w:space="0" w:color="auto"/>
              <w:left w:val="single" w:sz="4" w:space="0" w:color="auto"/>
              <w:bottom w:val="single" w:sz="4" w:space="0" w:color="auto"/>
              <w:right w:val="single" w:sz="4" w:space="0" w:color="auto"/>
            </w:tcBorders>
            <w:vAlign w:val="center"/>
            <w:hideMark/>
          </w:tcPr>
          <w:p w14:paraId="7FF7119F" w14:textId="77777777" w:rsidR="00A345F4" w:rsidRDefault="00A345F4">
            <w:pPr>
              <w:spacing w:after="0" w:line="259" w:lineRule="auto"/>
              <w:jc w:val="center"/>
              <w:rPr>
                <w:rFonts w:ascii="Times New Roman" w:eastAsia="Times New Roman" w:hAnsi="Times New Roman" w:cs="Times New Roman"/>
                <w:b/>
                <w:bCs/>
                <w:noProof/>
                <w:kern w:val="2"/>
                <w:sz w:val="22"/>
                <w:szCs w:val="22"/>
                <w14:ligatures w14:val="standardContextual"/>
              </w:rPr>
            </w:pPr>
          </w:p>
        </w:tc>
        <w:tc>
          <w:tcPr>
            <w:tcW w:w="3633" w:type="dxa"/>
            <w:vMerge/>
            <w:tcBorders>
              <w:top w:val="single" w:sz="4" w:space="0" w:color="auto"/>
              <w:left w:val="single" w:sz="4" w:space="0" w:color="auto"/>
              <w:bottom w:val="single" w:sz="4" w:space="0" w:color="auto"/>
              <w:right w:val="single" w:sz="4" w:space="0" w:color="auto"/>
            </w:tcBorders>
            <w:vAlign w:val="center"/>
            <w:hideMark/>
          </w:tcPr>
          <w:p w14:paraId="446BED7C"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1243" w:type="dxa"/>
            <w:vMerge/>
            <w:tcBorders>
              <w:top w:val="single" w:sz="4" w:space="0" w:color="auto"/>
              <w:left w:val="single" w:sz="4" w:space="0" w:color="auto"/>
              <w:bottom w:val="single" w:sz="4" w:space="0" w:color="auto"/>
              <w:right w:val="single" w:sz="4" w:space="0" w:color="auto"/>
            </w:tcBorders>
            <w:vAlign w:val="center"/>
            <w:hideMark/>
          </w:tcPr>
          <w:p w14:paraId="7B827719" w14:textId="77777777" w:rsidR="00A345F4" w:rsidRDefault="00A345F4">
            <w:pPr>
              <w:spacing w:after="0" w:line="259" w:lineRule="auto"/>
              <w:jc w:val="center"/>
              <w:rPr>
                <w:rFonts w:ascii="Times New Roman" w:eastAsia="Times New Roman" w:hAnsi="Times New Roman" w:cs="Times New Roman"/>
                <w:b/>
                <w:bCs/>
                <w:noProof/>
                <w:kern w:val="2"/>
                <w:sz w:val="22"/>
                <w:szCs w:val="22"/>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71FFE1B"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r>
      <w:tr w:rsidR="00A345F4" w14:paraId="1CC9BF36" w14:textId="77777777">
        <w:trPr>
          <w:trHeight w:val="302"/>
        </w:trPr>
        <w:tc>
          <w:tcPr>
            <w:tcW w:w="1356" w:type="dxa"/>
            <w:tcBorders>
              <w:top w:val="single" w:sz="4" w:space="0" w:color="auto"/>
              <w:left w:val="single" w:sz="4" w:space="0" w:color="auto"/>
              <w:bottom w:val="single" w:sz="4" w:space="0" w:color="auto"/>
              <w:right w:val="single" w:sz="4" w:space="0" w:color="auto"/>
            </w:tcBorders>
            <w:shd w:val="clear" w:color="auto" w:fill="C6EFCE"/>
            <w:noWrap/>
            <w:hideMark/>
          </w:tcPr>
          <w:p w14:paraId="7B3BCD5A" w14:textId="77777777" w:rsidR="00A345F4" w:rsidRDefault="005E2D4E">
            <w:pPr>
              <w:pStyle w:val="P68B1DB1-Normal73"/>
              <w:spacing w:after="0" w:line="259" w:lineRule="auto"/>
              <w:jc w:val="center"/>
              <w:rPr>
                <w:rFonts w:eastAsia="Times New Roman"/>
                <w:noProof/>
              </w:rPr>
            </w:pPr>
            <w:r>
              <w:rPr>
                <w:noProof/>
              </w:rPr>
              <w:t>124</w:t>
            </w:r>
          </w:p>
        </w:tc>
        <w:tc>
          <w:tcPr>
            <w:tcW w:w="3633" w:type="dxa"/>
            <w:tcBorders>
              <w:top w:val="single" w:sz="4" w:space="0" w:color="auto"/>
              <w:left w:val="nil"/>
              <w:bottom w:val="single" w:sz="4" w:space="0" w:color="auto"/>
              <w:right w:val="single" w:sz="4" w:space="0" w:color="auto"/>
            </w:tcBorders>
            <w:shd w:val="clear" w:color="auto" w:fill="C6EFCE"/>
            <w:noWrap/>
            <w:hideMark/>
          </w:tcPr>
          <w:p w14:paraId="4041F526" w14:textId="77777777" w:rsidR="00A345F4" w:rsidRDefault="005E2D4E">
            <w:pPr>
              <w:pStyle w:val="P68B1DB1-Normal73"/>
              <w:spacing w:after="0" w:line="259" w:lineRule="auto"/>
              <w:jc w:val="both"/>
              <w:rPr>
                <w:noProof/>
              </w:rPr>
            </w:pPr>
            <w:r>
              <w:rPr>
                <w:noProof/>
              </w:rPr>
              <w:t>C6.I1</w:t>
            </w:r>
          </w:p>
          <w:p w14:paraId="3D669722" w14:textId="77777777" w:rsidR="00A345F4" w:rsidRDefault="005E2D4E">
            <w:pPr>
              <w:pStyle w:val="P68B1DB1-Normal73"/>
              <w:spacing w:after="0" w:line="259" w:lineRule="auto"/>
              <w:rPr>
                <w:rFonts w:eastAsia="Times New Roman"/>
                <w:noProof/>
              </w:rPr>
            </w:pPr>
            <w:r>
              <w:rPr>
                <w:noProof/>
              </w:rPr>
              <w:t>Nouvelles capacités de production d'électricité à partir de sources renouvelables</w:t>
            </w:r>
          </w:p>
        </w:tc>
        <w:tc>
          <w:tcPr>
            <w:tcW w:w="1243" w:type="dxa"/>
            <w:tcBorders>
              <w:top w:val="single" w:sz="4" w:space="0" w:color="auto"/>
              <w:left w:val="nil"/>
              <w:bottom w:val="single" w:sz="4" w:space="0" w:color="auto"/>
              <w:right w:val="single" w:sz="4" w:space="0" w:color="auto"/>
            </w:tcBorders>
            <w:shd w:val="clear" w:color="auto" w:fill="C6EFCE"/>
            <w:noWrap/>
            <w:hideMark/>
          </w:tcPr>
          <w:p w14:paraId="23C0D582"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single" w:sz="4" w:space="0" w:color="auto"/>
              <w:left w:val="nil"/>
              <w:bottom w:val="single" w:sz="4" w:space="0" w:color="auto"/>
              <w:right w:val="single" w:sz="4" w:space="0" w:color="auto"/>
            </w:tcBorders>
            <w:shd w:val="clear" w:color="auto" w:fill="C6EFCE"/>
            <w:noWrap/>
            <w:hideMark/>
          </w:tcPr>
          <w:p w14:paraId="37CBB41E" w14:textId="77777777" w:rsidR="00A345F4" w:rsidRDefault="005E2D4E">
            <w:pPr>
              <w:pStyle w:val="P68B1DB1-Normal73"/>
              <w:spacing w:after="0" w:line="259" w:lineRule="auto"/>
              <w:jc w:val="both"/>
              <w:rPr>
                <w:rFonts w:eastAsia="Times New Roman"/>
                <w:noProof/>
              </w:rPr>
            </w:pPr>
            <w:r>
              <w:rPr>
                <w:noProof/>
              </w:rPr>
              <w:t>Ouverture d'un appel d'offres pour des projets de production d'énergie à partir de sources renouvelables (éolienne et solaire)</w:t>
            </w:r>
          </w:p>
        </w:tc>
      </w:tr>
      <w:tr w:rsidR="00A345F4" w14:paraId="2B2EC83C"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hideMark/>
          </w:tcPr>
          <w:p w14:paraId="02B94C11" w14:textId="77777777" w:rsidR="00A345F4" w:rsidRDefault="005E2D4E">
            <w:pPr>
              <w:pStyle w:val="P68B1DB1-Normal73"/>
              <w:spacing w:after="0" w:line="259" w:lineRule="auto"/>
              <w:jc w:val="center"/>
              <w:rPr>
                <w:rFonts w:eastAsia="Times New Roman"/>
                <w:noProof/>
              </w:rPr>
            </w:pPr>
            <w:r>
              <w:rPr>
                <w:noProof/>
              </w:rPr>
              <w:t>143</w:t>
            </w:r>
          </w:p>
        </w:tc>
        <w:tc>
          <w:tcPr>
            <w:tcW w:w="3633" w:type="dxa"/>
            <w:tcBorders>
              <w:top w:val="nil"/>
              <w:left w:val="nil"/>
              <w:bottom w:val="single" w:sz="4" w:space="0" w:color="auto"/>
              <w:right w:val="single" w:sz="4" w:space="0" w:color="auto"/>
            </w:tcBorders>
            <w:shd w:val="clear" w:color="auto" w:fill="C6EFCE"/>
            <w:noWrap/>
            <w:hideMark/>
          </w:tcPr>
          <w:p w14:paraId="19A7ECAA" w14:textId="77777777" w:rsidR="00A345F4" w:rsidRDefault="005E2D4E">
            <w:pPr>
              <w:pStyle w:val="P68B1DB1-Normal73"/>
              <w:spacing w:after="0" w:line="259" w:lineRule="auto"/>
              <w:rPr>
                <w:noProof/>
              </w:rPr>
            </w:pPr>
            <w:r>
              <w:rPr>
                <w:noProof/>
              </w:rPr>
              <w:t>C7.R1</w:t>
            </w:r>
          </w:p>
          <w:p w14:paraId="5A2EE9FC" w14:textId="77777777" w:rsidR="00A345F4" w:rsidRDefault="005E2D4E">
            <w:pPr>
              <w:pStyle w:val="P68B1DB1-Normal73"/>
              <w:spacing w:after="0" w:line="259" w:lineRule="auto"/>
              <w:jc w:val="both"/>
              <w:rPr>
                <w:rFonts w:eastAsia="Times New Roman"/>
                <w:noProof/>
              </w:rPr>
            </w:pPr>
            <w:r>
              <w:rPr>
                <w:noProof/>
              </w:rPr>
              <w:t xml:space="preserve">Développement d'un cadre unitaire pour définir l'architecture d'un système cloud gouvernemental </w:t>
            </w:r>
          </w:p>
        </w:tc>
        <w:tc>
          <w:tcPr>
            <w:tcW w:w="1243" w:type="dxa"/>
            <w:tcBorders>
              <w:top w:val="nil"/>
              <w:left w:val="nil"/>
              <w:bottom w:val="single" w:sz="4" w:space="0" w:color="auto"/>
              <w:right w:val="single" w:sz="4" w:space="0" w:color="auto"/>
            </w:tcBorders>
            <w:shd w:val="clear" w:color="auto" w:fill="C6EFCE"/>
            <w:noWrap/>
            <w:hideMark/>
          </w:tcPr>
          <w:p w14:paraId="54D34A2D"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hideMark/>
          </w:tcPr>
          <w:p w14:paraId="48D19430" w14:textId="77777777" w:rsidR="00A345F4" w:rsidRDefault="005E2D4E">
            <w:pPr>
              <w:pStyle w:val="P68B1DB1-Normal73"/>
              <w:spacing w:after="0" w:line="259" w:lineRule="auto"/>
              <w:jc w:val="both"/>
              <w:rPr>
                <w:rFonts w:eastAsia="Times New Roman"/>
                <w:noProof/>
              </w:rPr>
            </w:pPr>
            <w:r>
              <w:rPr>
                <w:noProof/>
              </w:rPr>
              <w:t xml:space="preserve">Analyse terminée des options pour l'architecture cloud du gouvernement </w:t>
            </w:r>
          </w:p>
        </w:tc>
      </w:tr>
      <w:tr w:rsidR="00A345F4" w14:paraId="7E1367A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3CC4749F" w14:textId="77777777" w:rsidR="00A345F4" w:rsidRDefault="005E2D4E">
            <w:pPr>
              <w:pStyle w:val="P68B1DB1-Normal73"/>
              <w:spacing w:after="0" w:line="259" w:lineRule="auto"/>
              <w:jc w:val="center"/>
              <w:rPr>
                <w:rFonts w:eastAsia="Times New Roman"/>
                <w:noProof/>
              </w:rPr>
            </w:pPr>
            <w:r>
              <w:rPr>
                <w:noProof/>
              </w:rPr>
              <w:t>191</w:t>
            </w:r>
          </w:p>
        </w:tc>
        <w:tc>
          <w:tcPr>
            <w:tcW w:w="3633" w:type="dxa"/>
            <w:tcBorders>
              <w:top w:val="nil"/>
              <w:left w:val="nil"/>
              <w:bottom w:val="single" w:sz="4" w:space="0" w:color="auto"/>
              <w:right w:val="single" w:sz="4" w:space="0" w:color="auto"/>
            </w:tcBorders>
            <w:shd w:val="clear" w:color="auto" w:fill="C6EFCE"/>
            <w:noWrap/>
          </w:tcPr>
          <w:p w14:paraId="57BAD4E5" w14:textId="77777777" w:rsidR="00A345F4" w:rsidRDefault="005E2D4E">
            <w:pPr>
              <w:pStyle w:val="P68B1DB1-Normal73"/>
              <w:spacing w:after="0" w:line="259" w:lineRule="auto"/>
              <w:rPr>
                <w:noProof/>
              </w:rPr>
            </w:pPr>
            <w:r>
              <w:rPr>
                <w:noProof/>
              </w:rPr>
              <w:t>C8.R1</w:t>
            </w:r>
          </w:p>
          <w:p w14:paraId="35864CEE" w14:textId="77777777" w:rsidR="00A345F4" w:rsidRDefault="005E2D4E">
            <w:pPr>
              <w:pStyle w:val="P68B1DB1-Normal73"/>
              <w:spacing w:after="0" w:line="259" w:lineRule="auto"/>
              <w:jc w:val="both"/>
              <w:rPr>
                <w:rFonts w:eastAsia="Times New Roman"/>
                <w:noProof/>
              </w:rPr>
            </w:pPr>
            <w:r>
              <w:rPr>
                <w:noProof/>
              </w:rPr>
              <w:t xml:space="preserve">Réforme de l’Agence nationale pour l’administration budgétaire (ANAF) par la numérisation </w:t>
            </w:r>
          </w:p>
        </w:tc>
        <w:tc>
          <w:tcPr>
            <w:tcW w:w="1243" w:type="dxa"/>
            <w:tcBorders>
              <w:top w:val="nil"/>
              <w:left w:val="nil"/>
              <w:bottom w:val="single" w:sz="4" w:space="0" w:color="auto"/>
              <w:right w:val="single" w:sz="4" w:space="0" w:color="auto"/>
            </w:tcBorders>
            <w:shd w:val="clear" w:color="auto" w:fill="C6EFCE"/>
            <w:noWrap/>
          </w:tcPr>
          <w:p w14:paraId="7C4203F9"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B9F6C88" w14:textId="77777777" w:rsidR="00A345F4" w:rsidRDefault="005E2D4E">
            <w:pPr>
              <w:pStyle w:val="P68B1DB1-Normal73"/>
              <w:spacing w:after="0" w:line="259" w:lineRule="auto"/>
              <w:jc w:val="both"/>
              <w:rPr>
                <w:rFonts w:eastAsia="Times New Roman"/>
                <w:noProof/>
              </w:rPr>
            </w:pPr>
            <w:r>
              <w:rPr>
                <w:noProof/>
              </w:rPr>
              <w:t>Entrée en vigueur du cadre juridique pour l’inscription obligatoire des personnes morales contribuables dans les véhicules de titrisation (espace privé virtuel)</w:t>
            </w:r>
          </w:p>
        </w:tc>
      </w:tr>
      <w:tr w:rsidR="00A345F4" w14:paraId="00BD6C03"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97C9875" w14:textId="77777777" w:rsidR="00A345F4" w:rsidRDefault="005E2D4E">
            <w:pPr>
              <w:pStyle w:val="P68B1DB1-Normal73"/>
              <w:spacing w:after="0" w:line="259" w:lineRule="auto"/>
              <w:jc w:val="center"/>
              <w:rPr>
                <w:rFonts w:eastAsia="Times New Roman"/>
                <w:noProof/>
              </w:rPr>
            </w:pPr>
            <w:r>
              <w:rPr>
                <w:noProof/>
              </w:rPr>
              <w:t>195</w:t>
            </w:r>
          </w:p>
        </w:tc>
        <w:tc>
          <w:tcPr>
            <w:tcW w:w="3633" w:type="dxa"/>
            <w:tcBorders>
              <w:top w:val="nil"/>
              <w:left w:val="nil"/>
              <w:bottom w:val="single" w:sz="4" w:space="0" w:color="auto"/>
              <w:right w:val="single" w:sz="4" w:space="0" w:color="auto"/>
            </w:tcBorders>
            <w:shd w:val="clear" w:color="auto" w:fill="C6EFCE"/>
            <w:noWrap/>
          </w:tcPr>
          <w:p w14:paraId="4BF1A73B" w14:textId="77777777" w:rsidR="00A345F4" w:rsidRDefault="005E2D4E">
            <w:pPr>
              <w:pStyle w:val="P68B1DB1-Normal73"/>
              <w:spacing w:after="0" w:line="259" w:lineRule="auto"/>
              <w:rPr>
                <w:noProof/>
              </w:rPr>
            </w:pPr>
            <w:r>
              <w:rPr>
                <w:noProof/>
              </w:rPr>
              <w:t>C8.R1</w:t>
            </w:r>
          </w:p>
          <w:p w14:paraId="10A95D66" w14:textId="77777777" w:rsidR="00A345F4" w:rsidRDefault="005E2D4E">
            <w:pPr>
              <w:pStyle w:val="P68B1DB1-Normal73"/>
              <w:spacing w:after="0" w:line="259" w:lineRule="auto"/>
              <w:jc w:val="both"/>
              <w:rPr>
                <w:rFonts w:eastAsia="Times New Roman"/>
                <w:noProof/>
              </w:rPr>
            </w:pPr>
            <w:r>
              <w:rPr>
                <w:noProof/>
              </w:rPr>
              <w:t xml:space="preserve">Réforme de l’Agence nationale pour l’administration budgétaire (ANAF) par la numérisation </w:t>
            </w:r>
          </w:p>
        </w:tc>
        <w:tc>
          <w:tcPr>
            <w:tcW w:w="1243" w:type="dxa"/>
            <w:tcBorders>
              <w:top w:val="nil"/>
              <w:left w:val="nil"/>
              <w:bottom w:val="single" w:sz="4" w:space="0" w:color="auto"/>
              <w:right w:val="single" w:sz="4" w:space="0" w:color="auto"/>
            </w:tcBorders>
            <w:shd w:val="clear" w:color="auto" w:fill="C6EFCE"/>
            <w:noWrap/>
          </w:tcPr>
          <w:p w14:paraId="4C70D929"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047E232" w14:textId="77777777" w:rsidR="00A345F4" w:rsidRDefault="005E2D4E">
            <w:pPr>
              <w:pStyle w:val="P68B1DB1-Normal73"/>
              <w:spacing w:after="0" w:line="259" w:lineRule="auto"/>
              <w:jc w:val="both"/>
              <w:rPr>
                <w:rFonts w:eastAsia="Times New Roman"/>
                <w:noProof/>
              </w:rPr>
            </w:pPr>
            <w:r>
              <w:rPr>
                <w:noProof/>
              </w:rPr>
              <w:t>Mise en œuvre/approbation du plan d’action conjoint entre l’Agence nationale pour l’administration fiscale et l’inspection du travail afin de prévenir et de limiter le phénomène de l’évasion du travail gris/noir</w:t>
            </w:r>
          </w:p>
        </w:tc>
      </w:tr>
      <w:tr w:rsidR="00A345F4" w14:paraId="3A317D6B"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7DE56C61" w14:textId="77777777" w:rsidR="00A345F4" w:rsidRDefault="005E2D4E">
            <w:pPr>
              <w:pStyle w:val="P68B1DB1-Normal73"/>
              <w:spacing w:after="0" w:line="259" w:lineRule="auto"/>
              <w:jc w:val="center"/>
              <w:rPr>
                <w:rFonts w:eastAsia="Times New Roman"/>
                <w:noProof/>
              </w:rPr>
            </w:pPr>
            <w:r>
              <w:rPr>
                <w:noProof/>
              </w:rPr>
              <w:t>213</w:t>
            </w:r>
          </w:p>
        </w:tc>
        <w:tc>
          <w:tcPr>
            <w:tcW w:w="3633" w:type="dxa"/>
            <w:tcBorders>
              <w:top w:val="nil"/>
              <w:left w:val="nil"/>
              <w:bottom w:val="single" w:sz="4" w:space="0" w:color="auto"/>
              <w:right w:val="single" w:sz="4" w:space="0" w:color="auto"/>
            </w:tcBorders>
            <w:shd w:val="clear" w:color="auto" w:fill="C6EFCE"/>
            <w:noWrap/>
          </w:tcPr>
          <w:p w14:paraId="657BB568" w14:textId="77777777" w:rsidR="00A345F4" w:rsidRDefault="005E2D4E">
            <w:pPr>
              <w:pStyle w:val="P68B1DB1-Normal73"/>
              <w:spacing w:after="0" w:line="259" w:lineRule="auto"/>
              <w:rPr>
                <w:noProof/>
              </w:rPr>
            </w:pPr>
            <w:r>
              <w:rPr>
                <w:noProof/>
              </w:rPr>
              <w:t>C8.R6</w:t>
            </w:r>
          </w:p>
          <w:p w14:paraId="55EB3903" w14:textId="77777777" w:rsidR="00A345F4" w:rsidRDefault="005E2D4E">
            <w:pPr>
              <w:pStyle w:val="P68B1DB1-Normal73"/>
              <w:spacing w:after="0" w:line="259" w:lineRule="auto"/>
              <w:rPr>
                <w:noProof/>
              </w:rPr>
            </w:pPr>
            <w:r>
              <w:rPr>
                <w:noProof/>
              </w:rPr>
              <w:t>Réforme du système public de retraite</w:t>
            </w:r>
          </w:p>
        </w:tc>
        <w:tc>
          <w:tcPr>
            <w:tcW w:w="1243" w:type="dxa"/>
            <w:tcBorders>
              <w:top w:val="nil"/>
              <w:left w:val="nil"/>
              <w:bottom w:val="single" w:sz="4" w:space="0" w:color="auto"/>
              <w:right w:val="single" w:sz="4" w:space="0" w:color="auto"/>
            </w:tcBorders>
            <w:shd w:val="clear" w:color="auto" w:fill="C6EFCE"/>
            <w:noWrap/>
          </w:tcPr>
          <w:p w14:paraId="3BF706F3"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ED27079" w14:textId="77777777" w:rsidR="00A345F4" w:rsidRDefault="005E2D4E">
            <w:pPr>
              <w:pStyle w:val="P68B1DB1-Normal73"/>
              <w:spacing w:after="0" w:line="259" w:lineRule="auto"/>
              <w:jc w:val="both"/>
              <w:rPr>
                <w:rFonts w:eastAsia="Times New Roman"/>
                <w:noProof/>
              </w:rPr>
            </w:pPr>
            <w:r>
              <w:rPr>
                <w:noProof/>
              </w:rPr>
              <w:t>Entrée en vigueur des modifications du cadre réglementaire visant à garantir la viabilité des retraites du deuxième pilier</w:t>
            </w:r>
          </w:p>
        </w:tc>
      </w:tr>
      <w:tr w:rsidR="00A345F4" w14:paraId="6C11EF8E"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7A532D6" w14:textId="77777777" w:rsidR="00A345F4" w:rsidRDefault="005E2D4E">
            <w:pPr>
              <w:pStyle w:val="P68B1DB1-Normal73"/>
              <w:spacing w:after="0" w:line="259" w:lineRule="auto"/>
              <w:jc w:val="center"/>
              <w:rPr>
                <w:rFonts w:eastAsia="Times New Roman"/>
                <w:noProof/>
              </w:rPr>
            </w:pPr>
            <w:r>
              <w:rPr>
                <w:noProof/>
              </w:rPr>
              <w:t>387</w:t>
            </w:r>
          </w:p>
        </w:tc>
        <w:tc>
          <w:tcPr>
            <w:tcW w:w="3633" w:type="dxa"/>
            <w:tcBorders>
              <w:top w:val="nil"/>
              <w:left w:val="nil"/>
              <w:bottom w:val="single" w:sz="4" w:space="0" w:color="auto"/>
              <w:right w:val="single" w:sz="4" w:space="0" w:color="auto"/>
            </w:tcBorders>
            <w:shd w:val="clear" w:color="auto" w:fill="C6EFCE"/>
            <w:noWrap/>
          </w:tcPr>
          <w:p w14:paraId="379C01BA" w14:textId="77777777" w:rsidR="00A345F4" w:rsidRDefault="005E2D4E">
            <w:pPr>
              <w:pStyle w:val="P68B1DB1-Normal73"/>
              <w:spacing w:after="0" w:line="259" w:lineRule="auto"/>
              <w:rPr>
                <w:noProof/>
              </w:rPr>
            </w:pPr>
            <w:r>
              <w:rPr>
                <w:noProof/>
              </w:rPr>
              <w:t>C13.R4</w:t>
            </w:r>
          </w:p>
          <w:p w14:paraId="76FB0912" w14:textId="77777777" w:rsidR="00A345F4" w:rsidRDefault="005E2D4E">
            <w:pPr>
              <w:pStyle w:val="P68B1DB1-Normal73"/>
              <w:spacing w:after="0" w:line="259" w:lineRule="auto"/>
              <w:rPr>
                <w:noProof/>
              </w:rPr>
            </w:pPr>
            <w:r>
              <w:rPr>
                <w:noProof/>
              </w:rPr>
              <w:t>Introduction des cartes de travail et formalisation du travail domestique</w:t>
            </w:r>
          </w:p>
        </w:tc>
        <w:tc>
          <w:tcPr>
            <w:tcW w:w="1243" w:type="dxa"/>
            <w:tcBorders>
              <w:top w:val="nil"/>
              <w:left w:val="nil"/>
              <w:bottom w:val="single" w:sz="4" w:space="0" w:color="auto"/>
              <w:right w:val="single" w:sz="4" w:space="0" w:color="auto"/>
            </w:tcBorders>
            <w:shd w:val="clear" w:color="auto" w:fill="C6EFCE"/>
            <w:noWrap/>
          </w:tcPr>
          <w:p w14:paraId="1797E2D7"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8E609C7" w14:textId="77777777" w:rsidR="00A345F4" w:rsidRDefault="005E2D4E">
            <w:pPr>
              <w:pStyle w:val="P68B1DB1-Normal73"/>
              <w:spacing w:after="0" w:line="259" w:lineRule="auto"/>
              <w:jc w:val="both"/>
              <w:rPr>
                <w:rFonts w:eastAsia="Times New Roman"/>
                <w:noProof/>
              </w:rPr>
            </w:pPr>
            <w:r>
              <w:rPr>
                <w:noProof/>
              </w:rPr>
              <w:t xml:space="preserve">Entrée en vigueur de la législation et de ses modalités d'application pour le système de chèques-travailleurs domestiques </w:t>
            </w:r>
          </w:p>
        </w:tc>
      </w:tr>
      <w:tr w:rsidR="00A345F4" w14:paraId="1A1648B2"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072019BE" w14:textId="77777777" w:rsidR="00A345F4" w:rsidRDefault="005E2D4E">
            <w:pPr>
              <w:pStyle w:val="P68B1DB1-Normal73"/>
              <w:spacing w:after="0" w:line="259" w:lineRule="auto"/>
              <w:jc w:val="center"/>
              <w:rPr>
                <w:rFonts w:eastAsia="Times New Roman"/>
                <w:noProof/>
              </w:rPr>
            </w:pPr>
            <w:r>
              <w:rPr>
                <w:noProof/>
              </w:rPr>
              <w:t>401</w:t>
            </w:r>
          </w:p>
        </w:tc>
        <w:tc>
          <w:tcPr>
            <w:tcW w:w="3633" w:type="dxa"/>
            <w:tcBorders>
              <w:top w:val="nil"/>
              <w:left w:val="nil"/>
              <w:bottom w:val="single" w:sz="4" w:space="0" w:color="auto"/>
              <w:right w:val="single" w:sz="4" w:space="0" w:color="auto"/>
            </w:tcBorders>
            <w:shd w:val="clear" w:color="auto" w:fill="C6EFCE"/>
            <w:noWrap/>
          </w:tcPr>
          <w:p w14:paraId="75884AF0" w14:textId="77777777" w:rsidR="00A345F4" w:rsidRDefault="005E2D4E">
            <w:pPr>
              <w:pStyle w:val="P68B1DB1-Normal73"/>
              <w:spacing w:after="0" w:line="259" w:lineRule="auto"/>
              <w:jc w:val="both"/>
              <w:rPr>
                <w:noProof/>
              </w:rPr>
            </w:pPr>
            <w:r>
              <w:rPr>
                <w:noProof/>
              </w:rPr>
              <w:t>C14.R1</w:t>
            </w:r>
          </w:p>
          <w:p w14:paraId="08AFCCE1" w14:textId="77777777" w:rsidR="00A345F4" w:rsidRDefault="005E2D4E">
            <w:pPr>
              <w:pStyle w:val="P68B1DB1-Normal73"/>
              <w:spacing w:after="0" w:line="259" w:lineRule="auto"/>
              <w:jc w:val="both"/>
              <w:rPr>
                <w:rFonts w:eastAsia="Times New Roman"/>
                <w:noProof/>
              </w:rPr>
            </w:pPr>
            <w:r>
              <w:rPr>
                <w:noProof/>
              </w:rPr>
              <w:t>Améliorer la prévisibilité et l’efficacité des processus décisionnels en renforçant la capacité de coordination des politiques et d’analyse d’impact au niveau du gouvernement et des ministères coordonnateurs, ainsi qu’en renforçant les outils permettant d’améliorer la qualité des consultations publiques à tous les niveaux de l’administration</w:t>
            </w:r>
          </w:p>
        </w:tc>
        <w:tc>
          <w:tcPr>
            <w:tcW w:w="1243" w:type="dxa"/>
            <w:tcBorders>
              <w:top w:val="nil"/>
              <w:left w:val="nil"/>
              <w:bottom w:val="single" w:sz="4" w:space="0" w:color="auto"/>
              <w:right w:val="single" w:sz="4" w:space="0" w:color="auto"/>
            </w:tcBorders>
            <w:shd w:val="clear" w:color="auto" w:fill="C6EFCE"/>
            <w:noWrap/>
          </w:tcPr>
          <w:p w14:paraId="5B539899"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111FCA6" w14:textId="77777777" w:rsidR="00A345F4" w:rsidRDefault="005E2D4E">
            <w:pPr>
              <w:pStyle w:val="P68B1DB1-Normal73"/>
              <w:spacing w:after="0" w:line="259" w:lineRule="auto"/>
              <w:jc w:val="both"/>
              <w:rPr>
                <w:rFonts w:eastAsia="Times New Roman"/>
                <w:noProof/>
              </w:rPr>
            </w:pPr>
            <w:r>
              <w:rPr>
                <w:noProof/>
              </w:rPr>
              <w:t>Entrée en vigueur des méthodes et procédures visant à améliorer la justification et la planification des politiques publiques ainsi que la simplification administrative</w:t>
            </w:r>
          </w:p>
        </w:tc>
      </w:tr>
      <w:tr w:rsidR="00A345F4" w14:paraId="73854AE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3EF86B7" w14:textId="77777777" w:rsidR="00A345F4" w:rsidRDefault="005E2D4E">
            <w:pPr>
              <w:pStyle w:val="P68B1DB1-Normal73"/>
              <w:spacing w:after="0" w:line="259" w:lineRule="auto"/>
              <w:jc w:val="center"/>
              <w:rPr>
                <w:rFonts w:eastAsia="Times New Roman"/>
                <w:noProof/>
              </w:rPr>
            </w:pPr>
            <w:r>
              <w:rPr>
                <w:noProof/>
              </w:rPr>
              <w:t>404</w:t>
            </w:r>
          </w:p>
        </w:tc>
        <w:tc>
          <w:tcPr>
            <w:tcW w:w="3633" w:type="dxa"/>
            <w:tcBorders>
              <w:top w:val="nil"/>
              <w:left w:val="nil"/>
              <w:bottom w:val="single" w:sz="4" w:space="0" w:color="auto"/>
              <w:right w:val="single" w:sz="4" w:space="0" w:color="auto"/>
            </w:tcBorders>
            <w:shd w:val="clear" w:color="auto" w:fill="C6EFCE"/>
            <w:noWrap/>
          </w:tcPr>
          <w:p w14:paraId="77100134" w14:textId="77777777" w:rsidR="00A345F4" w:rsidRDefault="005E2D4E">
            <w:pPr>
              <w:pStyle w:val="P68B1DB1-Normal73"/>
              <w:spacing w:after="0" w:line="259" w:lineRule="auto"/>
              <w:jc w:val="both"/>
              <w:rPr>
                <w:noProof/>
              </w:rPr>
            </w:pPr>
            <w:r>
              <w:rPr>
                <w:noProof/>
              </w:rPr>
              <w:t>C14.R1</w:t>
            </w:r>
          </w:p>
          <w:p w14:paraId="3C0B2938" w14:textId="77777777" w:rsidR="00A345F4" w:rsidRDefault="005E2D4E">
            <w:pPr>
              <w:pStyle w:val="P68B1DB1-Normal73"/>
              <w:spacing w:after="0" w:line="259" w:lineRule="auto"/>
              <w:jc w:val="both"/>
              <w:rPr>
                <w:rFonts w:eastAsia="Times New Roman"/>
                <w:noProof/>
              </w:rPr>
            </w:pPr>
            <w:r>
              <w:rPr>
                <w:noProof/>
              </w:rPr>
              <w:t>Améliorer la prévisibilité et l’efficacité des processus décisionnels en renforçant la capacité de coordination des politiques et d’analyse d’impact au niveau du gouvernement et des ministères coordonnateurs, ainsi qu’en renforçant les outils permettant d’améliorer la qualité des consultations publiques à tous les niveaux de l’administration</w:t>
            </w:r>
          </w:p>
        </w:tc>
        <w:tc>
          <w:tcPr>
            <w:tcW w:w="1243" w:type="dxa"/>
            <w:tcBorders>
              <w:top w:val="nil"/>
              <w:left w:val="nil"/>
              <w:bottom w:val="single" w:sz="4" w:space="0" w:color="auto"/>
              <w:right w:val="single" w:sz="4" w:space="0" w:color="auto"/>
            </w:tcBorders>
            <w:shd w:val="clear" w:color="auto" w:fill="C6EFCE"/>
            <w:noWrap/>
          </w:tcPr>
          <w:p w14:paraId="1339109B"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F3EB3D2" w14:textId="77777777" w:rsidR="00A345F4" w:rsidRDefault="005E2D4E">
            <w:pPr>
              <w:pStyle w:val="P68B1DB1-Normal73"/>
              <w:spacing w:after="0" w:line="259" w:lineRule="auto"/>
              <w:jc w:val="both"/>
              <w:rPr>
                <w:rFonts w:eastAsia="Times New Roman"/>
                <w:noProof/>
              </w:rPr>
            </w:pPr>
            <w:r>
              <w:rPr>
                <w:noProof/>
              </w:rPr>
              <w:t>Entrée en vigueur d’un acte législatif rendant opérationnelle une structure visant à garantir la mise en œuvre d’un mécanisme de contrôle de la qualité réglementaire efficace</w:t>
            </w:r>
          </w:p>
        </w:tc>
      </w:tr>
      <w:tr w:rsidR="00A345F4" w14:paraId="0D01EF20"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5B96F13B" w14:textId="77777777" w:rsidR="00A345F4" w:rsidRDefault="005E2D4E">
            <w:pPr>
              <w:pStyle w:val="P68B1DB1-Normal73"/>
              <w:spacing w:after="0" w:line="259" w:lineRule="auto"/>
              <w:jc w:val="center"/>
              <w:rPr>
                <w:rFonts w:eastAsia="Times New Roman"/>
                <w:noProof/>
              </w:rPr>
            </w:pPr>
            <w:r>
              <w:rPr>
                <w:noProof/>
              </w:rPr>
              <w:t>421</w:t>
            </w:r>
          </w:p>
        </w:tc>
        <w:tc>
          <w:tcPr>
            <w:tcW w:w="3633" w:type="dxa"/>
            <w:tcBorders>
              <w:top w:val="nil"/>
              <w:left w:val="nil"/>
              <w:bottom w:val="single" w:sz="4" w:space="0" w:color="auto"/>
              <w:right w:val="single" w:sz="4" w:space="0" w:color="auto"/>
            </w:tcBorders>
            <w:shd w:val="clear" w:color="auto" w:fill="C6EFCE"/>
            <w:noWrap/>
          </w:tcPr>
          <w:p w14:paraId="48B14D8F" w14:textId="77777777" w:rsidR="00A345F4" w:rsidRDefault="005E2D4E">
            <w:pPr>
              <w:pStyle w:val="P68B1DB1-Normal73"/>
              <w:spacing w:after="0" w:line="259" w:lineRule="auto"/>
              <w:jc w:val="both"/>
              <w:rPr>
                <w:noProof/>
              </w:rPr>
            </w:pPr>
            <w:r>
              <w:rPr>
                <w:noProof/>
              </w:rPr>
              <w:t>C14.R5</w:t>
            </w:r>
          </w:p>
          <w:p w14:paraId="54F93AB8" w14:textId="2BA4EDBA" w:rsidR="00A345F4" w:rsidRDefault="005E2D4E">
            <w:pPr>
              <w:pStyle w:val="P68B1DB1-Normal73"/>
              <w:spacing w:after="0" w:line="259" w:lineRule="auto"/>
              <w:jc w:val="both"/>
              <w:rPr>
                <w:rFonts w:eastAsia="Times New Roman"/>
                <w:noProof/>
              </w:rPr>
            </w:pPr>
            <w:r>
              <w:rPr>
                <w:noProof/>
              </w:rPr>
              <w:t xml:space="preserve">Garantir l’indépendance du pouvoir judiciaire, améliorer sa qualité et son efficacité </w:t>
            </w:r>
          </w:p>
        </w:tc>
        <w:tc>
          <w:tcPr>
            <w:tcW w:w="1243" w:type="dxa"/>
            <w:tcBorders>
              <w:top w:val="nil"/>
              <w:left w:val="nil"/>
              <w:bottom w:val="single" w:sz="4" w:space="0" w:color="auto"/>
              <w:right w:val="single" w:sz="4" w:space="0" w:color="auto"/>
            </w:tcBorders>
            <w:shd w:val="clear" w:color="auto" w:fill="C6EFCE"/>
            <w:noWrap/>
          </w:tcPr>
          <w:p w14:paraId="784E8187"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6CC0C54" w14:textId="77777777" w:rsidR="00A345F4" w:rsidRDefault="005E2D4E">
            <w:pPr>
              <w:pStyle w:val="P68B1DB1-Normal73"/>
              <w:spacing w:after="0" w:line="259" w:lineRule="auto"/>
              <w:jc w:val="both"/>
              <w:rPr>
                <w:rFonts w:eastAsia="Times New Roman"/>
                <w:noProof/>
              </w:rPr>
            </w:pPr>
            <w:r>
              <w:rPr>
                <w:noProof/>
              </w:rPr>
              <w:t xml:space="preserve">Entrée en vigueur de la décision du gouvernement approuvant la stratégie de développement du système judiciaire 2022-2025 </w:t>
            </w:r>
          </w:p>
        </w:tc>
      </w:tr>
      <w:tr w:rsidR="00A345F4" w14:paraId="6299E19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E3F54CD" w14:textId="77777777" w:rsidR="00A345F4" w:rsidRDefault="005E2D4E">
            <w:pPr>
              <w:pStyle w:val="P68B1DB1-Normal73"/>
              <w:spacing w:after="0" w:line="259" w:lineRule="auto"/>
              <w:jc w:val="center"/>
              <w:rPr>
                <w:rFonts w:eastAsia="Times New Roman"/>
                <w:noProof/>
              </w:rPr>
            </w:pPr>
            <w:r>
              <w:rPr>
                <w:noProof/>
              </w:rPr>
              <w:t>430</w:t>
            </w:r>
          </w:p>
        </w:tc>
        <w:tc>
          <w:tcPr>
            <w:tcW w:w="3633" w:type="dxa"/>
            <w:tcBorders>
              <w:top w:val="nil"/>
              <w:left w:val="nil"/>
              <w:bottom w:val="single" w:sz="4" w:space="0" w:color="auto"/>
              <w:right w:val="single" w:sz="4" w:space="0" w:color="auto"/>
            </w:tcBorders>
            <w:shd w:val="clear" w:color="auto" w:fill="C6EFCE"/>
            <w:noWrap/>
          </w:tcPr>
          <w:p w14:paraId="7EA4FC75" w14:textId="77777777" w:rsidR="00A345F4" w:rsidRDefault="005E2D4E">
            <w:pPr>
              <w:pStyle w:val="P68B1DB1-Normal73"/>
              <w:spacing w:after="0" w:line="259" w:lineRule="auto"/>
              <w:jc w:val="both"/>
              <w:rPr>
                <w:noProof/>
              </w:rPr>
            </w:pPr>
            <w:r>
              <w:rPr>
                <w:noProof/>
              </w:rPr>
              <w:t>C14.R6</w:t>
            </w:r>
          </w:p>
          <w:p w14:paraId="1A76195B" w14:textId="77777777" w:rsidR="00A345F4" w:rsidRDefault="005E2D4E">
            <w:pPr>
              <w:pStyle w:val="P68B1DB1-Normal73"/>
              <w:spacing w:after="0" w:line="259" w:lineRule="auto"/>
              <w:jc w:val="both"/>
              <w:rPr>
                <w:rFonts w:eastAsia="Times New Roman"/>
                <w:noProof/>
              </w:rPr>
            </w:pPr>
            <w:r>
              <w:rPr>
                <w:noProof/>
              </w:rPr>
              <w:t xml:space="preserve">Intensifier la lutte contre la corruption </w:t>
            </w:r>
          </w:p>
        </w:tc>
        <w:tc>
          <w:tcPr>
            <w:tcW w:w="1243" w:type="dxa"/>
            <w:tcBorders>
              <w:top w:val="nil"/>
              <w:left w:val="nil"/>
              <w:bottom w:val="single" w:sz="4" w:space="0" w:color="auto"/>
              <w:right w:val="single" w:sz="4" w:space="0" w:color="auto"/>
            </w:tcBorders>
            <w:shd w:val="clear" w:color="auto" w:fill="C6EFCE"/>
            <w:noWrap/>
          </w:tcPr>
          <w:p w14:paraId="3FB76D7C"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AEFF513" w14:textId="77777777" w:rsidR="00A345F4" w:rsidRDefault="005E2D4E">
            <w:pPr>
              <w:pStyle w:val="P68B1DB1-Normal73"/>
              <w:spacing w:after="0" w:line="259" w:lineRule="auto"/>
              <w:jc w:val="both"/>
              <w:rPr>
                <w:rFonts w:eastAsia="Times New Roman"/>
                <w:noProof/>
              </w:rPr>
            </w:pPr>
            <w:r>
              <w:rPr>
                <w:noProof/>
              </w:rPr>
              <w:t>Entrée en vigueur de la loi transposant la directive sur la protection des lanceurs d’alerte</w:t>
            </w:r>
          </w:p>
        </w:tc>
      </w:tr>
      <w:tr w:rsidR="00A345F4" w14:paraId="7E97974E"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470829F" w14:textId="77777777" w:rsidR="00A345F4" w:rsidRDefault="005E2D4E">
            <w:pPr>
              <w:pStyle w:val="P68B1DB1-Normal73"/>
              <w:spacing w:after="0" w:line="259" w:lineRule="auto"/>
              <w:jc w:val="center"/>
              <w:rPr>
                <w:rFonts w:eastAsia="Times New Roman"/>
                <w:noProof/>
              </w:rPr>
            </w:pPr>
            <w:r>
              <w:rPr>
                <w:noProof/>
              </w:rPr>
              <w:t>433</w:t>
            </w:r>
          </w:p>
        </w:tc>
        <w:tc>
          <w:tcPr>
            <w:tcW w:w="3633" w:type="dxa"/>
            <w:tcBorders>
              <w:top w:val="nil"/>
              <w:left w:val="nil"/>
              <w:bottom w:val="single" w:sz="4" w:space="0" w:color="auto"/>
              <w:right w:val="single" w:sz="4" w:space="0" w:color="auto"/>
            </w:tcBorders>
            <w:shd w:val="clear" w:color="auto" w:fill="C6EFCE"/>
            <w:noWrap/>
          </w:tcPr>
          <w:p w14:paraId="2B4FF803" w14:textId="77777777" w:rsidR="00A345F4" w:rsidRDefault="005E2D4E">
            <w:pPr>
              <w:pStyle w:val="P68B1DB1-Normal73"/>
              <w:spacing w:after="0" w:line="259" w:lineRule="auto"/>
              <w:jc w:val="both"/>
              <w:rPr>
                <w:noProof/>
              </w:rPr>
            </w:pPr>
            <w:r>
              <w:rPr>
                <w:noProof/>
              </w:rPr>
              <w:t>C14.R8</w:t>
            </w:r>
          </w:p>
          <w:p w14:paraId="35EA544C" w14:textId="77777777" w:rsidR="00A345F4" w:rsidRDefault="005E2D4E">
            <w:pPr>
              <w:pStyle w:val="P68B1DB1-Normal73"/>
              <w:spacing w:after="0" w:line="259" w:lineRule="auto"/>
              <w:jc w:val="both"/>
              <w:rPr>
                <w:rFonts w:eastAsia="Times New Roman"/>
                <w:noProof/>
              </w:rPr>
            </w:pPr>
            <w:r>
              <w:rPr>
                <w:noProof/>
              </w:rPr>
              <w:t>Modernisation et rationalisation du système national de passation des marchés publics</w:t>
            </w:r>
          </w:p>
        </w:tc>
        <w:tc>
          <w:tcPr>
            <w:tcW w:w="1243" w:type="dxa"/>
            <w:tcBorders>
              <w:top w:val="nil"/>
              <w:left w:val="nil"/>
              <w:bottom w:val="single" w:sz="4" w:space="0" w:color="auto"/>
              <w:right w:val="single" w:sz="4" w:space="0" w:color="auto"/>
            </w:tcBorders>
            <w:shd w:val="clear" w:color="auto" w:fill="C6EFCE"/>
            <w:noWrap/>
          </w:tcPr>
          <w:p w14:paraId="79B0ACD7"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9E3AE04" w14:textId="77777777" w:rsidR="00A345F4" w:rsidRDefault="005E2D4E">
            <w:pPr>
              <w:pStyle w:val="P68B1DB1-Normal73"/>
              <w:spacing w:after="0" w:line="259" w:lineRule="auto"/>
              <w:jc w:val="both"/>
              <w:rPr>
                <w:rFonts w:eastAsia="Times New Roman"/>
                <w:noProof/>
              </w:rPr>
            </w:pPr>
            <w:r>
              <w:rPr>
                <w:noProof/>
              </w:rPr>
              <w:t xml:space="preserve">Entrée en vigueur de la modification de la législation nationale sur les recours (loi no 101/2016) </w:t>
            </w:r>
          </w:p>
        </w:tc>
      </w:tr>
      <w:tr w:rsidR="00A345F4" w14:paraId="23F40A3D"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89492F5" w14:textId="77777777" w:rsidR="00A345F4" w:rsidRDefault="005E2D4E">
            <w:pPr>
              <w:pStyle w:val="P68B1DB1-Normal73"/>
              <w:spacing w:after="0" w:line="259" w:lineRule="auto"/>
              <w:jc w:val="center"/>
              <w:rPr>
                <w:rFonts w:eastAsia="Times New Roman"/>
                <w:noProof/>
              </w:rPr>
            </w:pPr>
            <w:r>
              <w:rPr>
                <w:noProof/>
              </w:rPr>
              <w:t>465</w:t>
            </w:r>
          </w:p>
        </w:tc>
        <w:tc>
          <w:tcPr>
            <w:tcW w:w="3633" w:type="dxa"/>
            <w:tcBorders>
              <w:top w:val="nil"/>
              <w:left w:val="nil"/>
              <w:bottom w:val="single" w:sz="4" w:space="0" w:color="auto"/>
              <w:right w:val="single" w:sz="4" w:space="0" w:color="auto"/>
            </w:tcBorders>
            <w:shd w:val="clear" w:color="auto" w:fill="C6EFCE"/>
            <w:noWrap/>
          </w:tcPr>
          <w:p w14:paraId="16D69227" w14:textId="77777777" w:rsidR="00A345F4" w:rsidRDefault="005E2D4E">
            <w:pPr>
              <w:pStyle w:val="P68B1DB1-Normal73"/>
              <w:spacing w:after="0" w:line="259" w:lineRule="auto"/>
              <w:jc w:val="both"/>
              <w:rPr>
                <w:noProof/>
              </w:rPr>
            </w:pPr>
            <w:r>
              <w:rPr>
                <w:noProof/>
              </w:rPr>
              <w:t>C15.I4</w:t>
            </w:r>
          </w:p>
          <w:p w14:paraId="40B1B125" w14:textId="77777777" w:rsidR="00A345F4" w:rsidRDefault="005E2D4E">
            <w:pPr>
              <w:pStyle w:val="P68B1DB1-Normal73"/>
              <w:spacing w:after="0" w:line="259" w:lineRule="auto"/>
              <w:jc w:val="both"/>
              <w:rPr>
                <w:rFonts w:eastAsia="Times New Roman"/>
                <w:noProof/>
              </w:rPr>
            </w:pPr>
            <w:r>
              <w:rPr>
                <w:noProof/>
              </w:rPr>
              <w:t>Soutenir les établissements d’enseignement présentant un risque élevé d’abandon scolaire</w:t>
            </w:r>
          </w:p>
        </w:tc>
        <w:tc>
          <w:tcPr>
            <w:tcW w:w="1243" w:type="dxa"/>
            <w:tcBorders>
              <w:top w:val="nil"/>
              <w:left w:val="nil"/>
              <w:bottom w:val="single" w:sz="4" w:space="0" w:color="auto"/>
              <w:right w:val="single" w:sz="4" w:space="0" w:color="auto"/>
            </w:tcBorders>
            <w:shd w:val="clear" w:color="auto" w:fill="C6EFCE"/>
            <w:noWrap/>
          </w:tcPr>
          <w:p w14:paraId="7BE59D26" w14:textId="77777777" w:rsidR="00A345F4" w:rsidRDefault="005E2D4E">
            <w:pPr>
              <w:pStyle w:val="P68B1DB1-Normal73"/>
              <w:spacing w:after="0" w:line="259" w:lineRule="auto"/>
              <w:jc w:val="center"/>
              <w:rPr>
                <w:rFonts w:eastAsia="Times New Roman"/>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32CAAA4D" w14:textId="77777777" w:rsidR="00A345F4" w:rsidRDefault="005E2D4E">
            <w:pPr>
              <w:pStyle w:val="P68B1DB1-Normal73"/>
              <w:spacing w:after="0" w:line="259" w:lineRule="auto"/>
              <w:jc w:val="both"/>
              <w:rPr>
                <w:rFonts w:eastAsia="Times New Roman"/>
                <w:noProof/>
              </w:rPr>
            </w:pPr>
            <w:r>
              <w:rPr>
                <w:noProof/>
              </w:rPr>
              <w:t>Établissements d'enseignement bénéficiant du programme de bourses (lot 1)</w:t>
            </w:r>
          </w:p>
        </w:tc>
      </w:tr>
      <w:tr w:rsidR="00A345F4" w14:paraId="04A2609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4399DD3" w14:textId="77777777" w:rsidR="00A345F4" w:rsidRDefault="005E2D4E">
            <w:pPr>
              <w:pStyle w:val="P68B1DB1-Normal73"/>
              <w:spacing w:after="0" w:line="259" w:lineRule="auto"/>
              <w:jc w:val="center"/>
              <w:rPr>
                <w:rFonts w:eastAsia="Times New Roman"/>
                <w:noProof/>
              </w:rPr>
            </w:pPr>
            <w:r>
              <w:rPr>
                <w:noProof/>
              </w:rPr>
              <w:t>477</w:t>
            </w:r>
          </w:p>
        </w:tc>
        <w:tc>
          <w:tcPr>
            <w:tcW w:w="3633" w:type="dxa"/>
            <w:tcBorders>
              <w:top w:val="nil"/>
              <w:left w:val="nil"/>
              <w:bottom w:val="single" w:sz="4" w:space="0" w:color="auto"/>
              <w:right w:val="single" w:sz="4" w:space="0" w:color="auto"/>
            </w:tcBorders>
            <w:shd w:val="clear" w:color="auto" w:fill="C6EFCE"/>
            <w:noWrap/>
          </w:tcPr>
          <w:p w14:paraId="1168956D" w14:textId="77777777" w:rsidR="00A345F4" w:rsidRDefault="005E2D4E">
            <w:pPr>
              <w:pStyle w:val="P68B1DB1-Normal73"/>
              <w:spacing w:after="0" w:line="259" w:lineRule="auto"/>
              <w:jc w:val="both"/>
              <w:rPr>
                <w:noProof/>
              </w:rPr>
            </w:pPr>
            <w:r>
              <w:rPr>
                <w:noProof/>
              </w:rPr>
              <w:t>C15.R5</w:t>
            </w:r>
          </w:p>
          <w:p w14:paraId="74392E0B" w14:textId="77777777" w:rsidR="00A345F4" w:rsidRDefault="005E2D4E">
            <w:pPr>
              <w:pStyle w:val="P68B1DB1-Normal73"/>
              <w:spacing w:after="0" w:line="259" w:lineRule="auto"/>
              <w:jc w:val="both"/>
              <w:rPr>
                <w:rFonts w:eastAsia="Times New Roman"/>
                <w:noProof/>
              </w:rPr>
            </w:pPr>
            <w:r>
              <w:rPr>
                <w:noProof/>
              </w:rPr>
              <w:t>Adoption du cadre législatif pour la numérisation de l’éducation</w:t>
            </w:r>
          </w:p>
        </w:tc>
        <w:tc>
          <w:tcPr>
            <w:tcW w:w="1243" w:type="dxa"/>
            <w:tcBorders>
              <w:top w:val="nil"/>
              <w:left w:val="nil"/>
              <w:bottom w:val="single" w:sz="4" w:space="0" w:color="auto"/>
              <w:right w:val="single" w:sz="4" w:space="0" w:color="auto"/>
            </w:tcBorders>
            <w:shd w:val="clear" w:color="auto" w:fill="C6EFCE"/>
            <w:noWrap/>
          </w:tcPr>
          <w:p w14:paraId="50A845B8"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2878912" w14:textId="77777777" w:rsidR="00A345F4" w:rsidRDefault="005E2D4E">
            <w:pPr>
              <w:pStyle w:val="P68B1DB1-Normal73"/>
              <w:spacing w:after="0" w:line="259" w:lineRule="auto"/>
              <w:jc w:val="both"/>
              <w:rPr>
                <w:rFonts w:eastAsia="Times New Roman"/>
                <w:noProof/>
              </w:rPr>
            </w:pPr>
            <w:r>
              <w:rPr>
                <w:noProof/>
              </w:rPr>
              <w:t>Entrée en vigueur de l’arrêté ministériel visant à garantir des normes pour équiper les écoles d’équipements et de ressources technologiques à des fins éducatives en ligne et à garantir un impact durable des investissements proposés</w:t>
            </w:r>
          </w:p>
        </w:tc>
      </w:tr>
      <w:tr w:rsidR="00A345F4" w14:paraId="2EAAE9E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4604DA8" w14:textId="77777777" w:rsidR="00A345F4" w:rsidRDefault="005E2D4E">
            <w:pPr>
              <w:pStyle w:val="P68B1DB1-Normal73"/>
              <w:spacing w:after="0" w:line="259" w:lineRule="auto"/>
              <w:jc w:val="center"/>
              <w:rPr>
                <w:rFonts w:eastAsia="Times New Roman"/>
                <w:noProof/>
              </w:rPr>
            </w:pPr>
            <w:r>
              <w:rPr>
                <w:noProof/>
              </w:rPr>
              <w:t>494</w:t>
            </w:r>
          </w:p>
        </w:tc>
        <w:tc>
          <w:tcPr>
            <w:tcW w:w="3633" w:type="dxa"/>
            <w:tcBorders>
              <w:top w:val="nil"/>
              <w:left w:val="nil"/>
              <w:bottom w:val="single" w:sz="4" w:space="0" w:color="auto"/>
              <w:right w:val="single" w:sz="4" w:space="0" w:color="auto"/>
            </w:tcBorders>
            <w:shd w:val="clear" w:color="auto" w:fill="C6EFCE"/>
            <w:noWrap/>
          </w:tcPr>
          <w:p w14:paraId="5D9006D6" w14:textId="77777777" w:rsidR="00A345F4" w:rsidRDefault="005E2D4E">
            <w:pPr>
              <w:pStyle w:val="P68B1DB1-Normal73"/>
              <w:spacing w:after="0" w:line="259" w:lineRule="auto"/>
              <w:jc w:val="both"/>
              <w:rPr>
                <w:noProof/>
              </w:rPr>
            </w:pPr>
            <w:r>
              <w:rPr>
                <w:noProof/>
              </w:rPr>
              <w:t>C15.R7</w:t>
            </w:r>
          </w:p>
          <w:p w14:paraId="796333A7" w14:textId="77777777" w:rsidR="00A345F4" w:rsidRDefault="005E2D4E">
            <w:pPr>
              <w:pStyle w:val="P68B1DB1-Normal73"/>
              <w:spacing w:after="0" w:line="259" w:lineRule="auto"/>
              <w:jc w:val="both"/>
              <w:rPr>
                <w:rFonts w:eastAsia="Times New Roman"/>
                <w:noProof/>
              </w:rPr>
            </w:pPr>
            <w:r>
              <w:rPr>
                <w:noProof/>
              </w:rPr>
              <w:t>Réforme de la gouvernance du système d'enseignement préuniversitaire et professionnalisation de la gestion</w:t>
            </w:r>
          </w:p>
        </w:tc>
        <w:tc>
          <w:tcPr>
            <w:tcW w:w="1243" w:type="dxa"/>
            <w:tcBorders>
              <w:top w:val="nil"/>
              <w:left w:val="nil"/>
              <w:bottom w:val="single" w:sz="4" w:space="0" w:color="auto"/>
              <w:right w:val="single" w:sz="4" w:space="0" w:color="auto"/>
            </w:tcBorders>
            <w:shd w:val="clear" w:color="auto" w:fill="C6EFCE"/>
            <w:noWrap/>
          </w:tcPr>
          <w:p w14:paraId="6DC18DCB"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56995F7" w14:textId="77777777" w:rsidR="00A345F4" w:rsidRDefault="005E2D4E">
            <w:pPr>
              <w:pStyle w:val="P68B1DB1-Normal73"/>
              <w:spacing w:after="0" w:line="259" w:lineRule="auto"/>
              <w:jc w:val="both"/>
              <w:rPr>
                <w:rFonts w:eastAsia="Times New Roman"/>
                <w:noProof/>
              </w:rPr>
            </w:pPr>
            <w:r>
              <w:rPr>
                <w:noProof/>
              </w:rPr>
              <w:t>Signature du contrat d’assistance technique pour l’élaboration du plan d’action pour la réforme de la gouvernance, y compris le programme de formation et d’accompagnement des cadres et des inspecteurs</w:t>
            </w:r>
          </w:p>
        </w:tc>
      </w:tr>
      <w:tr w:rsidR="00A345F4" w14:paraId="1423AA1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DDB9C67" w14:textId="77777777" w:rsidR="00A345F4" w:rsidRDefault="005E2D4E">
            <w:pPr>
              <w:pStyle w:val="P68B1DB1-Normal73"/>
              <w:spacing w:after="0" w:line="259" w:lineRule="auto"/>
              <w:jc w:val="center"/>
              <w:rPr>
                <w:rFonts w:eastAsia="Times New Roman"/>
                <w:noProof/>
              </w:rPr>
            </w:pPr>
            <w:r>
              <w:rPr>
                <w:noProof/>
              </w:rPr>
              <w:t>65</w:t>
            </w:r>
          </w:p>
        </w:tc>
        <w:tc>
          <w:tcPr>
            <w:tcW w:w="3633" w:type="dxa"/>
            <w:tcBorders>
              <w:top w:val="nil"/>
              <w:left w:val="nil"/>
              <w:bottom w:val="single" w:sz="4" w:space="0" w:color="auto"/>
              <w:right w:val="single" w:sz="4" w:space="0" w:color="auto"/>
            </w:tcBorders>
            <w:shd w:val="clear" w:color="auto" w:fill="C6EFCE"/>
            <w:noWrap/>
          </w:tcPr>
          <w:p w14:paraId="1D0C0DB0" w14:textId="77777777" w:rsidR="00A345F4" w:rsidRDefault="005E2D4E">
            <w:pPr>
              <w:pStyle w:val="P68B1DB1-Normal73"/>
              <w:spacing w:after="0" w:line="259" w:lineRule="auto"/>
              <w:rPr>
                <w:noProof/>
              </w:rPr>
            </w:pPr>
            <w:r>
              <w:rPr>
                <w:noProof/>
              </w:rPr>
              <w:t>C4.R1</w:t>
            </w:r>
          </w:p>
          <w:p w14:paraId="7275CC8F" w14:textId="77777777" w:rsidR="00A345F4" w:rsidRDefault="005E2D4E">
            <w:pPr>
              <w:pStyle w:val="P68B1DB1-Normal73"/>
              <w:spacing w:after="0" w:line="259" w:lineRule="auto"/>
              <w:jc w:val="both"/>
              <w:rPr>
                <w:rFonts w:eastAsia="Times New Roman"/>
                <w:noProof/>
              </w:rPr>
            </w:pPr>
            <w:r>
              <w:rPr>
                <w:noProof/>
              </w:rPr>
              <w:t>Transports durables, décarbonation et sécurité routière / Sécurité routière</w:t>
            </w:r>
          </w:p>
        </w:tc>
        <w:tc>
          <w:tcPr>
            <w:tcW w:w="1243" w:type="dxa"/>
            <w:tcBorders>
              <w:top w:val="nil"/>
              <w:left w:val="nil"/>
              <w:bottom w:val="single" w:sz="4" w:space="0" w:color="auto"/>
              <w:right w:val="single" w:sz="4" w:space="0" w:color="auto"/>
            </w:tcBorders>
            <w:shd w:val="clear" w:color="auto" w:fill="C6EFCE"/>
            <w:noWrap/>
          </w:tcPr>
          <w:p w14:paraId="2C358FEC"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DDF21E2" w14:textId="77777777" w:rsidR="00A345F4" w:rsidRDefault="005E2D4E">
            <w:pPr>
              <w:pStyle w:val="P68B1DB1-Normal73"/>
              <w:spacing w:after="0" w:line="259" w:lineRule="auto"/>
              <w:jc w:val="both"/>
              <w:rPr>
                <w:rFonts w:eastAsia="Times New Roman"/>
                <w:noProof/>
              </w:rPr>
            </w:pPr>
            <w:r>
              <w:rPr>
                <w:noProof/>
              </w:rPr>
              <w:t>Adoption de la Stratégie nationale de sécurité routière</w:t>
            </w:r>
          </w:p>
        </w:tc>
      </w:tr>
      <w:tr w:rsidR="00A345F4" w14:paraId="7CC7AD62"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374085FA" w14:textId="77777777" w:rsidR="00A345F4" w:rsidRDefault="005E2D4E">
            <w:pPr>
              <w:pStyle w:val="P68B1DB1-Normal73"/>
              <w:spacing w:after="0" w:line="259" w:lineRule="auto"/>
              <w:jc w:val="center"/>
              <w:rPr>
                <w:rFonts w:eastAsia="Times New Roman"/>
                <w:noProof/>
              </w:rPr>
            </w:pPr>
            <w:r>
              <w:rPr>
                <w:noProof/>
              </w:rPr>
              <w:t>114</w:t>
            </w:r>
          </w:p>
        </w:tc>
        <w:tc>
          <w:tcPr>
            <w:tcW w:w="3633" w:type="dxa"/>
            <w:tcBorders>
              <w:top w:val="nil"/>
              <w:left w:val="nil"/>
              <w:bottom w:val="single" w:sz="4" w:space="0" w:color="auto"/>
              <w:right w:val="single" w:sz="4" w:space="0" w:color="auto"/>
            </w:tcBorders>
            <w:shd w:val="clear" w:color="auto" w:fill="C6EFCE"/>
            <w:noWrap/>
          </w:tcPr>
          <w:p w14:paraId="416090F3" w14:textId="77777777" w:rsidR="00A345F4" w:rsidRDefault="005E2D4E">
            <w:pPr>
              <w:pStyle w:val="P68B1DB1-Normal73"/>
              <w:spacing w:after="0" w:line="259" w:lineRule="auto"/>
              <w:rPr>
                <w:noProof/>
              </w:rPr>
            </w:pPr>
            <w:r>
              <w:rPr>
                <w:noProof/>
              </w:rPr>
              <w:t>C6.R1</w:t>
            </w:r>
          </w:p>
          <w:p w14:paraId="30A59EE8" w14:textId="77777777" w:rsidR="00A345F4" w:rsidRDefault="005E2D4E">
            <w:pPr>
              <w:pStyle w:val="P68B1DB1-Normal73"/>
              <w:spacing w:after="0" w:line="259" w:lineRule="auto"/>
              <w:jc w:val="both"/>
              <w:rPr>
                <w:rFonts w:eastAsia="Times New Roman"/>
                <w:noProof/>
              </w:rPr>
            </w:pPr>
            <w:r>
              <w:rPr>
                <w:noProof/>
              </w:rPr>
              <w:t>Réforme du marché de l'électricité, remplacement du charbon dans le bouquet énergétique et soutien à un cadre législatif et réglementaire pour les investissements privés dans la production d'électricité renouvelable</w:t>
            </w:r>
          </w:p>
        </w:tc>
        <w:tc>
          <w:tcPr>
            <w:tcW w:w="1243" w:type="dxa"/>
            <w:tcBorders>
              <w:top w:val="nil"/>
              <w:left w:val="nil"/>
              <w:bottom w:val="single" w:sz="4" w:space="0" w:color="auto"/>
              <w:right w:val="single" w:sz="4" w:space="0" w:color="auto"/>
            </w:tcBorders>
            <w:shd w:val="clear" w:color="auto" w:fill="C6EFCE"/>
            <w:noWrap/>
          </w:tcPr>
          <w:p w14:paraId="5CCE01F2"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62D8EAF" w14:textId="77777777" w:rsidR="00A345F4" w:rsidRDefault="005E2D4E">
            <w:pPr>
              <w:pStyle w:val="P68B1DB1-Normal73"/>
              <w:spacing w:after="0" w:line="259" w:lineRule="auto"/>
              <w:jc w:val="both"/>
              <w:rPr>
                <w:rFonts w:eastAsia="Times New Roman"/>
                <w:noProof/>
              </w:rPr>
            </w:pPr>
            <w:r>
              <w:rPr>
                <w:noProof/>
              </w:rPr>
              <w:t>Entrée en vigueur de la loi sur la décarbonation adoptant le calendrier d’élimination progressive du charbon/lignite</w:t>
            </w:r>
          </w:p>
        </w:tc>
      </w:tr>
      <w:tr w:rsidR="00A345F4" w14:paraId="12F7532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3537254" w14:textId="77777777" w:rsidR="00A345F4" w:rsidRDefault="005E2D4E">
            <w:pPr>
              <w:pStyle w:val="P68B1DB1-Normal73"/>
              <w:spacing w:after="0" w:line="259" w:lineRule="auto"/>
              <w:jc w:val="center"/>
              <w:rPr>
                <w:rFonts w:eastAsia="Times New Roman"/>
                <w:noProof/>
              </w:rPr>
            </w:pPr>
            <w:r>
              <w:rPr>
                <w:noProof/>
              </w:rPr>
              <w:t>144</w:t>
            </w:r>
          </w:p>
        </w:tc>
        <w:tc>
          <w:tcPr>
            <w:tcW w:w="3633" w:type="dxa"/>
            <w:tcBorders>
              <w:top w:val="nil"/>
              <w:left w:val="nil"/>
              <w:bottom w:val="single" w:sz="4" w:space="0" w:color="auto"/>
              <w:right w:val="single" w:sz="4" w:space="0" w:color="auto"/>
            </w:tcBorders>
            <w:shd w:val="clear" w:color="auto" w:fill="C6EFCE"/>
            <w:noWrap/>
          </w:tcPr>
          <w:p w14:paraId="0355BF62" w14:textId="77777777" w:rsidR="00A345F4" w:rsidRDefault="005E2D4E">
            <w:pPr>
              <w:pStyle w:val="P68B1DB1-Normal73"/>
              <w:spacing w:after="0" w:line="259" w:lineRule="auto"/>
              <w:rPr>
                <w:noProof/>
              </w:rPr>
            </w:pPr>
            <w:r>
              <w:rPr>
                <w:noProof/>
              </w:rPr>
              <w:t>C7.R1</w:t>
            </w:r>
          </w:p>
          <w:p w14:paraId="0B9BD54B" w14:textId="77777777" w:rsidR="00A345F4" w:rsidRDefault="005E2D4E">
            <w:pPr>
              <w:pStyle w:val="P68B1DB1-Normal73"/>
              <w:spacing w:after="0" w:line="259" w:lineRule="auto"/>
              <w:jc w:val="both"/>
              <w:rPr>
                <w:rFonts w:eastAsia="Times New Roman"/>
                <w:noProof/>
              </w:rPr>
            </w:pPr>
            <w:r>
              <w:rPr>
                <w:noProof/>
              </w:rPr>
              <w:t xml:space="preserve">Développement d'un cadre unitaire pour définir l'architecture d'un système cloud gouvernemental </w:t>
            </w:r>
          </w:p>
        </w:tc>
        <w:tc>
          <w:tcPr>
            <w:tcW w:w="1243" w:type="dxa"/>
            <w:tcBorders>
              <w:top w:val="nil"/>
              <w:left w:val="nil"/>
              <w:bottom w:val="single" w:sz="4" w:space="0" w:color="auto"/>
              <w:right w:val="single" w:sz="4" w:space="0" w:color="auto"/>
            </w:tcBorders>
            <w:shd w:val="clear" w:color="auto" w:fill="C6EFCE"/>
            <w:noWrap/>
          </w:tcPr>
          <w:p w14:paraId="745244AE"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321CE62" w14:textId="77777777" w:rsidR="00A345F4" w:rsidRDefault="005E2D4E">
            <w:pPr>
              <w:pStyle w:val="P68B1DB1-Normal73"/>
              <w:spacing w:after="0" w:line="259" w:lineRule="auto"/>
              <w:jc w:val="both"/>
              <w:rPr>
                <w:rFonts w:eastAsia="Times New Roman"/>
                <w:noProof/>
              </w:rPr>
            </w:pPr>
            <w:r>
              <w:rPr>
                <w:noProof/>
              </w:rPr>
              <w:t>Entrée en vigueur de la loi sur la gouvernance des services en nuage pour le secteur public</w:t>
            </w:r>
          </w:p>
        </w:tc>
      </w:tr>
      <w:tr w:rsidR="00A345F4" w14:paraId="4BF110F3"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353DD8EF" w14:textId="77777777" w:rsidR="00A345F4" w:rsidRDefault="005E2D4E">
            <w:pPr>
              <w:pStyle w:val="P68B1DB1-Normal73"/>
              <w:spacing w:after="0" w:line="259" w:lineRule="auto"/>
              <w:jc w:val="center"/>
              <w:rPr>
                <w:rFonts w:eastAsia="Times New Roman"/>
                <w:noProof/>
              </w:rPr>
            </w:pPr>
            <w:r>
              <w:rPr>
                <w:noProof/>
              </w:rPr>
              <w:t>145</w:t>
            </w:r>
          </w:p>
        </w:tc>
        <w:tc>
          <w:tcPr>
            <w:tcW w:w="3633" w:type="dxa"/>
            <w:tcBorders>
              <w:top w:val="nil"/>
              <w:left w:val="nil"/>
              <w:bottom w:val="single" w:sz="4" w:space="0" w:color="auto"/>
              <w:right w:val="single" w:sz="4" w:space="0" w:color="auto"/>
            </w:tcBorders>
            <w:shd w:val="clear" w:color="auto" w:fill="C6EFCE"/>
            <w:noWrap/>
          </w:tcPr>
          <w:p w14:paraId="20B81388" w14:textId="77777777" w:rsidR="00A345F4" w:rsidRDefault="005E2D4E">
            <w:pPr>
              <w:pStyle w:val="P68B1DB1-Normal73"/>
              <w:spacing w:after="0" w:line="259" w:lineRule="auto"/>
              <w:rPr>
                <w:noProof/>
              </w:rPr>
            </w:pPr>
            <w:r>
              <w:rPr>
                <w:noProof/>
              </w:rPr>
              <w:t>C7.R1</w:t>
            </w:r>
          </w:p>
          <w:p w14:paraId="50D1FF8E" w14:textId="77777777" w:rsidR="00A345F4" w:rsidRDefault="005E2D4E">
            <w:pPr>
              <w:pStyle w:val="P68B1DB1-Normal73"/>
              <w:spacing w:after="0" w:line="259" w:lineRule="auto"/>
              <w:jc w:val="both"/>
              <w:rPr>
                <w:rFonts w:eastAsia="Times New Roman"/>
                <w:noProof/>
              </w:rPr>
            </w:pPr>
            <w:r>
              <w:rPr>
                <w:noProof/>
              </w:rPr>
              <w:t xml:space="preserve">Développement d'un cadre unitaire pour définir l'architecture d'un système cloud gouvernemental </w:t>
            </w:r>
          </w:p>
        </w:tc>
        <w:tc>
          <w:tcPr>
            <w:tcW w:w="1243" w:type="dxa"/>
            <w:tcBorders>
              <w:top w:val="nil"/>
              <w:left w:val="nil"/>
              <w:bottom w:val="single" w:sz="4" w:space="0" w:color="auto"/>
              <w:right w:val="single" w:sz="4" w:space="0" w:color="auto"/>
            </w:tcBorders>
            <w:shd w:val="clear" w:color="auto" w:fill="C6EFCE"/>
            <w:noWrap/>
          </w:tcPr>
          <w:p w14:paraId="2345B870"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4C16FF6" w14:textId="77777777" w:rsidR="00A345F4" w:rsidRDefault="005E2D4E">
            <w:pPr>
              <w:pStyle w:val="P68B1DB1-Normal73"/>
              <w:spacing w:after="0" w:line="259" w:lineRule="auto"/>
              <w:jc w:val="both"/>
              <w:rPr>
                <w:rFonts w:eastAsia="Times New Roman"/>
                <w:noProof/>
              </w:rPr>
            </w:pPr>
            <w:r>
              <w:rPr>
                <w:noProof/>
              </w:rPr>
              <w:t>Entrée en vigueur de la loi sur l'interopérabilité</w:t>
            </w:r>
          </w:p>
        </w:tc>
      </w:tr>
      <w:tr w:rsidR="00A345F4" w14:paraId="7641438A"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7A241948" w14:textId="77777777" w:rsidR="00A345F4" w:rsidRDefault="005E2D4E">
            <w:pPr>
              <w:pStyle w:val="P68B1DB1-Normal73"/>
              <w:spacing w:after="0" w:line="259" w:lineRule="auto"/>
              <w:jc w:val="center"/>
              <w:rPr>
                <w:rFonts w:eastAsia="Times New Roman"/>
                <w:noProof/>
              </w:rPr>
            </w:pPr>
            <w:r>
              <w:rPr>
                <w:noProof/>
              </w:rPr>
              <w:t>153</w:t>
            </w:r>
          </w:p>
        </w:tc>
        <w:tc>
          <w:tcPr>
            <w:tcW w:w="3633" w:type="dxa"/>
            <w:tcBorders>
              <w:top w:val="nil"/>
              <w:left w:val="nil"/>
              <w:bottom w:val="single" w:sz="4" w:space="0" w:color="auto"/>
              <w:right w:val="single" w:sz="4" w:space="0" w:color="auto"/>
            </w:tcBorders>
            <w:shd w:val="clear" w:color="auto" w:fill="C6EFCE"/>
            <w:noWrap/>
          </w:tcPr>
          <w:p w14:paraId="55EAEBA5" w14:textId="77777777" w:rsidR="00A345F4" w:rsidRDefault="005E2D4E">
            <w:pPr>
              <w:pStyle w:val="P68B1DB1-Normal73"/>
              <w:spacing w:after="0" w:line="259" w:lineRule="auto"/>
              <w:jc w:val="both"/>
              <w:rPr>
                <w:rFonts w:eastAsia="Times New Roman"/>
                <w:noProof/>
              </w:rPr>
            </w:pPr>
            <w:r>
              <w:rPr>
                <w:noProof/>
              </w:rPr>
              <w:t>C7.I1</w:t>
            </w:r>
            <w:r>
              <w:rPr>
                <w:noProof/>
              </w:rPr>
              <w:br/>
              <w:t xml:space="preserve">Déploiement de l'infrastructure d'informatique en nuage du gouvernement </w:t>
            </w:r>
          </w:p>
        </w:tc>
        <w:tc>
          <w:tcPr>
            <w:tcW w:w="1243" w:type="dxa"/>
            <w:tcBorders>
              <w:top w:val="nil"/>
              <w:left w:val="nil"/>
              <w:bottom w:val="single" w:sz="4" w:space="0" w:color="auto"/>
              <w:right w:val="single" w:sz="4" w:space="0" w:color="auto"/>
            </w:tcBorders>
            <w:shd w:val="clear" w:color="auto" w:fill="C6EFCE"/>
            <w:noWrap/>
          </w:tcPr>
          <w:p w14:paraId="305F08F6"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8E78E0C" w14:textId="77777777" w:rsidR="00A345F4" w:rsidRDefault="005E2D4E">
            <w:pPr>
              <w:pStyle w:val="P68B1DB1-Normal73"/>
              <w:spacing w:after="0" w:line="259" w:lineRule="auto"/>
              <w:jc w:val="both"/>
              <w:rPr>
                <w:rFonts w:eastAsia="Times New Roman"/>
                <w:noProof/>
              </w:rPr>
            </w:pPr>
            <w:r>
              <w:rPr>
                <w:noProof/>
              </w:rPr>
              <w:t>Signature du contrat de mise en œuvre de l’investissement sur la base de la procédure d’appel d’offres pour la mise en œuvre de l’investissement</w:t>
            </w:r>
          </w:p>
        </w:tc>
      </w:tr>
      <w:tr w:rsidR="00A345F4" w14:paraId="54CB80CB"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0C8F587" w14:textId="77777777" w:rsidR="00A345F4" w:rsidRDefault="005E2D4E">
            <w:pPr>
              <w:pStyle w:val="P68B1DB1-Normal73"/>
              <w:spacing w:after="0" w:line="259" w:lineRule="auto"/>
              <w:jc w:val="center"/>
              <w:rPr>
                <w:rFonts w:eastAsia="Times New Roman"/>
                <w:noProof/>
              </w:rPr>
            </w:pPr>
            <w:r>
              <w:rPr>
                <w:noProof/>
              </w:rPr>
              <w:t>147</w:t>
            </w:r>
          </w:p>
        </w:tc>
        <w:tc>
          <w:tcPr>
            <w:tcW w:w="3633" w:type="dxa"/>
            <w:tcBorders>
              <w:top w:val="nil"/>
              <w:left w:val="nil"/>
              <w:bottom w:val="single" w:sz="4" w:space="0" w:color="auto"/>
              <w:right w:val="single" w:sz="4" w:space="0" w:color="auto"/>
            </w:tcBorders>
            <w:shd w:val="clear" w:color="auto" w:fill="C6EFCE"/>
            <w:noWrap/>
          </w:tcPr>
          <w:p w14:paraId="78800133" w14:textId="77777777" w:rsidR="00A345F4" w:rsidRDefault="005E2D4E">
            <w:pPr>
              <w:pStyle w:val="P68B1DB1-Normal73"/>
              <w:spacing w:after="0" w:line="259" w:lineRule="auto"/>
              <w:jc w:val="both"/>
              <w:rPr>
                <w:rFonts w:eastAsia="Times New Roman"/>
                <w:noProof/>
              </w:rPr>
            </w:pPr>
            <w:r>
              <w:rPr>
                <w:noProof/>
              </w:rPr>
              <w:t>C7.R2</w:t>
            </w:r>
            <w:r>
              <w:rPr>
                <w:noProof/>
              </w:rPr>
              <w:br/>
              <w:t xml:space="preserve">Transition vers les objectifs de connectivité de l’UE à l’horizon 2025 et stimulation des investissements privés pour le déploiement de réseaux à très haute capacité </w:t>
            </w:r>
          </w:p>
        </w:tc>
        <w:tc>
          <w:tcPr>
            <w:tcW w:w="1243" w:type="dxa"/>
            <w:tcBorders>
              <w:top w:val="nil"/>
              <w:left w:val="nil"/>
              <w:bottom w:val="single" w:sz="4" w:space="0" w:color="auto"/>
              <w:right w:val="single" w:sz="4" w:space="0" w:color="auto"/>
            </w:tcBorders>
            <w:shd w:val="clear" w:color="auto" w:fill="C6EFCE"/>
            <w:noWrap/>
          </w:tcPr>
          <w:p w14:paraId="61BAF477"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C416BA5" w14:textId="77777777" w:rsidR="00A345F4" w:rsidRDefault="005E2D4E">
            <w:pPr>
              <w:pStyle w:val="P68B1DB1-Normal73"/>
              <w:spacing w:after="0" w:line="259" w:lineRule="auto"/>
              <w:jc w:val="both"/>
              <w:rPr>
                <w:rFonts w:eastAsia="Times New Roman"/>
                <w:noProof/>
              </w:rPr>
            </w:pPr>
            <w:r>
              <w:rPr>
                <w:noProof/>
              </w:rPr>
              <w:t xml:space="preserve">Publication de l’appel d’offres pour l’autorisation des opérateurs de télécommunications d’octroyer des licences 5G </w:t>
            </w:r>
          </w:p>
        </w:tc>
      </w:tr>
      <w:tr w:rsidR="00A345F4" w14:paraId="2B041AA9"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E18BC26" w14:textId="77777777" w:rsidR="00A345F4" w:rsidRDefault="005E2D4E">
            <w:pPr>
              <w:pStyle w:val="P68B1DB1-Normal73"/>
              <w:spacing w:after="0" w:line="259" w:lineRule="auto"/>
              <w:jc w:val="center"/>
              <w:rPr>
                <w:rFonts w:eastAsia="Times New Roman"/>
                <w:noProof/>
              </w:rPr>
            </w:pPr>
            <w:r>
              <w:rPr>
                <w:noProof/>
              </w:rPr>
              <w:t>200</w:t>
            </w:r>
          </w:p>
        </w:tc>
        <w:tc>
          <w:tcPr>
            <w:tcW w:w="3633" w:type="dxa"/>
            <w:tcBorders>
              <w:top w:val="nil"/>
              <w:left w:val="nil"/>
              <w:bottom w:val="single" w:sz="4" w:space="0" w:color="auto"/>
              <w:right w:val="single" w:sz="4" w:space="0" w:color="auto"/>
            </w:tcBorders>
            <w:shd w:val="clear" w:color="auto" w:fill="C6EFCE"/>
            <w:noWrap/>
          </w:tcPr>
          <w:p w14:paraId="35F6AD76" w14:textId="77777777" w:rsidR="00A345F4" w:rsidRDefault="005E2D4E">
            <w:pPr>
              <w:pStyle w:val="P68B1DB1-Normal73"/>
              <w:spacing w:after="0" w:line="259" w:lineRule="auto"/>
              <w:rPr>
                <w:noProof/>
              </w:rPr>
            </w:pPr>
            <w:r>
              <w:rPr>
                <w:noProof/>
              </w:rPr>
              <w:t>C8.R3</w:t>
            </w:r>
          </w:p>
          <w:p w14:paraId="53694F6C" w14:textId="77777777" w:rsidR="00A345F4" w:rsidRDefault="005E2D4E">
            <w:pPr>
              <w:pStyle w:val="P68B1DB1-Normal73"/>
              <w:spacing w:after="0" w:line="259" w:lineRule="auto"/>
              <w:jc w:val="both"/>
              <w:rPr>
                <w:rFonts w:eastAsia="Times New Roman"/>
                <w:noProof/>
              </w:rPr>
            </w:pPr>
            <w:r>
              <w:rPr>
                <w:noProof/>
              </w:rPr>
              <w:t xml:space="preserve">Renforcement du mécanisme de programmation budgétaire </w:t>
            </w:r>
          </w:p>
        </w:tc>
        <w:tc>
          <w:tcPr>
            <w:tcW w:w="1243" w:type="dxa"/>
            <w:tcBorders>
              <w:top w:val="nil"/>
              <w:left w:val="nil"/>
              <w:bottom w:val="single" w:sz="4" w:space="0" w:color="auto"/>
              <w:right w:val="single" w:sz="4" w:space="0" w:color="auto"/>
            </w:tcBorders>
            <w:shd w:val="clear" w:color="auto" w:fill="C6EFCE"/>
            <w:noWrap/>
          </w:tcPr>
          <w:p w14:paraId="0A18CDFC"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4A2F7AA" w14:textId="77777777" w:rsidR="00A345F4" w:rsidRDefault="005E2D4E">
            <w:pPr>
              <w:pStyle w:val="P68B1DB1-Normal73"/>
              <w:spacing w:after="0" w:line="259" w:lineRule="auto"/>
              <w:jc w:val="both"/>
              <w:rPr>
                <w:rFonts w:eastAsia="Times New Roman"/>
                <w:noProof/>
              </w:rPr>
            </w:pPr>
            <w:r>
              <w:rPr>
                <w:noProof/>
              </w:rPr>
              <w:t>Entrée en vigueur de la décision du gouvernement relative à l’approbation de la méthodologie pour l’élaboration, le suivi et l’établissement de rapports sur les programmes budgétaires</w:t>
            </w:r>
          </w:p>
        </w:tc>
      </w:tr>
      <w:tr w:rsidR="00A345F4" w14:paraId="149E9E0F"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577FA06E" w14:textId="77777777" w:rsidR="00A345F4" w:rsidRDefault="005E2D4E">
            <w:pPr>
              <w:pStyle w:val="P68B1DB1-Normal73"/>
              <w:spacing w:after="0" w:line="259" w:lineRule="auto"/>
              <w:jc w:val="center"/>
              <w:rPr>
                <w:rFonts w:eastAsia="Times New Roman"/>
                <w:noProof/>
              </w:rPr>
            </w:pPr>
            <w:r>
              <w:rPr>
                <w:noProof/>
              </w:rPr>
              <w:t>355</w:t>
            </w:r>
          </w:p>
        </w:tc>
        <w:tc>
          <w:tcPr>
            <w:tcW w:w="3633" w:type="dxa"/>
            <w:tcBorders>
              <w:top w:val="nil"/>
              <w:left w:val="nil"/>
              <w:bottom w:val="single" w:sz="4" w:space="0" w:color="auto"/>
              <w:right w:val="single" w:sz="4" w:space="0" w:color="auto"/>
            </w:tcBorders>
            <w:shd w:val="clear" w:color="auto" w:fill="C6EFCE"/>
            <w:noWrap/>
          </w:tcPr>
          <w:p w14:paraId="563A9066" w14:textId="77777777" w:rsidR="00A345F4" w:rsidRDefault="005E2D4E">
            <w:pPr>
              <w:pStyle w:val="P68B1DB1-Normal73"/>
              <w:spacing w:after="0" w:line="259" w:lineRule="auto"/>
              <w:rPr>
                <w:noProof/>
              </w:rPr>
            </w:pPr>
            <w:r>
              <w:rPr>
                <w:noProof/>
              </w:rPr>
              <w:t>C12.R2</w:t>
            </w:r>
          </w:p>
          <w:p w14:paraId="1FC27D3C" w14:textId="77777777" w:rsidR="00A345F4" w:rsidRDefault="005E2D4E">
            <w:pPr>
              <w:pStyle w:val="P68B1DB1-Normal73"/>
              <w:spacing w:after="0" w:line="259" w:lineRule="auto"/>
              <w:jc w:val="both"/>
              <w:rPr>
                <w:rFonts w:eastAsia="Times New Roman"/>
                <w:noProof/>
              </w:rPr>
            </w:pPr>
            <w:r>
              <w:rPr>
                <w:noProof/>
              </w:rPr>
              <w:t xml:space="preserve">Capacité accrue d'entreprendre des investissements dans les infrastructures de santé </w:t>
            </w:r>
          </w:p>
        </w:tc>
        <w:tc>
          <w:tcPr>
            <w:tcW w:w="1243" w:type="dxa"/>
            <w:tcBorders>
              <w:top w:val="nil"/>
              <w:left w:val="nil"/>
              <w:bottom w:val="single" w:sz="4" w:space="0" w:color="auto"/>
              <w:right w:val="single" w:sz="4" w:space="0" w:color="auto"/>
            </w:tcBorders>
            <w:shd w:val="clear" w:color="auto" w:fill="C6EFCE"/>
            <w:noWrap/>
          </w:tcPr>
          <w:p w14:paraId="034B3B05"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823E895" w14:textId="77777777" w:rsidR="00A345F4" w:rsidRDefault="005E2D4E">
            <w:pPr>
              <w:pStyle w:val="P68B1DB1-Normal73"/>
              <w:spacing w:after="0" w:line="259" w:lineRule="auto"/>
              <w:jc w:val="both"/>
              <w:rPr>
                <w:rFonts w:eastAsia="Times New Roman"/>
                <w:noProof/>
              </w:rPr>
            </w:pPr>
            <w:r>
              <w:rPr>
                <w:noProof/>
              </w:rPr>
              <w:t xml:space="preserve">Entrée en vigueur du cadre législatif portant création de l'Agence nationale pour le développement des infrastructures dans le domaine de la santé (ANDIS) </w:t>
            </w:r>
          </w:p>
        </w:tc>
      </w:tr>
      <w:tr w:rsidR="00A345F4" w14:paraId="2C69DF07"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24226EA8" w14:textId="77777777" w:rsidR="00A345F4" w:rsidRDefault="005E2D4E">
            <w:pPr>
              <w:pStyle w:val="P68B1DB1-Normal73"/>
              <w:spacing w:after="0" w:line="259" w:lineRule="auto"/>
              <w:jc w:val="center"/>
              <w:rPr>
                <w:rFonts w:eastAsia="Times New Roman"/>
                <w:noProof/>
              </w:rPr>
            </w:pPr>
            <w:r>
              <w:rPr>
                <w:noProof/>
              </w:rPr>
              <w:t>356</w:t>
            </w:r>
          </w:p>
        </w:tc>
        <w:tc>
          <w:tcPr>
            <w:tcW w:w="3633" w:type="dxa"/>
            <w:tcBorders>
              <w:top w:val="nil"/>
              <w:left w:val="nil"/>
              <w:bottom w:val="single" w:sz="4" w:space="0" w:color="auto"/>
              <w:right w:val="single" w:sz="4" w:space="0" w:color="auto"/>
            </w:tcBorders>
            <w:shd w:val="clear" w:color="auto" w:fill="C6EFCE"/>
            <w:noWrap/>
          </w:tcPr>
          <w:p w14:paraId="57FBE844" w14:textId="77777777" w:rsidR="00A345F4" w:rsidRDefault="005E2D4E">
            <w:pPr>
              <w:pStyle w:val="P68B1DB1-Normal73"/>
              <w:spacing w:after="0" w:line="259" w:lineRule="auto"/>
              <w:jc w:val="both"/>
              <w:rPr>
                <w:noProof/>
              </w:rPr>
            </w:pPr>
            <w:r>
              <w:rPr>
                <w:noProof/>
              </w:rPr>
              <w:t>C12.R3</w:t>
            </w:r>
          </w:p>
          <w:p w14:paraId="760A4C3F" w14:textId="77777777" w:rsidR="00A345F4" w:rsidRDefault="005E2D4E">
            <w:pPr>
              <w:pStyle w:val="P68B1DB1-Normal73"/>
              <w:spacing w:after="0" w:line="259" w:lineRule="auto"/>
              <w:jc w:val="both"/>
              <w:rPr>
                <w:rFonts w:eastAsia="Times New Roman"/>
                <w:noProof/>
              </w:rPr>
            </w:pPr>
            <w:r>
              <w:rPr>
                <w:noProof/>
              </w:rPr>
              <w:t xml:space="preserve">Renforcement des capacités en matière de gestion de la santé et de ressources humaines dans le domaine de la santé </w:t>
            </w:r>
          </w:p>
        </w:tc>
        <w:tc>
          <w:tcPr>
            <w:tcW w:w="1243" w:type="dxa"/>
            <w:tcBorders>
              <w:top w:val="nil"/>
              <w:left w:val="nil"/>
              <w:bottom w:val="single" w:sz="4" w:space="0" w:color="auto"/>
              <w:right w:val="single" w:sz="4" w:space="0" w:color="auto"/>
            </w:tcBorders>
            <w:shd w:val="clear" w:color="auto" w:fill="C6EFCE"/>
            <w:noWrap/>
          </w:tcPr>
          <w:p w14:paraId="041BFB09"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07A3C58" w14:textId="77777777" w:rsidR="00A345F4" w:rsidRDefault="005E2D4E">
            <w:pPr>
              <w:pStyle w:val="P68B1DB1-Normal73"/>
              <w:spacing w:after="0" w:line="259" w:lineRule="auto"/>
              <w:jc w:val="both"/>
              <w:rPr>
                <w:rFonts w:eastAsia="Times New Roman"/>
                <w:noProof/>
              </w:rPr>
            </w:pPr>
            <w:r>
              <w:rPr>
                <w:noProof/>
              </w:rPr>
              <w:t xml:space="preserve">Entrée en vigueur du cadre législatif pour le renforcement des capacités en matière de gestion de la santé et de ressources humaines dans le domaine de la santé </w:t>
            </w:r>
          </w:p>
        </w:tc>
      </w:tr>
      <w:tr w:rsidR="00A345F4" w14:paraId="2B646C76"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749DC7F6" w14:textId="77777777" w:rsidR="00A345F4" w:rsidRDefault="005E2D4E">
            <w:pPr>
              <w:pStyle w:val="P68B1DB1-Normal73"/>
              <w:spacing w:after="0" w:line="259" w:lineRule="auto"/>
              <w:jc w:val="center"/>
              <w:rPr>
                <w:rFonts w:eastAsia="Times New Roman"/>
                <w:noProof/>
              </w:rPr>
            </w:pPr>
            <w:r>
              <w:rPr>
                <w:noProof/>
              </w:rPr>
              <w:t>357</w:t>
            </w:r>
          </w:p>
        </w:tc>
        <w:tc>
          <w:tcPr>
            <w:tcW w:w="3633" w:type="dxa"/>
            <w:tcBorders>
              <w:top w:val="nil"/>
              <w:left w:val="nil"/>
              <w:bottom w:val="single" w:sz="4" w:space="0" w:color="auto"/>
              <w:right w:val="single" w:sz="4" w:space="0" w:color="auto"/>
            </w:tcBorders>
            <w:shd w:val="clear" w:color="auto" w:fill="C6EFCE"/>
            <w:noWrap/>
          </w:tcPr>
          <w:p w14:paraId="640D1FF3" w14:textId="77777777" w:rsidR="00A345F4" w:rsidRDefault="005E2D4E">
            <w:pPr>
              <w:pStyle w:val="P68B1DB1-Normal73"/>
              <w:spacing w:after="0" w:line="259" w:lineRule="auto"/>
              <w:jc w:val="both"/>
              <w:rPr>
                <w:noProof/>
              </w:rPr>
            </w:pPr>
            <w:r>
              <w:rPr>
                <w:noProof/>
              </w:rPr>
              <w:t>C12.R3</w:t>
            </w:r>
          </w:p>
          <w:p w14:paraId="668FA995" w14:textId="77777777" w:rsidR="00A345F4" w:rsidRDefault="005E2D4E">
            <w:pPr>
              <w:pStyle w:val="P68B1DB1-Normal73"/>
              <w:spacing w:after="0" w:line="259" w:lineRule="auto"/>
              <w:jc w:val="both"/>
              <w:rPr>
                <w:rFonts w:eastAsia="Times New Roman"/>
                <w:noProof/>
              </w:rPr>
            </w:pPr>
            <w:r>
              <w:rPr>
                <w:noProof/>
              </w:rPr>
              <w:t xml:space="preserve">Renforcement des capacités en matière de gestion de la santé et de ressources humaines dans le domaine de la santé </w:t>
            </w:r>
          </w:p>
        </w:tc>
        <w:tc>
          <w:tcPr>
            <w:tcW w:w="1243" w:type="dxa"/>
            <w:tcBorders>
              <w:top w:val="nil"/>
              <w:left w:val="nil"/>
              <w:bottom w:val="single" w:sz="4" w:space="0" w:color="auto"/>
              <w:right w:val="single" w:sz="4" w:space="0" w:color="auto"/>
            </w:tcBorders>
            <w:shd w:val="clear" w:color="auto" w:fill="C6EFCE"/>
            <w:noWrap/>
          </w:tcPr>
          <w:p w14:paraId="3069A015"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F2F0F22" w14:textId="77777777" w:rsidR="00A345F4" w:rsidRDefault="005E2D4E">
            <w:pPr>
              <w:pStyle w:val="P68B1DB1-Normal73"/>
              <w:spacing w:after="0" w:line="259" w:lineRule="auto"/>
              <w:jc w:val="both"/>
              <w:rPr>
                <w:rFonts w:eastAsia="Times New Roman"/>
                <w:noProof/>
              </w:rPr>
            </w:pPr>
            <w:r>
              <w:rPr>
                <w:noProof/>
              </w:rPr>
              <w:t xml:space="preserve">Entrée en vigueur de la législation relative au cadre stratégique pour le développement des ressources humaines dans le domaine de la santé </w:t>
            </w:r>
          </w:p>
        </w:tc>
      </w:tr>
      <w:tr w:rsidR="00A345F4" w14:paraId="3C2A8903"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6A1ADEE" w14:textId="77777777" w:rsidR="00A345F4" w:rsidRDefault="005E2D4E">
            <w:pPr>
              <w:pStyle w:val="P68B1DB1-Normal73"/>
              <w:spacing w:after="0" w:line="259" w:lineRule="auto"/>
              <w:jc w:val="center"/>
              <w:rPr>
                <w:rFonts w:eastAsia="Times New Roman"/>
                <w:noProof/>
              </w:rPr>
            </w:pPr>
            <w:r>
              <w:rPr>
                <w:noProof/>
              </w:rPr>
              <w:t>413</w:t>
            </w:r>
          </w:p>
        </w:tc>
        <w:tc>
          <w:tcPr>
            <w:tcW w:w="3633" w:type="dxa"/>
            <w:tcBorders>
              <w:top w:val="nil"/>
              <w:left w:val="nil"/>
              <w:bottom w:val="single" w:sz="4" w:space="0" w:color="auto"/>
              <w:right w:val="single" w:sz="4" w:space="0" w:color="auto"/>
            </w:tcBorders>
            <w:shd w:val="clear" w:color="auto" w:fill="C6EFCE"/>
            <w:noWrap/>
          </w:tcPr>
          <w:p w14:paraId="439A4CBE" w14:textId="77777777" w:rsidR="00A345F4" w:rsidRDefault="005E2D4E">
            <w:pPr>
              <w:pStyle w:val="P68B1DB1-Normal73"/>
              <w:spacing w:after="0" w:line="259" w:lineRule="auto"/>
              <w:jc w:val="both"/>
              <w:rPr>
                <w:noProof/>
              </w:rPr>
            </w:pPr>
            <w:r>
              <w:rPr>
                <w:noProof/>
              </w:rPr>
              <w:t>C14.R2</w:t>
            </w:r>
          </w:p>
          <w:p w14:paraId="117EE13B" w14:textId="77777777" w:rsidR="00A345F4" w:rsidRDefault="005E2D4E">
            <w:pPr>
              <w:pStyle w:val="P68B1DB1-Normal75"/>
              <w:spacing w:after="0" w:line="259" w:lineRule="auto"/>
              <w:jc w:val="both"/>
              <w:rPr>
                <w:noProof/>
              </w:rPr>
            </w:pPr>
            <w:r>
              <w:rPr>
                <w:noProof/>
              </w:rPr>
              <w:t>Accroître la gouvernance stratégique pour les politiques en matière de climat, de développement durable et d'environnement</w:t>
            </w:r>
          </w:p>
        </w:tc>
        <w:tc>
          <w:tcPr>
            <w:tcW w:w="1243" w:type="dxa"/>
            <w:tcBorders>
              <w:top w:val="nil"/>
              <w:left w:val="nil"/>
              <w:bottom w:val="single" w:sz="4" w:space="0" w:color="auto"/>
              <w:right w:val="single" w:sz="4" w:space="0" w:color="auto"/>
            </w:tcBorders>
            <w:shd w:val="clear" w:color="auto" w:fill="C6EFCE"/>
            <w:noWrap/>
          </w:tcPr>
          <w:p w14:paraId="4B933D7E"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AAAF94A" w14:textId="77777777" w:rsidR="00A345F4" w:rsidRDefault="005E2D4E">
            <w:pPr>
              <w:pStyle w:val="P68B1DB1-Normal73"/>
              <w:spacing w:after="0" w:line="259" w:lineRule="auto"/>
              <w:jc w:val="both"/>
              <w:rPr>
                <w:rFonts w:eastAsia="Times New Roman"/>
                <w:noProof/>
              </w:rPr>
            </w:pPr>
            <w:r>
              <w:rPr>
                <w:noProof/>
              </w:rPr>
              <w:t xml:space="preserve">Mise en œuvre d’un comité interinstitutionnel du climat </w:t>
            </w:r>
          </w:p>
        </w:tc>
      </w:tr>
      <w:tr w:rsidR="00A345F4" w14:paraId="7628A33B"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6D71EF7" w14:textId="77777777" w:rsidR="00A345F4" w:rsidRDefault="005E2D4E">
            <w:pPr>
              <w:pStyle w:val="P68B1DB1-Normal73"/>
              <w:spacing w:after="0" w:line="259" w:lineRule="auto"/>
              <w:jc w:val="center"/>
              <w:rPr>
                <w:rFonts w:eastAsia="Times New Roman"/>
                <w:noProof/>
              </w:rPr>
            </w:pPr>
            <w:r>
              <w:rPr>
                <w:noProof/>
              </w:rPr>
              <w:t>422</w:t>
            </w:r>
          </w:p>
        </w:tc>
        <w:tc>
          <w:tcPr>
            <w:tcW w:w="3633" w:type="dxa"/>
            <w:tcBorders>
              <w:top w:val="nil"/>
              <w:left w:val="nil"/>
              <w:bottom w:val="single" w:sz="4" w:space="0" w:color="auto"/>
              <w:right w:val="single" w:sz="4" w:space="0" w:color="auto"/>
            </w:tcBorders>
            <w:shd w:val="clear" w:color="auto" w:fill="C6EFCE"/>
            <w:noWrap/>
          </w:tcPr>
          <w:p w14:paraId="45CBD2A1" w14:textId="77777777" w:rsidR="00A345F4" w:rsidRDefault="005E2D4E">
            <w:pPr>
              <w:pStyle w:val="P68B1DB1-Normal73"/>
              <w:spacing w:after="0" w:line="259" w:lineRule="auto"/>
              <w:jc w:val="both"/>
              <w:rPr>
                <w:noProof/>
              </w:rPr>
            </w:pPr>
            <w:r>
              <w:rPr>
                <w:noProof/>
              </w:rPr>
              <w:t>C14.R5</w:t>
            </w:r>
          </w:p>
          <w:p w14:paraId="375C4FB8" w14:textId="5D39CA4F" w:rsidR="00A345F4" w:rsidRDefault="005E2D4E">
            <w:pPr>
              <w:pStyle w:val="P68B1DB1-Normal73"/>
              <w:spacing w:after="0" w:line="259" w:lineRule="auto"/>
              <w:jc w:val="both"/>
              <w:rPr>
                <w:rFonts w:eastAsia="Times New Roman"/>
                <w:noProof/>
              </w:rPr>
            </w:pPr>
            <w:r>
              <w:rPr>
                <w:noProof/>
              </w:rPr>
              <w:t xml:space="preserve">Garantir l’indépendance du pouvoir judiciaire, améliorer sa qualité et son efficacité </w:t>
            </w:r>
          </w:p>
        </w:tc>
        <w:tc>
          <w:tcPr>
            <w:tcW w:w="1243" w:type="dxa"/>
            <w:tcBorders>
              <w:top w:val="nil"/>
              <w:left w:val="nil"/>
              <w:bottom w:val="single" w:sz="4" w:space="0" w:color="auto"/>
              <w:right w:val="single" w:sz="4" w:space="0" w:color="auto"/>
            </w:tcBorders>
            <w:shd w:val="clear" w:color="auto" w:fill="C6EFCE"/>
            <w:noWrap/>
          </w:tcPr>
          <w:p w14:paraId="6B6B0887"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4331636" w14:textId="77777777" w:rsidR="00A345F4" w:rsidRDefault="005E2D4E">
            <w:pPr>
              <w:pStyle w:val="P68B1DB1-Normal73"/>
              <w:spacing w:after="0" w:line="259" w:lineRule="auto"/>
              <w:jc w:val="both"/>
              <w:rPr>
                <w:noProof/>
              </w:rPr>
            </w:pPr>
            <w:r>
              <w:rPr>
                <w:noProof/>
              </w:rPr>
              <w:t>Entrée en vigueur de la loi modifiant les pouvoirs de l'Agence nationale pour la gestion des biens saisis</w:t>
            </w:r>
          </w:p>
          <w:p w14:paraId="36E7D023" w14:textId="77777777" w:rsidR="00A345F4" w:rsidRDefault="00A345F4">
            <w:pPr>
              <w:spacing w:after="0" w:line="259" w:lineRule="auto"/>
              <w:jc w:val="both"/>
              <w:rPr>
                <w:rFonts w:ascii="Times New Roman" w:eastAsia="Times New Roman" w:hAnsi="Times New Roman" w:cs="Times New Roman"/>
                <w:noProof/>
                <w:kern w:val="2"/>
                <w:sz w:val="22"/>
                <w:szCs w:val="22"/>
                <w14:ligatures w14:val="standardContextual"/>
              </w:rPr>
            </w:pPr>
          </w:p>
        </w:tc>
      </w:tr>
      <w:tr w:rsidR="00A345F4" w14:paraId="5C646A8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00B0A71" w14:textId="77777777" w:rsidR="00A345F4" w:rsidRDefault="005E2D4E">
            <w:pPr>
              <w:pStyle w:val="P68B1DB1-Normal73"/>
              <w:spacing w:after="0" w:line="259" w:lineRule="auto"/>
              <w:jc w:val="center"/>
              <w:rPr>
                <w:rFonts w:eastAsia="Times New Roman"/>
                <w:noProof/>
              </w:rPr>
            </w:pPr>
            <w:r>
              <w:rPr>
                <w:noProof/>
              </w:rPr>
              <w:t>456</w:t>
            </w:r>
          </w:p>
        </w:tc>
        <w:tc>
          <w:tcPr>
            <w:tcW w:w="3633" w:type="dxa"/>
            <w:tcBorders>
              <w:top w:val="nil"/>
              <w:left w:val="nil"/>
              <w:bottom w:val="single" w:sz="4" w:space="0" w:color="auto"/>
              <w:right w:val="single" w:sz="4" w:space="0" w:color="auto"/>
            </w:tcBorders>
            <w:shd w:val="clear" w:color="auto" w:fill="C6EFCE"/>
            <w:noWrap/>
          </w:tcPr>
          <w:p w14:paraId="129C5C35" w14:textId="77777777" w:rsidR="00A345F4" w:rsidRDefault="005E2D4E">
            <w:pPr>
              <w:pStyle w:val="P68B1DB1-Normal73"/>
              <w:spacing w:after="0" w:line="259" w:lineRule="auto"/>
              <w:jc w:val="both"/>
              <w:rPr>
                <w:noProof/>
              </w:rPr>
            </w:pPr>
            <w:r>
              <w:rPr>
                <w:noProof/>
              </w:rPr>
              <w:t>C15-I1</w:t>
            </w:r>
          </w:p>
          <w:p w14:paraId="138A17DA" w14:textId="77777777" w:rsidR="00A345F4" w:rsidRDefault="005E2D4E">
            <w:pPr>
              <w:pStyle w:val="P68B1DB1-Normal73"/>
              <w:spacing w:after="0" w:line="259" w:lineRule="auto"/>
              <w:jc w:val="both"/>
              <w:rPr>
                <w:noProof/>
              </w:rPr>
            </w:pPr>
            <w:r>
              <w:rPr>
                <w:noProof/>
              </w:rPr>
              <w:t>Construction et équipement d'une crèche</w:t>
            </w:r>
          </w:p>
        </w:tc>
        <w:tc>
          <w:tcPr>
            <w:tcW w:w="1243" w:type="dxa"/>
            <w:tcBorders>
              <w:top w:val="nil"/>
              <w:left w:val="nil"/>
              <w:bottom w:val="single" w:sz="4" w:space="0" w:color="auto"/>
              <w:right w:val="single" w:sz="4" w:space="0" w:color="auto"/>
            </w:tcBorders>
            <w:shd w:val="clear" w:color="auto" w:fill="C6EFCE"/>
            <w:noWrap/>
          </w:tcPr>
          <w:p w14:paraId="33C1BB52"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A3C0A50" w14:textId="77777777" w:rsidR="00A345F4" w:rsidRDefault="005E2D4E">
            <w:pPr>
              <w:pStyle w:val="P68B1DB1-Normal73"/>
              <w:spacing w:after="0" w:line="259" w:lineRule="auto"/>
              <w:jc w:val="both"/>
              <w:rPr>
                <w:rFonts w:eastAsia="Times New Roman"/>
                <w:noProof/>
              </w:rPr>
            </w:pPr>
            <w:r>
              <w:rPr>
                <w:noProof/>
              </w:rPr>
              <w:t>Signature de contrats avec des opérateurs publics (municipalités) pour la construction, l'équipement et la mise en service de 110 crèches</w:t>
            </w:r>
          </w:p>
        </w:tc>
      </w:tr>
      <w:tr w:rsidR="00A345F4" w14:paraId="68516925"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357206C" w14:textId="77777777" w:rsidR="00A345F4" w:rsidRDefault="005E2D4E">
            <w:pPr>
              <w:pStyle w:val="P68B1DB1-Normal73"/>
              <w:spacing w:after="0" w:line="259" w:lineRule="auto"/>
              <w:jc w:val="center"/>
              <w:rPr>
                <w:noProof/>
              </w:rPr>
            </w:pPr>
            <w:r>
              <w:rPr>
                <w:noProof/>
              </w:rPr>
              <w:t>478</w:t>
            </w:r>
          </w:p>
        </w:tc>
        <w:tc>
          <w:tcPr>
            <w:tcW w:w="3633" w:type="dxa"/>
            <w:tcBorders>
              <w:top w:val="nil"/>
              <w:left w:val="nil"/>
              <w:bottom w:val="single" w:sz="4" w:space="0" w:color="auto"/>
              <w:right w:val="single" w:sz="4" w:space="0" w:color="auto"/>
            </w:tcBorders>
            <w:shd w:val="clear" w:color="auto" w:fill="C6EFCE"/>
            <w:noWrap/>
          </w:tcPr>
          <w:p w14:paraId="10839A3E" w14:textId="77777777" w:rsidR="00A345F4" w:rsidRDefault="005E2D4E">
            <w:pPr>
              <w:pStyle w:val="P68B1DB1-Normal73"/>
              <w:spacing w:after="0" w:line="259" w:lineRule="auto"/>
              <w:jc w:val="both"/>
              <w:rPr>
                <w:noProof/>
              </w:rPr>
            </w:pPr>
            <w:r>
              <w:rPr>
                <w:noProof/>
              </w:rPr>
              <w:t xml:space="preserve">C15.R5 </w:t>
            </w:r>
          </w:p>
          <w:p w14:paraId="23C0E92F" w14:textId="77777777" w:rsidR="00A345F4" w:rsidRDefault="005E2D4E">
            <w:pPr>
              <w:pStyle w:val="P68B1DB1-Normal73"/>
              <w:spacing w:after="0" w:line="259" w:lineRule="auto"/>
              <w:jc w:val="both"/>
              <w:rPr>
                <w:noProof/>
              </w:rPr>
            </w:pPr>
            <w:r>
              <w:rPr>
                <w:noProof/>
              </w:rPr>
              <w:t>Adoption du cadre législatif pour la numérisation de l’éducation</w:t>
            </w:r>
          </w:p>
        </w:tc>
        <w:tc>
          <w:tcPr>
            <w:tcW w:w="1243" w:type="dxa"/>
            <w:tcBorders>
              <w:top w:val="nil"/>
              <w:left w:val="nil"/>
              <w:bottom w:val="single" w:sz="4" w:space="0" w:color="auto"/>
              <w:right w:val="single" w:sz="4" w:space="0" w:color="auto"/>
            </w:tcBorders>
            <w:shd w:val="clear" w:color="auto" w:fill="C6EFCE"/>
            <w:noWrap/>
          </w:tcPr>
          <w:p w14:paraId="3ABE6D71"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67958D3" w14:textId="77777777" w:rsidR="00A345F4" w:rsidRDefault="005E2D4E">
            <w:pPr>
              <w:pStyle w:val="P68B1DB1-Normal73"/>
              <w:spacing w:after="0" w:line="259" w:lineRule="auto"/>
              <w:jc w:val="both"/>
              <w:rPr>
                <w:noProof/>
              </w:rPr>
            </w:pPr>
            <w:r>
              <w:rPr>
                <w:noProof/>
              </w:rPr>
              <w:t>Entrée en vigueur de la loi définissant le profil du futur enseignant en matière de compétences numériques et la manière d’évaluer les compétences numériques lors des examens scolaires</w:t>
            </w:r>
          </w:p>
        </w:tc>
      </w:tr>
      <w:tr w:rsidR="00A345F4" w14:paraId="7BDC04D2"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63BB01F" w14:textId="77777777" w:rsidR="00A345F4" w:rsidRDefault="005E2D4E">
            <w:pPr>
              <w:pStyle w:val="P68B1DB1-Normal73"/>
              <w:spacing w:after="0" w:line="259" w:lineRule="auto"/>
              <w:jc w:val="center"/>
              <w:rPr>
                <w:noProof/>
              </w:rPr>
            </w:pPr>
            <w:r>
              <w:rPr>
                <w:noProof/>
              </w:rPr>
              <w:t>485</w:t>
            </w:r>
          </w:p>
        </w:tc>
        <w:tc>
          <w:tcPr>
            <w:tcW w:w="3633" w:type="dxa"/>
            <w:tcBorders>
              <w:top w:val="nil"/>
              <w:left w:val="nil"/>
              <w:bottom w:val="single" w:sz="4" w:space="0" w:color="auto"/>
              <w:right w:val="single" w:sz="4" w:space="0" w:color="auto"/>
            </w:tcBorders>
            <w:shd w:val="clear" w:color="auto" w:fill="C6EFCE"/>
            <w:noWrap/>
          </w:tcPr>
          <w:p w14:paraId="0AE05C86" w14:textId="77777777" w:rsidR="00A345F4" w:rsidRDefault="005E2D4E">
            <w:pPr>
              <w:pStyle w:val="P68B1DB1-Normal73"/>
              <w:spacing w:after="0" w:line="259" w:lineRule="auto"/>
              <w:jc w:val="both"/>
              <w:rPr>
                <w:noProof/>
              </w:rPr>
            </w:pPr>
            <w:r>
              <w:rPr>
                <w:noProof/>
              </w:rPr>
              <w:t xml:space="preserve">C15.R6 </w:t>
            </w:r>
            <w:r>
              <w:rPr>
                <w:noProof/>
              </w:rPr>
              <w:br/>
              <w:t>Mise à jour du cadre réglementaire pour garantir des normes de conception, de construction et de dotation respectueuses de l'environnement dans le système d'enseignement préuniversitaire</w:t>
            </w:r>
          </w:p>
        </w:tc>
        <w:tc>
          <w:tcPr>
            <w:tcW w:w="1243" w:type="dxa"/>
            <w:tcBorders>
              <w:top w:val="nil"/>
              <w:left w:val="nil"/>
              <w:bottom w:val="single" w:sz="4" w:space="0" w:color="auto"/>
              <w:right w:val="single" w:sz="4" w:space="0" w:color="auto"/>
            </w:tcBorders>
            <w:shd w:val="clear" w:color="auto" w:fill="C6EFCE"/>
            <w:noWrap/>
          </w:tcPr>
          <w:p w14:paraId="5C4A2A30"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4416568" w14:textId="77777777" w:rsidR="00A345F4" w:rsidRDefault="005E2D4E">
            <w:pPr>
              <w:pStyle w:val="P68B1DB1-Normal73"/>
              <w:spacing w:after="0" w:line="259" w:lineRule="auto"/>
              <w:jc w:val="both"/>
              <w:rPr>
                <w:noProof/>
              </w:rPr>
            </w:pPr>
            <w:r>
              <w:rPr>
                <w:noProof/>
              </w:rPr>
              <w:t xml:space="preserve">Entrée en vigueur des modifications du cadre législatif visant à améliorer la qualité des environnements d’apprentissage </w:t>
            </w:r>
          </w:p>
        </w:tc>
      </w:tr>
      <w:tr w:rsidR="00A345F4" w14:paraId="5246461E" w14:textId="77777777">
        <w:trPr>
          <w:trHeight w:val="302"/>
        </w:trPr>
        <w:tc>
          <w:tcPr>
            <w:tcW w:w="1356" w:type="dxa"/>
            <w:tcBorders>
              <w:top w:val="single" w:sz="4" w:space="0" w:color="auto"/>
              <w:left w:val="single" w:sz="4" w:space="0" w:color="auto"/>
              <w:bottom w:val="single" w:sz="4" w:space="0" w:color="auto"/>
              <w:right w:val="single" w:sz="4" w:space="0" w:color="auto"/>
            </w:tcBorders>
            <w:shd w:val="clear" w:color="auto" w:fill="C6EFCE"/>
            <w:noWrap/>
          </w:tcPr>
          <w:p w14:paraId="42B1D56A"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633" w:type="dxa"/>
            <w:tcBorders>
              <w:top w:val="single" w:sz="4" w:space="0" w:color="auto"/>
              <w:left w:val="nil"/>
              <w:bottom w:val="single" w:sz="4" w:space="0" w:color="auto"/>
              <w:right w:val="single" w:sz="4" w:space="0" w:color="auto"/>
            </w:tcBorders>
            <w:shd w:val="clear" w:color="auto" w:fill="C6EFCE"/>
            <w:noWrap/>
          </w:tcPr>
          <w:p w14:paraId="3B55175A" w14:textId="77777777" w:rsidR="00A345F4" w:rsidRDefault="00A345F4">
            <w:pPr>
              <w:spacing w:after="0" w:line="259" w:lineRule="auto"/>
              <w:rPr>
                <w:rFonts w:ascii="Times New Roman" w:eastAsia="Times New Roman" w:hAnsi="Times New Roman" w:cs="Times New Roman"/>
                <w:noProof/>
                <w:kern w:val="2"/>
                <w:sz w:val="22"/>
                <w:szCs w:val="22"/>
                <w14:ligatures w14:val="standardContextual"/>
              </w:rPr>
            </w:pPr>
          </w:p>
        </w:tc>
        <w:tc>
          <w:tcPr>
            <w:tcW w:w="1243" w:type="dxa"/>
            <w:tcBorders>
              <w:top w:val="single" w:sz="4" w:space="0" w:color="auto"/>
              <w:left w:val="nil"/>
              <w:bottom w:val="single" w:sz="4" w:space="0" w:color="auto"/>
              <w:right w:val="single" w:sz="4" w:space="0" w:color="auto"/>
            </w:tcBorders>
            <w:shd w:val="clear" w:color="auto" w:fill="C6EFCE"/>
            <w:noWrap/>
          </w:tcPr>
          <w:p w14:paraId="4A6DBB5A" w14:textId="77777777" w:rsidR="00A345F4" w:rsidRDefault="005E2D4E">
            <w:pPr>
              <w:pStyle w:val="P68B1DB1-Normal74"/>
              <w:spacing w:after="0" w:line="259" w:lineRule="auto"/>
              <w:jc w:val="center"/>
              <w:rPr>
                <w:noProof/>
              </w:rPr>
            </w:pPr>
            <w:r>
              <w:rPr>
                <w:noProof/>
              </w:rPr>
              <w:t>Montant des acomptes provisionnels</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EB9357F" w14:textId="77777777" w:rsidR="00A345F4" w:rsidRDefault="005E2D4E">
            <w:pPr>
              <w:pStyle w:val="P68B1DB1-Normal74"/>
              <w:spacing w:after="0" w:line="259" w:lineRule="auto"/>
              <w:jc w:val="right"/>
              <w:rPr>
                <w:noProof/>
              </w:rPr>
            </w:pPr>
            <w:r>
              <w:rPr>
                <w:noProof/>
              </w:rPr>
              <w:t>2 147 491 242 EUR</w:t>
            </w:r>
          </w:p>
        </w:tc>
      </w:tr>
    </w:tbl>
    <w:p w14:paraId="6CFCC5D6" w14:textId="77777777" w:rsidR="00A345F4" w:rsidRDefault="00A345F4">
      <w:pPr>
        <w:spacing w:line="259" w:lineRule="auto"/>
        <w:rPr>
          <w:rFonts w:ascii="Times New Roman" w:eastAsia="Aptos" w:hAnsi="Times New Roman" w:cs="Times New Roman"/>
          <w:noProof/>
          <w:kern w:val="2"/>
          <w:sz w:val="22"/>
          <w:szCs w:val="22"/>
          <w14:ligatures w14:val="standardContextual"/>
        </w:rPr>
      </w:pPr>
    </w:p>
    <w:p w14:paraId="7499C299" w14:textId="77777777" w:rsidR="00A345F4" w:rsidRDefault="005E2D4E">
      <w:pPr>
        <w:pStyle w:val="P68B1DB1-Normal71"/>
        <w:keepNext/>
        <w:tabs>
          <w:tab w:val="num" w:pos="1417"/>
        </w:tabs>
        <w:spacing w:before="120" w:after="120" w:line="240" w:lineRule="auto"/>
        <w:ind w:left="1417" w:hanging="850"/>
        <w:jc w:val="both"/>
        <w:outlineLvl w:val="2"/>
        <w:rPr>
          <w:bCs/>
          <w:noProof/>
        </w:rPr>
      </w:pPr>
      <w:r>
        <w:rPr>
          <w:noProof/>
        </w:rPr>
        <w:t xml:space="preserve">2.1.3 Troisième tranche (soutien non remboursable): </w:t>
      </w:r>
    </w:p>
    <w:tbl>
      <w:tblPr>
        <w:tblW w:w="9663" w:type="dxa"/>
        <w:tblInd w:w="113" w:type="dxa"/>
        <w:tblLook w:val="04A0" w:firstRow="1" w:lastRow="0" w:firstColumn="1" w:lastColumn="0" w:noHBand="0" w:noVBand="1"/>
      </w:tblPr>
      <w:tblGrid>
        <w:gridCol w:w="1442"/>
        <w:gridCol w:w="3543"/>
        <w:gridCol w:w="1402"/>
        <w:gridCol w:w="3402"/>
      </w:tblGrid>
      <w:tr w:rsidR="00A345F4" w14:paraId="16DD3279" w14:textId="77777777">
        <w:trPr>
          <w:trHeight w:val="906"/>
          <w:tblHeader/>
        </w:trPr>
        <w:tc>
          <w:tcPr>
            <w:tcW w:w="14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CB555A" w14:textId="77777777" w:rsidR="00A345F4" w:rsidRDefault="005E2D4E">
            <w:pPr>
              <w:pStyle w:val="P68B1DB1-Normal72"/>
              <w:spacing w:after="0" w:line="259" w:lineRule="auto"/>
              <w:jc w:val="center"/>
              <w:rPr>
                <w:noProof/>
              </w:rPr>
            </w:pPr>
            <w:r>
              <w:rPr>
                <w:noProof/>
              </w:rPr>
              <w:t>Numéro séquentiel</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963B95" w14:textId="77777777" w:rsidR="00A345F4" w:rsidRDefault="005E2D4E">
            <w:pPr>
              <w:pStyle w:val="P68B1DB1-Normal72"/>
              <w:spacing w:after="0" w:line="259" w:lineRule="auto"/>
              <w:jc w:val="center"/>
              <w:rPr>
                <w:noProof/>
              </w:rPr>
            </w:pPr>
            <w:r>
              <w:rPr>
                <w:noProof/>
              </w:rPr>
              <w:t>Mesure connexe</w:t>
            </w:r>
          </w:p>
          <w:p w14:paraId="56788D75" w14:textId="77777777" w:rsidR="00A345F4" w:rsidRDefault="005E2D4E">
            <w:pPr>
              <w:pStyle w:val="P68B1DB1-Normal72"/>
              <w:spacing w:after="0" w:line="259" w:lineRule="auto"/>
              <w:jc w:val="center"/>
              <w:rPr>
                <w:noProof/>
              </w:rPr>
            </w:pPr>
            <w:r>
              <w:rPr>
                <w:noProof/>
              </w:rPr>
              <w:t>(Réforme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D7A289" w14:textId="77777777" w:rsidR="00A345F4" w:rsidRDefault="005E2D4E">
            <w:pPr>
              <w:pStyle w:val="P68B1DB1-Normal72"/>
              <w:spacing w:after="0" w:line="259" w:lineRule="auto"/>
              <w:jc w:val="center"/>
              <w:rPr>
                <w:noProof/>
              </w:rPr>
            </w:pPr>
            <w:r>
              <w:rPr>
                <w:noProof/>
              </w:rPr>
              <w:t>Étape/cible</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83443B" w14:textId="77777777" w:rsidR="00A345F4" w:rsidRDefault="005E2D4E">
            <w:pPr>
              <w:pStyle w:val="P68B1DB1-Normal72"/>
              <w:spacing w:after="0" w:line="259" w:lineRule="auto"/>
              <w:jc w:val="center"/>
              <w:rPr>
                <w:noProof/>
              </w:rPr>
            </w:pPr>
            <w:r>
              <w:rPr>
                <w:noProof/>
              </w:rPr>
              <w:t>Nom</w:t>
            </w:r>
          </w:p>
        </w:tc>
      </w:tr>
      <w:tr w:rsidR="00A345F4" w14:paraId="7B70EC3D" w14:textId="77777777">
        <w:trPr>
          <w:trHeight w:val="509"/>
          <w:tblHeader/>
        </w:trPr>
        <w:tc>
          <w:tcPr>
            <w:tcW w:w="1442" w:type="dxa"/>
            <w:vMerge/>
            <w:tcBorders>
              <w:top w:val="single" w:sz="4" w:space="0" w:color="auto"/>
              <w:left w:val="single" w:sz="4" w:space="0" w:color="auto"/>
              <w:bottom w:val="single" w:sz="4" w:space="0" w:color="auto"/>
              <w:right w:val="single" w:sz="4" w:space="0" w:color="auto"/>
            </w:tcBorders>
            <w:vAlign w:val="center"/>
            <w:hideMark/>
          </w:tcPr>
          <w:p w14:paraId="3EE617C9"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1C2B4CF8"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4347C7E" w14:textId="77777777" w:rsidR="00A345F4" w:rsidRDefault="00A345F4">
            <w:pPr>
              <w:spacing w:after="0" w:line="259" w:lineRule="auto"/>
              <w:jc w:val="center"/>
              <w:rPr>
                <w:rFonts w:ascii="Times New Roman" w:eastAsia="Times New Roman" w:hAnsi="Times New Roman" w:cs="Times New Roman"/>
                <w:b/>
                <w:bCs/>
                <w:noProof/>
                <w:kern w:val="2"/>
                <w:sz w:val="22"/>
                <w:szCs w:val="22"/>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C98C2AB"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r>
      <w:tr w:rsidR="00A345F4" w14:paraId="482842BB" w14:textId="77777777">
        <w:trPr>
          <w:trHeight w:val="302"/>
        </w:trPr>
        <w:tc>
          <w:tcPr>
            <w:tcW w:w="1442" w:type="dxa"/>
            <w:tcBorders>
              <w:top w:val="single" w:sz="4" w:space="0" w:color="auto"/>
              <w:left w:val="single" w:sz="4" w:space="0" w:color="auto"/>
              <w:bottom w:val="single" w:sz="4" w:space="0" w:color="auto"/>
              <w:right w:val="single" w:sz="4" w:space="0" w:color="auto"/>
            </w:tcBorders>
            <w:shd w:val="clear" w:color="auto" w:fill="C6EFCE"/>
            <w:noWrap/>
            <w:hideMark/>
          </w:tcPr>
          <w:p w14:paraId="3623E35C" w14:textId="77777777" w:rsidR="00A345F4" w:rsidRDefault="005E2D4E">
            <w:pPr>
              <w:pStyle w:val="P68B1DB1-Normal73"/>
              <w:spacing w:after="0" w:line="259" w:lineRule="auto"/>
              <w:jc w:val="center"/>
              <w:rPr>
                <w:rFonts w:eastAsia="Times New Roman"/>
                <w:noProof/>
              </w:rPr>
            </w:pPr>
            <w:r>
              <w:rPr>
                <w:noProof/>
              </w:rPr>
              <w:t>22</w:t>
            </w:r>
          </w:p>
        </w:tc>
        <w:tc>
          <w:tcPr>
            <w:tcW w:w="3543" w:type="dxa"/>
            <w:tcBorders>
              <w:top w:val="single" w:sz="4" w:space="0" w:color="auto"/>
              <w:left w:val="nil"/>
              <w:bottom w:val="single" w:sz="4" w:space="0" w:color="auto"/>
              <w:right w:val="single" w:sz="4" w:space="0" w:color="auto"/>
            </w:tcBorders>
            <w:shd w:val="clear" w:color="auto" w:fill="C6EFCE"/>
            <w:noWrap/>
            <w:hideMark/>
          </w:tcPr>
          <w:p w14:paraId="19D61C5D" w14:textId="77777777" w:rsidR="00A345F4" w:rsidRDefault="005E2D4E">
            <w:pPr>
              <w:pStyle w:val="P68B1DB1-Normal73"/>
              <w:spacing w:after="0" w:line="259" w:lineRule="auto"/>
              <w:jc w:val="both"/>
              <w:rPr>
                <w:noProof/>
              </w:rPr>
            </w:pPr>
            <w:r>
              <w:rPr>
                <w:noProof/>
              </w:rPr>
              <w:t>C2.R1</w:t>
            </w:r>
          </w:p>
          <w:p w14:paraId="460ACA64" w14:textId="77777777" w:rsidR="00A345F4" w:rsidRDefault="005E2D4E">
            <w:pPr>
              <w:pStyle w:val="P68B1DB1-Normal73"/>
              <w:spacing w:after="0" w:line="259" w:lineRule="auto"/>
              <w:jc w:val="both"/>
              <w:rPr>
                <w:rFonts w:eastAsia="Times New Roman"/>
                <w:noProof/>
              </w:rPr>
            </w:pPr>
            <w:r>
              <w:rPr>
                <w:noProof/>
              </w:rPr>
              <w:t>Réforme des systèmes de gestion et de gouvernance des forêts par l'élaboration d'une nouvelle stratégie nationale pour les forêts et d'actes juridiques ultérieurs</w:t>
            </w:r>
          </w:p>
        </w:tc>
        <w:tc>
          <w:tcPr>
            <w:tcW w:w="1276" w:type="dxa"/>
            <w:tcBorders>
              <w:top w:val="single" w:sz="4" w:space="0" w:color="auto"/>
              <w:left w:val="nil"/>
              <w:bottom w:val="single" w:sz="4" w:space="0" w:color="auto"/>
              <w:right w:val="single" w:sz="4" w:space="0" w:color="auto"/>
            </w:tcBorders>
            <w:shd w:val="clear" w:color="auto" w:fill="C6EFCE"/>
            <w:noWrap/>
            <w:hideMark/>
          </w:tcPr>
          <w:p w14:paraId="2703376B"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single" w:sz="4" w:space="0" w:color="auto"/>
              <w:left w:val="nil"/>
              <w:bottom w:val="single" w:sz="4" w:space="0" w:color="auto"/>
              <w:right w:val="single" w:sz="4" w:space="0" w:color="auto"/>
            </w:tcBorders>
            <w:shd w:val="clear" w:color="auto" w:fill="C6EFCE"/>
            <w:noWrap/>
            <w:hideMark/>
          </w:tcPr>
          <w:p w14:paraId="4171DC96" w14:textId="77777777" w:rsidR="00A345F4" w:rsidRDefault="005E2D4E">
            <w:pPr>
              <w:pStyle w:val="P68B1DB1-Normal73"/>
              <w:spacing w:after="0" w:line="259" w:lineRule="auto"/>
              <w:jc w:val="both"/>
              <w:rPr>
                <w:rFonts w:eastAsia="Times New Roman"/>
                <w:noProof/>
              </w:rPr>
            </w:pPr>
            <w:r>
              <w:rPr>
                <w:noProof/>
              </w:rPr>
              <w:t>Adoption de la stratégie forestière nationale 2020-2030</w:t>
            </w:r>
          </w:p>
        </w:tc>
      </w:tr>
      <w:tr w:rsidR="00A345F4" w14:paraId="76C7657C"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hideMark/>
          </w:tcPr>
          <w:p w14:paraId="4B94CA69" w14:textId="77777777" w:rsidR="00A345F4" w:rsidRDefault="005E2D4E">
            <w:pPr>
              <w:pStyle w:val="P68B1DB1-Normal73"/>
              <w:spacing w:after="0" w:line="259" w:lineRule="auto"/>
              <w:jc w:val="center"/>
              <w:rPr>
                <w:rFonts w:eastAsia="Times New Roman"/>
                <w:noProof/>
              </w:rPr>
            </w:pPr>
            <w:r>
              <w:rPr>
                <w:noProof/>
              </w:rPr>
              <w:t>23</w:t>
            </w:r>
          </w:p>
        </w:tc>
        <w:tc>
          <w:tcPr>
            <w:tcW w:w="3543" w:type="dxa"/>
            <w:tcBorders>
              <w:top w:val="nil"/>
              <w:left w:val="nil"/>
              <w:bottom w:val="single" w:sz="4" w:space="0" w:color="auto"/>
              <w:right w:val="single" w:sz="4" w:space="0" w:color="auto"/>
            </w:tcBorders>
            <w:shd w:val="clear" w:color="auto" w:fill="C6EFCE"/>
            <w:noWrap/>
            <w:hideMark/>
          </w:tcPr>
          <w:p w14:paraId="26260D1D" w14:textId="77777777" w:rsidR="00A345F4" w:rsidRDefault="005E2D4E">
            <w:pPr>
              <w:pStyle w:val="P68B1DB1-Normal73"/>
              <w:spacing w:after="0" w:line="259" w:lineRule="auto"/>
              <w:jc w:val="both"/>
              <w:rPr>
                <w:noProof/>
              </w:rPr>
            </w:pPr>
            <w:r>
              <w:rPr>
                <w:noProof/>
              </w:rPr>
              <w:t xml:space="preserve">C2.R1 </w:t>
            </w:r>
          </w:p>
          <w:p w14:paraId="1CD1EBC0" w14:textId="77777777" w:rsidR="00A345F4" w:rsidRDefault="005E2D4E">
            <w:pPr>
              <w:pStyle w:val="P68B1DB1-Normal73"/>
              <w:spacing w:after="0" w:line="259" w:lineRule="auto"/>
              <w:jc w:val="both"/>
              <w:rPr>
                <w:rFonts w:eastAsia="Times New Roman"/>
                <w:noProof/>
              </w:rPr>
            </w:pPr>
            <w:r>
              <w:rPr>
                <w:noProof/>
              </w:rPr>
              <w:t>Réforme des systèmes de gestion et de gouvernance des forêts par l'élaboration d'une nouvelle stratégie nationale pour les forêts et d'actes juridiques ultérieurs</w:t>
            </w:r>
          </w:p>
        </w:tc>
        <w:tc>
          <w:tcPr>
            <w:tcW w:w="1276" w:type="dxa"/>
            <w:tcBorders>
              <w:top w:val="nil"/>
              <w:left w:val="nil"/>
              <w:bottom w:val="single" w:sz="4" w:space="0" w:color="auto"/>
              <w:right w:val="single" w:sz="4" w:space="0" w:color="auto"/>
            </w:tcBorders>
            <w:shd w:val="clear" w:color="auto" w:fill="C6EFCE"/>
            <w:noWrap/>
            <w:hideMark/>
          </w:tcPr>
          <w:p w14:paraId="3C4DF2E7"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hideMark/>
          </w:tcPr>
          <w:p w14:paraId="156C4CB4" w14:textId="77777777" w:rsidR="00A345F4" w:rsidRDefault="005E2D4E">
            <w:pPr>
              <w:pStyle w:val="P68B1DB1-Normal73"/>
              <w:spacing w:after="0" w:line="259" w:lineRule="auto"/>
              <w:jc w:val="both"/>
              <w:rPr>
                <w:rFonts w:eastAsia="Times New Roman"/>
                <w:noProof/>
              </w:rPr>
            </w:pPr>
            <w:r>
              <w:rPr>
                <w:noProof/>
              </w:rPr>
              <w:t>Entrée en vigueur des ordonnances ministérielles modifiées établissant des règles contraignantes pour le boisement et le reboisement prévues dans la stratégie nationale pour les forêts 2020-2030</w:t>
            </w:r>
          </w:p>
        </w:tc>
      </w:tr>
      <w:tr w:rsidR="00A345F4" w14:paraId="795714B5"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hideMark/>
          </w:tcPr>
          <w:p w14:paraId="5A8D4CEB" w14:textId="77777777" w:rsidR="00A345F4" w:rsidRDefault="005E2D4E">
            <w:pPr>
              <w:pStyle w:val="P68B1DB1-Normal73"/>
              <w:spacing w:after="0" w:line="259" w:lineRule="auto"/>
              <w:jc w:val="center"/>
              <w:rPr>
                <w:rFonts w:eastAsia="Times New Roman"/>
                <w:noProof/>
              </w:rPr>
            </w:pPr>
            <w:r>
              <w:rPr>
                <w:noProof/>
              </w:rPr>
              <w:t>148</w:t>
            </w:r>
          </w:p>
        </w:tc>
        <w:tc>
          <w:tcPr>
            <w:tcW w:w="3543" w:type="dxa"/>
            <w:tcBorders>
              <w:top w:val="nil"/>
              <w:left w:val="nil"/>
              <w:bottom w:val="single" w:sz="4" w:space="0" w:color="auto"/>
              <w:right w:val="single" w:sz="4" w:space="0" w:color="auto"/>
            </w:tcBorders>
            <w:shd w:val="clear" w:color="auto" w:fill="C6EFCE"/>
            <w:noWrap/>
            <w:hideMark/>
          </w:tcPr>
          <w:p w14:paraId="79CCAB69" w14:textId="77777777" w:rsidR="00A345F4" w:rsidRDefault="005E2D4E">
            <w:pPr>
              <w:pStyle w:val="P68B1DB1-Normal73"/>
              <w:spacing w:after="0" w:line="259" w:lineRule="auto"/>
              <w:jc w:val="both"/>
              <w:rPr>
                <w:noProof/>
              </w:rPr>
            </w:pPr>
            <w:r>
              <w:rPr>
                <w:noProof/>
              </w:rPr>
              <w:t>C7.R2</w:t>
            </w:r>
          </w:p>
          <w:p w14:paraId="3BD8C565" w14:textId="77777777" w:rsidR="00A345F4" w:rsidRDefault="005E2D4E">
            <w:pPr>
              <w:pStyle w:val="P68B1DB1-Normal73"/>
              <w:spacing w:after="0" w:line="259" w:lineRule="auto"/>
              <w:jc w:val="both"/>
              <w:rPr>
                <w:rFonts w:eastAsia="Times New Roman"/>
                <w:noProof/>
              </w:rPr>
            </w:pPr>
            <w:r>
              <w:rPr>
                <w:noProof/>
              </w:rPr>
              <w:t xml:space="preserve">Transition vers les objectifs de connectivité de l’UE à l’horizon 2025 et stimulation des investissements privés pour le déploiement de réseaux à très haute capacité </w:t>
            </w:r>
          </w:p>
        </w:tc>
        <w:tc>
          <w:tcPr>
            <w:tcW w:w="1276" w:type="dxa"/>
            <w:tcBorders>
              <w:top w:val="nil"/>
              <w:left w:val="nil"/>
              <w:bottom w:val="single" w:sz="4" w:space="0" w:color="auto"/>
              <w:right w:val="single" w:sz="4" w:space="0" w:color="auto"/>
            </w:tcBorders>
            <w:shd w:val="clear" w:color="auto" w:fill="C6EFCE"/>
            <w:noWrap/>
            <w:hideMark/>
          </w:tcPr>
          <w:p w14:paraId="06197D0D"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hideMark/>
          </w:tcPr>
          <w:p w14:paraId="1ADF0888" w14:textId="77777777" w:rsidR="00A345F4" w:rsidRDefault="005E2D4E">
            <w:pPr>
              <w:pStyle w:val="P68B1DB1-Normal73"/>
              <w:spacing w:after="0" w:line="259" w:lineRule="auto"/>
              <w:jc w:val="both"/>
              <w:rPr>
                <w:rFonts w:eastAsia="Times New Roman"/>
                <w:noProof/>
              </w:rPr>
            </w:pPr>
            <w:r>
              <w:rPr>
                <w:noProof/>
              </w:rPr>
              <w:t xml:space="preserve">Mise en œuvre des recommandations de la boîte à outils de l’UE en matière de connectivité </w:t>
            </w:r>
          </w:p>
        </w:tc>
      </w:tr>
      <w:tr w:rsidR="00A345F4" w14:paraId="0FFA0B7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CC252A6" w14:textId="77777777" w:rsidR="00A345F4" w:rsidRDefault="005E2D4E">
            <w:pPr>
              <w:pStyle w:val="P68B1DB1-Normal73"/>
              <w:spacing w:after="0" w:line="259" w:lineRule="auto"/>
              <w:jc w:val="center"/>
              <w:rPr>
                <w:rFonts w:eastAsia="Times New Roman"/>
                <w:noProof/>
              </w:rPr>
            </w:pPr>
            <w:r>
              <w:rPr>
                <w:noProof/>
              </w:rPr>
              <w:t>149</w:t>
            </w:r>
          </w:p>
        </w:tc>
        <w:tc>
          <w:tcPr>
            <w:tcW w:w="3543" w:type="dxa"/>
            <w:tcBorders>
              <w:top w:val="nil"/>
              <w:left w:val="nil"/>
              <w:bottom w:val="single" w:sz="4" w:space="0" w:color="auto"/>
              <w:right w:val="single" w:sz="4" w:space="0" w:color="auto"/>
            </w:tcBorders>
            <w:shd w:val="clear" w:color="auto" w:fill="C6EFCE"/>
            <w:noWrap/>
          </w:tcPr>
          <w:p w14:paraId="65E97D8C" w14:textId="77777777" w:rsidR="00A345F4" w:rsidRDefault="005E2D4E">
            <w:pPr>
              <w:pStyle w:val="P68B1DB1-Normal73"/>
              <w:spacing w:after="0" w:line="259" w:lineRule="auto"/>
              <w:jc w:val="both"/>
              <w:rPr>
                <w:noProof/>
              </w:rPr>
            </w:pPr>
            <w:r>
              <w:rPr>
                <w:noProof/>
              </w:rPr>
              <w:t>C7.R2</w:t>
            </w:r>
          </w:p>
          <w:p w14:paraId="49825C7E" w14:textId="77777777" w:rsidR="00A345F4" w:rsidRDefault="005E2D4E">
            <w:pPr>
              <w:pStyle w:val="P68B1DB1-Normal73"/>
              <w:spacing w:after="0" w:line="259" w:lineRule="auto"/>
              <w:jc w:val="both"/>
              <w:rPr>
                <w:rFonts w:eastAsia="Times New Roman"/>
                <w:noProof/>
              </w:rPr>
            </w:pPr>
            <w:r>
              <w:rPr>
                <w:noProof/>
              </w:rPr>
              <w:t xml:space="preserve">Transition vers les objectifs de connectivité de l’UE à l’horizon 2025 et stimulation des investissements privés pour le déploiement de réseaux à très haute capacité </w:t>
            </w:r>
          </w:p>
        </w:tc>
        <w:tc>
          <w:tcPr>
            <w:tcW w:w="1276" w:type="dxa"/>
            <w:tcBorders>
              <w:top w:val="nil"/>
              <w:left w:val="nil"/>
              <w:bottom w:val="single" w:sz="4" w:space="0" w:color="auto"/>
              <w:right w:val="single" w:sz="4" w:space="0" w:color="auto"/>
            </w:tcBorders>
            <w:shd w:val="clear" w:color="auto" w:fill="C6EFCE"/>
            <w:noWrap/>
          </w:tcPr>
          <w:p w14:paraId="2923388C"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73D267B" w14:textId="77777777" w:rsidR="00A345F4" w:rsidRDefault="005E2D4E">
            <w:pPr>
              <w:pStyle w:val="P68B1DB1-Normal73"/>
              <w:spacing w:after="0" w:line="259" w:lineRule="auto"/>
              <w:jc w:val="both"/>
              <w:rPr>
                <w:rFonts w:eastAsia="Times New Roman"/>
                <w:noProof/>
              </w:rPr>
            </w:pPr>
            <w:r>
              <w:rPr>
                <w:noProof/>
              </w:rPr>
              <w:t>Attribution des droits d'utilisation du spectre radioélectrique</w:t>
            </w:r>
          </w:p>
        </w:tc>
      </w:tr>
      <w:tr w:rsidR="00A345F4" w14:paraId="412DE458"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695777F" w14:textId="77777777" w:rsidR="00A345F4" w:rsidRDefault="005E2D4E">
            <w:pPr>
              <w:pStyle w:val="P68B1DB1-Normal73"/>
              <w:spacing w:after="0" w:line="259" w:lineRule="auto"/>
              <w:jc w:val="center"/>
              <w:rPr>
                <w:rFonts w:eastAsia="Times New Roman"/>
                <w:noProof/>
              </w:rPr>
            </w:pPr>
            <w:r>
              <w:rPr>
                <w:noProof/>
              </w:rPr>
              <w:t>152</w:t>
            </w:r>
          </w:p>
        </w:tc>
        <w:tc>
          <w:tcPr>
            <w:tcW w:w="3543" w:type="dxa"/>
            <w:tcBorders>
              <w:top w:val="nil"/>
              <w:left w:val="nil"/>
              <w:bottom w:val="single" w:sz="4" w:space="0" w:color="auto"/>
              <w:right w:val="single" w:sz="4" w:space="0" w:color="auto"/>
            </w:tcBorders>
            <w:shd w:val="clear" w:color="auto" w:fill="C6EFCE"/>
            <w:noWrap/>
          </w:tcPr>
          <w:p w14:paraId="2F15F245" w14:textId="77777777" w:rsidR="00A345F4" w:rsidRDefault="005E2D4E">
            <w:pPr>
              <w:pStyle w:val="P68B1DB1-Normal73"/>
              <w:spacing w:after="0" w:line="259" w:lineRule="auto"/>
              <w:jc w:val="both"/>
              <w:rPr>
                <w:noProof/>
              </w:rPr>
            </w:pPr>
            <w:r>
              <w:rPr>
                <w:noProof/>
              </w:rPr>
              <w:t>C7.R4</w:t>
            </w:r>
          </w:p>
          <w:p w14:paraId="77FBFE34" w14:textId="77777777" w:rsidR="00A345F4" w:rsidRDefault="005E2D4E">
            <w:pPr>
              <w:pStyle w:val="P68B1DB1-Normal73"/>
              <w:spacing w:after="0" w:line="259" w:lineRule="auto"/>
              <w:jc w:val="both"/>
              <w:rPr>
                <w:rFonts w:eastAsia="Times New Roman"/>
                <w:noProof/>
              </w:rPr>
            </w:pPr>
            <w:r>
              <w:rPr>
                <w:noProof/>
              </w:rPr>
              <w:t>Accroître les compétences numériques pour le service public et l’éducation numérique tout au long de la vie pour les citoyens</w:t>
            </w:r>
          </w:p>
        </w:tc>
        <w:tc>
          <w:tcPr>
            <w:tcW w:w="1276" w:type="dxa"/>
            <w:tcBorders>
              <w:top w:val="nil"/>
              <w:left w:val="nil"/>
              <w:bottom w:val="single" w:sz="4" w:space="0" w:color="auto"/>
              <w:right w:val="single" w:sz="4" w:space="0" w:color="auto"/>
            </w:tcBorders>
            <w:shd w:val="clear" w:color="auto" w:fill="C6EFCE"/>
            <w:noWrap/>
          </w:tcPr>
          <w:p w14:paraId="1954197D"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A6288FB" w14:textId="77777777" w:rsidR="00A345F4" w:rsidRDefault="005E2D4E">
            <w:pPr>
              <w:pStyle w:val="P68B1DB1-Normal73"/>
              <w:spacing w:after="0" w:line="259" w:lineRule="auto"/>
              <w:jc w:val="both"/>
              <w:rPr>
                <w:rFonts w:eastAsia="Times New Roman"/>
                <w:noProof/>
              </w:rPr>
            </w:pPr>
            <w:r>
              <w:rPr>
                <w:noProof/>
              </w:rPr>
              <w:t xml:space="preserve">Entrée en vigueur de l’arrêté ministériel du ministre du travail et du président de l’Institut national de la statistique pour la définition des nouvelles professions numériques dans la classification des professions (COR) </w:t>
            </w:r>
          </w:p>
        </w:tc>
      </w:tr>
      <w:tr w:rsidR="00A345F4" w14:paraId="05AB449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89DD1AC" w14:textId="77777777" w:rsidR="00A345F4" w:rsidRDefault="005E2D4E">
            <w:pPr>
              <w:pStyle w:val="P68B1DB1-Normal73"/>
              <w:spacing w:after="0" w:line="259" w:lineRule="auto"/>
              <w:jc w:val="center"/>
              <w:rPr>
                <w:rFonts w:eastAsia="Times New Roman"/>
                <w:noProof/>
              </w:rPr>
            </w:pPr>
            <w:r>
              <w:rPr>
                <w:noProof/>
              </w:rPr>
              <w:t>384</w:t>
            </w:r>
          </w:p>
        </w:tc>
        <w:tc>
          <w:tcPr>
            <w:tcW w:w="3543" w:type="dxa"/>
            <w:tcBorders>
              <w:top w:val="nil"/>
              <w:left w:val="nil"/>
              <w:bottom w:val="single" w:sz="4" w:space="0" w:color="auto"/>
              <w:right w:val="single" w:sz="4" w:space="0" w:color="auto"/>
            </w:tcBorders>
            <w:shd w:val="clear" w:color="auto" w:fill="C6EFCE"/>
            <w:noWrap/>
          </w:tcPr>
          <w:p w14:paraId="798174D2" w14:textId="77777777" w:rsidR="00A345F4" w:rsidRDefault="005E2D4E">
            <w:pPr>
              <w:pStyle w:val="P68B1DB1-Normal73"/>
              <w:spacing w:after="0" w:line="259" w:lineRule="auto"/>
              <w:jc w:val="both"/>
              <w:rPr>
                <w:noProof/>
              </w:rPr>
            </w:pPr>
            <w:r>
              <w:rPr>
                <w:noProof/>
              </w:rPr>
              <w:t>C13.R3</w:t>
            </w:r>
          </w:p>
          <w:p w14:paraId="766B851C" w14:textId="77777777" w:rsidR="00A345F4" w:rsidRDefault="005E2D4E">
            <w:pPr>
              <w:pStyle w:val="P68B1DB1-Normal73"/>
              <w:spacing w:after="0" w:line="259" w:lineRule="auto"/>
              <w:jc w:val="both"/>
              <w:rPr>
                <w:rFonts w:eastAsia="Times New Roman"/>
                <w:noProof/>
              </w:rPr>
            </w:pPr>
            <w:r>
              <w:rPr>
                <w:noProof/>
              </w:rPr>
              <w:t>Fourniture du revenu minimum d'inclusion (VMI)</w:t>
            </w:r>
          </w:p>
        </w:tc>
        <w:tc>
          <w:tcPr>
            <w:tcW w:w="1276" w:type="dxa"/>
            <w:tcBorders>
              <w:top w:val="nil"/>
              <w:left w:val="nil"/>
              <w:bottom w:val="single" w:sz="4" w:space="0" w:color="auto"/>
              <w:right w:val="single" w:sz="4" w:space="0" w:color="auto"/>
            </w:tcBorders>
            <w:shd w:val="clear" w:color="auto" w:fill="C6EFCE"/>
            <w:noWrap/>
          </w:tcPr>
          <w:p w14:paraId="15DE87DF"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50F43DD" w14:textId="77777777" w:rsidR="00A345F4" w:rsidRDefault="005E2D4E">
            <w:pPr>
              <w:pStyle w:val="P68B1DB1-Normal73"/>
              <w:spacing w:after="0" w:line="259" w:lineRule="auto"/>
              <w:jc w:val="both"/>
              <w:rPr>
                <w:rFonts w:eastAsia="Times New Roman"/>
                <w:noProof/>
              </w:rPr>
            </w:pPr>
            <w:r>
              <w:rPr>
                <w:noProof/>
              </w:rPr>
              <w:t>Entrée en vigueur de la législation portant approbation des modalités d'application de l'IMV</w:t>
            </w:r>
          </w:p>
        </w:tc>
      </w:tr>
      <w:tr w:rsidR="00A345F4" w14:paraId="3B09ECA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6720289" w14:textId="77777777" w:rsidR="00A345F4" w:rsidRDefault="005E2D4E">
            <w:pPr>
              <w:pStyle w:val="P68B1DB1-Normal73"/>
              <w:spacing w:after="0" w:line="259" w:lineRule="auto"/>
              <w:jc w:val="center"/>
              <w:rPr>
                <w:rFonts w:eastAsia="Times New Roman"/>
                <w:noProof/>
              </w:rPr>
            </w:pPr>
            <w:r>
              <w:rPr>
                <w:noProof/>
              </w:rPr>
              <w:t>410</w:t>
            </w:r>
          </w:p>
        </w:tc>
        <w:tc>
          <w:tcPr>
            <w:tcW w:w="3543" w:type="dxa"/>
            <w:tcBorders>
              <w:top w:val="nil"/>
              <w:left w:val="nil"/>
              <w:bottom w:val="single" w:sz="4" w:space="0" w:color="auto"/>
              <w:right w:val="single" w:sz="4" w:space="0" w:color="auto"/>
            </w:tcBorders>
            <w:shd w:val="clear" w:color="auto" w:fill="C6EFCE"/>
            <w:noWrap/>
          </w:tcPr>
          <w:p w14:paraId="2ED7FA6B" w14:textId="77777777" w:rsidR="00A345F4" w:rsidRDefault="005E2D4E">
            <w:pPr>
              <w:pStyle w:val="P68B1DB1-Normal73"/>
              <w:spacing w:after="0" w:line="259" w:lineRule="auto"/>
              <w:jc w:val="both"/>
              <w:rPr>
                <w:noProof/>
              </w:rPr>
            </w:pPr>
            <w:r>
              <w:rPr>
                <w:noProof/>
              </w:rPr>
              <w:t>C14.R1</w:t>
            </w:r>
          </w:p>
          <w:p w14:paraId="2EAE9AA3" w14:textId="77777777" w:rsidR="00A345F4" w:rsidRDefault="005E2D4E">
            <w:pPr>
              <w:pStyle w:val="P68B1DB1-Normal75"/>
              <w:spacing w:after="0" w:line="259" w:lineRule="auto"/>
              <w:jc w:val="both"/>
              <w:rPr>
                <w:noProof/>
              </w:rPr>
            </w:pPr>
            <w:r>
              <w:rPr>
                <w:noProof/>
              </w:rPr>
              <w:t xml:space="preserve"> Améliorer la qualité de la prise de décisions gouvernementales</w:t>
            </w:r>
          </w:p>
        </w:tc>
        <w:tc>
          <w:tcPr>
            <w:tcW w:w="1276" w:type="dxa"/>
            <w:tcBorders>
              <w:top w:val="nil"/>
              <w:left w:val="nil"/>
              <w:bottom w:val="single" w:sz="4" w:space="0" w:color="auto"/>
              <w:right w:val="single" w:sz="4" w:space="0" w:color="auto"/>
            </w:tcBorders>
            <w:shd w:val="clear" w:color="auto" w:fill="C6EFCE"/>
            <w:noWrap/>
          </w:tcPr>
          <w:p w14:paraId="7B6F28CB"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27CDBD2" w14:textId="77777777" w:rsidR="00A345F4" w:rsidRDefault="005E2D4E">
            <w:pPr>
              <w:pStyle w:val="P68B1DB1-Normal73"/>
              <w:spacing w:after="0" w:line="259" w:lineRule="auto"/>
              <w:jc w:val="both"/>
              <w:rPr>
                <w:rFonts w:eastAsia="Times New Roman"/>
                <w:noProof/>
              </w:rPr>
            </w:pPr>
            <w:r>
              <w:rPr>
                <w:noProof/>
              </w:rPr>
              <w:t>Entrée en vigueur des lignes directrices pour une utilisation et une application appropriées du registre unique de transparence des intérêts (RUTI)</w:t>
            </w:r>
          </w:p>
        </w:tc>
      </w:tr>
      <w:tr w:rsidR="00A345F4" w14:paraId="7A02190C"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6C92CD3" w14:textId="77777777" w:rsidR="00A345F4" w:rsidRDefault="005E2D4E">
            <w:pPr>
              <w:pStyle w:val="P68B1DB1-Normal73"/>
              <w:spacing w:after="0" w:line="259" w:lineRule="auto"/>
              <w:jc w:val="center"/>
              <w:rPr>
                <w:rFonts w:eastAsia="Times New Roman"/>
                <w:noProof/>
              </w:rPr>
            </w:pPr>
            <w:r>
              <w:rPr>
                <w:noProof/>
              </w:rPr>
              <w:t>411</w:t>
            </w:r>
          </w:p>
        </w:tc>
        <w:tc>
          <w:tcPr>
            <w:tcW w:w="3543" w:type="dxa"/>
            <w:tcBorders>
              <w:top w:val="nil"/>
              <w:left w:val="nil"/>
              <w:bottom w:val="single" w:sz="4" w:space="0" w:color="auto"/>
              <w:right w:val="single" w:sz="4" w:space="0" w:color="auto"/>
            </w:tcBorders>
            <w:shd w:val="clear" w:color="auto" w:fill="C6EFCE"/>
            <w:noWrap/>
          </w:tcPr>
          <w:p w14:paraId="6EC93FD0" w14:textId="77777777" w:rsidR="00A345F4" w:rsidRDefault="005E2D4E">
            <w:pPr>
              <w:pStyle w:val="P68B1DB1-Normal73"/>
              <w:spacing w:after="0" w:line="259" w:lineRule="auto"/>
              <w:jc w:val="both"/>
              <w:rPr>
                <w:noProof/>
              </w:rPr>
            </w:pPr>
            <w:r>
              <w:rPr>
                <w:noProof/>
              </w:rPr>
              <w:t>C14.R1</w:t>
            </w:r>
          </w:p>
          <w:p w14:paraId="39A2125D" w14:textId="77777777" w:rsidR="00A345F4" w:rsidRDefault="005E2D4E">
            <w:pPr>
              <w:pStyle w:val="P68B1DB1-Normal75"/>
              <w:spacing w:after="0" w:line="259" w:lineRule="auto"/>
              <w:jc w:val="both"/>
              <w:rPr>
                <w:noProof/>
              </w:rPr>
            </w:pPr>
            <w:r>
              <w:rPr>
                <w:noProof/>
              </w:rPr>
              <w:t xml:space="preserve"> Améliorer la qualité de la prise de décisions gouvernementales</w:t>
            </w:r>
          </w:p>
        </w:tc>
        <w:tc>
          <w:tcPr>
            <w:tcW w:w="1276" w:type="dxa"/>
            <w:tcBorders>
              <w:top w:val="nil"/>
              <w:left w:val="nil"/>
              <w:bottom w:val="single" w:sz="4" w:space="0" w:color="auto"/>
              <w:right w:val="single" w:sz="4" w:space="0" w:color="auto"/>
            </w:tcBorders>
            <w:shd w:val="clear" w:color="auto" w:fill="C6EFCE"/>
            <w:noWrap/>
          </w:tcPr>
          <w:p w14:paraId="19A740BF"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06B9363" w14:textId="77777777" w:rsidR="00A345F4" w:rsidRDefault="005E2D4E">
            <w:pPr>
              <w:pStyle w:val="P68B1DB1-Normal73"/>
              <w:spacing w:after="0" w:line="259" w:lineRule="auto"/>
              <w:jc w:val="both"/>
              <w:rPr>
                <w:rFonts w:eastAsia="Times New Roman"/>
                <w:noProof/>
              </w:rPr>
            </w:pPr>
            <w:r>
              <w:rPr>
                <w:noProof/>
              </w:rPr>
              <w:t>Entrée en vigueur de la méthodologie pour l'utilisation des ordonnances d'urgence</w:t>
            </w:r>
          </w:p>
        </w:tc>
      </w:tr>
      <w:tr w:rsidR="00A345F4" w14:paraId="360326FF"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D87EAA1" w14:textId="77777777" w:rsidR="00A345F4" w:rsidRDefault="005E2D4E">
            <w:pPr>
              <w:pStyle w:val="P68B1DB1-Normal73"/>
              <w:spacing w:after="0" w:line="259" w:lineRule="auto"/>
              <w:jc w:val="center"/>
              <w:rPr>
                <w:rFonts w:eastAsia="Times New Roman"/>
                <w:noProof/>
              </w:rPr>
            </w:pPr>
            <w:r>
              <w:rPr>
                <w:noProof/>
              </w:rPr>
              <w:t>412</w:t>
            </w:r>
          </w:p>
        </w:tc>
        <w:tc>
          <w:tcPr>
            <w:tcW w:w="3543" w:type="dxa"/>
            <w:tcBorders>
              <w:top w:val="nil"/>
              <w:left w:val="nil"/>
              <w:bottom w:val="single" w:sz="4" w:space="0" w:color="auto"/>
              <w:right w:val="single" w:sz="4" w:space="0" w:color="auto"/>
            </w:tcBorders>
            <w:shd w:val="clear" w:color="auto" w:fill="C6EFCE"/>
            <w:noWrap/>
          </w:tcPr>
          <w:p w14:paraId="2240F357" w14:textId="77777777" w:rsidR="00A345F4" w:rsidRDefault="005E2D4E">
            <w:pPr>
              <w:pStyle w:val="P68B1DB1-Normal73"/>
              <w:spacing w:after="0" w:line="259" w:lineRule="auto"/>
              <w:jc w:val="both"/>
              <w:rPr>
                <w:noProof/>
              </w:rPr>
            </w:pPr>
            <w:r>
              <w:rPr>
                <w:noProof/>
              </w:rPr>
              <w:t>C14.R1</w:t>
            </w:r>
          </w:p>
          <w:p w14:paraId="30C403B5" w14:textId="77777777" w:rsidR="00A345F4" w:rsidRDefault="005E2D4E">
            <w:pPr>
              <w:pStyle w:val="P68B1DB1-Normal75"/>
              <w:spacing w:after="0" w:line="259" w:lineRule="auto"/>
              <w:jc w:val="both"/>
              <w:rPr>
                <w:noProof/>
              </w:rPr>
            </w:pPr>
            <w:r>
              <w:rPr>
                <w:noProof/>
              </w:rPr>
              <w:t xml:space="preserve"> Améliorer la qualité de la prise de décisions gouvernementales</w:t>
            </w:r>
          </w:p>
        </w:tc>
        <w:tc>
          <w:tcPr>
            <w:tcW w:w="1276" w:type="dxa"/>
            <w:tcBorders>
              <w:top w:val="nil"/>
              <w:left w:val="nil"/>
              <w:bottom w:val="single" w:sz="4" w:space="0" w:color="auto"/>
              <w:right w:val="single" w:sz="4" w:space="0" w:color="auto"/>
            </w:tcBorders>
            <w:shd w:val="clear" w:color="auto" w:fill="C6EFCE"/>
            <w:noWrap/>
          </w:tcPr>
          <w:p w14:paraId="6ACF0BF2"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40A30E9" w14:textId="77777777" w:rsidR="00A345F4" w:rsidRDefault="005E2D4E">
            <w:pPr>
              <w:pStyle w:val="P68B1DB1-Normal73"/>
              <w:spacing w:after="0" w:line="259" w:lineRule="auto"/>
              <w:jc w:val="both"/>
              <w:rPr>
                <w:rFonts w:eastAsia="Times New Roman"/>
                <w:noProof/>
              </w:rPr>
            </w:pPr>
            <w:r>
              <w:rPr>
                <w:noProof/>
              </w:rPr>
              <w:t>Entrée en vigueur des modifications législatives visant à assurer la publication du texte intégral des lois après les modifications</w:t>
            </w:r>
          </w:p>
        </w:tc>
      </w:tr>
      <w:tr w:rsidR="00A345F4" w14:paraId="169CCC8E"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1FBE200" w14:textId="77777777" w:rsidR="00A345F4" w:rsidRDefault="005E2D4E">
            <w:pPr>
              <w:pStyle w:val="P68B1DB1-Normal73"/>
              <w:spacing w:after="0" w:line="259" w:lineRule="auto"/>
              <w:jc w:val="center"/>
              <w:rPr>
                <w:rFonts w:eastAsia="Times New Roman"/>
                <w:noProof/>
              </w:rPr>
            </w:pPr>
            <w:r>
              <w:rPr>
                <w:noProof/>
              </w:rPr>
              <w:t>470</w:t>
            </w:r>
          </w:p>
        </w:tc>
        <w:tc>
          <w:tcPr>
            <w:tcW w:w="3543" w:type="dxa"/>
            <w:tcBorders>
              <w:top w:val="nil"/>
              <w:left w:val="nil"/>
              <w:bottom w:val="single" w:sz="4" w:space="0" w:color="auto"/>
              <w:right w:val="single" w:sz="4" w:space="0" w:color="auto"/>
            </w:tcBorders>
            <w:shd w:val="clear" w:color="auto" w:fill="C6EFCE"/>
            <w:noWrap/>
          </w:tcPr>
          <w:p w14:paraId="2719D9EA" w14:textId="77777777" w:rsidR="00A345F4" w:rsidRDefault="005E2D4E">
            <w:pPr>
              <w:pStyle w:val="P68B1DB1-Normal73"/>
              <w:spacing w:after="0" w:line="259" w:lineRule="auto"/>
              <w:jc w:val="both"/>
              <w:rPr>
                <w:noProof/>
              </w:rPr>
            </w:pPr>
            <w:r>
              <w:rPr>
                <w:noProof/>
              </w:rPr>
              <w:t>C15.R4</w:t>
            </w:r>
          </w:p>
          <w:p w14:paraId="25C9BD87" w14:textId="77777777" w:rsidR="00A345F4" w:rsidRDefault="005E2D4E">
            <w:pPr>
              <w:pStyle w:val="P68B1DB1-Normal73"/>
              <w:spacing w:after="0" w:line="259" w:lineRule="auto"/>
              <w:jc w:val="both"/>
              <w:rPr>
                <w:rFonts w:eastAsia="Times New Roman"/>
                <w:noProof/>
              </w:rPr>
            </w:pPr>
            <w:r>
              <w:rPr>
                <w:noProof/>
              </w:rPr>
              <w:t>Création d'un parcours professionnel complet pour l'enseignement technique supérieur</w:t>
            </w:r>
          </w:p>
        </w:tc>
        <w:tc>
          <w:tcPr>
            <w:tcW w:w="1276" w:type="dxa"/>
            <w:tcBorders>
              <w:top w:val="nil"/>
              <w:left w:val="nil"/>
              <w:bottom w:val="single" w:sz="4" w:space="0" w:color="auto"/>
              <w:right w:val="single" w:sz="4" w:space="0" w:color="auto"/>
            </w:tcBorders>
            <w:shd w:val="clear" w:color="auto" w:fill="C6EFCE"/>
            <w:noWrap/>
          </w:tcPr>
          <w:p w14:paraId="47789D83"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93F90A4" w14:textId="77777777" w:rsidR="00A345F4" w:rsidRDefault="005E2D4E">
            <w:pPr>
              <w:pStyle w:val="P68B1DB1-Normal73"/>
              <w:spacing w:after="0" w:line="259" w:lineRule="auto"/>
              <w:jc w:val="both"/>
              <w:rPr>
                <w:rFonts w:eastAsia="Times New Roman"/>
                <w:noProof/>
              </w:rPr>
            </w:pPr>
            <w:r>
              <w:rPr>
                <w:noProof/>
              </w:rPr>
              <w:t>Entrée en vigueur de la décision du gouvernement approuvant la méthodologie pour l'organisation de la double route complète et les nouvelles qualifications résultant de la double route complète</w:t>
            </w:r>
          </w:p>
        </w:tc>
      </w:tr>
      <w:tr w:rsidR="00A345F4" w14:paraId="4E6559CD"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860297F" w14:textId="77777777" w:rsidR="00A345F4" w:rsidRDefault="005E2D4E">
            <w:pPr>
              <w:pStyle w:val="P68B1DB1-Normal73"/>
              <w:spacing w:after="0" w:line="259" w:lineRule="auto"/>
              <w:jc w:val="center"/>
              <w:rPr>
                <w:rFonts w:eastAsia="Times New Roman"/>
                <w:noProof/>
              </w:rPr>
            </w:pPr>
            <w:r>
              <w:rPr>
                <w:noProof/>
              </w:rPr>
              <w:t>489</w:t>
            </w:r>
          </w:p>
        </w:tc>
        <w:tc>
          <w:tcPr>
            <w:tcW w:w="3543" w:type="dxa"/>
            <w:tcBorders>
              <w:top w:val="nil"/>
              <w:left w:val="nil"/>
              <w:bottom w:val="single" w:sz="4" w:space="0" w:color="auto"/>
              <w:right w:val="single" w:sz="4" w:space="0" w:color="auto"/>
            </w:tcBorders>
            <w:shd w:val="clear" w:color="auto" w:fill="C6EFCE"/>
            <w:noWrap/>
          </w:tcPr>
          <w:p w14:paraId="3C24B2AC" w14:textId="77777777" w:rsidR="00A345F4" w:rsidRDefault="005E2D4E">
            <w:pPr>
              <w:pStyle w:val="P68B1DB1-Normal73"/>
              <w:spacing w:after="0" w:line="259" w:lineRule="auto"/>
              <w:jc w:val="both"/>
              <w:rPr>
                <w:noProof/>
              </w:rPr>
            </w:pPr>
            <w:r>
              <w:rPr>
                <w:noProof/>
              </w:rPr>
              <w:t>C15.I11</w:t>
            </w:r>
          </w:p>
          <w:p w14:paraId="66E7398A" w14:textId="77777777" w:rsidR="00A345F4" w:rsidRDefault="005E2D4E">
            <w:pPr>
              <w:pStyle w:val="P68B1DB1-Normal73"/>
              <w:spacing w:after="0" w:line="259" w:lineRule="auto"/>
              <w:jc w:val="both"/>
              <w:rPr>
                <w:rFonts w:eastAsia="Times New Roman"/>
                <w:noProof/>
              </w:rPr>
            </w:pPr>
            <w:r>
              <w:rPr>
                <w:noProof/>
              </w:rPr>
              <w:t>Mise à disposition d'installations pour les salles de classe pré-universitaires et les laboratoires/armoires scolaires</w:t>
            </w:r>
          </w:p>
        </w:tc>
        <w:tc>
          <w:tcPr>
            <w:tcW w:w="1276" w:type="dxa"/>
            <w:tcBorders>
              <w:top w:val="nil"/>
              <w:left w:val="nil"/>
              <w:bottom w:val="single" w:sz="4" w:space="0" w:color="auto"/>
              <w:right w:val="single" w:sz="4" w:space="0" w:color="auto"/>
            </w:tcBorders>
            <w:shd w:val="clear" w:color="auto" w:fill="C6EFCE"/>
            <w:noWrap/>
          </w:tcPr>
          <w:p w14:paraId="4F9740CB"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89D8788" w14:textId="77777777" w:rsidR="00A345F4" w:rsidRDefault="005E2D4E">
            <w:pPr>
              <w:pStyle w:val="P68B1DB1-Normal74"/>
              <w:spacing w:after="0" w:line="259" w:lineRule="auto"/>
              <w:jc w:val="both"/>
              <w:rPr>
                <w:noProof/>
              </w:rPr>
            </w:pPr>
            <w:r>
              <w:rPr>
                <w:noProof/>
              </w:rPr>
              <w:t>Signature de contrats de financement pour l'aménagement de salles de classe avec mobilier</w:t>
            </w:r>
          </w:p>
        </w:tc>
      </w:tr>
      <w:tr w:rsidR="00A345F4" w14:paraId="4BACFCC9"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132EECF" w14:textId="77777777" w:rsidR="00A345F4" w:rsidRDefault="005E2D4E">
            <w:pPr>
              <w:pStyle w:val="P68B1DB1-Normal73"/>
              <w:spacing w:after="0" w:line="259" w:lineRule="auto"/>
              <w:jc w:val="center"/>
              <w:rPr>
                <w:rFonts w:eastAsia="Times New Roman"/>
                <w:noProof/>
              </w:rPr>
            </w:pPr>
            <w:r>
              <w:rPr>
                <w:noProof/>
              </w:rPr>
              <w:t>490</w:t>
            </w:r>
          </w:p>
        </w:tc>
        <w:tc>
          <w:tcPr>
            <w:tcW w:w="3543" w:type="dxa"/>
            <w:tcBorders>
              <w:top w:val="nil"/>
              <w:left w:val="nil"/>
              <w:bottom w:val="single" w:sz="4" w:space="0" w:color="auto"/>
              <w:right w:val="single" w:sz="4" w:space="0" w:color="auto"/>
            </w:tcBorders>
            <w:shd w:val="clear" w:color="auto" w:fill="C6EFCE"/>
            <w:noWrap/>
          </w:tcPr>
          <w:p w14:paraId="3A002CCD" w14:textId="77777777" w:rsidR="00A345F4" w:rsidRDefault="005E2D4E">
            <w:pPr>
              <w:pStyle w:val="P68B1DB1-Normal73"/>
              <w:spacing w:after="0" w:line="259" w:lineRule="auto"/>
              <w:jc w:val="both"/>
              <w:rPr>
                <w:noProof/>
              </w:rPr>
            </w:pPr>
            <w:r>
              <w:rPr>
                <w:noProof/>
              </w:rPr>
              <w:t>C15.I11</w:t>
            </w:r>
          </w:p>
          <w:p w14:paraId="33C397C1" w14:textId="77777777" w:rsidR="00A345F4" w:rsidRDefault="005E2D4E">
            <w:pPr>
              <w:pStyle w:val="P68B1DB1-Normal76"/>
              <w:spacing w:after="0" w:line="259" w:lineRule="auto"/>
              <w:jc w:val="both"/>
              <w:rPr>
                <w:rFonts w:eastAsia="Times New Roman"/>
                <w:noProof/>
              </w:rPr>
            </w:pPr>
            <w:r>
              <w:rPr>
                <w:noProof/>
              </w:rPr>
              <w:t>Mise à disposition d'installations pour les salles de classe pré-universitaires et les laboratoires/armoires scolaires</w:t>
            </w:r>
          </w:p>
        </w:tc>
        <w:tc>
          <w:tcPr>
            <w:tcW w:w="1276" w:type="dxa"/>
            <w:tcBorders>
              <w:top w:val="nil"/>
              <w:left w:val="nil"/>
              <w:bottom w:val="single" w:sz="4" w:space="0" w:color="auto"/>
              <w:right w:val="single" w:sz="4" w:space="0" w:color="auto"/>
            </w:tcBorders>
            <w:shd w:val="clear" w:color="auto" w:fill="C6EFCE"/>
            <w:noWrap/>
          </w:tcPr>
          <w:p w14:paraId="71A19470"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EC877E9" w14:textId="31C07287" w:rsidR="00A345F4" w:rsidRDefault="005E2D4E">
            <w:pPr>
              <w:pStyle w:val="P68B1DB1-Normal74"/>
              <w:spacing w:after="0" w:line="259" w:lineRule="auto"/>
              <w:jc w:val="both"/>
              <w:rPr>
                <w:noProof/>
              </w:rPr>
            </w:pPr>
            <w:r>
              <w:rPr>
                <w:noProof/>
              </w:rPr>
              <w:t>Salles de classe pré-universitaires et laboratoires scientifiques/armoires scolaires équipés</w:t>
            </w:r>
          </w:p>
        </w:tc>
      </w:tr>
      <w:tr w:rsidR="00A345F4" w14:paraId="5D858202"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466A8E60" w14:textId="77777777" w:rsidR="00A345F4" w:rsidRDefault="005E2D4E">
            <w:pPr>
              <w:pStyle w:val="P68B1DB1-Normal73"/>
              <w:spacing w:after="0" w:line="259" w:lineRule="auto"/>
              <w:jc w:val="center"/>
              <w:rPr>
                <w:rFonts w:eastAsia="Times New Roman"/>
                <w:noProof/>
              </w:rPr>
            </w:pPr>
            <w:r>
              <w:rPr>
                <w:noProof/>
              </w:rPr>
              <w:t>66</w:t>
            </w:r>
          </w:p>
        </w:tc>
        <w:tc>
          <w:tcPr>
            <w:tcW w:w="3543" w:type="dxa"/>
            <w:tcBorders>
              <w:top w:val="nil"/>
              <w:left w:val="nil"/>
              <w:bottom w:val="single" w:sz="4" w:space="0" w:color="auto"/>
              <w:right w:val="single" w:sz="4" w:space="0" w:color="auto"/>
            </w:tcBorders>
            <w:shd w:val="clear" w:color="auto" w:fill="C6EFCE"/>
            <w:noWrap/>
          </w:tcPr>
          <w:p w14:paraId="00E4CD2C" w14:textId="77777777" w:rsidR="00A345F4" w:rsidRDefault="005E2D4E">
            <w:pPr>
              <w:pStyle w:val="P68B1DB1-Normal73"/>
              <w:spacing w:after="0" w:line="259" w:lineRule="auto"/>
              <w:jc w:val="both"/>
              <w:rPr>
                <w:noProof/>
              </w:rPr>
            </w:pPr>
            <w:r>
              <w:rPr>
                <w:noProof/>
              </w:rPr>
              <w:t>C4.R1.</w:t>
            </w:r>
          </w:p>
          <w:p w14:paraId="649FD1B8" w14:textId="77777777" w:rsidR="00A345F4" w:rsidRDefault="005E2D4E">
            <w:pPr>
              <w:pStyle w:val="P68B1DB1-Normal73"/>
              <w:spacing w:after="0" w:line="259" w:lineRule="auto"/>
              <w:jc w:val="both"/>
              <w:rPr>
                <w:rFonts w:eastAsia="Times New Roman"/>
                <w:noProof/>
              </w:rPr>
            </w:pPr>
            <w:r>
              <w:rPr>
                <w:noProof/>
              </w:rPr>
              <w:t>Transports durables, décarbonation et sécurité routière / Sécurité routière</w:t>
            </w:r>
          </w:p>
        </w:tc>
        <w:tc>
          <w:tcPr>
            <w:tcW w:w="1276" w:type="dxa"/>
            <w:tcBorders>
              <w:top w:val="nil"/>
              <w:left w:val="nil"/>
              <w:bottom w:val="single" w:sz="4" w:space="0" w:color="auto"/>
              <w:right w:val="single" w:sz="4" w:space="0" w:color="auto"/>
            </w:tcBorders>
            <w:shd w:val="clear" w:color="auto" w:fill="C6EFCE"/>
            <w:noWrap/>
          </w:tcPr>
          <w:p w14:paraId="623D7DA6"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C0A2DA2" w14:textId="77777777" w:rsidR="00A345F4" w:rsidRDefault="005E2D4E">
            <w:pPr>
              <w:pStyle w:val="P68B1DB1-Normal73"/>
              <w:spacing w:after="0" w:line="259" w:lineRule="auto"/>
              <w:jc w:val="both"/>
              <w:rPr>
                <w:noProof/>
              </w:rPr>
            </w:pPr>
            <w:r>
              <w:rPr>
                <w:noProof/>
              </w:rPr>
              <w:t>Entrée en vigueur de la législation en matière de sécurité routière - législation relative au contrôle, à l'exécution et aux sanctions applicables aux infractions en matière de sécurité routière</w:t>
            </w:r>
          </w:p>
        </w:tc>
      </w:tr>
      <w:tr w:rsidR="00A345F4" w14:paraId="747C917C"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5D95EC4" w14:textId="77777777" w:rsidR="00A345F4" w:rsidRDefault="005E2D4E">
            <w:pPr>
              <w:pStyle w:val="P68B1DB1-Normal73"/>
              <w:spacing w:after="0" w:line="259" w:lineRule="auto"/>
              <w:jc w:val="center"/>
              <w:rPr>
                <w:rFonts w:eastAsia="Times New Roman"/>
                <w:noProof/>
              </w:rPr>
            </w:pPr>
            <w:r>
              <w:rPr>
                <w:noProof/>
              </w:rPr>
              <w:t>115</w:t>
            </w:r>
          </w:p>
        </w:tc>
        <w:tc>
          <w:tcPr>
            <w:tcW w:w="3543" w:type="dxa"/>
            <w:tcBorders>
              <w:top w:val="nil"/>
              <w:left w:val="nil"/>
              <w:bottom w:val="single" w:sz="4" w:space="0" w:color="auto"/>
              <w:right w:val="single" w:sz="4" w:space="0" w:color="auto"/>
            </w:tcBorders>
            <w:shd w:val="clear" w:color="auto" w:fill="C6EFCE"/>
            <w:noWrap/>
          </w:tcPr>
          <w:p w14:paraId="5F156F73" w14:textId="77777777" w:rsidR="00A345F4" w:rsidRDefault="005E2D4E">
            <w:pPr>
              <w:pStyle w:val="P68B1DB1-Normal73"/>
              <w:spacing w:after="0" w:line="259" w:lineRule="auto"/>
              <w:jc w:val="both"/>
              <w:rPr>
                <w:noProof/>
              </w:rPr>
            </w:pPr>
            <w:r>
              <w:rPr>
                <w:noProof/>
              </w:rPr>
              <w:t>C6.R1</w:t>
            </w:r>
          </w:p>
          <w:p w14:paraId="54617E58" w14:textId="77777777" w:rsidR="00A345F4" w:rsidRDefault="005E2D4E">
            <w:pPr>
              <w:pStyle w:val="P68B1DB1-Normal73"/>
              <w:spacing w:after="0" w:line="259" w:lineRule="auto"/>
              <w:jc w:val="both"/>
              <w:rPr>
                <w:noProof/>
              </w:rPr>
            </w:pPr>
            <w:r>
              <w:rPr>
                <w:noProof/>
              </w:rPr>
              <w:t>Réforme du marché de l'électricité, remplacement du charbon dans le bouquet énergétique et soutien à un cadre législatif et réglementaire pour les investissements privés dans la production d'électricité renouvelable</w:t>
            </w:r>
          </w:p>
        </w:tc>
        <w:tc>
          <w:tcPr>
            <w:tcW w:w="1276" w:type="dxa"/>
            <w:tcBorders>
              <w:top w:val="nil"/>
              <w:left w:val="nil"/>
              <w:bottom w:val="single" w:sz="4" w:space="0" w:color="auto"/>
              <w:right w:val="single" w:sz="4" w:space="0" w:color="auto"/>
            </w:tcBorders>
            <w:shd w:val="clear" w:color="auto" w:fill="C6EFCE"/>
            <w:noWrap/>
          </w:tcPr>
          <w:p w14:paraId="3B38E191" w14:textId="77777777" w:rsidR="00A345F4" w:rsidRDefault="005E2D4E">
            <w:pPr>
              <w:pStyle w:val="P68B1DB1-Normal73"/>
              <w:spacing w:after="0" w:line="259" w:lineRule="auto"/>
              <w:jc w:val="center"/>
              <w:rPr>
                <w:rFonts w:eastAsia="Times New Roman"/>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10324B39" w14:textId="77777777" w:rsidR="00A345F4" w:rsidRDefault="005E2D4E">
            <w:pPr>
              <w:pStyle w:val="P68B1DB1-Normal73"/>
              <w:spacing w:after="0" w:line="259" w:lineRule="auto"/>
              <w:jc w:val="both"/>
              <w:rPr>
                <w:rFonts w:eastAsia="Times New Roman"/>
                <w:noProof/>
              </w:rPr>
            </w:pPr>
            <w:r>
              <w:rPr>
                <w:noProof/>
              </w:rPr>
              <w:t>Démantèlement de la capacité de production d'électricité à partir de charbon/lignite</w:t>
            </w:r>
          </w:p>
        </w:tc>
      </w:tr>
      <w:tr w:rsidR="00A345F4" w14:paraId="00B4B311"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9E642B2" w14:textId="77777777" w:rsidR="00A345F4" w:rsidRDefault="005E2D4E">
            <w:pPr>
              <w:pStyle w:val="P68B1DB1-Normal73"/>
              <w:spacing w:after="0" w:line="259" w:lineRule="auto"/>
              <w:jc w:val="center"/>
              <w:rPr>
                <w:noProof/>
              </w:rPr>
            </w:pPr>
            <w:r>
              <w:rPr>
                <w:noProof/>
              </w:rPr>
              <w:t>121</w:t>
            </w:r>
          </w:p>
        </w:tc>
        <w:tc>
          <w:tcPr>
            <w:tcW w:w="3543" w:type="dxa"/>
            <w:tcBorders>
              <w:top w:val="nil"/>
              <w:left w:val="nil"/>
              <w:bottom w:val="single" w:sz="4" w:space="0" w:color="auto"/>
              <w:right w:val="single" w:sz="4" w:space="0" w:color="auto"/>
            </w:tcBorders>
            <w:shd w:val="clear" w:color="auto" w:fill="C6EFCE"/>
            <w:noWrap/>
          </w:tcPr>
          <w:p w14:paraId="4199A239" w14:textId="77777777" w:rsidR="00A345F4" w:rsidRDefault="005E2D4E">
            <w:pPr>
              <w:pStyle w:val="P68B1DB1-Normal73"/>
              <w:spacing w:after="0" w:line="259" w:lineRule="auto"/>
              <w:jc w:val="both"/>
              <w:rPr>
                <w:noProof/>
              </w:rPr>
            </w:pPr>
            <w:r>
              <w:rPr>
                <w:noProof/>
              </w:rPr>
              <w:t>C6.R2</w:t>
            </w:r>
          </w:p>
          <w:p w14:paraId="3DF12C57" w14:textId="77777777" w:rsidR="00A345F4" w:rsidRDefault="005E2D4E">
            <w:pPr>
              <w:pStyle w:val="P68B1DB1-Normal73"/>
              <w:spacing w:after="0" w:line="259" w:lineRule="auto"/>
              <w:jc w:val="both"/>
              <w:rPr>
                <w:noProof/>
              </w:rPr>
            </w:pPr>
            <w:r>
              <w:rPr>
                <w:noProof/>
              </w:rPr>
              <w:t>Réformer la gouvernance des entreprises publiques dans le secteur de l'énergie</w:t>
            </w:r>
          </w:p>
        </w:tc>
        <w:tc>
          <w:tcPr>
            <w:tcW w:w="1276" w:type="dxa"/>
            <w:tcBorders>
              <w:top w:val="nil"/>
              <w:left w:val="nil"/>
              <w:bottom w:val="single" w:sz="4" w:space="0" w:color="auto"/>
              <w:right w:val="single" w:sz="4" w:space="0" w:color="auto"/>
            </w:tcBorders>
            <w:shd w:val="clear" w:color="auto" w:fill="C6EFCE"/>
            <w:noWrap/>
          </w:tcPr>
          <w:p w14:paraId="683ED1F5"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D09815D" w14:textId="77777777" w:rsidR="00A345F4" w:rsidRDefault="005E2D4E">
            <w:pPr>
              <w:pStyle w:val="P68B1DB1-Normal73"/>
              <w:spacing w:after="0" w:line="259" w:lineRule="auto"/>
              <w:jc w:val="both"/>
              <w:rPr>
                <w:noProof/>
              </w:rPr>
            </w:pPr>
            <w:r>
              <w:rPr>
                <w:noProof/>
              </w:rPr>
              <w:t>Améliorer la gouvernance des entreprises publiques dans le secteur de l'énergie</w:t>
            </w:r>
          </w:p>
        </w:tc>
      </w:tr>
      <w:tr w:rsidR="00A345F4" w14:paraId="688CC9B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F464455" w14:textId="77777777" w:rsidR="00A345F4" w:rsidRDefault="005E2D4E">
            <w:pPr>
              <w:pStyle w:val="P68B1DB1-Normal73"/>
              <w:spacing w:after="0" w:line="259" w:lineRule="auto"/>
              <w:jc w:val="center"/>
              <w:rPr>
                <w:rFonts w:eastAsia="Times New Roman"/>
                <w:noProof/>
              </w:rPr>
            </w:pPr>
            <w:r>
              <w:rPr>
                <w:noProof/>
              </w:rPr>
              <w:t>151</w:t>
            </w:r>
          </w:p>
        </w:tc>
        <w:tc>
          <w:tcPr>
            <w:tcW w:w="3543" w:type="dxa"/>
            <w:tcBorders>
              <w:top w:val="nil"/>
              <w:left w:val="nil"/>
              <w:bottom w:val="single" w:sz="4" w:space="0" w:color="auto"/>
              <w:right w:val="single" w:sz="4" w:space="0" w:color="auto"/>
            </w:tcBorders>
            <w:shd w:val="clear" w:color="auto" w:fill="C6EFCE"/>
            <w:noWrap/>
          </w:tcPr>
          <w:p w14:paraId="35B82A5A" w14:textId="77777777" w:rsidR="00A345F4" w:rsidRDefault="005E2D4E">
            <w:pPr>
              <w:pStyle w:val="P68B1DB1-Normal73"/>
              <w:spacing w:after="0" w:line="259" w:lineRule="auto"/>
              <w:jc w:val="both"/>
              <w:rPr>
                <w:noProof/>
              </w:rPr>
            </w:pPr>
            <w:r>
              <w:rPr>
                <w:noProof/>
              </w:rPr>
              <w:t>C7.R3</w:t>
            </w:r>
          </w:p>
          <w:p w14:paraId="753D89E2" w14:textId="77777777" w:rsidR="00A345F4" w:rsidRDefault="005E2D4E">
            <w:pPr>
              <w:pStyle w:val="P68B1DB1-Normal73"/>
              <w:spacing w:after="0" w:line="259" w:lineRule="auto"/>
              <w:jc w:val="both"/>
              <w:rPr>
                <w:rFonts w:eastAsia="Times New Roman"/>
                <w:noProof/>
              </w:rPr>
            </w:pPr>
            <w:r>
              <w:rPr>
                <w:noProof/>
              </w:rPr>
              <w:t>Garantir la cybersécurité des entités publiques et privées possédant des infrastructures de valeur critique</w:t>
            </w:r>
          </w:p>
        </w:tc>
        <w:tc>
          <w:tcPr>
            <w:tcW w:w="1276" w:type="dxa"/>
            <w:tcBorders>
              <w:top w:val="nil"/>
              <w:left w:val="nil"/>
              <w:bottom w:val="single" w:sz="4" w:space="0" w:color="auto"/>
              <w:right w:val="single" w:sz="4" w:space="0" w:color="auto"/>
            </w:tcBorders>
            <w:shd w:val="clear" w:color="auto" w:fill="C6EFCE"/>
            <w:noWrap/>
          </w:tcPr>
          <w:p w14:paraId="54DF9AB0"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13E27E2" w14:textId="77777777" w:rsidR="00A345F4" w:rsidRDefault="005E2D4E">
            <w:pPr>
              <w:pStyle w:val="P68B1DB1-Normal73"/>
              <w:spacing w:after="0" w:line="259" w:lineRule="auto"/>
              <w:jc w:val="both"/>
              <w:rPr>
                <w:rFonts w:eastAsia="Times New Roman"/>
                <w:noProof/>
              </w:rPr>
            </w:pPr>
            <w:r>
              <w:rPr>
                <w:noProof/>
              </w:rPr>
              <w:t>Entrée en vigueur de la loi roumaine sur la défense et la cybersécurité</w:t>
            </w:r>
          </w:p>
        </w:tc>
      </w:tr>
      <w:tr w:rsidR="00A345F4" w14:paraId="46E2CD78"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C2254CD" w14:textId="77777777" w:rsidR="00A345F4" w:rsidRDefault="005E2D4E">
            <w:pPr>
              <w:pStyle w:val="P68B1DB1-Normal73"/>
              <w:spacing w:after="0" w:line="259" w:lineRule="auto"/>
              <w:jc w:val="center"/>
              <w:rPr>
                <w:rFonts w:eastAsia="Times New Roman"/>
                <w:noProof/>
              </w:rPr>
            </w:pPr>
            <w:r>
              <w:rPr>
                <w:noProof/>
              </w:rPr>
              <w:t>192</w:t>
            </w:r>
          </w:p>
        </w:tc>
        <w:tc>
          <w:tcPr>
            <w:tcW w:w="3543" w:type="dxa"/>
            <w:tcBorders>
              <w:top w:val="nil"/>
              <w:left w:val="nil"/>
              <w:bottom w:val="single" w:sz="4" w:space="0" w:color="auto"/>
              <w:right w:val="single" w:sz="4" w:space="0" w:color="auto"/>
            </w:tcBorders>
            <w:shd w:val="clear" w:color="auto" w:fill="C6EFCE"/>
            <w:noWrap/>
          </w:tcPr>
          <w:p w14:paraId="4C1C43F1" w14:textId="77777777" w:rsidR="00A345F4" w:rsidRDefault="005E2D4E">
            <w:pPr>
              <w:pStyle w:val="P68B1DB1-Normal73"/>
              <w:spacing w:after="0" w:line="259" w:lineRule="auto"/>
              <w:jc w:val="both"/>
              <w:rPr>
                <w:noProof/>
              </w:rPr>
            </w:pPr>
            <w:r>
              <w:rPr>
                <w:noProof/>
              </w:rPr>
              <w:t>C8.R1</w:t>
            </w:r>
          </w:p>
          <w:p w14:paraId="73675DF9" w14:textId="77777777" w:rsidR="00A345F4" w:rsidRDefault="005E2D4E">
            <w:pPr>
              <w:pStyle w:val="P68B1DB1-Normal73"/>
              <w:spacing w:after="0" w:line="259" w:lineRule="auto"/>
              <w:jc w:val="both"/>
              <w:rPr>
                <w:rFonts w:eastAsia="Times New Roman"/>
                <w:noProof/>
              </w:rPr>
            </w:pPr>
            <w:r>
              <w:rPr>
                <w:noProof/>
              </w:rPr>
              <w:t xml:space="preserve">Réforme de l’Agence nationale pour l’administration budgétaire (ANAF) par la numérisation </w:t>
            </w:r>
          </w:p>
        </w:tc>
        <w:tc>
          <w:tcPr>
            <w:tcW w:w="1276" w:type="dxa"/>
            <w:tcBorders>
              <w:top w:val="nil"/>
              <w:left w:val="nil"/>
              <w:bottom w:val="single" w:sz="4" w:space="0" w:color="auto"/>
              <w:right w:val="single" w:sz="4" w:space="0" w:color="auto"/>
            </w:tcBorders>
            <w:shd w:val="clear" w:color="auto" w:fill="C6EFCE"/>
            <w:noWrap/>
          </w:tcPr>
          <w:p w14:paraId="5F8D0919" w14:textId="77777777" w:rsidR="00A345F4" w:rsidRDefault="005E2D4E">
            <w:pPr>
              <w:pStyle w:val="P68B1DB1-Normal73"/>
              <w:spacing w:after="0" w:line="259" w:lineRule="auto"/>
              <w:jc w:val="center"/>
              <w:rPr>
                <w:rFonts w:eastAsia="Times New Roman"/>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40A2F6CC" w14:textId="77777777" w:rsidR="00A345F4" w:rsidRDefault="005E2D4E">
            <w:pPr>
              <w:pStyle w:val="P68B1DB1-Normal73"/>
              <w:spacing w:after="0" w:line="259" w:lineRule="auto"/>
              <w:jc w:val="both"/>
              <w:rPr>
                <w:rFonts w:eastAsia="Times New Roman"/>
                <w:noProof/>
              </w:rPr>
            </w:pPr>
            <w:r>
              <w:rPr>
                <w:noProof/>
              </w:rPr>
              <w:t xml:space="preserve">Personnes morales supplémentaires contribuables inscrits au SPV </w:t>
            </w:r>
          </w:p>
        </w:tc>
      </w:tr>
      <w:tr w:rsidR="00A345F4" w14:paraId="041C785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5F15AE0" w14:textId="77777777" w:rsidR="00A345F4" w:rsidRDefault="005E2D4E">
            <w:pPr>
              <w:pStyle w:val="P68B1DB1-Normal73"/>
              <w:spacing w:after="0" w:line="259" w:lineRule="auto"/>
              <w:jc w:val="center"/>
              <w:rPr>
                <w:rFonts w:eastAsia="Times New Roman"/>
                <w:noProof/>
              </w:rPr>
            </w:pPr>
            <w:r>
              <w:rPr>
                <w:noProof/>
              </w:rPr>
              <w:t>193</w:t>
            </w:r>
          </w:p>
        </w:tc>
        <w:tc>
          <w:tcPr>
            <w:tcW w:w="3543" w:type="dxa"/>
            <w:tcBorders>
              <w:top w:val="nil"/>
              <w:left w:val="nil"/>
              <w:bottom w:val="single" w:sz="4" w:space="0" w:color="auto"/>
              <w:right w:val="single" w:sz="4" w:space="0" w:color="auto"/>
            </w:tcBorders>
            <w:shd w:val="clear" w:color="auto" w:fill="C6EFCE"/>
            <w:noWrap/>
          </w:tcPr>
          <w:p w14:paraId="1737F488" w14:textId="77777777" w:rsidR="00A345F4" w:rsidRDefault="005E2D4E">
            <w:pPr>
              <w:pStyle w:val="P68B1DB1-Normal73"/>
              <w:spacing w:after="0" w:line="259" w:lineRule="auto"/>
              <w:jc w:val="both"/>
              <w:rPr>
                <w:noProof/>
              </w:rPr>
            </w:pPr>
            <w:r>
              <w:rPr>
                <w:noProof/>
              </w:rPr>
              <w:t>C8.R1</w:t>
            </w:r>
          </w:p>
          <w:p w14:paraId="58ACBEE0" w14:textId="77777777" w:rsidR="00A345F4" w:rsidRDefault="005E2D4E">
            <w:pPr>
              <w:pStyle w:val="P68B1DB1-Normal73"/>
              <w:spacing w:after="0" w:line="259" w:lineRule="auto"/>
              <w:jc w:val="both"/>
              <w:rPr>
                <w:rFonts w:eastAsia="Times New Roman"/>
                <w:noProof/>
              </w:rPr>
            </w:pPr>
            <w:r>
              <w:rPr>
                <w:noProof/>
              </w:rPr>
              <w:t xml:space="preserve">Réforme de l’Agence nationale pour l’administration budgétaire (ANAF) par la numérisation </w:t>
            </w:r>
          </w:p>
        </w:tc>
        <w:tc>
          <w:tcPr>
            <w:tcW w:w="1276" w:type="dxa"/>
            <w:tcBorders>
              <w:top w:val="nil"/>
              <w:left w:val="nil"/>
              <w:bottom w:val="single" w:sz="4" w:space="0" w:color="auto"/>
              <w:right w:val="single" w:sz="4" w:space="0" w:color="auto"/>
            </w:tcBorders>
            <w:shd w:val="clear" w:color="auto" w:fill="C6EFCE"/>
            <w:noWrap/>
          </w:tcPr>
          <w:p w14:paraId="76237D6D"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A8FA792" w14:textId="77777777" w:rsidR="00A345F4" w:rsidRDefault="005E2D4E">
            <w:pPr>
              <w:pStyle w:val="P68B1DB1-Normal73"/>
              <w:spacing w:after="0" w:line="259" w:lineRule="auto"/>
              <w:jc w:val="both"/>
              <w:rPr>
                <w:rFonts w:eastAsia="Times New Roman"/>
                <w:noProof/>
              </w:rPr>
            </w:pPr>
            <w:r>
              <w:rPr>
                <w:noProof/>
              </w:rPr>
              <w:t>Entrée en vigueur du cadre juridique applicable définissant les critères de risque pour la classification des contribuables. Le cadre juridique est approuvé par une ordonnance du président de l'ANAF.</w:t>
            </w:r>
          </w:p>
        </w:tc>
      </w:tr>
      <w:tr w:rsidR="00A345F4" w14:paraId="25357137"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53405A98" w14:textId="77777777" w:rsidR="00A345F4" w:rsidRDefault="005E2D4E">
            <w:pPr>
              <w:pStyle w:val="P68B1DB1-Normal73"/>
              <w:spacing w:after="0" w:line="259" w:lineRule="auto"/>
              <w:jc w:val="center"/>
              <w:rPr>
                <w:rFonts w:eastAsia="Times New Roman"/>
                <w:noProof/>
              </w:rPr>
            </w:pPr>
            <w:r>
              <w:rPr>
                <w:noProof/>
              </w:rPr>
              <w:t>194</w:t>
            </w:r>
          </w:p>
        </w:tc>
        <w:tc>
          <w:tcPr>
            <w:tcW w:w="3543" w:type="dxa"/>
            <w:tcBorders>
              <w:top w:val="nil"/>
              <w:left w:val="nil"/>
              <w:bottom w:val="single" w:sz="4" w:space="0" w:color="auto"/>
              <w:right w:val="single" w:sz="4" w:space="0" w:color="auto"/>
            </w:tcBorders>
            <w:shd w:val="clear" w:color="auto" w:fill="C6EFCE"/>
            <w:noWrap/>
          </w:tcPr>
          <w:p w14:paraId="66E068A3" w14:textId="77777777" w:rsidR="00A345F4" w:rsidRDefault="005E2D4E">
            <w:pPr>
              <w:pStyle w:val="P68B1DB1-Normal73"/>
              <w:spacing w:after="0" w:line="259" w:lineRule="auto"/>
              <w:jc w:val="both"/>
              <w:rPr>
                <w:noProof/>
              </w:rPr>
            </w:pPr>
            <w:r>
              <w:rPr>
                <w:noProof/>
              </w:rPr>
              <w:t>C8.R1</w:t>
            </w:r>
          </w:p>
          <w:p w14:paraId="4A1B12E0" w14:textId="77777777" w:rsidR="00A345F4" w:rsidRDefault="005E2D4E">
            <w:pPr>
              <w:pStyle w:val="P68B1DB1-Normal73"/>
              <w:spacing w:after="0" w:line="259" w:lineRule="auto"/>
              <w:jc w:val="both"/>
              <w:rPr>
                <w:rFonts w:eastAsia="Times New Roman"/>
                <w:noProof/>
              </w:rPr>
            </w:pPr>
            <w:r>
              <w:rPr>
                <w:noProof/>
              </w:rPr>
              <w:t xml:space="preserve">Réforme de l’Agence nationale pour l’administration budgétaire (ANAF) par la numérisation </w:t>
            </w:r>
          </w:p>
        </w:tc>
        <w:tc>
          <w:tcPr>
            <w:tcW w:w="1276" w:type="dxa"/>
            <w:tcBorders>
              <w:top w:val="nil"/>
              <w:left w:val="nil"/>
              <w:bottom w:val="single" w:sz="4" w:space="0" w:color="auto"/>
              <w:right w:val="single" w:sz="4" w:space="0" w:color="auto"/>
            </w:tcBorders>
            <w:shd w:val="clear" w:color="auto" w:fill="C6EFCE"/>
            <w:noWrap/>
          </w:tcPr>
          <w:p w14:paraId="0BAFF72A"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8A9CD49" w14:textId="77777777" w:rsidR="00A345F4" w:rsidRDefault="005E2D4E">
            <w:pPr>
              <w:pStyle w:val="P68B1DB1-Normal73"/>
              <w:spacing w:after="0" w:line="259" w:lineRule="auto"/>
              <w:jc w:val="both"/>
              <w:rPr>
                <w:rFonts w:eastAsia="Times New Roman"/>
                <w:noProof/>
              </w:rPr>
            </w:pPr>
            <w:r>
              <w:rPr>
                <w:noProof/>
              </w:rPr>
              <w:t xml:space="preserve">Entrée en vigueur du cadre juridique modifié dans le domaine d’activité des organismes de contrôle fiscal </w:t>
            </w:r>
          </w:p>
        </w:tc>
      </w:tr>
      <w:tr w:rsidR="00A345F4" w14:paraId="698EFDA9"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E452306" w14:textId="77777777" w:rsidR="00A345F4" w:rsidRDefault="005E2D4E">
            <w:pPr>
              <w:pStyle w:val="P68B1DB1-Normal73"/>
              <w:spacing w:after="0" w:line="259" w:lineRule="auto"/>
              <w:jc w:val="center"/>
              <w:rPr>
                <w:rFonts w:eastAsia="Times New Roman"/>
                <w:noProof/>
              </w:rPr>
            </w:pPr>
            <w:r>
              <w:rPr>
                <w:noProof/>
              </w:rPr>
              <w:t>199</w:t>
            </w:r>
          </w:p>
        </w:tc>
        <w:tc>
          <w:tcPr>
            <w:tcW w:w="3543" w:type="dxa"/>
            <w:tcBorders>
              <w:top w:val="nil"/>
              <w:left w:val="nil"/>
              <w:bottom w:val="single" w:sz="4" w:space="0" w:color="auto"/>
              <w:right w:val="single" w:sz="4" w:space="0" w:color="auto"/>
            </w:tcBorders>
            <w:shd w:val="clear" w:color="auto" w:fill="C6EFCE"/>
            <w:noWrap/>
          </w:tcPr>
          <w:p w14:paraId="0D5D6111" w14:textId="77777777" w:rsidR="00A345F4" w:rsidRDefault="005E2D4E">
            <w:pPr>
              <w:pStyle w:val="P68B1DB1-Normal73"/>
              <w:spacing w:after="0" w:line="259" w:lineRule="auto"/>
              <w:jc w:val="both"/>
              <w:rPr>
                <w:noProof/>
              </w:rPr>
            </w:pPr>
            <w:r>
              <w:rPr>
                <w:noProof/>
              </w:rPr>
              <w:t>C8.R3</w:t>
            </w:r>
          </w:p>
          <w:p w14:paraId="52619261" w14:textId="77777777" w:rsidR="00A345F4" w:rsidRDefault="005E2D4E">
            <w:pPr>
              <w:pStyle w:val="P68B1DB1-Normal73"/>
              <w:spacing w:after="0" w:line="259" w:lineRule="auto"/>
              <w:jc w:val="both"/>
              <w:rPr>
                <w:rFonts w:eastAsia="Times New Roman"/>
                <w:noProof/>
              </w:rPr>
            </w:pPr>
            <w:r>
              <w:rPr>
                <w:noProof/>
              </w:rPr>
              <w:t xml:space="preserve">Renforcement du mécanisme de programmation budgétaire </w:t>
            </w:r>
          </w:p>
        </w:tc>
        <w:tc>
          <w:tcPr>
            <w:tcW w:w="1276" w:type="dxa"/>
            <w:tcBorders>
              <w:top w:val="nil"/>
              <w:left w:val="nil"/>
              <w:bottom w:val="single" w:sz="4" w:space="0" w:color="auto"/>
              <w:right w:val="single" w:sz="4" w:space="0" w:color="auto"/>
            </w:tcBorders>
            <w:shd w:val="clear" w:color="auto" w:fill="C6EFCE"/>
            <w:noWrap/>
          </w:tcPr>
          <w:p w14:paraId="04397ED7"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CC3AB4A" w14:textId="77777777" w:rsidR="00A345F4" w:rsidRDefault="005E2D4E">
            <w:pPr>
              <w:pStyle w:val="P68B1DB1-Normal73"/>
              <w:spacing w:after="0" w:line="259" w:lineRule="auto"/>
              <w:jc w:val="both"/>
              <w:rPr>
                <w:rFonts w:eastAsia="Times New Roman"/>
                <w:noProof/>
              </w:rPr>
            </w:pPr>
            <w:r>
              <w:rPr>
                <w:noProof/>
              </w:rPr>
              <w:t xml:space="preserve">Entrée en vigueur du cadre réglementaire modifié visant à garantir une planification budgétaire pluriannuelle pour les grands projets d’investissement public et à faire procéder à une évaluation ex post des réexamens des dépenses par le conseil budgétaire </w:t>
            </w:r>
          </w:p>
        </w:tc>
      </w:tr>
      <w:tr w:rsidR="00A345F4" w14:paraId="7025FC16"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DA63D0C" w14:textId="77777777" w:rsidR="00A345F4" w:rsidRDefault="005E2D4E">
            <w:pPr>
              <w:pStyle w:val="P68B1DB1-Normal73"/>
              <w:spacing w:after="0" w:line="259" w:lineRule="auto"/>
              <w:jc w:val="center"/>
              <w:rPr>
                <w:rFonts w:eastAsia="Times New Roman"/>
                <w:noProof/>
              </w:rPr>
            </w:pPr>
            <w:r>
              <w:rPr>
                <w:noProof/>
              </w:rPr>
              <w:t>205</w:t>
            </w:r>
          </w:p>
        </w:tc>
        <w:tc>
          <w:tcPr>
            <w:tcW w:w="3543" w:type="dxa"/>
            <w:tcBorders>
              <w:top w:val="nil"/>
              <w:left w:val="nil"/>
              <w:bottom w:val="single" w:sz="4" w:space="0" w:color="auto"/>
              <w:right w:val="single" w:sz="4" w:space="0" w:color="auto"/>
            </w:tcBorders>
            <w:shd w:val="clear" w:color="auto" w:fill="C6EFCE"/>
            <w:noWrap/>
          </w:tcPr>
          <w:p w14:paraId="5D80CA7A" w14:textId="77777777" w:rsidR="00A345F4" w:rsidRDefault="005E2D4E">
            <w:pPr>
              <w:pStyle w:val="P68B1DB1-Normal73"/>
              <w:spacing w:after="0" w:line="259" w:lineRule="auto"/>
              <w:jc w:val="both"/>
              <w:rPr>
                <w:noProof/>
              </w:rPr>
            </w:pPr>
            <w:r>
              <w:rPr>
                <w:noProof/>
              </w:rPr>
              <w:t>C8.R4</w:t>
            </w:r>
          </w:p>
          <w:p w14:paraId="30E49159" w14:textId="77777777" w:rsidR="00A345F4" w:rsidRDefault="005E2D4E">
            <w:pPr>
              <w:pStyle w:val="P68B1DB1-Normal73"/>
              <w:spacing w:after="0" w:line="259" w:lineRule="auto"/>
              <w:jc w:val="both"/>
              <w:rPr>
                <w:noProof/>
              </w:rPr>
            </w:pPr>
            <w:r>
              <w:rPr>
                <w:noProof/>
              </w:rPr>
              <w:t>Révision du cadre fiscal</w:t>
            </w:r>
          </w:p>
        </w:tc>
        <w:tc>
          <w:tcPr>
            <w:tcW w:w="1276" w:type="dxa"/>
            <w:tcBorders>
              <w:top w:val="nil"/>
              <w:left w:val="nil"/>
              <w:bottom w:val="single" w:sz="4" w:space="0" w:color="auto"/>
              <w:right w:val="single" w:sz="4" w:space="0" w:color="auto"/>
            </w:tcBorders>
            <w:shd w:val="clear" w:color="auto" w:fill="C6EFCE"/>
            <w:noWrap/>
          </w:tcPr>
          <w:p w14:paraId="4BA8D3CE"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6D262D3" w14:textId="77777777" w:rsidR="00A345F4" w:rsidRDefault="005E2D4E">
            <w:pPr>
              <w:pStyle w:val="P68B1DB1-Normal73"/>
              <w:spacing w:after="0" w:line="259" w:lineRule="auto"/>
              <w:jc w:val="both"/>
              <w:rPr>
                <w:rFonts w:eastAsia="Times New Roman"/>
                <w:noProof/>
              </w:rPr>
            </w:pPr>
            <w:r>
              <w:rPr>
                <w:noProof/>
              </w:rPr>
              <w:t>Analyse du système fiscal roumain dans le but de formuler des recommandations visant à garantir que le système fiscal contribue à promouvoir et à préserver une croissance économique durable</w:t>
            </w:r>
          </w:p>
        </w:tc>
      </w:tr>
      <w:tr w:rsidR="00A345F4" w14:paraId="48FE59D4"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C44C41C" w14:textId="77777777" w:rsidR="00A345F4" w:rsidRDefault="005E2D4E">
            <w:pPr>
              <w:pStyle w:val="P68B1DB1-Normal73"/>
              <w:spacing w:after="0" w:line="259" w:lineRule="auto"/>
              <w:jc w:val="center"/>
              <w:rPr>
                <w:rFonts w:eastAsia="Times New Roman"/>
                <w:noProof/>
              </w:rPr>
            </w:pPr>
            <w:r>
              <w:rPr>
                <w:noProof/>
              </w:rPr>
              <w:t>206</w:t>
            </w:r>
          </w:p>
        </w:tc>
        <w:tc>
          <w:tcPr>
            <w:tcW w:w="3543" w:type="dxa"/>
            <w:tcBorders>
              <w:top w:val="nil"/>
              <w:left w:val="nil"/>
              <w:bottom w:val="single" w:sz="4" w:space="0" w:color="auto"/>
              <w:right w:val="single" w:sz="4" w:space="0" w:color="auto"/>
            </w:tcBorders>
            <w:shd w:val="clear" w:color="auto" w:fill="C6EFCE"/>
            <w:noWrap/>
          </w:tcPr>
          <w:p w14:paraId="75246A91" w14:textId="77777777" w:rsidR="00A345F4" w:rsidRDefault="005E2D4E">
            <w:pPr>
              <w:pStyle w:val="P68B1DB1-Normal73"/>
              <w:spacing w:after="0" w:line="259" w:lineRule="auto"/>
              <w:jc w:val="both"/>
              <w:rPr>
                <w:noProof/>
              </w:rPr>
            </w:pPr>
            <w:r>
              <w:rPr>
                <w:noProof/>
              </w:rPr>
              <w:t>C8.R4</w:t>
            </w:r>
          </w:p>
          <w:p w14:paraId="11193B62" w14:textId="77777777" w:rsidR="00A345F4" w:rsidRDefault="005E2D4E">
            <w:pPr>
              <w:pStyle w:val="P68B1DB1-Normal73"/>
              <w:spacing w:after="0" w:line="259" w:lineRule="auto"/>
              <w:jc w:val="both"/>
              <w:rPr>
                <w:rFonts w:eastAsia="Times New Roman"/>
                <w:noProof/>
              </w:rPr>
            </w:pPr>
            <w:r>
              <w:rPr>
                <w:noProof/>
              </w:rPr>
              <w:t>Révision du cadre fiscal</w:t>
            </w:r>
          </w:p>
        </w:tc>
        <w:tc>
          <w:tcPr>
            <w:tcW w:w="1276" w:type="dxa"/>
            <w:tcBorders>
              <w:top w:val="nil"/>
              <w:left w:val="nil"/>
              <w:bottom w:val="single" w:sz="4" w:space="0" w:color="auto"/>
              <w:right w:val="single" w:sz="4" w:space="0" w:color="auto"/>
            </w:tcBorders>
            <w:shd w:val="clear" w:color="auto" w:fill="C6EFCE"/>
            <w:noWrap/>
          </w:tcPr>
          <w:p w14:paraId="1007D813"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7F91098" w14:textId="77777777" w:rsidR="00A345F4" w:rsidRDefault="005E2D4E">
            <w:pPr>
              <w:pStyle w:val="P68B1DB1-Normal73"/>
              <w:spacing w:after="0" w:line="259" w:lineRule="auto"/>
              <w:jc w:val="both"/>
              <w:rPr>
                <w:rFonts w:eastAsia="Times New Roman"/>
                <w:noProof/>
              </w:rPr>
            </w:pPr>
            <w:r>
              <w:rPr>
                <w:noProof/>
              </w:rPr>
              <w:t xml:space="preserve">Entrée en vigueur des modifications du code fiscal réduisant progressivement le champ d’application du régime fiscal spécial pour les microentreprises </w:t>
            </w:r>
          </w:p>
        </w:tc>
      </w:tr>
      <w:tr w:rsidR="00A345F4" w14:paraId="2E3572B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0C90636" w14:textId="77777777" w:rsidR="00A345F4" w:rsidRDefault="005E2D4E">
            <w:pPr>
              <w:pStyle w:val="P68B1DB1-Normal73"/>
              <w:spacing w:after="0" w:line="259" w:lineRule="auto"/>
              <w:jc w:val="center"/>
              <w:rPr>
                <w:rFonts w:eastAsia="Times New Roman"/>
                <w:noProof/>
              </w:rPr>
            </w:pPr>
            <w:r>
              <w:rPr>
                <w:noProof/>
              </w:rPr>
              <w:t>215</w:t>
            </w:r>
          </w:p>
        </w:tc>
        <w:tc>
          <w:tcPr>
            <w:tcW w:w="3543" w:type="dxa"/>
            <w:tcBorders>
              <w:top w:val="nil"/>
              <w:left w:val="nil"/>
              <w:bottom w:val="single" w:sz="4" w:space="0" w:color="auto"/>
              <w:right w:val="single" w:sz="4" w:space="0" w:color="auto"/>
            </w:tcBorders>
            <w:shd w:val="clear" w:color="auto" w:fill="C6EFCE"/>
            <w:noWrap/>
          </w:tcPr>
          <w:p w14:paraId="1B002A8C" w14:textId="77777777" w:rsidR="00A345F4" w:rsidRDefault="005E2D4E">
            <w:pPr>
              <w:pStyle w:val="P68B1DB1-Normal73"/>
              <w:spacing w:after="0" w:line="259" w:lineRule="auto"/>
              <w:jc w:val="both"/>
              <w:rPr>
                <w:noProof/>
              </w:rPr>
            </w:pPr>
            <w:r>
              <w:rPr>
                <w:noProof/>
              </w:rPr>
              <w:t>C8.R6</w:t>
            </w:r>
          </w:p>
          <w:p w14:paraId="706D0A08" w14:textId="77777777" w:rsidR="00A345F4" w:rsidRDefault="005E2D4E">
            <w:pPr>
              <w:pStyle w:val="P68B1DB1-Normal73"/>
              <w:spacing w:after="0" w:line="259" w:lineRule="auto"/>
              <w:jc w:val="both"/>
              <w:rPr>
                <w:rFonts w:eastAsia="Times New Roman"/>
                <w:noProof/>
              </w:rPr>
            </w:pPr>
            <w:r>
              <w:rPr>
                <w:noProof/>
              </w:rPr>
              <w:t>Réforme du système public de retraite</w:t>
            </w:r>
          </w:p>
        </w:tc>
        <w:tc>
          <w:tcPr>
            <w:tcW w:w="1276" w:type="dxa"/>
            <w:tcBorders>
              <w:top w:val="nil"/>
              <w:left w:val="nil"/>
              <w:bottom w:val="single" w:sz="4" w:space="0" w:color="auto"/>
              <w:right w:val="single" w:sz="4" w:space="0" w:color="auto"/>
            </w:tcBorders>
            <w:shd w:val="clear" w:color="auto" w:fill="C6EFCE"/>
            <w:noWrap/>
          </w:tcPr>
          <w:p w14:paraId="2226D88F"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74E9EF8" w14:textId="77777777" w:rsidR="00A345F4" w:rsidRDefault="005E2D4E">
            <w:pPr>
              <w:pStyle w:val="P68B1DB1-Normal73"/>
              <w:spacing w:after="0" w:line="259" w:lineRule="auto"/>
              <w:jc w:val="both"/>
              <w:rPr>
                <w:rFonts w:eastAsia="Times New Roman"/>
                <w:noProof/>
              </w:rPr>
            </w:pPr>
            <w:r>
              <w:rPr>
                <w:noProof/>
              </w:rPr>
              <w:t>Entrée en vigueur du cadre législatif pour la réduction des dépenses relatives aux pensions spéciales</w:t>
            </w:r>
          </w:p>
        </w:tc>
      </w:tr>
      <w:tr w:rsidR="00A345F4" w14:paraId="52C362B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537E185D" w14:textId="77777777" w:rsidR="00A345F4" w:rsidRDefault="005E2D4E">
            <w:pPr>
              <w:pStyle w:val="P68B1DB1-Normal73"/>
              <w:spacing w:after="0" w:line="259" w:lineRule="auto"/>
              <w:jc w:val="center"/>
              <w:rPr>
                <w:rFonts w:eastAsia="Times New Roman"/>
                <w:noProof/>
              </w:rPr>
            </w:pPr>
            <w:r>
              <w:rPr>
                <w:noProof/>
              </w:rPr>
              <w:t>221</w:t>
            </w:r>
          </w:p>
        </w:tc>
        <w:tc>
          <w:tcPr>
            <w:tcW w:w="3543" w:type="dxa"/>
            <w:tcBorders>
              <w:top w:val="nil"/>
              <w:left w:val="nil"/>
              <w:bottom w:val="single" w:sz="4" w:space="0" w:color="auto"/>
              <w:right w:val="single" w:sz="4" w:space="0" w:color="auto"/>
            </w:tcBorders>
            <w:shd w:val="clear" w:color="auto" w:fill="C6EFCE"/>
            <w:noWrap/>
          </w:tcPr>
          <w:p w14:paraId="277991BC" w14:textId="77777777" w:rsidR="00A345F4" w:rsidRDefault="005E2D4E">
            <w:pPr>
              <w:pStyle w:val="P68B1DB1-Normal73"/>
              <w:spacing w:after="0" w:line="259" w:lineRule="auto"/>
              <w:jc w:val="both"/>
              <w:rPr>
                <w:noProof/>
              </w:rPr>
            </w:pPr>
            <w:r>
              <w:rPr>
                <w:noProof/>
              </w:rPr>
              <w:t>C8.I2</w:t>
            </w:r>
          </w:p>
          <w:p w14:paraId="7DD8ACFD" w14:textId="536E8D38" w:rsidR="00A345F4" w:rsidRDefault="005E2D4E">
            <w:pPr>
              <w:pStyle w:val="P68B1DB1-Normal73"/>
              <w:spacing w:after="0" w:line="259" w:lineRule="auto"/>
              <w:jc w:val="both"/>
              <w:rPr>
                <w:rFonts w:eastAsia="Times New Roman"/>
                <w:noProof/>
              </w:rPr>
            </w:pPr>
            <w:r>
              <w:rPr>
                <w:noProof/>
              </w:rPr>
              <w:t>Améliorer les processus fiscaux et administratifs</w:t>
            </w:r>
          </w:p>
        </w:tc>
        <w:tc>
          <w:tcPr>
            <w:tcW w:w="1276" w:type="dxa"/>
            <w:tcBorders>
              <w:top w:val="nil"/>
              <w:left w:val="nil"/>
              <w:bottom w:val="single" w:sz="4" w:space="0" w:color="auto"/>
              <w:right w:val="single" w:sz="4" w:space="0" w:color="auto"/>
            </w:tcBorders>
            <w:shd w:val="clear" w:color="auto" w:fill="C6EFCE"/>
            <w:noWrap/>
          </w:tcPr>
          <w:p w14:paraId="7C7161FD" w14:textId="77777777" w:rsidR="00A345F4" w:rsidRDefault="005E2D4E">
            <w:pPr>
              <w:pStyle w:val="P68B1DB1-Normal73"/>
              <w:spacing w:after="0" w:line="259" w:lineRule="auto"/>
              <w:jc w:val="center"/>
              <w:rPr>
                <w:rFonts w:eastAsia="Times New Roman"/>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24C91F52" w14:textId="77777777" w:rsidR="00A345F4" w:rsidRDefault="005E2D4E">
            <w:pPr>
              <w:pStyle w:val="P68B1DB1-Normal73"/>
              <w:spacing w:after="0" w:line="259" w:lineRule="auto"/>
              <w:jc w:val="both"/>
              <w:rPr>
                <w:rFonts w:eastAsia="Times New Roman"/>
                <w:noProof/>
              </w:rPr>
            </w:pPr>
            <w:r>
              <w:rPr>
                <w:noProof/>
              </w:rPr>
              <w:t xml:space="preserve">Nombre de caisses enregistreuses connectées au système informatique de l’Agence nationale pour l’administration fiscale </w:t>
            </w:r>
          </w:p>
        </w:tc>
      </w:tr>
      <w:tr w:rsidR="00A345F4" w14:paraId="21B8D5F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CAF86E3" w14:textId="77777777" w:rsidR="00A345F4" w:rsidRDefault="005E2D4E">
            <w:pPr>
              <w:pStyle w:val="P68B1DB1-Normal73"/>
              <w:spacing w:after="0" w:line="259" w:lineRule="auto"/>
              <w:jc w:val="center"/>
              <w:rPr>
                <w:rFonts w:eastAsia="Times New Roman"/>
                <w:noProof/>
              </w:rPr>
            </w:pPr>
            <w:r>
              <w:rPr>
                <w:noProof/>
              </w:rPr>
              <w:t>222</w:t>
            </w:r>
          </w:p>
        </w:tc>
        <w:tc>
          <w:tcPr>
            <w:tcW w:w="3543" w:type="dxa"/>
            <w:tcBorders>
              <w:top w:val="nil"/>
              <w:left w:val="nil"/>
              <w:bottom w:val="single" w:sz="4" w:space="0" w:color="auto"/>
              <w:right w:val="single" w:sz="4" w:space="0" w:color="auto"/>
            </w:tcBorders>
            <w:shd w:val="clear" w:color="auto" w:fill="C6EFCE"/>
            <w:noWrap/>
          </w:tcPr>
          <w:p w14:paraId="64D67BF8" w14:textId="77777777" w:rsidR="00A345F4" w:rsidRDefault="005E2D4E">
            <w:pPr>
              <w:pStyle w:val="P68B1DB1-Normal73"/>
              <w:spacing w:after="0" w:line="259" w:lineRule="auto"/>
              <w:jc w:val="both"/>
              <w:rPr>
                <w:noProof/>
              </w:rPr>
            </w:pPr>
            <w:r>
              <w:rPr>
                <w:noProof/>
              </w:rPr>
              <w:t>C8.I2</w:t>
            </w:r>
          </w:p>
          <w:p w14:paraId="135EBA34" w14:textId="6F6E8F01" w:rsidR="00A345F4" w:rsidRDefault="005E2D4E">
            <w:pPr>
              <w:pStyle w:val="P68B1DB1-Normal73"/>
              <w:spacing w:after="0" w:line="259" w:lineRule="auto"/>
              <w:jc w:val="both"/>
              <w:rPr>
                <w:rFonts w:eastAsia="Times New Roman"/>
                <w:noProof/>
              </w:rPr>
            </w:pPr>
            <w:r>
              <w:rPr>
                <w:noProof/>
              </w:rPr>
              <w:t>Améliorer les processus fiscaux et administratifs</w:t>
            </w:r>
          </w:p>
        </w:tc>
        <w:tc>
          <w:tcPr>
            <w:tcW w:w="1276" w:type="dxa"/>
            <w:tcBorders>
              <w:top w:val="nil"/>
              <w:left w:val="nil"/>
              <w:bottom w:val="single" w:sz="4" w:space="0" w:color="auto"/>
              <w:right w:val="single" w:sz="4" w:space="0" w:color="auto"/>
            </w:tcBorders>
            <w:shd w:val="clear" w:color="auto" w:fill="C6EFCE"/>
            <w:noWrap/>
          </w:tcPr>
          <w:p w14:paraId="341A1FF4" w14:textId="77777777" w:rsidR="00A345F4" w:rsidRDefault="005E2D4E">
            <w:pPr>
              <w:pStyle w:val="P68B1DB1-Normal73"/>
              <w:spacing w:after="0" w:line="259" w:lineRule="auto"/>
              <w:jc w:val="center"/>
              <w:rPr>
                <w:rFonts w:eastAsia="Times New Roman"/>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69489CEB" w14:textId="77777777" w:rsidR="00A345F4" w:rsidRDefault="005E2D4E">
            <w:pPr>
              <w:pStyle w:val="P68B1DB1-Normal73"/>
              <w:spacing w:after="0" w:line="259" w:lineRule="auto"/>
              <w:jc w:val="both"/>
              <w:rPr>
                <w:rFonts w:eastAsia="Times New Roman"/>
                <w:noProof/>
              </w:rPr>
            </w:pPr>
            <w:r>
              <w:rPr>
                <w:noProof/>
              </w:rPr>
              <w:t xml:space="preserve">Part du nombre d’audits documentaires déclarés sur le total des audits effectués par l’administration fiscale — 30 % </w:t>
            </w:r>
          </w:p>
        </w:tc>
      </w:tr>
      <w:tr w:rsidR="00A345F4" w14:paraId="0E67157E"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4AF4279C" w14:textId="77777777" w:rsidR="00A345F4" w:rsidRDefault="005E2D4E">
            <w:pPr>
              <w:pStyle w:val="P68B1DB1-Normal73"/>
              <w:spacing w:after="0" w:line="259" w:lineRule="auto"/>
              <w:jc w:val="center"/>
              <w:rPr>
                <w:noProof/>
              </w:rPr>
            </w:pPr>
            <w:r>
              <w:rPr>
                <w:noProof/>
              </w:rPr>
              <w:t>230</w:t>
            </w:r>
          </w:p>
        </w:tc>
        <w:tc>
          <w:tcPr>
            <w:tcW w:w="3543" w:type="dxa"/>
            <w:tcBorders>
              <w:top w:val="nil"/>
              <w:left w:val="nil"/>
              <w:bottom w:val="single" w:sz="4" w:space="0" w:color="auto"/>
              <w:right w:val="single" w:sz="4" w:space="0" w:color="auto"/>
            </w:tcBorders>
            <w:shd w:val="clear" w:color="auto" w:fill="C6EFCE"/>
            <w:noWrap/>
          </w:tcPr>
          <w:p w14:paraId="13A07A32" w14:textId="77777777" w:rsidR="00A345F4" w:rsidRDefault="005E2D4E">
            <w:pPr>
              <w:pStyle w:val="P68B1DB1-Normal73"/>
              <w:spacing w:after="0" w:line="259" w:lineRule="auto"/>
              <w:jc w:val="both"/>
              <w:rPr>
                <w:noProof/>
              </w:rPr>
            </w:pPr>
            <w:r>
              <w:rPr>
                <w:noProof/>
              </w:rPr>
              <w:t>C8.I4</w:t>
            </w:r>
          </w:p>
          <w:p w14:paraId="0E7C8092" w14:textId="77777777" w:rsidR="00A345F4" w:rsidRDefault="005E2D4E">
            <w:pPr>
              <w:pStyle w:val="P68B1DB1-Normal73"/>
              <w:spacing w:after="0" w:line="259" w:lineRule="auto"/>
              <w:jc w:val="both"/>
              <w:rPr>
                <w:noProof/>
              </w:rPr>
            </w:pPr>
            <w:r>
              <w:rPr>
                <w:noProof/>
                <w:color w:val="000000"/>
              </w:rPr>
              <w:t>Mise en place</w:t>
            </w:r>
            <w:r>
              <w:rPr>
                <w:noProof/>
              </w:rPr>
              <w:t xml:space="preserve"> d'une douane électronique</w:t>
            </w:r>
          </w:p>
        </w:tc>
        <w:tc>
          <w:tcPr>
            <w:tcW w:w="1276" w:type="dxa"/>
            <w:tcBorders>
              <w:top w:val="nil"/>
              <w:left w:val="nil"/>
              <w:bottom w:val="single" w:sz="4" w:space="0" w:color="auto"/>
              <w:right w:val="single" w:sz="4" w:space="0" w:color="auto"/>
            </w:tcBorders>
            <w:shd w:val="clear" w:color="auto" w:fill="C6EFCE"/>
            <w:noWrap/>
          </w:tcPr>
          <w:p w14:paraId="595D218D" w14:textId="77777777" w:rsidR="00A345F4" w:rsidRDefault="005E2D4E">
            <w:pPr>
              <w:pStyle w:val="P68B1DB1-Normal73"/>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64DD071F" w14:textId="77777777" w:rsidR="00A345F4" w:rsidRDefault="005E2D4E">
            <w:pPr>
              <w:pStyle w:val="P68B1DB1-Normal73"/>
              <w:spacing w:after="0" w:line="259" w:lineRule="auto"/>
              <w:jc w:val="both"/>
              <w:rPr>
                <w:noProof/>
              </w:rPr>
            </w:pPr>
            <w:r>
              <w:rPr>
                <w:noProof/>
              </w:rPr>
              <w:t>Amélioration de l'infrastructure matérielle et logicielle</w:t>
            </w:r>
          </w:p>
        </w:tc>
      </w:tr>
      <w:tr w:rsidR="00A345F4" w14:paraId="57EC3C4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3B04576" w14:textId="77777777" w:rsidR="00A345F4" w:rsidRDefault="005E2D4E">
            <w:pPr>
              <w:pStyle w:val="P68B1DB1-Normal73"/>
              <w:spacing w:after="0" w:line="259" w:lineRule="auto"/>
              <w:jc w:val="center"/>
              <w:rPr>
                <w:rFonts w:eastAsia="Times New Roman"/>
                <w:noProof/>
              </w:rPr>
            </w:pPr>
            <w:r>
              <w:rPr>
                <w:noProof/>
              </w:rPr>
              <w:t>288</w:t>
            </w:r>
          </w:p>
        </w:tc>
        <w:tc>
          <w:tcPr>
            <w:tcW w:w="3543" w:type="dxa"/>
            <w:tcBorders>
              <w:top w:val="nil"/>
              <w:left w:val="nil"/>
              <w:bottom w:val="single" w:sz="4" w:space="0" w:color="auto"/>
              <w:right w:val="single" w:sz="4" w:space="0" w:color="auto"/>
            </w:tcBorders>
            <w:shd w:val="clear" w:color="auto" w:fill="C6EFCE"/>
            <w:noWrap/>
          </w:tcPr>
          <w:p w14:paraId="3C658CAB" w14:textId="77777777" w:rsidR="00A345F4" w:rsidRDefault="005E2D4E">
            <w:pPr>
              <w:pStyle w:val="P68B1DB1-Normal73"/>
              <w:spacing w:after="0" w:line="259" w:lineRule="auto"/>
              <w:jc w:val="both"/>
              <w:rPr>
                <w:noProof/>
              </w:rPr>
            </w:pPr>
            <w:r>
              <w:rPr>
                <w:noProof/>
              </w:rPr>
              <w:t>C10.R1</w:t>
            </w:r>
          </w:p>
          <w:p w14:paraId="1ED25CEE" w14:textId="77777777" w:rsidR="00A345F4" w:rsidRDefault="005E2D4E">
            <w:pPr>
              <w:pStyle w:val="P68B1DB1-Normal73"/>
              <w:spacing w:after="0" w:line="259" w:lineRule="auto"/>
              <w:jc w:val="both"/>
              <w:rPr>
                <w:rFonts w:eastAsia="Times New Roman"/>
                <w:noProof/>
              </w:rPr>
            </w:pPr>
            <w:r>
              <w:rPr>
                <w:noProof/>
              </w:rPr>
              <w:t xml:space="preserve">Créer le cadre d'une mobilité urbaine durable </w:t>
            </w:r>
          </w:p>
        </w:tc>
        <w:tc>
          <w:tcPr>
            <w:tcW w:w="1276" w:type="dxa"/>
            <w:tcBorders>
              <w:top w:val="nil"/>
              <w:left w:val="nil"/>
              <w:bottom w:val="single" w:sz="4" w:space="0" w:color="auto"/>
              <w:right w:val="single" w:sz="4" w:space="0" w:color="auto"/>
            </w:tcBorders>
            <w:shd w:val="clear" w:color="auto" w:fill="C6EFCE"/>
            <w:noWrap/>
          </w:tcPr>
          <w:p w14:paraId="0743E404"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28F20DA" w14:textId="77777777" w:rsidR="00A345F4" w:rsidRDefault="005E2D4E">
            <w:pPr>
              <w:pStyle w:val="P68B1DB1-Normal73"/>
              <w:spacing w:after="0" w:line="259" w:lineRule="auto"/>
              <w:jc w:val="both"/>
              <w:rPr>
                <w:rFonts w:eastAsia="Times New Roman"/>
                <w:noProof/>
              </w:rPr>
            </w:pPr>
            <w:r>
              <w:rPr>
                <w:noProof/>
              </w:rPr>
              <w:t xml:space="preserve">Entrée en vigueur de la législation dans le domaine de la mobilité urbaine durable </w:t>
            </w:r>
          </w:p>
        </w:tc>
      </w:tr>
      <w:tr w:rsidR="00A345F4" w14:paraId="14CA85F4"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CD0B3DA" w14:textId="77777777" w:rsidR="00A345F4" w:rsidRDefault="005E2D4E">
            <w:pPr>
              <w:pStyle w:val="P68B1DB1-Normal73"/>
              <w:spacing w:after="0" w:line="259" w:lineRule="auto"/>
              <w:jc w:val="center"/>
              <w:rPr>
                <w:rFonts w:eastAsia="Times New Roman"/>
                <w:noProof/>
              </w:rPr>
            </w:pPr>
            <w:r>
              <w:rPr>
                <w:noProof/>
              </w:rPr>
              <w:t>289</w:t>
            </w:r>
          </w:p>
        </w:tc>
        <w:tc>
          <w:tcPr>
            <w:tcW w:w="3543" w:type="dxa"/>
            <w:tcBorders>
              <w:top w:val="nil"/>
              <w:left w:val="nil"/>
              <w:bottom w:val="single" w:sz="4" w:space="0" w:color="auto"/>
              <w:right w:val="single" w:sz="4" w:space="0" w:color="auto"/>
            </w:tcBorders>
            <w:shd w:val="clear" w:color="auto" w:fill="C6EFCE"/>
            <w:noWrap/>
          </w:tcPr>
          <w:p w14:paraId="0D90800D" w14:textId="77777777" w:rsidR="00A345F4" w:rsidRDefault="005E2D4E">
            <w:pPr>
              <w:pStyle w:val="P68B1DB1-Normal73"/>
              <w:spacing w:after="0" w:line="259" w:lineRule="auto"/>
              <w:jc w:val="both"/>
              <w:rPr>
                <w:noProof/>
              </w:rPr>
            </w:pPr>
            <w:r>
              <w:rPr>
                <w:noProof/>
              </w:rPr>
              <w:t>C10.R1</w:t>
            </w:r>
          </w:p>
          <w:p w14:paraId="7B8D1BA1" w14:textId="77777777" w:rsidR="00A345F4" w:rsidRDefault="005E2D4E">
            <w:pPr>
              <w:pStyle w:val="P68B1DB1-Normal73"/>
              <w:spacing w:after="0" w:line="259" w:lineRule="auto"/>
              <w:jc w:val="both"/>
              <w:rPr>
                <w:rFonts w:eastAsia="Times New Roman"/>
                <w:noProof/>
              </w:rPr>
            </w:pPr>
            <w:r>
              <w:rPr>
                <w:noProof/>
              </w:rPr>
              <w:t xml:space="preserve">Créer le cadre d'une mobilité urbaine durable </w:t>
            </w:r>
          </w:p>
        </w:tc>
        <w:tc>
          <w:tcPr>
            <w:tcW w:w="1276" w:type="dxa"/>
            <w:tcBorders>
              <w:top w:val="nil"/>
              <w:left w:val="nil"/>
              <w:bottom w:val="single" w:sz="4" w:space="0" w:color="auto"/>
              <w:right w:val="single" w:sz="4" w:space="0" w:color="auto"/>
            </w:tcBorders>
            <w:shd w:val="clear" w:color="auto" w:fill="C6EFCE"/>
            <w:noWrap/>
          </w:tcPr>
          <w:p w14:paraId="6F69F66E"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F1FDF68" w14:textId="77777777" w:rsidR="00A345F4" w:rsidRDefault="005E2D4E">
            <w:pPr>
              <w:pStyle w:val="P68B1DB1-Normal73"/>
              <w:spacing w:after="0" w:line="259" w:lineRule="auto"/>
              <w:jc w:val="both"/>
              <w:rPr>
                <w:rFonts w:eastAsia="Times New Roman"/>
                <w:noProof/>
              </w:rPr>
            </w:pPr>
            <w:r>
              <w:rPr>
                <w:noProof/>
              </w:rPr>
              <w:t>Entrée en vigueur de l'arrêté ministériel établissant une structure d'assistance technique pour l'élaboration de plans de mobilité urbaine durable (PMUD) établis et opérationnels</w:t>
            </w:r>
          </w:p>
        </w:tc>
      </w:tr>
      <w:tr w:rsidR="00A345F4" w14:paraId="7C3E119F"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881AE11" w14:textId="77777777" w:rsidR="00A345F4" w:rsidRDefault="005E2D4E">
            <w:pPr>
              <w:pStyle w:val="P68B1DB1-Normal73"/>
              <w:spacing w:after="0" w:line="259" w:lineRule="auto"/>
              <w:jc w:val="center"/>
              <w:rPr>
                <w:rFonts w:eastAsia="Times New Roman"/>
                <w:noProof/>
              </w:rPr>
            </w:pPr>
            <w:r>
              <w:rPr>
                <w:noProof/>
              </w:rPr>
              <w:t>294</w:t>
            </w:r>
          </w:p>
        </w:tc>
        <w:tc>
          <w:tcPr>
            <w:tcW w:w="3543" w:type="dxa"/>
            <w:tcBorders>
              <w:top w:val="nil"/>
              <w:left w:val="nil"/>
              <w:bottom w:val="single" w:sz="4" w:space="0" w:color="auto"/>
              <w:right w:val="single" w:sz="4" w:space="0" w:color="auto"/>
            </w:tcBorders>
            <w:shd w:val="clear" w:color="auto" w:fill="C6EFCE"/>
            <w:noWrap/>
          </w:tcPr>
          <w:p w14:paraId="61FFA681" w14:textId="77777777" w:rsidR="00A345F4" w:rsidRDefault="005E2D4E">
            <w:pPr>
              <w:pStyle w:val="P68B1DB1-Normal73"/>
              <w:spacing w:after="0" w:line="259" w:lineRule="auto"/>
              <w:jc w:val="both"/>
              <w:rPr>
                <w:noProof/>
              </w:rPr>
            </w:pPr>
            <w:r>
              <w:rPr>
                <w:noProof/>
              </w:rPr>
              <w:t>C10.I1</w:t>
            </w:r>
          </w:p>
          <w:p w14:paraId="27A38505" w14:textId="77777777" w:rsidR="00A345F4" w:rsidRDefault="005E2D4E">
            <w:pPr>
              <w:pStyle w:val="P68B1DB1-Normal73"/>
              <w:spacing w:after="0" w:line="259" w:lineRule="auto"/>
              <w:jc w:val="both"/>
              <w:rPr>
                <w:rFonts w:eastAsia="Times New Roman"/>
                <w:noProof/>
              </w:rPr>
            </w:pPr>
            <w:r>
              <w:rPr>
                <w:noProof/>
              </w:rPr>
              <w:t>Mobilité urbaine durable</w:t>
            </w:r>
          </w:p>
        </w:tc>
        <w:tc>
          <w:tcPr>
            <w:tcW w:w="1276" w:type="dxa"/>
            <w:tcBorders>
              <w:top w:val="nil"/>
              <w:left w:val="nil"/>
              <w:bottom w:val="single" w:sz="4" w:space="0" w:color="auto"/>
              <w:right w:val="single" w:sz="4" w:space="0" w:color="auto"/>
            </w:tcBorders>
            <w:shd w:val="clear" w:color="auto" w:fill="C6EFCE"/>
            <w:noWrap/>
          </w:tcPr>
          <w:p w14:paraId="4732E8B5"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7164412" w14:textId="77777777" w:rsidR="00A345F4" w:rsidRDefault="005E2D4E">
            <w:pPr>
              <w:pStyle w:val="P68B1DB1-Normal73"/>
              <w:spacing w:after="0" w:line="259" w:lineRule="auto"/>
              <w:jc w:val="both"/>
              <w:rPr>
                <w:rFonts w:eastAsia="Times New Roman"/>
                <w:noProof/>
              </w:rPr>
            </w:pPr>
            <w:r>
              <w:rPr>
                <w:noProof/>
              </w:rPr>
              <w:t>Signature de contrats pour le renouvellement des flottes de transports publics (achat de véhicules propres)</w:t>
            </w:r>
          </w:p>
        </w:tc>
      </w:tr>
      <w:tr w:rsidR="00A345F4" w14:paraId="1CDE0A0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436EB9B" w14:textId="77777777" w:rsidR="00A345F4" w:rsidRDefault="005E2D4E">
            <w:pPr>
              <w:pStyle w:val="P68B1DB1-Normal73"/>
              <w:spacing w:after="0" w:line="259" w:lineRule="auto"/>
              <w:jc w:val="center"/>
              <w:rPr>
                <w:rFonts w:eastAsia="Times New Roman"/>
                <w:noProof/>
              </w:rPr>
            </w:pPr>
            <w:r>
              <w:rPr>
                <w:noProof/>
              </w:rPr>
              <w:t>298</w:t>
            </w:r>
          </w:p>
        </w:tc>
        <w:tc>
          <w:tcPr>
            <w:tcW w:w="3543" w:type="dxa"/>
            <w:tcBorders>
              <w:top w:val="nil"/>
              <w:left w:val="nil"/>
              <w:bottom w:val="single" w:sz="4" w:space="0" w:color="auto"/>
              <w:right w:val="single" w:sz="4" w:space="0" w:color="auto"/>
            </w:tcBorders>
            <w:shd w:val="clear" w:color="auto" w:fill="C6EFCE"/>
            <w:noWrap/>
          </w:tcPr>
          <w:p w14:paraId="79F99A68" w14:textId="77777777" w:rsidR="00A345F4" w:rsidRDefault="005E2D4E">
            <w:pPr>
              <w:pStyle w:val="P68B1DB1-Normal73"/>
              <w:spacing w:after="0" w:line="259" w:lineRule="auto"/>
              <w:jc w:val="both"/>
              <w:rPr>
                <w:noProof/>
              </w:rPr>
            </w:pPr>
            <w:r>
              <w:rPr>
                <w:noProof/>
              </w:rPr>
              <w:t>C10.I1</w:t>
            </w:r>
          </w:p>
          <w:p w14:paraId="77A586C8" w14:textId="77777777" w:rsidR="00A345F4" w:rsidRDefault="005E2D4E">
            <w:pPr>
              <w:pStyle w:val="P68B1DB1-Normal73"/>
              <w:spacing w:after="0" w:line="259" w:lineRule="auto"/>
              <w:jc w:val="both"/>
              <w:rPr>
                <w:rFonts w:eastAsia="Times New Roman"/>
                <w:noProof/>
              </w:rPr>
            </w:pPr>
            <w:r>
              <w:rPr>
                <w:noProof/>
              </w:rPr>
              <w:t>Mobilité urbaine durable</w:t>
            </w:r>
          </w:p>
        </w:tc>
        <w:tc>
          <w:tcPr>
            <w:tcW w:w="1276" w:type="dxa"/>
            <w:tcBorders>
              <w:top w:val="nil"/>
              <w:left w:val="nil"/>
              <w:bottom w:val="single" w:sz="4" w:space="0" w:color="auto"/>
              <w:right w:val="single" w:sz="4" w:space="0" w:color="auto"/>
            </w:tcBorders>
            <w:shd w:val="clear" w:color="auto" w:fill="C6EFCE"/>
            <w:noWrap/>
          </w:tcPr>
          <w:p w14:paraId="2430A25D"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8D19F6D" w14:textId="77777777" w:rsidR="00A345F4" w:rsidRDefault="005E2D4E">
            <w:pPr>
              <w:pStyle w:val="P68B1DB1-Normal73"/>
              <w:spacing w:after="0" w:line="259" w:lineRule="auto"/>
              <w:jc w:val="both"/>
              <w:rPr>
                <w:rFonts w:eastAsia="Times New Roman"/>
                <w:noProof/>
              </w:rPr>
            </w:pPr>
            <w:r>
              <w:rPr>
                <w:noProof/>
              </w:rPr>
              <w:t>Signature de contrats pour la fourniture de STI/d’autres infrastructures TIC</w:t>
            </w:r>
          </w:p>
        </w:tc>
      </w:tr>
      <w:tr w:rsidR="00A345F4" w14:paraId="09FFABA7"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D33FBC6" w14:textId="77777777" w:rsidR="00A345F4" w:rsidRDefault="005E2D4E">
            <w:pPr>
              <w:pStyle w:val="P68B1DB1-Normal73"/>
              <w:spacing w:after="0" w:line="259" w:lineRule="auto"/>
              <w:jc w:val="center"/>
              <w:rPr>
                <w:noProof/>
              </w:rPr>
            </w:pPr>
            <w:r>
              <w:rPr>
                <w:noProof/>
              </w:rPr>
              <w:t>301</w:t>
            </w:r>
          </w:p>
        </w:tc>
        <w:tc>
          <w:tcPr>
            <w:tcW w:w="3543" w:type="dxa"/>
            <w:tcBorders>
              <w:top w:val="nil"/>
              <w:left w:val="nil"/>
              <w:bottom w:val="single" w:sz="4" w:space="0" w:color="auto"/>
              <w:right w:val="single" w:sz="4" w:space="0" w:color="auto"/>
            </w:tcBorders>
            <w:shd w:val="clear" w:color="auto" w:fill="C6EFCE"/>
            <w:noWrap/>
          </w:tcPr>
          <w:p w14:paraId="1E4EA21D" w14:textId="77777777" w:rsidR="00A345F4" w:rsidRDefault="005E2D4E">
            <w:pPr>
              <w:pStyle w:val="P68B1DB1-Normal73"/>
              <w:spacing w:after="0" w:line="259" w:lineRule="auto"/>
              <w:jc w:val="both"/>
              <w:rPr>
                <w:noProof/>
              </w:rPr>
            </w:pPr>
            <w:r>
              <w:rPr>
                <w:noProof/>
              </w:rPr>
              <w:t>C10.I1</w:t>
            </w:r>
          </w:p>
          <w:p w14:paraId="49ADFB71" w14:textId="77777777" w:rsidR="00A345F4" w:rsidRDefault="005E2D4E">
            <w:pPr>
              <w:pStyle w:val="P68B1DB1-Normal73"/>
              <w:spacing w:after="0" w:line="259" w:lineRule="auto"/>
              <w:jc w:val="both"/>
              <w:rPr>
                <w:noProof/>
              </w:rPr>
            </w:pPr>
            <w:r>
              <w:rPr>
                <w:noProof/>
              </w:rPr>
              <w:t>Mobilité urbaine durable</w:t>
            </w:r>
          </w:p>
        </w:tc>
        <w:tc>
          <w:tcPr>
            <w:tcW w:w="1276" w:type="dxa"/>
            <w:tcBorders>
              <w:top w:val="nil"/>
              <w:left w:val="nil"/>
              <w:bottom w:val="single" w:sz="4" w:space="0" w:color="auto"/>
              <w:right w:val="single" w:sz="4" w:space="0" w:color="auto"/>
            </w:tcBorders>
            <w:shd w:val="clear" w:color="auto" w:fill="C6EFCE"/>
            <w:noWrap/>
          </w:tcPr>
          <w:p w14:paraId="3293EDC7"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015A8F5" w14:textId="77777777" w:rsidR="00A345F4" w:rsidRDefault="005E2D4E">
            <w:pPr>
              <w:pStyle w:val="P68B1DB1-Normal73"/>
              <w:spacing w:after="0" w:line="259" w:lineRule="auto"/>
              <w:jc w:val="both"/>
              <w:rPr>
                <w:noProof/>
              </w:rPr>
            </w:pPr>
            <w:r>
              <w:rPr>
                <w:noProof/>
              </w:rPr>
              <w:t>Signature de contrats pour la construction de points de recharge pour véhicules électriques</w:t>
            </w:r>
          </w:p>
        </w:tc>
      </w:tr>
      <w:tr w:rsidR="00A345F4" w14:paraId="1855620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068E7D5" w14:textId="77777777" w:rsidR="00A345F4" w:rsidRDefault="005E2D4E">
            <w:pPr>
              <w:pStyle w:val="P68B1DB1-Normal73"/>
              <w:spacing w:after="0" w:line="259" w:lineRule="auto"/>
              <w:jc w:val="center"/>
              <w:rPr>
                <w:noProof/>
              </w:rPr>
            </w:pPr>
            <w:r>
              <w:rPr>
                <w:noProof/>
              </w:rPr>
              <w:t>351</w:t>
            </w:r>
          </w:p>
        </w:tc>
        <w:tc>
          <w:tcPr>
            <w:tcW w:w="3543" w:type="dxa"/>
            <w:tcBorders>
              <w:top w:val="nil"/>
              <w:left w:val="nil"/>
              <w:bottom w:val="single" w:sz="4" w:space="0" w:color="auto"/>
              <w:right w:val="single" w:sz="4" w:space="0" w:color="auto"/>
            </w:tcBorders>
            <w:shd w:val="clear" w:color="auto" w:fill="C6EFCE"/>
            <w:noWrap/>
          </w:tcPr>
          <w:p w14:paraId="439298C4" w14:textId="77777777" w:rsidR="00A345F4" w:rsidRDefault="005E2D4E">
            <w:pPr>
              <w:pStyle w:val="P68B1DB1-Normal73"/>
              <w:spacing w:after="0" w:line="259" w:lineRule="auto"/>
              <w:jc w:val="both"/>
              <w:rPr>
                <w:noProof/>
              </w:rPr>
            </w:pPr>
            <w:r>
              <w:rPr>
                <w:noProof/>
              </w:rPr>
              <w:t>C12.R1</w:t>
            </w:r>
          </w:p>
          <w:p w14:paraId="69FB6E7E" w14:textId="77777777" w:rsidR="00A345F4" w:rsidRDefault="005E2D4E">
            <w:pPr>
              <w:pStyle w:val="P68B1DB1-Normal73"/>
              <w:spacing w:after="0" w:line="259" w:lineRule="auto"/>
              <w:jc w:val="both"/>
              <w:rPr>
                <w:noProof/>
              </w:rPr>
            </w:pPr>
            <w:r>
              <w:rPr>
                <w:noProof/>
              </w:rPr>
              <w:t xml:space="preserve">Renforcement des capacités de gestion des fonds de santé publique </w:t>
            </w:r>
          </w:p>
        </w:tc>
        <w:tc>
          <w:tcPr>
            <w:tcW w:w="1276" w:type="dxa"/>
            <w:tcBorders>
              <w:top w:val="nil"/>
              <w:left w:val="nil"/>
              <w:bottom w:val="single" w:sz="4" w:space="0" w:color="auto"/>
              <w:right w:val="single" w:sz="4" w:space="0" w:color="auto"/>
            </w:tcBorders>
            <w:shd w:val="clear" w:color="auto" w:fill="C6EFCE"/>
            <w:noWrap/>
          </w:tcPr>
          <w:p w14:paraId="6DCAC910"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7905D3B" w14:textId="77777777" w:rsidR="00A345F4" w:rsidRDefault="005E2D4E">
            <w:pPr>
              <w:pStyle w:val="P68B1DB1-Normal73"/>
              <w:spacing w:after="0" w:line="259" w:lineRule="auto"/>
              <w:jc w:val="both"/>
              <w:rPr>
                <w:noProof/>
              </w:rPr>
            </w:pPr>
            <w:r>
              <w:rPr>
                <w:noProof/>
              </w:rPr>
              <w:t>Entrée en vigueur de l'arrêté ministériel relatif aux indicateurs de performance et de qualité à utiliser pour la sélection des unités médicales bénéficiant du Fonds Qualité Santé</w:t>
            </w:r>
          </w:p>
        </w:tc>
      </w:tr>
      <w:tr w:rsidR="00A345F4" w14:paraId="07A286FD"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E9D4B01" w14:textId="77777777" w:rsidR="00A345F4" w:rsidRDefault="005E2D4E">
            <w:pPr>
              <w:pStyle w:val="P68B1DB1-Normal73"/>
              <w:spacing w:after="0" w:line="259" w:lineRule="auto"/>
              <w:jc w:val="center"/>
              <w:rPr>
                <w:noProof/>
              </w:rPr>
            </w:pPr>
            <w:r>
              <w:rPr>
                <w:noProof/>
              </w:rPr>
              <w:t>358</w:t>
            </w:r>
          </w:p>
        </w:tc>
        <w:tc>
          <w:tcPr>
            <w:tcW w:w="3543" w:type="dxa"/>
            <w:tcBorders>
              <w:top w:val="nil"/>
              <w:left w:val="nil"/>
              <w:bottom w:val="single" w:sz="4" w:space="0" w:color="auto"/>
              <w:right w:val="single" w:sz="4" w:space="0" w:color="auto"/>
            </w:tcBorders>
            <w:shd w:val="clear" w:color="auto" w:fill="C6EFCE"/>
            <w:noWrap/>
          </w:tcPr>
          <w:p w14:paraId="13533743" w14:textId="77777777" w:rsidR="00A345F4" w:rsidRDefault="005E2D4E">
            <w:pPr>
              <w:pStyle w:val="P68B1DB1-Normal73"/>
              <w:spacing w:after="0" w:line="259" w:lineRule="auto"/>
              <w:jc w:val="both"/>
              <w:rPr>
                <w:noProof/>
              </w:rPr>
            </w:pPr>
            <w:r>
              <w:rPr>
                <w:noProof/>
              </w:rPr>
              <w:t>C12.R3</w:t>
            </w:r>
          </w:p>
          <w:p w14:paraId="7A7BCD45" w14:textId="77777777" w:rsidR="00A345F4" w:rsidRDefault="005E2D4E">
            <w:pPr>
              <w:pStyle w:val="P68B1DB1-Normal73"/>
              <w:spacing w:after="0" w:line="259" w:lineRule="auto"/>
              <w:jc w:val="both"/>
              <w:rPr>
                <w:noProof/>
              </w:rPr>
            </w:pPr>
            <w:r>
              <w:rPr>
                <w:noProof/>
              </w:rPr>
              <w:t xml:space="preserve">Renforcement des capacités en matière de gestion de la santé et de ressources humaines dans le domaine de la santé </w:t>
            </w:r>
          </w:p>
        </w:tc>
        <w:tc>
          <w:tcPr>
            <w:tcW w:w="1276" w:type="dxa"/>
            <w:tcBorders>
              <w:top w:val="nil"/>
              <w:left w:val="nil"/>
              <w:bottom w:val="single" w:sz="4" w:space="0" w:color="auto"/>
              <w:right w:val="single" w:sz="4" w:space="0" w:color="auto"/>
            </w:tcBorders>
            <w:shd w:val="clear" w:color="auto" w:fill="C6EFCE"/>
            <w:noWrap/>
          </w:tcPr>
          <w:p w14:paraId="7A7EB84A"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A70E232" w14:textId="77777777" w:rsidR="00A345F4" w:rsidRDefault="005E2D4E">
            <w:pPr>
              <w:pStyle w:val="P68B1DB1-Normal73"/>
              <w:spacing w:after="0" w:line="259" w:lineRule="auto"/>
              <w:jc w:val="both"/>
              <w:rPr>
                <w:noProof/>
              </w:rPr>
            </w:pPr>
            <w:r>
              <w:rPr>
                <w:noProof/>
              </w:rPr>
              <w:t>Développement des ressources humaines dans le domaine de la santé</w:t>
            </w:r>
          </w:p>
        </w:tc>
      </w:tr>
      <w:tr w:rsidR="00A345F4" w14:paraId="62E3D8C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1213DD4" w14:textId="77777777" w:rsidR="00A345F4" w:rsidRDefault="005E2D4E">
            <w:pPr>
              <w:pStyle w:val="P68B1DB1-Normal73"/>
              <w:spacing w:after="0" w:line="259" w:lineRule="auto"/>
              <w:jc w:val="center"/>
              <w:rPr>
                <w:noProof/>
              </w:rPr>
            </w:pPr>
            <w:r>
              <w:rPr>
                <w:noProof/>
              </w:rPr>
              <w:t>378</w:t>
            </w:r>
          </w:p>
        </w:tc>
        <w:tc>
          <w:tcPr>
            <w:tcW w:w="3543" w:type="dxa"/>
            <w:tcBorders>
              <w:top w:val="nil"/>
              <w:left w:val="nil"/>
              <w:bottom w:val="single" w:sz="4" w:space="0" w:color="auto"/>
              <w:right w:val="single" w:sz="4" w:space="0" w:color="auto"/>
            </w:tcBorders>
            <w:shd w:val="clear" w:color="auto" w:fill="C6EFCE"/>
            <w:noWrap/>
          </w:tcPr>
          <w:p w14:paraId="734D9E0B" w14:textId="77777777" w:rsidR="00A345F4" w:rsidRDefault="005E2D4E">
            <w:pPr>
              <w:pStyle w:val="P68B1DB1-Normal73"/>
              <w:spacing w:after="0" w:line="259" w:lineRule="auto"/>
              <w:jc w:val="both"/>
              <w:rPr>
                <w:noProof/>
              </w:rPr>
            </w:pPr>
            <w:r>
              <w:rPr>
                <w:noProof/>
              </w:rPr>
              <w:t>C13. R1</w:t>
            </w:r>
          </w:p>
          <w:p w14:paraId="03B4F666" w14:textId="77777777" w:rsidR="00A345F4" w:rsidRDefault="005E2D4E">
            <w:pPr>
              <w:pStyle w:val="P68B1DB1-Normal73"/>
              <w:spacing w:after="0" w:line="259" w:lineRule="auto"/>
              <w:jc w:val="both"/>
              <w:rPr>
                <w:noProof/>
              </w:rPr>
            </w:pPr>
            <w:r>
              <w:rPr>
                <w:noProof/>
              </w:rPr>
              <w:t>Créer un nouveau cadre juridique pour empêcher la séparation des enfants de leur famille</w:t>
            </w:r>
          </w:p>
        </w:tc>
        <w:tc>
          <w:tcPr>
            <w:tcW w:w="1276" w:type="dxa"/>
            <w:tcBorders>
              <w:top w:val="nil"/>
              <w:left w:val="nil"/>
              <w:bottom w:val="single" w:sz="4" w:space="0" w:color="auto"/>
              <w:right w:val="single" w:sz="4" w:space="0" w:color="auto"/>
            </w:tcBorders>
            <w:shd w:val="clear" w:color="auto" w:fill="C6EFCE"/>
            <w:noWrap/>
          </w:tcPr>
          <w:p w14:paraId="505D635F"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9BA15D2" w14:textId="77777777" w:rsidR="00A345F4" w:rsidRDefault="005E2D4E">
            <w:pPr>
              <w:pStyle w:val="P68B1DB1-Normal73"/>
              <w:spacing w:after="0" w:line="259" w:lineRule="auto"/>
              <w:jc w:val="both"/>
              <w:rPr>
                <w:noProof/>
              </w:rPr>
            </w:pPr>
            <w:r>
              <w:rPr>
                <w:noProof/>
              </w:rPr>
              <w:t>Entrée en vigueur d'un acte législatif nécessaire pour empêcher la séparation des enfants de la famille et le soutien aux familles vulnérables</w:t>
            </w:r>
          </w:p>
        </w:tc>
      </w:tr>
      <w:tr w:rsidR="00A345F4" w14:paraId="693D6019"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59FF382E" w14:textId="77777777" w:rsidR="00A345F4" w:rsidRDefault="005E2D4E">
            <w:pPr>
              <w:pStyle w:val="P68B1DB1-Normal73"/>
              <w:spacing w:after="0" w:line="259" w:lineRule="auto"/>
              <w:jc w:val="center"/>
              <w:rPr>
                <w:noProof/>
              </w:rPr>
            </w:pPr>
            <w:r>
              <w:rPr>
                <w:noProof/>
              </w:rPr>
              <w:t>380</w:t>
            </w:r>
          </w:p>
        </w:tc>
        <w:tc>
          <w:tcPr>
            <w:tcW w:w="3543" w:type="dxa"/>
            <w:tcBorders>
              <w:top w:val="nil"/>
              <w:left w:val="nil"/>
              <w:bottom w:val="single" w:sz="4" w:space="0" w:color="auto"/>
              <w:right w:val="single" w:sz="4" w:space="0" w:color="auto"/>
            </w:tcBorders>
            <w:shd w:val="clear" w:color="auto" w:fill="C6EFCE"/>
            <w:noWrap/>
          </w:tcPr>
          <w:p w14:paraId="2F1B3546" w14:textId="77777777" w:rsidR="00A345F4" w:rsidRDefault="005E2D4E">
            <w:pPr>
              <w:pStyle w:val="P68B1DB1-Normal73"/>
              <w:spacing w:after="0" w:line="259" w:lineRule="auto"/>
              <w:jc w:val="both"/>
              <w:rPr>
                <w:noProof/>
              </w:rPr>
            </w:pPr>
            <w:r>
              <w:rPr>
                <w:noProof/>
              </w:rPr>
              <w:t>C13. R2</w:t>
            </w:r>
          </w:p>
          <w:p w14:paraId="41D77BDF" w14:textId="77777777" w:rsidR="00A345F4" w:rsidRDefault="005E2D4E">
            <w:pPr>
              <w:pStyle w:val="P68B1DB1-Normal73"/>
              <w:spacing w:after="0" w:line="259" w:lineRule="auto"/>
              <w:jc w:val="both"/>
              <w:rPr>
                <w:noProof/>
              </w:rPr>
            </w:pPr>
            <w:r>
              <w:rPr>
                <w:noProof/>
              </w:rPr>
              <w:t xml:space="preserve">Réforme du système de protection des adultes handicapés </w:t>
            </w:r>
          </w:p>
        </w:tc>
        <w:tc>
          <w:tcPr>
            <w:tcW w:w="1276" w:type="dxa"/>
            <w:tcBorders>
              <w:top w:val="nil"/>
              <w:left w:val="nil"/>
              <w:bottom w:val="single" w:sz="4" w:space="0" w:color="auto"/>
              <w:right w:val="single" w:sz="4" w:space="0" w:color="auto"/>
            </w:tcBorders>
            <w:shd w:val="clear" w:color="auto" w:fill="C6EFCE"/>
            <w:noWrap/>
          </w:tcPr>
          <w:p w14:paraId="02B7F1C2"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5C2477C" w14:textId="77777777" w:rsidR="00A345F4" w:rsidRDefault="005E2D4E">
            <w:pPr>
              <w:pStyle w:val="P68B1DB1-Normal73"/>
              <w:spacing w:after="0" w:line="259" w:lineRule="auto"/>
              <w:jc w:val="both"/>
              <w:rPr>
                <w:noProof/>
              </w:rPr>
            </w:pPr>
            <w:r>
              <w:rPr>
                <w:noProof/>
              </w:rPr>
              <w:t xml:space="preserve">Entrée en vigueur de l’acte législatif pour la mise en œuvre et l’opérationnalisation du guide pour l’accélération du processus de désinstitutionnalisation </w:t>
            </w:r>
          </w:p>
        </w:tc>
      </w:tr>
      <w:tr w:rsidR="00A345F4" w14:paraId="239D34C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29CA02E" w14:textId="77777777" w:rsidR="00A345F4" w:rsidRDefault="005E2D4E">
            <w:pPr>
              <w:pStyle w:val="P68B1DB1-Normal73"/>
              <w:spacing w:after="0" w:line="259" w:lineRule="auto"/>
              <w:jc w:val="center"/>
              <w:rPr>
                <w:noProof/>
              </w:rPr>
            </w:pPr>
            <w:r>
              <w:rPr>
                <w:noProof/>
              </w:rPr>
              <w:t>381</w:t>
            </w:r>
          </w:p>
        </w:tc>
        <w:tc>
          <w:tcPr>
            <w:tcW w:w="3543" w:type="dxa"/>
            <w:tcBorders>
              <w:top w:val="nil"/>
              <w:left w:val="nil"/>
              <w:bottom w:val="single" w:sz="4" w:space="0" w:color="auto"/>
              <w:right w:val="single" w:sz="4" w:space="0" w:color="auto"/>
            </w:tcBorders>
            <w:shd w:val="clear" w:color="auto" w:fill="C6EFCE"/>
            <w:noWrap/>
          </w:tcPr>
          <w:p w14:paraId="7DBA03A3" w14:textId="77777777" w:rsidR="00A345F4" w:rsidRDefault="005E2D4E">
            <w:pPr>
              <w:pStyle w:val="P68B1DB1-Normal73"/>
              <w:spacing w:after="0" w:line="259" w:lineRule="auto"/>
              <w:jc w:val="both"/>
              <w:rPr>
                <w:noProof/>
              </w:rPr>
            </w:pPr>
            <w:r>
              <w:rPr>
                <w:noProof/>
              </w:rPr>
              <w:t>C13. R2</w:t>
            </w:r>
          </w:p>
          <w:p w14:paraId="642A7907" w14:textId="77777777" w:rsidR="00A345F4" w:rsidRDefault="005E2D4E">
            <w:pPr>
              <w:pStyle w:val="P68B1DB1-Normal73"/>
              <w:spacing w:after="0" w:line="259" w:lineRule="auto"/>
              <w:jc w:val="both"/>
              <w:rPr>
                <w:noProof/>
              </w:rPr>
            </w:pPr>
            <w:r>
              <w:rPr>
                <w:noProof/>
              </w:rPr>
              <w:t xml:space="preserve">Réforme du système de protection des adultes handicapés </w:t>
            </w:r>
          </w:p>
        </w:tc>
        <w:tc>
          <w:tcPr>
            <w:tcW w:w="1276" w:type="dxa"/>
            <w:tcBorders>
              <w:top w:val="nil"/>
              <w:left w:val="nil"/>
              <w:bottom w:val="single" w:sz="4" w:space="0" w:color="auto"/>
              <w:right w:val="single" w:sz="4" w:space="0" w:color="auto"/>
            </w:tcBorders>
            <w:shd w:val="clear" w:color="auto" w:fill="C6EFCE"/>
            <w:noWrap/>
          </w:tcPr>
          <w:p w14:paraId="4C71E246"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8028460" w14:textId="77777777" w:rsidR="00A345F4" w:rsidRDefault="005E2D4E">
            <w:pPr>
              <w:pStyle w:val="P68B1DB1-Normal73"/>
              <w:spacing w:after="0" w:line="259" w:lineRule="auto"/>
              <w:jc w:val="both"/>
              <w:rPr>
                <w:noProof/>
              </w:rPr>
            </w:pPr>
            <w:r>
              <w:rPr>
                <w:noProof/>
              </w:rPr>
              <w:t xml:space="preserve">Entrée en vigueur de la législation visant à soutenir la mise en œuvre de la stratégie nationale adoptée pour la prévention de l’institutionnalisation </w:t>
            </w:r>
          </w:p>
        </w:tc>
      </w:tr>
      <w:tr w:rsidR="00A345F4" w14:paraId="77350274"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0FDE72B" w14:textId="77777777" w:rsidR="00A345F4" w:rsidRDefault="005E2D4E">
            <w:pPr>
              <w:pStyle w:val="P68B1DB1-Normal73"/>
              <w:spacing w:after="0" w:line="259" w:lineRule="auto"/>
              <w:jc w:val="center"/>
              <w:rPr>
                <w:noProof/>
              </w:rPr>
            </w:pPr>
            <w:r>
              <w:rPr>
                <w:noProof/>
              </w:rPr>
              <w:t>424</w:t>
            </w:r>
          </w:p>
        </w:tc>
        <w:tc>
          <w:tcPr>
            <w:tcW w:w="3543" w:type="dxa"/>
            <w:tcBorders>
              <w:top w:val="nil"/>
              <w:left w:val="nil"/>
              <w:bottom w:val="single" w:sz="4" w:space="0" w:color="auto"/>
              <w:right w:val="single" w:sz="4" w:space="0" w:color="auto"/>
            </w:tcBorders>
            <w:shd w:val="clear" w:color="auto" w:fill="C6EFCE"/>
            <w:noWrap/>
          </w:tcPr>
          <w:p w14:paraId="079A3DA8" w14:textId="77777777" w:rsidR="00A345F4" w:rsidRDefault="005E2D4E">
            <w:pPr>
              <w:pStyle w:val="P68B1DB1-Normal73"/>
              <w:spacing w:after="0" w:line="259" w:lineRule="auto"/>
              <w:jc w:val="both"/>
              <w:rPr>
                <w:noProof/>
              </w:rPr>
            </w:pPr>
            <w:r>
              <w:rPr>
                <w:noProof/>
              </w:rPr>
              <w:t>C14.R5</w:t>
            </w:r>
          </w:p>
          <w:p w14:paraId="433C1220" w14:textId="0F6ECCCC" w:rsidR="00A345F4" w:rsidRDefault="005E2D4E">
            <w:pPr>
              <w:pStyle w:val="P68B1DB1-Normal73"/>
              <w:spacing w:after="0" w:line="259" w:lineRule="auto"/>
              <w:jc w:val="both"/>
              <w:rPr>
                <w:noProof/>
              </w:rPr>
            </w:pPr>
            <w:r>
              <w:rPr>
                <w:noProof/>
              </w:rPr>
              <w:t xml:space="preserve">Garantir l’indépendance du pouvoir judiciaire, améliorer sa qualité et son efficacité </w:t>
            </w:r>
          </w:p>
        </w:tc>
        <w:tc>
          <w:tcPr>
            <w:tcW w:w="1276" w:type="dxa"/>
            <w:tcBorders>
              <w:top w:val="nil"/>
              <w:left w:val="nil"/>
              <w:bottom w:val="single" w:sz="4" w:space="0" w:color="auto"/>
              <w:right w:val="single" w:sz="4" w:space="0" w:color="auto"/>
            </w:tcBorders>
            <w:shd w:val="clear" w:color="auto" w:fill="C6EFCE"/>
            <w:noWrap/>
          </w:tcPr>
          <w:p w14:paraId="72902306"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E9C8F5F" w14:textId="77777777" w:rsidR="00A345F4" w:rsidRDefault="005E2D4E">
            <w:pPr>
              <w:pStyle w:val="P68B1DB1-Normal73"/>
              <w:spacing w:after="0" w:line="259" w:lineRule="auto"/>
              <w:jc w:val="both"/>
              <w:rPr>
                <w:noProof/>
              </w:rPr>
            </w:pPr>
            <w:r>
              <w:rPr>
                <w:noProof/>
              </w:rPr>
              <w:t xml:space="preserve">Modification du Code pénal et du Code de procédure pénale </w:t>
            </w:r>
          </w:p>
        </w:tc>
      </w:tr>
      <w:tr w:rsidR="00A345F4" w14:paraId="4D28B29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47AC1F44" w14:textId="77777777" w:rsidR="00A345F4" w:rsidRDefault="005E2D4E">
            <w:pPr>
              <w:pStyle w:val="P68B1DB1-Normal73"/>
              <w:spacing w:after="0" w:line="259" w:lineRule="auto"/>
              <w:jc w:val="center"/>
              <w:rPr>
                <w:noProof/>
              </w:rPr>
            </w:pPr>
            <w:r>
              <w:rPr>
                <w:noProof/>
              </w:rPr>
              <w:t>439</w:t>
            </w:r>
          </w:p>
        </w:tc>
        <w:tc>
          <w:tcPr>
            <w:tcW w:w="3543" w:type="dxa"/>
            <w:tcBorders>
              <w:top w:val="nil"/>
              <w:left w:val="nil"/>
              <w:bottom w:val="single" w:sz="4" w:space="0" w:color="auto"/>
              <w:right w:val="single" w:sz="4" w:space="0" w:color="auto"/>
            </w:tcBorders>
            <w:shd w:val="clear" w:color="auto" w:fill="C6EFCE"/>
            <w:noWrap/>
          </w:tcPr>
          <w:p w14:paraId="313848BF" w14:textId="77777777" w:rsidR="00A345F4" w:rsidRDefault="005E2D4E">
            <w:pPr>
              <w:pStyle w:val="P68B1DB1-Normal73"/>
              <w:spacing w:after="0" w:line="259" w:lineRule="auto"/>
              <w:jc w:val="both"/>
              <w:rPr>
                <w:noProof/>
              </w:rPr>
            </w:pPr>
            <w:r>
              <w:rPr>
                <w:noProof/>
              </w:rPr>
              <w:t>C14.R9</w:t>
            </w:r>
          </w:p>
          <w:p w14:paraId="574BA772" w14:textId="77777777" w:rsidR="00A345F4" w:rsidRDefault="005E2D4E">
            <w:pPr>
              <w:pStyle w:val="P68B1DB1-Normal73"/>
              <w:spacing w:after="0" w:line="259" w:lineRule="auto"/>
              <w:jc w:val="both"/>
              <w:rPr>
                <w:noProof/>
              </w:rPr>
            </w:pPr>
            <w:r>
              <w:rPr>
                <w:noProof/>
              </w:rPr>
              <w:t>Améliorer le cadre procédural pour la mise en œuvre des principes de gouvernance d'entreprise dans les entreprises publiques</w:t>
            </w:r>
          </w:p>
        </w:tc>
        <w:tc>
          <w:tcPr>
            <w:tcW w:w="1276" w:type="dxa"/>
            <w:tcBorders>
              <w:top w:val="nil"/>
              <w:left w:val="nil"/>
              <w:bottom w:val="single" w:sz="4" w:space="0" w:color="auto"/>
              <w:right w:val="single" w:sz="4" w:space="0" w:color="auto"/>
            </w:tcBorders>
            <w:shd w:val="clear" w:color="auto" w:fill="C6EFCE"/>
            <w:noWrap/>
          </w:tcPr>
          <w:p w14:paraId="0C639503"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3584A56" w14:textId="77777777" w:rsidR="00A345F4" w:rsidRDefault="005E2D4E">
            <w:pPr>
              <w:pStyle w:val="P68B1DB1-Normal73"/>
              <w:spacing w:after="0" w:line="259" w:lineRule="auto"/>
              <w:jc w:val="both"/>
              <w:rPr>
                <w:noProof/>
              </w:rPr>
            </w:pPr>
            <w:r>
              <w:rPr>
                <w:noProof/>
              </w:rPr>
              <w:t xml:space="preserve">Entrée en vigueur de la législation actualisée pour les entreprises publiques </w:t>
            </w:r>
          </w:p>
        </w:tc>
      </w:tr>
      <w:tr w:rsidR="00A345F4" w14:paraId="1AC1059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D5718AD" w14:textId="77777777" w:rsidR="00A345F4" w:rsidRDefault="005E2D4E">
            <w:pPr>
              <w:pStyle w:val="P68B1DB1-Normal73"/>
              <w:spacing w:after="0" w:line="259" w:lineRule="auto"/>
              <w:jc w:val="center"/>
              <w:rPr>
                <w:noProof/>
              </w:rPr>
            </w:pPr>
            <w:r>
              <w:rPr>
                <w:noProof/>
              </w:rPr>
              <w:t>440</w:t>
            </w:r>
          </w:p>
        </w:tc>
        <w:tc>
          <w:tcPr>
            <w:tcW w:w="3543" w:type="dxa"/>
            <w:tcBorders>
              <w:top w:val="nil"/>
              <w:left w:val="nil"/>
              <w:bottom w:val="single" w:sz="4" w:space="0" w:color="auto"/>
              <w:right w:val="single" w:sz="4" w:space="0" w:color="auto"/>
            </w:tcBorders>
            <w:shd w:val="clear" w:color="auto" w:fill="C6EFCE"/>
            <w:noWrap/>
          </w:tcPr>
          <w:p w14:paraId="015A80F0" w14:textId="77777777" w:rsidR="00A345F4" w:rsidRDefault="005E2D4E">
            <w:pPr>
              <w:pStyle w:val="P68B1DB1-Normal73"/>
              <w:spacing w:after="0" w:line="259" w:lineRule="auto"/>
              <w:jc w:val="both"/>
              <w:rPr>
                <w:noProof/>
              </w:rPr>
            </w:pPr>
            <w:r>
              <w:rPr>
                <w:noProof/>
              </w:rPr>
              <w:t>C14.R9</w:t>
            </w:r>
          </w:p>
          <w:p w14:paraId="081133BC" w14:textId="77777777" w:rsidR="00A345F4" w:rsidRDefault="005E2D4E">
            <w:pPr>
              <w:pStyle w:val="P68B1DB1-Normal73"/>
              <w:spacing w:after="0" w:line="259" w:lineRule="auto"/>
              <w:jc w:val="both"/>
              <w:rPr>
                <w:noProof/>
              </w:rPr>
            </w:pPr>
            <w:r>
              <w:rPr>
                <w:noProof/>
              </w:rPr>
              <w:t>Améliorer le cadre procédural pour la mise en œuvre des principes de gouvernance d'entreprise dans les entreprises publiques</w:t>
            </w:r>
          </w:p>
        </w:tc>
        <w:tc>
          <w:tcPr>
            <w:tcW w:w="1276" w:type="dxa"/>
            <w:tcBorders>
              <w:top w:val="nil"/>
              <w:left w:val="nil"/>
              <w:bottom w:val="single" w:sz="4" w:space="0" w:color="auto"/>
              <w:right w:val="single" w:sz="4" w:space="0" w:color="auto"/>
            </w:tcBorders>
            <w:shd w:val="clear" w:color="auto" w:fill="C6EFCE"/>
            <w:noWrap/>
          </w:tcPr>
          <w:p w14:paraId="16FA5DC9"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DECA6A0" w14:textId="77777777" w:rsidR="00A345F4" w:rsidRDefault="005E2D4E">
            <w:pPr>
              <w:pStyle w:val="P68B1DB1-Normal73"/>
              <w:spacing w:after="0" w:line="259" w:lineRule="auto"/>
              <w:jc w:val="both"/>
              <w:rPr>
                <w:noProof/>
              </w:rPr>
            </w:pPr>
            <w:r>
              <w:rPr>
                <w:noProof/>
              </w:rPr>
              <w:t>Mise en œuvre opérationnelle de la task force au Centre du gouvernement pour la coordination et le suivi des politiques de gouvernance d’entreprise</w:t>
            </w:r>
          </w:p>
        </w:tc>
      </w:tr>
      <w:tr w:rsidR="00A345F4" w14:paraId="785F6735"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A00D359" w14:textId="77777777" w:rsidR="00A345F4" w:rsidRDefault="005E2D4E">
            <w:pPr>
              <w:pStyle w:val="P68B1DB1-Normal73"/>
              <w:spacing w:after="0" w:line="259" w:lineRule="auto"/>
              <w:jc w:val="center"/>
              <w:rPr>
                <w:noProof/>
              </w:rPr>
            </w:pPr>
            <w:r>
              <w:rPr>
                <w:noProof/>
              </w:rPr>
              <w:t>449</w:t>
            </w:r>
          </w:p>
        </w:tc>
        <w:tc>
          <w:tcPr>
            <w:tcW w:w="3543" w:type="dxa"/>
            <w:tcBorders>
              <w:top w:val="nil"/>
              <w:left w:val="nil"/>
              <w:bottom w:val="single" w:sz="4" w:space="0" w:color="auto"/>
              <w:right w:val="single" w:sz="4" w:space="0" w:color="auto"/>
            </w:tcBorders>
            <w:shd w:val="clear" w:color="auto" w:fill="C6EFCE"/>
            <w:noWrap/>
          </w:tcPr>
          <w:p w14:paraId="0CB90332" w14:textId="77777777" w:rsidR="00A345F4" w:rsidRDefault="005E2D4E">
            <w:pPr>
              <w:pStyle w:val="P68B1DB1-Normal73"/>
              <w:spacing w:after="0" w:line="259" w:lineRule="auto"/>
              <w:jc w:val="both"/>
              <w:rPr>
                <w:noProof/>
              </w:rPr>
            </w:pPr>
            <w:r>
              <w:rPr>
                <w:noProof/>
              </w:rPr>
              <w:t>C14.I4</w:t>
            </w:r>
          </w:p>
          <w:p w14:paraId="30BC48CA" w14:textId="77777777" w:rsidR="00A345F4" w:rsidRDefault="005E2D4E">
            <w:pPr>
              <w:pStyle w:val="P68B1DB1-Normal73"/>
              <w:spacing w:after="0" w:line="259" w:lineRule="auto"/>
              <w:jc w:val="both"/>
              <w:rPr>
                <w:noProof/>
              </w:rPr>
            </w:pPr>
            <w:r>
              <w:rPr>
                <w:noProof/>
              </w:rPr>
              <w:t>Accroître la capacité des organisations de la société civile à favoriser la citoyenneté active, à participer de manière professionnelle à la planification et à la mise en œuvre des politiques publiques en matière de droits sociaux abordées dans le plan national pour la reprise et la résilience et à suivre les réformes connexes</w:t>
            </w:r>
          </w:p>
        </w:tc>
        <w:tc>
          <w:tcPr>
            <w:tcW w:w="1276" w:type="dxa"/>
            <w:tcBorders>
              <w:top w:val="nil"/>
              <w:left w:val="nil"/>
              <w:bottom w:val="single" w:sz="4" w:space="0" w:color="auto"/>
              <w:right w:val="single" w:sz="4" w:space="0" w:color="auto"/>
            </w:tcBorders>
            <w:shd w:val="clear" w:color="auto" w:fill="C6EFCE"/>
            <w:noWrap/>
          </w:tcPr>
          <w:p w14:paraId="42414CFE"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E337D6B" w14:textId="77777777" w:rsidR="00A345F4" w:rsidRDefault="005E2D4E">
            <w:pPr>
              <w:pStyle w:val="P68B1DB1-Normal73"/>
              <w:spacing w:after="0" w:line="259" w:lineRule="auto"/>
              <w:jc w:val="both"/>
              <w:rPr>
                <w:noProof/>
              </w:rPr>
            </w:pPr>
            <w:r>
              <w:rPr>
                <w:noProof/>
              </w:rPr>
              <w:t>Entrée en vigueur de la législation sur le dialogue social, prévoyant un dialogue social et des négociations collectives constructifs et en temps utile, conformément aux recommandations de l’OIT</w:t>
            </w:r>
          </w:p>
        </w:tc>
      </w:tr>
      <w:tr w:rsidR="00A345F4" w14:paraId="0D9E8E65"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F074753" w14:textId="77777777" w:rsidR="00A345F4" w:rsidRDefault="005E2D4E">
            <w:pPr>
              <w:pStyle w:val="P68B1DB1-Normal73"/>
              <w:spacing w:after="0" w:line="259" w:lineRule="auto"/>
              <w:jc w:val="center"/>
              <w:rPr>
                <w:noProof/>
              </w:rPr>
            </w:pPr>
            <w:r>
              <w:rPr>
                <w:noProof/>
              </w:rPr>
              <w:t>453</w:t>
            </w:r>
          </w:p>
        </w:tc>
        <w:tc>
          <w:tcPr>
            <w:tcW w:w="3543" w:type="dxa"/>
            <w:tcBorders>
              <w:top w:val="nil"/>
              <w:left w:val="nil"/>
              <w:bottom w:val="single" w:sz="4" w:space="0" w:color="auto"/>
              <w:right w:val="single" w:sz="4" w:space="0" w:color="auto"/>
            </w:tcBorders>
            <w:shd w:val="clear" w:color="auto" w:fill="C6EFCE"/>
            <w:noWrap/>
          </w:tcPr>
          <w:p w14:paraId="55482AB8" w14:textId="77777777" w:rsidR="00A345F4" w:rsidRDefault="005E2D4E">
            <w:pPr>
              <w:pStyle w:val="P68B1DB1-Normal73"/>
              <w:spacing w:after="0" w:line="259" w:lineRule="auto"/>
              <w:jc w:val="both"/>
              <w:rPr>
                <w:noProof/>
              </w:rPr>
            </w:pPr>
            <w:r>
              <w:rPr>
                <w:noProof/>
              </w:rPr>
              <w:t>C15.R2</w:t>
            </w:r>
          </w:p>
          <w:p w14:paraId="4C9BC084" w14:textId="77777777" w:rsidR="00A345F4" w:rsidRDefault="005E2D4E">
            <w:pPr>
              <w:pStyle w:val="P68B1DB1-Normal73"/>
              <w:spacing w:after="0" w:line="259" w:lineRule="auto"/>
              <w:jc w:val="both"/>
              <w:rPr>
                <w:noProof/>
              </w:rPr>
            </w:pPr>
            <w:r>
              <w:rPr>
                <w:noProof/>
              </w:rPr>
              <w:t>Système d'éducation de la petite enfance unitaire, inclusif et de qualité</w:t>
            </w:r>
          </w:p>
        </w:tc>
        <w:tc>
          <w:tcPr>
            <w:tcW w:w="1276" w:type="dxa"/>
            <w:tcBorders>
              <w:top w:val="nil"/>
              <w:left w:val="nil"/>
              <w:bottom w:val="single" w:sz="4" w:space="0" w:color="auto"/>
              <w:right w:val="single" w:sz="4" w:space="0" w:color="auto"/>
            </w:tcBorders>
            <w:shd w:val="clear" w:color="auto" w:fill="C6EFCE"/>
            <w:noWrap/>
          </w:tcPr>
          <w:p w14:paraId="0E356278"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10F5941" w14:textId="77777777" w:rsidR="00A345F4" w:rsidRDefault="005E2D4E">
            <w:pPr>
              <w:pStyle w:val="P68B1DB1-Normal73"/>
              <w:spacing w:after="0" w:line="259" w:lineRule="auto"/>
              <w:jc w:val="both"/>
              <w:rPr>
                <w:noProof/>
              </w:rPr>
            </w:pPr>
            <w:r>
              <w:rPr>
                <w:noProof/>
              </w:rPr>
              <w:t>- Entrée en vigueur de l'arrêté ministériel (OM) portant adoption du programme-cadre transsectoriel</w:t>
            </w:r>
          </w:p>
          <w:p w14:paraId="34DFED47" w14:textId="77777777" w:rsidR="00A345F4" w:rsidRDefault="005E2D4E">
            <w:pPr>
              <w:pStyle w:val="P68B1DB1-Normal73"/>
              <w:spacing w:after="0" w:line="259" w:lineRule="auto"/>
              <w:jc w:val="both"/>
              <w:rPr>
                <w:noProof/>
              </w:rPr>
            </w:pPr>
            <w:r>
              <w:rPr>
                <w:noProof/>
              </w:rPr>
              <w:t>- Entrée en vigueur du protocole d'accord réglementant la création, l'organisation et le fonctionnement de services complémentaires d'éducation de la petite enfance</w:t>
            </w:r>
          </w:p>
        </w:tc>
      </w:tr>
      <w:tr w:rsidR="00A345F4" w14:paraId="51F2CD1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6C964C1" w14:textId="77777777" w:rsidR="00A345F4" w:rsidRDefault="005E2D4E">
            <w:pPr>
              <w:pStyle w:val="P68B1DB1-Normal73"/>
              <w:spacing w:after="0" w:line="259" w:lineRule="auto"/>
              <w:jc w:val="center"/>
              <w:rPr>
                <w:noProof/>
              </w:rPr>
            </w:pPr>
            <w:r>
              <w:rPr>
                <w:noProof/>
              </w:rPr>
              <w:t>463</w:t>
            </w:r>
          </w:p>
        </w:tc>
        <w:tc>
          <w:tcPr>
            <w:tcW w:w="3543" w:type="dxa"/>
            <w:tcBorders>
              <w:top w:val="nil"/>
              <w:left w:val="nil"/>
              <w:bottom w:val="single" w:sz="4" w:space="0" w:color="auto"/>
              <w:right w:val="single" w:sz="4" w:space="0" w:color="auto"/>
            </w:tcBorders>
            <w:shd w:val="clear" w:color="auto" w:fill="C6EFCE"/>
            <w:noWrap/>
          </w:tcPr>
          <w:p w14:paraId="472AEC19" w14:textId="77777777" w:rsidR="00A345F4" w:rsidRDefault="005E2D4E">
            <w:pPr>
              <w:pStyle w:val="P68B1DB1-Normal73"/>
              <w:spacing w:after="0" w:line="259" w:lineRule="auto"/>
              <w:jc w:val="both"/>
              <w:rPr>
                <w:noProof/>
              </w:rPr>
            </w:pPr>
            <w:r>
              <w:rPr>
                <w:noProof/>
              </w:rPr>
              <w:t>C15.R3</w:t>
            </w:r>
          </w:p>
          <w:p w14:paraId="54B04675" w14:textId="77777777" w:rsidR="00A345F4" w:rsidRDefault="005E2D4E">
            <w:pPr>
              <w:pStyle w:val="P68B1DB1-Normal73"/>
              <w:spacing w:after="0" w:line="259" w:lineRule="auto"/>
              <w:jc w:val="both"/>
              <w:rPr>
                <w:noProof/>
              </w:rPr>
            </w:pPr>
            <w:r>
              <w:rPr>
                <w:noProof/>
              </w:rPr>
              <w:t>Réforme du système d'enseignement obligatoire pour prévenir et réduire le décrochage scolaire</w:t>
            </w:r>
          </w:p>
        </w:tc>
        <w:tc>
          <w:tcPr>
            <w:tcW w:w="1276" w:type="dxa"/>
            <w:tcBorders>
              <w:top w:val="nil"/>
              <w:left w:val="nil"/>
              <w:bottom w:val="single" w:sz="4" w:space="0" w:color="auto"/>
              <w:right w:val="single" w:sz="4" w:space="0" w:color="auto"/>
            </w:tcBorders>
            <w:shd w:val="clear" w:color="auto" w:fill="C6EFCE"/>
            <w:noWrap/>
          </w:tcPr>
          <w:p w14:paraId="098BEC5F"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7F7A146" w14:textId="77777777" w:rsidR="00A345F4" w:rsidRDefault="005E2D4E">
            <w:pPr>
              <w:pStyle w:val="P68B1DB1-Normal73"/>
              <w:spacing w:after="0" w:line="259" w:lineRule="auto"/>
              <w:jc w:val="both"/>
              <w:rPr>
                <w:noProof/>
              </w:rPr>
            </w:pPr>
            <w:r>
              <w:rPr>
                <w:noProof/>
              </w:rPr>
              <w:t>Entrée en vigueur de l’arrêté ministériel relatif à l’utilisation de l’outil MATE au niveau national</w:t>
            </w:r>
          </w:p>
        </w:tc>
      </w:tr>
      <w:tr w:rsidR="00A345F4" w14:paraId="349A0DDE" w14:textId="77777777">
        <w:trPr>
          <w:trHeight w:val="302"/>
        </w:trPr>
        <w:tc>
          <w:tcPr>
            <w:tcW w:w="1442" w:type="dxa"/>
            <w:tcBorders>
              <w:top w:val="single" w:sz="4" w:space="0" w:color="auto"/>
              <w:left w:val="single" w:sz="4" w:space="0" w:color="auto"/>
              <w:bottom w:val="single" w:sz="4" w:space="0" w:color="auto"/>
              <w:right w:val="single" w:sz="4" w:space="0" w:color="auto"/>
            </w:tcBorders>
            <w:shd w:val="clear" w:color="auto" w:fill="C6EFCE"/>
            <w:noWrap/>
          </w:tcPr>
          <w:p w14:paraId="6AB23927"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543" w:type="dxa"/>
            <w:tcBorders>
              <w:top w:val="single" w:sz="4" w:space="0" w:color="auto"/>
              <w:left w:val="nil"/>
              <w:bottom w:val="single" w:sz="4" w:space="0" w:color="auto"/>
              <w:right w:val="single" w:sz="4" w:space="0" w:color="auto"/>
            </w:tcBorders>
            <w:shd w:val="clear" w:color="auto" w:fill="C6EFCE"/>
            <w:noWrap/>
          </w:tcPr>
          <w:p w14:paraId="5247728C" w14:textId="77777777" w:rsidR="00A345F4" w:rsidRDefault="00A345F4">
            <w:pPr>
              <w:spacing w:after="0" w:line="259" w:lineRule="auto"/>
              <w:jc w:val="both"/>
              <w:rPr>
                <w:rFonts w:ascii="Times New Roman" w:eastAsia="Times New Roman" w:hAnsi="Times New Roman" w:cs="Times New Roman"/>
                <w:noProof/>
                <w:kern w:val="2"/>
                <w:sz w:val="22"/>
                <w:szCs w:val="22"/>
                <w14:ligatures w14:val="standardContextual"/>
              </w:rPr>
            </w:pPr>
          </w:p>
        </w:tc>
        <w:tc>
          <w:tcPr>
            <w:tcW w:w="1276" w:type="dxa"/>
            <w:tcBorders>
              <w:top w:val="single" w:sz="4" w:space="0" w:color="auto"/>
              <w:left w:val="nil"/>
              <w:bottom w:val="single" w:sz="4" w:space="0" w:color="auto"/>
              <w:right w:val="single" w:sz="4" w:space="0" w:color="auto"/>
            </w:tcBorders>
            <w:shd w:val="clear" w:color="auto" w:fill="C6EFCE"/>
            <w:noWrap/>
          </w:tcPr>
          <w:p w14:paraId="1A02357C" w14:textId="77777777" w:rsidR="00A345F4" w:rsidRDefault="005E2D4E">
            <w:pPr>
              <w:pStyle w:val="P68B1DB1-Normal74"/>
              <w:spacing w:after="0" w:line="259" w:lineRule="auto"/>
              <w:jc w:val="center"/>
              <w:rPr>
                <w:noProof/>
              </w:rPr>
            </w:pPr>
            <w:r>
              <w:rPr>
                <w:noProof/>
              </w:rPr>
              <w:t>Montant des acomptes provisionnels</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1CA9A9B" w14:textId="77777777" w:rsidR="00A345F4" w:rsidRDefault="005E2D4E">
            <w:pPr>
              <w:pStyle w:val="P68B1DB1-Normal74"/>
              <w:spacing w:after="0" w:line="259" w:lineRule="auto"/>
              <w:jc w:val="right"/>
              <w:rPr>
                <w:noProof/>
              </w:rPr>
            </w:pPr>
            <w:r>
              <w:rPr>
                <w:noProof/>
              </w:rPr>
              <w:t>1 833 810 414 EUR</w:t>
            </w:r>
          </w:p>
        </w:tc>
      </w:tr>
    </w:tbl>
    <w:p w14:paraId="1512C429" w14:textId="77777777" w:rsidR="00A345F4" w:rsidRDefault="005E2D4E">
      <w:pPr>
        <w:pStyle w:val="P68B1DB1-Normal77"/>
        <w:spacing w:line="259" w:lineRule="auto"/>
        <w:rPr>
          <w:noProof/>
        </w:rPr>
      </w:pPr>
      <w:r>
        <w:rPr>
          <w:noProof/>
        </w:rPr>
        <w:br w:type="page"/>
      </w:r>
    </w:p>
    <w:p w14:paraId="0BFC0974" w14:textId="77777777" w:rsidR="00A345F4" w:rsidRDefault="005E2D4E">
      <w:pPr>
        <w:pStyle w:val="P68B1DB1-Normal71"/>
        <w:keepNext/>
        <w:tabs>
          <w:tab w:val="num" w:pos="1417"/>
        </w:tabs>
        <w:spacing w:before="120" w:after="120" w:line="240" w:lineRule="auto"/>
        <w:ind w:left="1417" w:hanging="850"/>
        <w:jc w:val="both"/>
        <w:outlineLvl w:val="2"/>
        <w:rPr>
          <w:bCs/>
          <w:noProof/>
        </w:rPr>
      </w:pPr>
      <w:r>
        <w:rPr>
          <w:noProof/>
        </w:rPr>
        <w:t xml:space="preserve">2.1.4 Quatrième tranche (soutien non remboursable): </w:t>
      </w:r>
    </w:p>
    <w:tbl>
      <w:tblPr>
        <w:tblW w:w="9634" w:type="dxa"/>
        <w:tblInd w:w="113" w:type="dxa"/>
        <w:tblLook w:val="04A0" w:firstRow="1" w:lastRow="0" w:firstColumn="1" w:lastColumn="0" w:noHBand="0" w:noVBand="1"/>
      </w:tblPr>
      <w:tblGrid>
        <w:gridCol w:w="1413"/>
        <w:gridCol w:w="3544"/>
        <w:gridCol w:w="1402"/>
        <w:gridCol w:w="3402"/>
      </w:tblGrid>
      <w:tr w:rsidR="00A345F4" w14:paraId="02AF2794" w14:textId="77777777">
        <w:trPr>
          <w:trHeight w:val="567"/>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034F3A" w14:textId="77777777" w:rsidR="00A345F4" w:rsidRDefault="005E2D4E">
            <w:pPr>
              <w:pStyle w:val="P68B1DB1-Normal72"/>
              <w:spacing w:after="0" w:line="259" w:lineRule="auto"/>
              <w:jc w:val="center"/>
              <w:rPr>
                <w:noProof/>
              </w:rPr>
            </w:pPr>
            <w:r>
              <w:rPr>
                <w:noProof/>
              </w:rPr>
              <w:t>Numéro séquentiel</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70798D" w14:textId="3351BC51" w:rsidR="00A345F4" w:rsidRDefault="005E2D4E">
            <w:pPr>
              <w:pStyle w:val="P68B1DB1-Normal72"/>
              <w:spacing w:after="0" w:line="259" w:lineRule="auto"/>
              <w:jc w:val="center"/>
              <w:rPr>
                <w:noProof/>
              </w:rPr>
            </w:pPr>
            <w:r>
              <w:rPr>
                <w:noProof/>
              </w:rPr>
              <w:t>Mesure connexe (réforme ou investissement)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F3D1DD" w14:textId="77777777" w:rsidR="00A345F4" w:rsidRDefault="005E2D4E">
            <w:pPr>
              <w:pStyle w:val="P68B1DB1-Normal72"/>
              <w:spacing w:after="0" w:line="259" w:lineRule="auto"/>
              <w:jc w:val="center"/>
              <w:rPr>
                <w:noProof/>
              </w:rPr>
            </w:pPr>
            <w:r>
              <w:rPr>
                <w:noProof/>
              </w:rPr>
              <w:t>Étape/cible</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C6FB9B" w14:textId="77777777" w:rsidR="00A345F4" w:rsidRDefault="005E2D4E">
            <w:pPr>
              <w:pStyle w:val="P68B1DB1-Normal72"/>
              <w:spacing w:after="0" w:line="259" w:lineRule="auto"/>
              <w:jc w:val="center"/>
              <w:rPr>
                <w:noProof/>
              </w:rPr>
            </w:pPr>
            <w:r>
              <w:rPr>
                <w:noProof/>
              </w:rPr>
              <w:t>Nom</w:t>
            </w:r>
          </w:p>
        </w:tc>
      </w:tr>
      <w:tr w:rsidR="00A345F4" w14:paraId="0431D60D" w14:textId="77777777">
        <w:trPr>
          <w:trHeight w:val="567"/>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148E0A12"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8251BF3"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2AE07BA" w14:textId="77777777" w:rsidR="00A345F4" w:rsidRDefault="00A345F4">
            <w:pPr>
              <w:spacing w:after="0" w:line="259" w:lineRule="auto"/>
              <w:jc w:val="center"/>
              <w:rPr>
                <w:rFonts w:ascii="Times New Roman" w:eastAsia="Times New Roman" w:hAnsi="Times New Roman" w:cs="Times New Roman"/>
                <w:b/>
                <w:bCs/>
                <w:noProof/>
                <w:kern w:val="2"/>
                <w:sz w:val="22"/>
                <w:szCs w:val="22"/>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96B4B3A"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r>
      <w:tr w:rsidR="00A345F4" w14:paraId="05CF548F"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6ED6C5F" w14:textId="77777777" w:rsidR="00A345F4" w:rsidRDefault="005E2D4E">
            <w:pPr>
              <w:pStyle w:val="P68B1DB1-Normal74"/>
              <w:spacing w:after="0" w:line="259" w:lineRule="auto"/>
              <w:rPr>
                <w:noProof/>
              </w:rPr>
            </w:pPr>
            <w:r>
              <w:rPr>
                <w:noProof/>
              </w:rPr>
              <w:t>RO-C[C2]-R[R1.0]-M[24]</w:t>
            </w:r>
          </w:p>
        </w:tc>
        <w:tc>
          <w:tcPr>
            <w:tcW w:w="3544" w:type="dxa"/>
            <w:tcBorders>
              <w:top w:val="single" w:sz="4" w:space="0" w:color="auto"/>
              <w:left w:val="nil"/>
              <w:bottom w:val="single" w:sz="4" w:space="0" w:color="auto"/>
              <w:right w:val="single" w:sz="4" w:space="0" w:color="auto"/>
            </w:tcBorders>
            <w:shd w:val="clear" w:color="auto" w:fill="C6EFCE"/>
            <w:noWrap/>
          </w:tcPr>
          <w:p w14:paraId="5D631C1A" w14:textId="77777777" w:rsidR="00A345F4" w:rsidRDefault="005E2D4E">
            <w:pPr>
              <w:pStyle w:val="P68B1DB1-Normal73"/>
              <w:spacing w:after="0" w:line="259" w:lineRule="auto"/>
              <w:rPr>
                <w:noProof/>
              </w:rPr>
            </w:pPr>
            <w:r>
              <w:rPr>
                <w:noProof/>
              </w:rPr>
              <w:t>Réforme des systèmes de gestion et de gouvernance des forêts au moyen d’une nouvelle stratégie nationale pour les forêts et d’actes juridiques ultérieurs</w:t>
            </w:r>
          </w:p>
        </w:tc>
        <w:tc>
          <w:tcPr>
            <w:tcW w:w="1275" w:type="dxa"/>
            <w:tcBorders>
              <w:top w:val="single" w:sz="4" w:space="0" w:color="auto"/>
              <w:left w:val="nil"/>
              <w:bottom w:val="single" w:sz="4" w:space="0" w:color="auto"/>
              <w:right w:val="single" w:sz="4" w:space="0" w:color="auto"/>
            </w:tcBorders>
            <w:shd w:val="clear" w:color="auto" w:fill="C6EFCE"/>
            <w:noWrap/>
          </w:tcPr>
          <w:p w14:paraId="3E39F600" w14:textId="77777777" w:rsidR="00A345F4" w:rsidRDefault="005E2D4E">
            <w:pPr>
              <w:pStyle w:val="P68B1DB1-Normal73"/>
              <w:spacing w:after="0" w:line="259" w:lineRule="auto"/>
              <w:jc w:val="center"/>
              <w:rPr>
                <w:noProof/>
              </w:rPr>
            </w:pPr>
            <w:r>
              <w:rPr>
                <w:noProof/>
              </w:rPr>
              <w:t>M</w:t>
            </w:r>
          </w:p>
        </w:tc>
        <w:tc>
          <w:tcPr>
            <w:tcW w:w="3402" w:type="dxa"/>
            <w:tcBorders>
              <w:top w:val="single" w:sz="4" w:space="0" w:color="auto"/>
              <w:left w:val="nil"/>
              <w:bottom w:val="single" w:sz="4" w:space="0" w:color="auto"/>
              <w:right w:val="single" w:sz="4" w:space="0" w:color="auto"/>
            </w:tcBorders>
            <w:shd w:val="clear" w:color="auto" w:fill="C6EFCE"/>
            <w:noWrap/>
          </w:tcPr>
          <w:p w14:paraId="509F2EB2" w14:textId="77777777" w:rsidR="00A345F4" w:rsidRDefault="005E2D4E">
            <w:pPr>
              <w:pStyle w:val="P68B1DB1-Normal74"/>
              <w:spacing w:after="0" w:line="259" w:lineRule="auto"/>
              <w:rPr>
                <w:noProof/>
              </w:rPr>
            </w:pPr>
            <w:r>
              <w:rPr>
                <w:noProof/>
              </w:rPr>
              <w:t>Entrée en vigueur des actes législatifs modifiant et complétant la législation existante sur les forêts</w:t>
            </w:r>
          </w:p>
        </w:tc>
      </w:tr>
      <w:tr w:rsidR="00A345F4" w14:paraId="741A6D2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DEBA905" w14:textId="77777777" w:rsidR="00A345F4" w:rsidRDefault="005E2D4E">
            <w:pPr>
              <w:pStyle w:val="P68B1DB1-Normal74"/>
              <w:spacing w:after="0" w:line="259" w:lineRule="auto"/>
              <w:rPr>
                <w:noProof/>
              </w:rPr>
            </w:pPr>
            <w:r>
              <w:rPr>
                <w:noProof/>
              </w:rPr>
              <w:t>RO-C[C2]-I[I5.0]-M[41]</w:t>
            </w:r>
          </w:p>
        </w:tc>
        <w:tc>
          <w:tcPr>
            <w:tcW w:w="3544" w:type="dxa"/>
            <w:tcBorders>
              <w:top w:val="nil"/>
              <w:left w:val="nil"/>
              <w:bottom w:val="single" w:sz="4" w:space="0" w:color="auto"/>
              <w:right w:val="single" w:sz="4" w:space="0" w:color="auto"/>
            </w:tcBorders>
            <w:shd w:val="clear" w:color="auto" w:fill="C6EFCE"/>
            <w:noWrap/>
          </w:tcPr>
          <w:p w14:paraId="54C01210" w14:textId="77777777" w:rsidR="00A345F4" w:rsidRDefault="005E2D4E">
            <w:pPr>
              <w:pStyle w:val="P68B1DB1-Normal73"/>
              <w:spacing w:after="0" w:line="259" w:lineRule="auto"/>
              <w:rPr>
                <w:noProof/>
              </w:rPr>
            </w:pPr>
            <w:r>
              <w:rPr>
                <w:noProof/>
              </w:rPr>
              <w:t>Systèmes intégrés d'atténuation des risques d'inondation dans les bassins hydrographiques forestiers</w:t>
            </w:r>
          </w:p>
        </w:tc>
        <w:tc>
          <w:tcPr>
            <w:tcW w:w="1275" w:type="dxa"/>
            <w:tcBorders>
              <w:top w:val="nil"/>
              <w:left w:val="nil"/>
              <w:bottom w:val="single" w:sz="4" w:space="0" w:color="auto"/>
              <w:right w:val="single" w:sz="4" w:space="0" w:color="auto"/>
            </w:tcBorders>
            <w:shd w:val="clear" w:color="auto" w:fill="C6EFCE"/>
            <w:noWrap/>
          </w:tcPr>
          <w:p w14:paraId="6781C35B"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8306833" w14:textId="77777777" w:rsidR="00A345F4" w:rsidRDefault="005E2D4E">
            <w:pPr>
              <w:pStyle w:val="P68B1DB1-Normal74"/>
              <w:spacing w:after="0" w:line="259" w:lineRule="auto"/>
              <w:rPr>
                <w:noProof/>
              </w:rPr>
            </w:pPr>
            <w:r>
              <w:rPr>
                <w:noProof/>
              </w:rPr>
              <w:t>Approbation de la conception du projet</w:t>
            </w:r>
          </w:p>
        </w:tc>
      </w:tr>
      <w:tr w:rsidR="00A345F4" w14:paraId="6018AB2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4DB52E8" w14:textId="77777777" w:rsidR="00A345F4" w:rsidRDefault="005E2D4E">
            <w:pPr>
              <w:pStyle w:val="P68B1DB1-Normal74"/>
              <w:spacing w:after="0" w:line="259" w:lineRule="auto"/>
              <w:rPr>
                <w:noProof/>
              </w:rPr>
            </w:pPr>
            <w:r>
              <w:rPr>
                <w:noProof/>
              </w:rPr>
              <w:t>RO-C[C4]-R[R1.0]-M[59]</w:t>
            </w:r>
          </w:p>
        </w:tc>
        <w:tc>
          <w:tcPr>
            <w:tcW w:w="3544" w:type="dxa"/>
            <w:tcBorders>
              <w:top w:val="nil"/>
              <w:left w:val="nil"/>
              <w:bottom w:val="single" w:sz="4" w:space="0" w:color="auto"/>
              <w:right w:val="single" w:sz="4" w:space="0" w:color="auto"/>
            </w:tcBorders>
            <w:shd w:val="clear" w:color="auto" w:fill="C6EFCE"/>
            <w:noWrap/>
          </w:tcPr>
          <w:p w14:paraId="5D0855FC" w14:textId="77777777" w:rsidR="00A345F4" w:rsidRDefault="005E2D4E">
            <w:pPr>
              <w:pStyle w:val="P68B1DB1-Normal73"/>
              <w:spacing w:after="0" w:line="259" w:lineRule="auto"/>
              <w:rPr>
                <w:noProof/>
              </w:rPr>
            </w:pPr>
            <w:r>
              <w:rPr>
                <w:noProof/>
              </w:rPr>
              <w:t>Transports durables, décarbonation et sécurité routière / Décarbonation des routes et réduction de la pollution atmosphérique</w:t>
            </w:r>
          </w:p>
        </w:tc>
        <w:tc>
          <w:tcPr>
            <w:tcW w:w="1275" w:type="dxa"/>
            <w:tcBorders>
              <w:top w:val="nil"/>
              <w:left w:val="nil"/>
              <w:bottom w:val="single" w:sz="4" w:space="0" w:color="auto"/>
              <w:right w:val="single" w:sz="4" w:space="0" w:color="auto"/>
            </w:tcBorders>
            <w:shd w:val="clear" w:color="auto" w:fill="C6EFCE"/>
            <w:noWrap/>
          </w:tcPr>
          <w:p w14:paraId="23D79E3C"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1DE16AD" w14:textId="77777777" w:rsidR="00A345F4" w:rsidRDefault="005E2D4E">
            <w:pPr>
              <w:pStyle w:val="P68B1DB1-Normal74"/>
              <w:spacing w:after="0" w:line="259" w:lineRule="auto"/>
              <w:rPr>
                <w:noProof/>
              </w:rPr>
            </w:pPr>
            <w:r>
              <w:rPr>
                <w:noProof/>
              </w:rPr>
              <w:t xml:space="preserve">Entrée en vigueur du ou des actes juridiques pour la mise en œuvre d’un nouveau système de tarification fondé sur la distance pour les véhicules utilitaires lourds (camions) liés à la pollution atmosphérique, et augmentation des taxes de propriété pour la plupart des véhicules de transport de passagers polluants (voitures/autobus/autocars) </w:t>
            </w:r>
          </w:p>
        </w:tc>
      </w:tr>
      <w:tr w:rsidR="00A345F4" w14:paraId="74242CD8" w14:textId="77777777">
        <w:trPr>
          <w:trHeight w:val="1172"/>
        </w:trPr>
        <w:tc>
          <w:tcPr>
            <w:tcW w:w="1413" w:type="dxa"/>
            <w:tcBorders>
              <w:top w:val="nil"/>
              <w:left w:val="single" w:sz="4" w:space="0" w:color="auto"/>
              <w:bottom w:val="single" w:sz="4" w:space="0" w:color="auto"/>
              <w:right w:val="single" w:sz="4" w:space="0" w:color="auto"/>
            </w:tcBorders>
            <w:shd w:val="clear" w:color="auto" w:fill="C6EFCE"/>
            <w:noWrap/>
          </w:tcPr>
          <w:p w14:paraId="2D6A31B6" w14:textId="77777777" w:rsidR="00A345F4" w:rsidRDefault="005E2D4E">
            <w:pPr>
              <w:pStyle w:val="P68B1DB1-Normal74"/>
              <w:spacing w:after="0" w:line="259" w:lineRule="auto"/>
              <w:rPr>
                <w:noProof/>
              </w:rPr>
            </w:pPr>
            <w:r>
              <w:rPr>
                <w:noProof/>
              </w:rPr>
              <w:t>RO-C[C4]-R[R1.0]-M[60]</w:t>
            </w:r>
          </w:p>
        </w:tc>
        <w:tc>
          <w:tcPr>
            <w:tcW w:w="3544" w:type="dxa"/>
            <w:tcBorders>
              <w:top w:val="nil"/>
              <w:left w:val="nil"/>
              <w:bottom w:val="single" w:sz="4" w:space="0" w:color="auto"/>
              <w:right w:val="single" w:sz="4" w:space="0" w:color="auto"/>
            </w:tcBorders>
            <w:shd w:val="clear" w:color="auto" w:fill="C6EFCE"/>
            <w:noWrap/>
          </w:tcPr>
          <w:p w14:paraId="5E01DE58" w14:textId="77777777" w:rsidR="00A345F4" w:rsidRDefault="005E2D4E">
            <w:pPr>
              <w:pStyle w:val="P68B1DB1-Normal73"/>
              <w:spacing w:after="0" w:line="259" w:lineRule="auto"/>
              <w:rPr>
                <w:noProof/>
              </w:rPr>
            </w:pPr>
            <w:r>
              <w:rPr>
                <w:noProof/>
              </w:rPr>
              <w:t xml:space="preserve">Transports durables, décarbonation et sécurité routière / Décarbonation des routes et réduction de la pollution atmosphérique </w:t>
            </w:r>
          </w:p>
        </w:tc>
        <w:tc>
          <w:tcPr>
            <w:tcW w:w="1275" w:type="dxa"/>
            <w:tcBorders>
              <w:top w:val="nil"/>
              <w:left w:val="nil"/>
              <w:bottom w:val="single" w:sz="4" w:space="0" w:color="auto"/>
              <w:right w:val="single" w:sz="4" w:space="0" w:color="auto"/>
            </w:tcBorders>
            <w:shd w:val="clear" w:color="auto" w:fill="C6EFCE"/>
            <w:noWrap/>
          </w:tcPr>
          <w:p w14:paraId="08BBBDE6"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570D18F" w14:textId="77777777" w:rsidR="00A345F4" w:rsidRDefault="005E2D4E">
            <w:pPr>
              <w:pStyle w:val="P68B1DB1-Normal74"/>
              <w:spacing w:after="0" w:line="259" w:lineRule="auto"/>
              <w:rPr>
                <w:noProof/>
              </w:rPr>
            </w:pPr>
            <w:r>
              <w:rPr>
                <w:noProof/>
              </w:rPr>
              <w:t xml:space="preserve">Entrée en vigueur du ou des actes juridiques visant à stimuler l’utilisation de véhicules propres et des programmes de renouvellement de la flotte </w:t>
            </w:r>
          </w:p>
        </w:tc>
      </w:tr>
      <w:tr w:rsidR="00A345F4" w14:paraId="39279EE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AD948C4" w14:textId="77777777" w:rsidR="00A345F4" w:rsidRDefault="005E2D4E">
            <w:pPr>
              <w:pStyle w:val="P68B1DB1-Normal74"/>
              <w:spacing w:after="0" w:line="259" w:lineRule="auto"/>
              <w:rPr>
                <w:noProof/>
              </w:rPr>
            </w:pPr>
            <w:r>
              <w:rPr>
                <w:noProof/>
              </w:rPr>
              <w:t>RO-C[C6]-R[R1.0]-T[119]</w:t>
            </w:r>
          </w:p>
        </w:tc>
        <w:tc>
          <w:tcPr>
            <w:tcW w:w="3544" w:type="dxa"/>
            <w:tcBorders>
              <w:top w:val="nil"/>
              <w:left w:val="nil"/>
              <w:bottom w:val="single" w:sz="4" w:space="0" w:color="auto"/>
              <w:right w:val="single" w:sz="4" w:space="0" w:color="auto"/>
            </w:tcBorders>
            <w:shd w:val="clear" w:color="auto" w:fill="C6EFCE"/>
            <w:noWrap/>
          </w:tcPr>
          <w:p w14:paraId="6CC94910" w14:textId="77777777" w:rsidR="00A345F4" w:rsidRDefault="005E2D4E">
            <w:pPr>
              <w:pStyle w:val="P68B1DB1-Normal73"/>
              <w:spacing w:after="0" w:line="259" w:lineRule="auto"/>
              <w:rPr>
                <w:noProof/>
              </w:rPr>
            </w:pPr>
            <w:r>
              <w:rPr>
                <w:noProof/>
              </w:rPr>
              <w:t>Réforme du marché de l'électricité, remplacement du charbon dans le bouquet énergétique et soutien à un cadre législatif et réglementaire pour les investissements privés dans la production d'électricité renouvelable</w:t>
            </w:r>
          </w:p>
        </w:tc>
        <w:tc>
          <w:tcPr>
            <w:tcW w:w="1275" w:type="dxa"/>
            <w:tcBorders>
              <w:top w:val="nil"/>
              <w:left w:val="nil"/>
              <w:bottom w:val="single" w:sz="4" w:space="0" w:color="auto"/>
              <w:right w:val="single" w:sz="4" w:space="0" w:color="auto"/>
            </w:tcBorders>
            <w:shd w:val="clear" w:color="auto" w:fill="C6EFCE"/>
            <w:noWrap/>
          </w:tcPr>
          <w:p w14:paraId="0104DE0E" w14:textId="77777777" w:rsidR="00A345F4" w:rsidRDefault="005E2D4E">
            <w:pPr>
              <w:pStyle w:val="P68B1DB1-Normal73"/>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32C780A6" w14:textId="77777777" w:rsidR="00A345F4" w:rsidRDefault="005E2D4E">
            <w:pPr>
              <w:pStyle w:val="P68B1DB1-Normal78"/>
              <w:spacing w:after="0" w:line="259" w:lineRule="auto"/>
              <w:rPr>
                <w:noProof/>
              </w:rPr>
            </w:pPr>
            <w:r>
              <w:rPr>
                <w:noProof/>
              </w:rPr>
              <w:t>Démantèlement de la capacité de production d’électricité à partir de charbon/lignite</w:t>
            </w:r>
          </w:p>
          <w:p w14:paraId="2A9F37AD" w14:textId="77777777" w:rsidR="00A345F4" w:rsidRDefault="00A345F4">
            <w:pPr>
              <w:spacing w:after="0" w:line="259" w:lineRule="auto"/>
              <w:rPr>
                <w:rFonts w:ascii="Times New Roman" w:eastAsia="Times New Roman" w:hAnsi="Times New Roman" w:cs="Times New Roman"/>
                <w:noProof/>
                <w:kern w:val="2"/>
                <w:sz w:val="22"/>
                <w:szCs w:val="22"/>
                <w14:ligatures w14:val="standardContextual"/>
              </w:rPr>
            </w:pPr>
          </w:p>
        </w:tc>
      </w:tr>
      <w:tr w:rsidR="00A345F4" w14:paraId="2FD7D6A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0071AAE" w14:textId="77777777" w:rsidR="00A345F4" w:rsidRDefault="005E2D4E">
            <w:pPr>
              <w:pStyle w:val="P68B1DB1-Normal74"/>
              <w:spacing w:after="0" w:line="259" w:lineRule="auto"/>
              <w:rPr>
                <w:noProof/>
              </w:rPr>
            </w:pPr>
            <w:r>
              <w:rPr>
                <w:noProof/>
              </w:rPr>
              <w:t>RO-C[C6]-R[R2.0]-M[122]</w:t>
            </w:r>
          </w:p>
        </w:tc>
        <w:tc>
          <w:tcPr>
            <w:tcW w:w="3544" w:type="dxa"/>
            <w:tcBorders>
              <w:top w:val="nil"/>
              <w:left w:val="nil"/>
              <w:bottom w:val="single" w:sz="4" w:space="0" w:color="auto"/>
              <w:right w:val="single" w:sz="4" w:space="0" w:color="auto"/>
            </w:tcBorders>
            <w:shd w:val="clear" w:color="auto" w:fill="C6EFCE"/>
            <w:noWrap/>
          </w:tcPr>
          <w:p w14:paraId="6B976DCF" w14:textId="77777777" w:rsidR="00A345F4" w:rsidRDefault="005E2D4E">
            <w:pPr>
              <w:pStyle w:val="P68B1DB1-Normal73"/>
              <w:spacing w:after="0" w:line="259" w:lineRule="auto"/>
              <w:rPr>
                <w:noProof/>
              </w:rPr>
            </w:pPr>
            <w:r>
              <w:rPr>
                <w:noProof/>
              </w:rPr>
              <w:t>Réformer la gouvernance des entreprises publiques dans le secteur de l'énergie</w:t>
            </w:r>
          </w:p>
        </w:tc>
        <w:tc>
          <w:tcPr>
            <w:tcW w:w="1275" w:type="dxa"/>
            <w:tcBorders>
              <w:top w:val="nil"/>
              <w:left w:val="nil"/>
              <w:bottom w:val="single" w:sz="4" w:space="0" w:color="auto"/>
              <w:right w:val="single" w:sz="4" w:space="0" w:color="auto"/>
            </w:tcBorders>
            <w:shd w:val="clear" w:color="auto" w:fill="C6EFCE"/>
            <w:noWrap/>
          </w:tcPr>
          <w:p w14:paraId="2B5C8DEB"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8BD439F" w14:textId="77777777" w:rsidR="00A345F4" w:rsidRDefault="005E2D4E">
            <w:pPr>
              <w:pStyle w:val="P68B1DB1-Normal74"/>
              <w:spacing w:after="0" w:line="259" w:lineRule="auto"/>
              <w:rPr>
                <w:noProof/>
              </w:rPr>
            </w:pPr>
            <w:r>
              <w:rPr>
                <w:noProof/>
              </w:rPr>
              <w:t>Cotation d'au moins 15% des actions d'Hidroelectrica sur l'échange</w:t>
            </w:r>
          </w:p>
        </w:tc>
      </w:tr>
      <w:tr w:rsidR="00A345F4" w14:paraId="298719E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65348E6" w14:textId="77777777" w:rsidR="00A345F4" w:rsidRDefault="005E2D4E">
            <w:pPr>
              <w:pStyle w:val="P68B1DB1-Normal74"/>
              <w:spacing w:after="0" w:line="259" w:lineRule="auto"/>
              <w:rPr>
                <w:noProof/>
              </w:rPr>
            </w:pPr>
            <w:r>
              <w:rPr>
                <w:noProof/>
              </w:rPr>
              <w:t>RO-C[C6]-R[R3.0]-M[123]</w:t>
            </w:r>
          </w:p>
        </w:tc>
        <w:tc>
          <w:tcPr>
            <w:tcW w:w="3544" w:type="dxa"/>
            <w:tcBorders>
              <w:top w:val="nil"/>
              <w:left w:val="nil"/>
              <w:bottom w:val="single" w:sz="4" w:space="0" w:color="auto"/>
              <w:right w:val="single" w:sz="4" w:space="0" w:color="auto"/>
            </w:tcBorders>
            <w:shd w:val="clear" w:color="auto" w:fill="C6EFCE"/>
            <w:noWrap/>
          </w:tcPr>
          <w:p w14:paraId="44204CD0" w14:textId="77777777" w:rsidR="00A345F4" w:rsidRDefault="005E2D4E">
            <w:pPr>
              <w:pStyle w:val="P68B1DB1-Normal73"/>
              <w:spacing w:after="0" w:line="259" w:lineRule="auto"/>
              <w:rPr>
                <w:noProof/>
              </w:rPr>
            </w:pPr>
            <w:r>
              <w:rPr>
                <w:noProof/>
              </w:rPr>
              <w:t>Budgétisation verte</w:t>
            </w:r>
          </w:p>
        </w:tc>
        <w:tc>
          <w:tcPr>
            <w:tcW w:w="1275" w:type="dxa"/>
            <w:tcBorders>
              <w:top w:val="nil"/>
              <w:left w:val="nil"/>
              <w:bottom w:val="single" w:sz="4" w:space="0" w:color="auto"/>
              <w:right w:val="single" w:sz="4" w:space="0" w:color="auto"/>
            </w:tcBorders>
            <w:shd w:val="clear" w:color="auto" w:fill="C6EFCE"/>
            <w:noWrap/>
          </w:tcPr>
          <w:p w14:paraId="262F9650"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AA6513C" w14:textId="77777777" w:rsidR="00A345F4" w:rsidRDefault="005E2D4E">
            <w:pPr>
              <w:pStyle w:val="P68B1DB1-Normal74"/>
              <w:spacing w:after="0" w:line="259" w:lineRule="auto"/>
              <w:rPr>
                <w:noProof/>
              </w:rPr>
            </w:pPr>
            <w:r>
              <w:rPr>
                <w:noProof/>
              </w:rPr>
              <w:t>Mise en place et utilisation d'une méthodologie de planification budgétaire verte</w:t>
            </w:r>
          </w:p>
        </w:tc>
      </w:tr>
      <w:tr w:rsidR="00A345F4" w14:paraId="7C173B3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FA7C9A" w14:textId="77777777" w:rsidR="00A345F4" w:rsidRDefault="005E2D4E">
            <w:pPr>
              <w:pStyle w:val="P68B1DB1-Normal74"/>
              <w:spacing w:after="0" w:line="259" w:lineRule="auto"/>
              <w:rPr>
                <w:noProof/>
              </w:rPr>
            </w:pPr>
            <w:r>
              <w:rPr>
                <w:noProof/>
              </w:rPr>
              <w:t>RO-C[C7]-I[I1.0]-T[154]</w:t>
            </w:r>
          </w:p>
        </w:tc>
        <w:tc>
          <w:tcPr>
            <w:tcW w:w="3544" w:type="dxa"/>
            <w:tcBorders>
              <w:top w:val="nil"/>
              <w:left w:val="nil"/>
              <w:bottom w:val="single" w:sz="4" w:space="0" w:color="auto"/>
              <w:right w:val="single" w:sz="4" w:space="0" w:color="auto"/>
            </w:tcBorders>
            <w:shd w:val="clear" w:color="auto" w:fill="C6EFCE"/>
            <w:noWrap/>
          </w:tcPr>
          <w:p w14:paraId="2A8B022E" w14:textId="77777777" w:rsidR="00A345F4" w:rsidRDefault="005E2D4E">
            <w:pPr>
              <w:pStyle w:val="P68B1DB1-Normal73"/>
              <w:spacing w:after="0" w:line="259" w:lineRule="auto"/>
              <w:rPr>
                <w:noProof/>
              </w:rPr>
            </w:pPr>
            <w:r>
              <w:rPr>
                <w:noProof/>
              </w:rPr>
              <w:t>Déploiement de l'infrastructure d'informatique en nuage du gouvernement</w:t>
            </w:r>
          </w:p>
        </w:tc>
        <w:tc>
          <w:tcPr>
            <w:tcW w:w="1275" w:type="dxa"/>
            <w:tcBorders>
              <w:top w:val="nil"/>
              <w:left w:val="nil"/>
              <w:bottom w:val="single" w:sz="4" w:space="0" w:color="auto"/>
              <w:right w:val="single" w:sz="4" w:space="0" w:color="auto"/>
            </w:tcBorders>
            <w:shd w:val="clear" w:color="auto" w:fill="C6EFCE"/>
            <w:noWrap/>
          </w:tcPr>
          <w:p w14:paraId="31DF5735" w14:textId="77777777" w:rsidR="00A345F4" w:rsidRDefault="005E2D4E">
            <w:pPr>
              <w:pStyle w:val="P68B1DB1-Normal73"/>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60216471" w14:textId="77777777" w:rsidR="00A345F4" w:rsidRDefault="005E2D4E">
            <w:pPr>
              <w:pStyle w:val="P68B1DB1-Normal74"/>
              <w:spacing w:after="0" w:line="259" w:lineRule="auto"/>
              <w:rPr>
                <w:noProof/>
              </w:rPr>
            </w:pPr>
            <w:r>
              <w:rPr>
                <w:noProof/>
              </w:rPr>
              <w:t>Institutions publiques connectées via le cloud gouvernemental</w:t>
            </w:r>
          </w:p>
        </w:tc>
      </w:tr>
      <w:tr w:rsidR="00A345F4" w14:paraId="4C054D6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485420" w14:textId="77777777" w:rsidR="00A345F4" w:rsidRDefault="005E2D4E">
            <w:pPr>
              <w:pStyle w:val="P68B1DB1-Normal74"/>
              <w:spacing w:after="0" w:line="259" w:lineRule="auto"/>
              <w:rPr>
                <w:noProof/>
              </w:rPr>
            </w:pPr>
            <w:r>
              <w:rPr>
                <w:noProof/>
              </w:rPr>
              <w:t>RO-C[C7]-I[I4.0]-M[163]</w:t>
            </w:r>
          </w:p>
        </w:tc>
        <w:tc>
          <w:tcPr>
            <w:tcW w:w="3544" w:type="dxa"/>
            <w:tcBorders>
              <w:top w:val="nil"/>
              <w:left w:val="nil"/>
              <w:bottom w:val="single" w:sz="4" w:space="0" w:color="auto"/>
              <w:right w:val="single" w:sz="4" w:space="0" w:color="auto"/>
            </w:tcBorders>
            <w:shd w:val="clear" w:color="auto" w:fill="C6EFCE"/>
            <w:noWrap/>
          </w:tcPr>
          <w:p w14:paraId="4BD015AF" w14:textId="77777777" w:rsidR="00A345F4" w:rsidRDefault="005E2D4E">
            <w:pPr>
              <w:pStyle w:val="P68B1DB1-Normal73"/>
              <w:spacing w:after="0" w:line="259" w:lineRule="auto"/>
              <w:rPr>
                <w:noProof/>
              </w:rPr>
            </w:pPr>
            <w:r>
              <w:rPr>
                <w:noProof/>
              </w:rPr>
              <w:t>Numérisation du système judiciaire</w:t>
            </w:r>
          </w:p>
        </w:tc>
        <w:tc>
          <w:tcPr>
            <w:tcW w:w="1275" w:type="dxa"/>
            <w:tcBorders>
              <w:top w:val="nil"/>
              <w:left w:val="nil"/>
              <w:bottom w:val="single" w:sz="4" w:space="0" w:color="auto"/>
              <w:right w:val="single" w:sz="4" w:space="0" w:color="auto"/>
            </w:tcBorders>
            <w:shd w:val="clear" w:color="auto" w:fill="C6EFCE"/>
            <w:noWrap/>
          </w:tcPr>
          <w:p w14:paraId="08DCAE0C"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50DC32D" w14:textId="77777777" w:rsidR="00A345F4" w:rsidRDefault="005E2D4E">
            <w:pPr>
              <w:pStyle w:val="P68B1DB1-Normal74"/>
              <w:spacing w:after="0" w:line="259" w:lineRule="auto"/>
              <w:rPr>
                <w:noProof/>
              </w:rPr>
            </w:pPr>
            <w:r>
              <w:rPr>
                <w:noProof/>
              </w:rPr>
              <w:t xml:space="preserve"> Centralisation des applications</w:t>
            </w:r>
          </w:p>
        </w:tc>
      </w:tr>
      <w:tr w:rsidR="00A345F4" w14:paraId="75F5BDE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276F070" w14:textId="77777777" w:rsidR="00A345F4" w:rsidRDefault="005E2D4E">
            <w:pPr>
              <w:pStyle w:val="P68B1DB1-Normal74"/>
              <w:spacing w:after="0" w:line="259" w:lineRule="auto"/>
              <w:rPr>
                <w:noProof/>
              </w:rPr>
            </w:pPr>
            <w:r>
              <w:rPr>
                <w:noProof/>
              </w:rPr>
              <w:t>RO-C[C7]-I[I6.0]-M[169]</w:t>
            </w:r>
          </w:p>
        </w:tc>
        <w:tc>
          <w:tcPr>
            <w:tcW w:w="3544" w:type="dxa"/>
            <w:tcBorders>
              <w:top w:val="nil"/>
              <w:left w:val="nil"/>
              <w:bottom w:val="single" w:sz="4" w:space="0" w:color="auto"/>
              <w:right w:val="single" w:sz="4" w:space="0" w:color="auto"/>
            </w:tcBorders>
            <w:shd w:val="clear" w:color="auto" w:fill="C6EFCE"/>
            <w:noWrap/>
          </w:tcPr>
          <w:p w14:paraId="27F2BCE0" w14:textId="77777777" w:rsidR="00A345F4" w:rsidRDefault="005E2D4E">
            <w:pPr>
              <w:pStyle w:val="P68B1DB1-Normal73"/>
              <w:spacing w:after="0" w:line="259" w:lineRule="auto"/>
              <w:rPr>
                <w:noProof/>
              </w:rPr>
            </w:pPr>
            <w:r>
              <w:rPr>
                <w:noProof/>
              </w:rPr>
              <w:t>Numérisation dans le domaine de l’emploi et de la protection sociale</w:t>
            </w:r>
          </w:p>
        </w:tc>
        <w:tc>
          <w:tcPr>
            <w:tcW w:w="1275" w:type="dxa"/>
            <w:tcBorders>
              <w:top w:val="nil"/>
              <w:left w:val="nil"/>
              <w:bottom w:val="single" w:sz="4" w:space="0" w:color="auto"/>
              <w:right w:val="single" w:sz="4" w:space="0" w:color="auto"/>
            </w:tcBorders>
            <w:shd w:val="clear" w:color="auto" w:fill="C6EFCE"/>
            <w:noWrap/>
          </w:tcPr>
          <w:p w14:paraId="26449C18"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1251079" w14:textId="77777777" w:rsidR="00A345F4" w:rsidRDefault="005E2D4E">
            <w:pPr>
              <w:pStyle w:val="P68B1DB1-Normal74"/>
              <w:spacing w:after="0" w:line="259" w:lineRule="auto"/>
              <w:rPr>
                <w:noProof/>
              </w:rPr>
            </w:pPr>
            <w:r>
              <w:rPr>
                <w:noProof/>
              </w:rPr>
              <w:t>Système en ligne REGES fonctionnel</w:t>
            </w:r>
          </w:p>
        </w:tc>
      </w:tr>
      <w:tr w:rsidR="00A345F4" w14:paraId="03E7D14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F845AB4" w14:textId="77777777" w:rsidR="00A345F4" w:rsidRDefault="005E2D4E">
            <w:pPr>
              <w:pStyle w:val="P68B1DB1-Normal74"/>
              <w:spacing w:after="0" w:line="259" w:lineRule="auto"/>
              <w:rPr>
                <w:noProof/>
              </w:rPr>
            </w:pPr>
            <w:r>
              <w:rPr>
                <w:noProof/>
              </w:rPr>
              <w:t>RO-C[C7]-I[I7.0]-M[172]</w:t>
            </w:r>
          </w:p>
        </w:tc>
        <w:tc>
          <w:tcPr>
            <w:tcW w:w="3544" w:type="dxa"/>
            <w:tcBorders>
              <w:top w:val="nil"/>
              <w:left w:val="nil"/>
              <w:bottom w:val="single" w:sz="4" w:space="0" w:color="auto"/>
              <w:right w:val="single" w:sz="4" w:space="0" w:color="auto"/>
            </w:tcBorders>
            <w:shd w:val="clear" w:color="auto" w:fill="C6EFCE"/>
            <w:noWrap/>
          </w:tcPr>
          <w:p w14:paraId="4398A659" w14:textId="77777777" w:rsidR="00A345F4" w:rsidRDefault="005E2D4E">
            <w:pPr>
              <w:pStyle w:val="P68B1DB1-Normal73"/>
              <w:spacing w:after="0" w:line="259" w:lineRule="auto"/>
              <w:rPr>
                <w:noProof/>
              </w:rPr>
            </w:pPr>
            <w:r>
              <w:rPr>
                <w:noProof/>
              </w:rPr>
              <w:t>Introduction de formulaires électroniques (eForms) dans le domaine des marchés publics</w:t>
            </w:r>
          </w:p>
        </w:tc>
        <w:tc>
          <w:tcPr>
            <w:tcW w:w="1275" w:type="dxa"/>
            <w:tcBorders>
              <w:top w:val="nil"/>
              <w:left w:val="nil"/>
              <w:bottom w:val="single" w:sz="4" w:space="0" w:color="auto"/>
              <w:right w:val="single" w:sz="4" w:space="0" w:color="auto"/>
            </w:tcBorders>
            <w:shd w:val="clear" w:color="auto" w:fill="C6EFCE"/>
            <w:noWrap/>
          </w:tcPr>
          <w:p w14:paraId="52328104"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68C6ABD" w14:textId="77777777" w:rsidR="00A345F4" w:rsidRDefault="005E2D4E">
            <w:pPr>
              <w:pStyle w:val="P68B1DB1-Normal74"/>
              <w:spacing w:after="0" w:line="259" w:lineRule="auto"/>
              <w:rPr>
                <w:noProof/>
              </w:rPr>
            </w:pPr>
            <w:r>
              <w:rPr>
                <w:noProof/>
              </w:rPr>
              <w:t xml:space="preserve">Mise en service de formulaires électroniques types dans les procédures de passation de marchés publics </w:t>
            </w:r>
          </w:p>
        </w:tc>
      </w:tr>
      <w:tr w:rsidR="00A345F4" w14:paraId="5685713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F53FA3D" w14:textId="77777777" w:rsidR="00A345F4" w:rsidRDefault="005E2D4E">
            <w:pPr>
              <w:pStyle w:val="P68B1DB1-Normal74"/>
              <w:spacing w:after="0" w:line="259" w:lineRule="auto"/>
              <w:rPr>
                <w:noProof/>
              </w:rPr>
            </w:pPr>
            <w:r>
              <w:rPr>
                <w:noProof/>
              </w:rPr>
              <w:t>RO-C[C7]-I[I14.0]-T[182]</w:t>
            </w:r>
          </w:p>
        </w:tc>
        <w:tc>
          <w:tcPr>
            <w:tcW w:w="3544" w:type="dxa"/>
            <w:tcBorders>
              <w:top w:val="nil"/>
              <w:left w:val="nil"/>
              <w:bottom w:val="single" w:sz="4" w:space="0" w:color="auto"/>
              <w:right w:val="single" w:sz="4" w:space="0" w:color="auto"/>
            </w:tcBorders>
            <w:shd w:val="clear" w:color="auto" w:fill="C6EFCE"/>
            <w:noWrap/>
          </w:tcPr>
          <w:p w14:paraId="03B3DC84" w14:textId="77777777" w:rsidR="00A345F4" w:rsidRDefault="005E2D4E">
            <w:pPr>
              <w:pStyle w:val="P68B1DB1-Normal73"/>
              <w:spacing w:after="0" w:line="259" w:lineRule="auto"/>
              <w:rPr>
                <w:noProof/>
              </w:rPr>
            </w:pPr>
            <w:r>
              <w:rPr>
                <w:noProof/>
              </w:rPr>
              <w:t>Renforcement de la résilience et de la cybersécurité des services d’infrastructure des fournisseurs de services internet fournis aux autorités publiques en Roumanie</w:t>
            </w:r>
          </w:p>
        </w:tc>
        <w:tc>
          <w:tcPr>
            <w:tcW w:w="1275" w:type="dxa"/>
            <w:tcBorders>
              <w:top w:val="nil"/>
              <w:left w:val="nil"/>
              <w:bottom w:val="single" w:sz="4" w:space="0" w:color="auto"/>
              <w:right w:val="single" w:sz="4" w:space="0" w:color="auto"/>
            </w:tcBorders>
            <w:shd w:val="clear" w:color="auto" w:fill="C6EFCE"/>
            <w:noWrap/>
          </w:tcPr>
          <w:p w14:paraId="261F6C3A" w14:textId="77777777" w:rsidR="00A345F4" w:rsidRDefault="005E2D4E">
            <w:pPr>
              <w:pStyle w:val="P68B1DB1-Normal73"/>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1E87B05C" w14:textId="055481ED" w:rsidR="00A345F4" w:rsidRDefault="005E2D4E">
            <w:pPr>
              <w:pStyle w:val="P68B1DB1-Normal74"/>
              <w:spacing w:after="0" w:line="259" w:lineRule="auto"/>
              <w:rPr>
                <w:noProof/>
              </w:rPr>
            </w:pPr>
            <w:r>
              <w:rPr>
                <w:noProof/>
              </w:rPr>
              <w:t>Hubs permettant aux institutions et entités d’intérêt public d’accéder aux services des fournisseurs de services internet (FAI)</w:t>
            </w:r>
          </w:p>
        </w:tc>
      </w:tr>
      <w:tr w:rsidR="00A345F4" w14:paraId="445F964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8563DB9" w14:textId="77777777" w:rsidR="00A345F4" w:rsidRDefault="005E2D4E">
            <w:pPr>
              <w:pStyle w:val="P68B1DB1-Normal74"/>
              <w:spacing w:after="0" w:line="259" w:lineRule="auto"/>
              <w:rPr>
                <w:noProof/>
              </w:rPr>
            </w:pPr>
            <w:r>
              <w:rPr>
                <w:noProof/>
              </w:rPr>
              <w:t>RO-C[C8]-I[I2.0]-T[219]</w:t>
            </w:r>
          </w:p>
        </w:tc>
        <w:tc>
          <w:tcPr>
            <w:tcW w:w="3544" w:type="dxa"/>
            <w:tcBorders>
              <w:top w:val="nil"/>
              <w:left w:val="nil"/>
              <w:bottom w:val="single" w:sz="4" w:space="0" w:color="auto"/>
              <w:right w:val="single" w:sz="4" w:space="0" w:color="auto"/>
            </w:tcBorders>
            <w:shd w:val="clear" w:color="auto" w:fill="C6EFCE"/>
            <w:noWrap/>
          </w:tcPr>
          <w:p w14:paraId="7F8AD91D" w14:textId="31CBF764" w:rsidR="00A345F4" w:rsidRDefault="005E2D4E">
            <w:pPr>
              <w:pStyle w:val="P68B1DB1-Normal73"/>
              <w:spacing w:after="0" w:line="259" w:lineRule="auto"/>
              <w:rPr>
                <w:noProof/>
              </w:rPr>
            </w:pPr>
            <w:r>
              <w:rPr>
                <w:noProof/>
              </w:rPr>
              <w:t>Améliorer les processus fiscaux et administratifs</w:t>
            </w:r>
          </w:p>
        </w:tc>
        <w:tc>
          <w:tcPr>
            <w:tcW w:w="1275" w:type="dxa"/>
            <w:tcBorders>
              <w:top w:val="nil"/>
              <w:left w:val="nil"/>
              <w:bottom w:val="single" w:sz="4" w:space="0" w:color="auto"/>
              <w:right w:val="single" w:sz="4" w:space="0" w:color="auto"/>
            </w:tcBorders>
            <w:shd w:val="clear" w:color="auto" w:fill="C6EFCE"/>
            <w:noWrap/>
          </w:tcPr>
          <w:p w14:paraId="0CB837DB" w14:textId="77777777" w:rsidR="00A345F4" w:rsidRDefault="005E2D4E">
            <w:pPr>
              <w:pStyle w:val="P68B1DB1-Normal73"/>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12438C07" w14:textId="77777777" w:rsidR="00A345F4" w:rsidRDefault="005E2D4E">
            <w:pPr>
              <w:pStyle w:val="P68B1DB1-Normal74"/>
              <w:spacing w:after="0" w:line="259" w:lineRule="auto"/>
              <w:rPr>
                <w:noProof/>
              </w:rPr>
            </w:pPr>
            <w:r>
              <w:rPr>
                <w:noProof/>
              </w:rPr>
              <w:t>Formation du personnel sur le système de gestion des risques</w:t>
            </w:r>
          </w:p>
        </w:tc>
      </w:tr>
      <w:tr w:rsidR="00A345F4" w14:paraId="6A19D1B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13E773" w14:textId="77777777" w:rsidR="00A345F4" w:rsidRDefault="005E2D4E">
            <w:pPr>
              <w:pStyle w:val="P68B1DB1-Normal74"/>
              <w:spacing w:after="0" w:line="259" w:lineRule="auto"/>
              <w:rPr>
                <w:noProof/>
              </w:rPr>
            </w:pPr>
            <w:r>
              <w:rPr>
                <w:noProof/>
              </w:rPr>
              <w:t>RO-C[C8]-I[I2.0]-T[223]</w:t>
            </w:r>
          </w:p>
        </w:tc>
        <w:tc>
          <w:tcPr>
            <w:tcW w:w="3544" w:type="dxa"/>
            <w:tcBorders>
              <w:top w:val="nil"/>
              <w:left w:val="nil"/>
              <w:bottom w:val="single" w:sz="4" w:space="0" w:color="auto"/>
              <w:right w:val="single" w:sz="4" w:space="0" w:color="auto"/>
            </w:tcBorders>
            <w:shd w:val="clear" w:color="auto" w:fill="C6EFCE"/>
            <w:noWrap/>
          </w:tcPr>
          <w:p w14:paraId="70A2E437" w14:textId="0BD602EB" w:rsidR="00A345F4" w:rsidRDefault="005E2D4E">
            <w:pPr>
              <w:pStyle w:val="P68B1DB1-Normal73"/>
              <w:spacing w:after="0" w:line="259" w:lineRule="auto"/>
              <w:rPr>
                <w:noProof/>
              </w:rPr>
            </w:pPr>
            <w:r>
              <w:rPr>
                <w:noProof/>
              </w:rPr>
              <w:t>Améliorer les processus fiscaux et administratifs</w:t>
            </w:r>
          </w:p>
        </w:tc>
        <w:tc>
          <w:tcPr>
            <w:tcW w:w="1275" w:type="dxa"/>
            <w:tcBorders>
              <w:top w:val="nil"/>
              <w:left w:val="nil"/>
              <w:bottom w:val="single" w:sz="4" w:space="0" w:color="auto"/>
              <w:right w:val="single" w:sz="4" w:space="0" w:color="auto"/>
            </w:tcBorders>
            <w:shd w:val="clear" w:color="auto" w:fill="C6EFCE"/>
            <w:noWrap/>
          </w:tcPr>
          <w:p w14:paraId="341A1016" w14:textId="77777777" w:rsidR="00A345F4" w:rsidRDefault="005E2D4E">
            <w:pPr>
              <w:pStyle w:val="P68B1DB1-Normal73"/>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66E7EA71" w14:textId="77777777" w:rsidR="00A345F4" w:rsidRDefault="005E2D4E">
            <w:pPr>
              <w:pStyle w:val="P68B1DB1-Normal74"/>
              <w:spacing w:after="0" w:line="259" w:lineRule="auto"/>
              <w:rPr>
                <w:noProof/>
              </w:rPr>
            </w:pPr>
            <w:r>
              <w:rPr>
                <w:noProof/>
              </w:rPr>
              <w:t>Part du nombre d’audits documentaires rapportés sur le total des audits effectués par l’administration fiscale – 60 %</w:t>
            </w:r>
          </w:p>
        </w:tc>
      </w:tr>
      <w:tr w:rsidR="00A345F4" w14:paraId="0F8E029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B8EF2BA" w14:textId="77777777" w:rsidR="00A345F4" w:rsidRDefault="005E2D4E">
            <w:pPr>
              <w:pStyle w:val="P68B1DB1-Normal74"/>
              <w:spacing w:after="0" w:line="259" w:lineRule="auto"/>
              <w:rPr>
                <w:noProof/>
              </w:rPr>
            </w:pPr>
            <w:r>
              <w:rPr>
                <w:noProof/>
              </w:rPr>
              <w:t>RO-C[C8]-I[I2.0]-T[224]</w:t>
            </w:r>
          </w:p>
        </w:tc>
        <w:tc>
          <w:tcPr>
            <w:tcW w:w="3544" w:type="dxa"/>
            <w:tcBorders>
              <w:top w:val="nil"/>
              <w:left w:val="nil"/>
              <w:bottom w:val="single" w:sz="4" w:space="0" w:color="auto"/>
              <w:right w:val="single" w:sz="4" w:space="0" w:color="auto"/>
            </w:tcBorders>
            <w:shd w:val="clear" w:color="auto" w:fill="C6EFCE"/>
            <w:noWrap/>
          </w:tcPr>
          <w:p w14:paraId="3602D1F1" w14:textId="63794BFB" w:rsidR="00A345F4" w:rsidRDefault="005E2D4E">
            <w:pPr>
              <w:pStyle w:val="P68B1DB1-Normal73"/>
              <w:spacing w:after="0" w:line="259" w:lineRule="auto"/>
              <w:rPr>
                <w:noProof/>
              </w:rPr>
            </w:pPr>
            <w:r>
              <w:rPr>
                <w:noProof/>
              </w:rPr>
              <w:t>Améliorer les processus fiscaux et administratifs</w:t>
            </w:r>
          </w:p>
        </w:tc>
        <w:tc>
          <w:tcPr>
            <w:tcW w:w="1275" w:type="dxa"/>
            <w:tcBorders>
              <w:top w:val="nil"/>
              <w:left w:val="nil"/>
              <w:bottom w:val="single" w:sz="4" w:space="0" w:color="auto"/>
              <w:right w:val="single" w:sz="4" w:space="0" w:color="auto"/>
            </w:tcBorders>
            <w:shd w:val="clear" w:color="auto" w:fill="C6EFCE"/>
            <w:noWrap/>
          </w:tcPr>
          <w:p w14:paraId="253CD482" w14:textId="77777777" w:rsidR="00A345F4" w:rsidRDefault="005E2D4E">
            <w:pPr>
              <w:pStyle w:val="P68B1DB1-Normal73"/>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29B13D6B" w14:textId="77777777" w:rsidR="00A345F4" w:rsidRDefault="005E2D4E">
            <w:pPr>
              <w:pStyle w:val="P68B1DB1-Normal74"/>
              <w:spacing w:after="0" w:line="259" w:lineRule="auto"/>
              <w:rPr>
                <w:noProof/>
              </w:rPr>
            </w:pPr>
            <w:r>
              <w:rPr>
                <w:noProof/>
              </w:rPr>
              <w:t>Augmenter le nombre d'audits de 10 %</w:t>
            </w:r>
          </w:p>
        </w:tc>
      </w:tr>
      <w:tr w:rsidR="00A345F4" w14:paraId="3F6E91E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6056691" w14:textId="77777777" w:rsidR="00A345F4" w:rsidRDefault="005E2D4E">
            <w:pPr>
              <w:pStyle w:val="P68B1DB1-Normal74"/>
              <w:spacing w:after="0" w:line="259" w:lineRule="auto"/>
              <w:rPr>
                <w:noProof/>
              </w:rPr>
            </w:pPr>
            <w:r>
              <w:rPr>
                <w:noProof/>
              </w:rPr>
              <w:t>RO-C[C8]-I[I3.0]-M[228]</w:t>
            </w:r>
          </w:p>
        </w:tc>
        <w:tc>
          <w:tcPr>
            <w:tcW w:w="3544" w:type="dxa"/>
            <w:tcBorders>
              <w:top w:val="nil"/>
              <w:left w:val="nil"/>
              <w:bottom w:val="single" w:sz="4" w:space="0" w:color="auto"/>
              <w:right w:val="single" w:sz="4" w:space="0" w:color="auto"/>
            </w:tcBorders>
            <w:shd w:val="clear" w:color="auto" w:fill="C6EFCE"/>
            <w:noWrap/>
          </w:tcPr>
          <w:p w14:paraId="283CA61D" w14:textId="77777777" w:rsidR="00A345F4" w:rsidRDefault="005E2D4E">
            <w:pPr>
              <w:pStyle w:val="P68B1DB1-Normal73"/>
              <w:spacing w:after="0" w:line="259" w:lineRule="auto"/>
              <w:rPr>
                <w:noProof/>
              </w:rPr>
            </w:pPr>
            <w:r>
              <w:rPr>
                <w:noProof/>
              </w:rPr>
              <w:t>Garantir la capacité de relever les défis actuels et futurs en matière d’information, y compris dans le contexte de la pandémie, grâce à la transformation numérique du ministère des finances/de l’agence nationale de l’administration fiscale</w:t>
            </w:r>
          </w:p>
        </w:tc>
        <w:tc>
          <w:tcPr>
            <w:tcW w:w="1275" w:type="dxa"/>
            <w:tcBorders>
              <w:top w:val="nil"/>
              <w:left w:val="nil"/>
              <w:bottom w:val="single" w:sz="4" w:space="0" w:color="auto"/>
              <w:right w:val="single" w:sz="4" w:space="0" w:color="auto"/>
            </w:tcBorders>
            <w:shd w:val="clear" w:color="auto" w:fill="C6EFCE"/>
            <w:noWrap/>
          </w:tcPr>
          <w:p w14:paraId="39BD6D6B"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31B7544" w14:textId="77777777" w:rsidR="00A345F4" w:rsidRDefault="005E2D4E">
            <w:pPr>
              <w:pStyle w:val="P68B1DB1-Normal74"/>
              <w:spacing w:after="0" w:line="259" w:lineRule="auto"/>
              <w:rPr>
                <w:noProof/>
              </w:rPr>
            </w:pPr>
            <w:r>
              <w:rPr>
                <w:noProof/>
              </w:rPr>
              <w:t>Renforcement de la cybersécurité du système informatique du ministère des finances et de l’ANAF</w:t>
            </w:r>
          </w:p>
        </w:tc>
      </w:tr>
      <w:tr w:rsidR="00A345F4" w14:paraId="729B6FB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FE07A2E" w14:textId="77777777" w:rsidR="00A345F4" w:rsidRDefault="005E2D4E">
            <w:pPr>
              <w:pStyle w:val="P68B1DB1-Normal74"/>
              <w:spacing w:after="0" w:line="259" w:lineRule="auto"/>
              <w:rPr>
                <w:noProof/>
              </w:rPr>
            </w:pPr>
            <w:r>
              <w:rPr>
                <w:noProof/>
              </w:rPr>
              <w:t>RO-C[C8]-I[I6.0]-M[235]</w:t>
            </w:r>
          </w:p>
        </w:tc>
        <w:tc>
          <w:tcPr>
            <w:tcW w:w="3544" w:type="dxa"/>
            <w:tcBorders>
              <w:top w:val="nil"/>
              <w:left w:val="nil"/>
              <w:bottom w:val="single" w:sz="4" w:space="0" w:color="auto"/>
              <w:right w:val="single" w:sz="4" w:space="0" w:color="auto"/>
            </w:tcBorders>
            <w:shd w:val="clear" w:color="auto" w:fill="C6EFCE"/>
            <w:noWrap/>
          </w:tcPr>
          <w:p w14:paraId="31BBE4B8" w14:textId="77777777" w:rsidR="00A345F4" w:rsidRDefault="005E2D4E">
            <w:pPr>
              <w:pStyle w:val="P68B1DB1-Normal73"/>
              <w:spacing w:after="0" w:line="259" w:lineRule="auto"/>
              <w:rPr>
                <w:noProof/>
              </w:rPr>
            </w:pPr>
            <w:r>
              <w:rPr>
                <w:noProof/>
              </w:rPr>
              <w:t>Instrument de modélisation économique (boîte à outils de simulation des options de réforme des pensions) pour améliorer la capacité institutionnelle à prévoir les dépenses de retraite</w:t>
            </w:r>
          </w:p>
        </w:tc>
        <w:tc>
          <w:tcPr>
            <w:tcW w:w="1275" w:type="dxa"/>
            <w:tcBorders>
              <w:top w:val="nil"/>
              <w:left w:val="nil"/>
              <w:bottom w:val="single" w:sz="4" w:space="0" w:color="auto"/>
              <w:right w:val="single" w:sz="4" w:space="0" w:color="auto"/>
            </w:tcBorders>
            <w:shd w:val="clear" w:color="auto" w:fill="C6EFCE"/>
            <w:noWrap/>
          </w:tcPr>
          <w:p w14:paraId="10422E8E"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600AA8B" w14:textId="77777777" w:rsidR="00A345F4" w:rsidRDefault="005E2D4E">
            <w:pPr>
              <w:pStyle w:val="P68B1DB1-Normal74"/>
              <w:spacing w:after="0" w:line="259" w:lineRule="auto"/>
              <w:rPr>
                <w:noProof/>
              </w:rPr>
            </w:pPr>
            <w:r>
              <w:rPr>
                <w:noProof/>
              </w:rPr>
              <w:t>Mise à jour de l'outil de modélisation économique</w:t>
            </w:r>
          </w:p>
        </w:tc>
      </w:tr>
      <w:tr w:rsidR="00A345F4" w14:paraId="119CA5C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01A65F3" w14:textId="77777777" w:rsidR="00A345F4" w:rsidRDefault="005E2D4E">
            <w:pPr>
              <w:pStyle w:val="P68B1DB1-Normal74"/>
              <w:spacing w:after="0" w:line="259" w:lineRule="auto"/>
              <w:rPr>
                <w:noProof/>
              </w:rPr>
            </w:pPr>
            <w:r>
              <w:rPr>
                <w:noProof/>
              </w:rPr>
              <w:t>RO-C[C8]-I[I8.0]-M[238]</w:t>
            </w:r>
          </w:p>
        </w:tc>
        <w:tc>
          <w:tcPr>
            <w:tcW w:w="3544" w:type="dxa"/>
            <w:tcBorders>
              <w:top w:val="nil"/>
              <w:left w:val="nil"/>
              <w:bottom w:val="single" w:sz="4" w:space="0" w:color="auto"/>
              <w:right w:val="single" w:sz="4" w:space="0" w:color="auto"/>
            </w:tcBorders>
            <w:shd w:val="clear" w:color="auto" w:fill="C6EFCE"/>
            <w:noWrap/>
          </w:tcPr>
          <w:p w14:paraId="1FC5EF6D" w14:textId="77777777" w:rsidR="00A345F4" w:rsidRDefault="005E2D4E">
            <w:pPr>
              <w:pStyle w:val="P68B1DB1-Normal73"/>
              <w:spacing w:after="0" w:line="259" w:lineRule="auto"/>
              <w:rPr>
                <w:noProof/>
              </w:rPr>
            </w:pPr>
            <w:r>
              <w:rPr>
                <w:noProof/>
              </w:rPr>
              <w:t>La Banque nationale de développement est fonctionnelle</w:t>
            </w:r>
          </w:p>
        </w:tc>
        <w:tc>
          <w:tcPr>
            <w:tcW w:w="1275" w:type="dxa"/>
            <w:tcBorders>
              <w:top w:val="nil"/>
              <w:left w:val="nil"/>
              <w:bottom w:val="single" w:sz="4" w:space="0" w:color="auto"/>
              <w:right w:val="single" w:sz="4" w:space="0" w:color="auto"/>
            </w:tcBorders>
            <w:shd w:val="clear" w:color="auto" w:fill="C6EFCE"/>
            <w:noWrap/>
          </w:tcPr>
          <w:p w14:paraId="077EDB67"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8B3B7BD" w14:textId="77777777" w:rsidR="00A345F4" w:rsidRDefault="005E2D4E">
            <w:pPr>
              <w:pStyle w:val="P68B1DB1-Normal74"/>
              <w:spacing w:after="0" w:line="259" w:lineRule="auto"/>
              <w:rPr>
                <w:noProof/>
              </w:rPr>
            </w:pPr>
            <w:r>
              <w:rPr>
                <w:noProof/>
              </w:rPr>
              <w:t>Achat de logiciels (licences) et de matériel (ordinateurs portables), services informatiques pour le personnel, formation du personnel de la Banque nationale de développement et du personnel du ministère des finances</w:t>
            </w:r>
          </w:p>
        </w:tc>
      </w:tr>
      <w:tr w:rsidR="00A345F4" w14:paraId="0E3503A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1908E26" w14:textId="77777777" w:rsidR="00A345F4" w:rsidRDefault="005E2D4E">
            <w:pPr>
              <w:pStyle w:val="P68B1DB1-Normal74"/>
              <w:spacing w:after="0" w:line="259" w:lineRule="auto"/>
              <w:rPr>
                <w:noProof/>
              </w:rPr>
            </w:pPr>
            <w:r>
              <w:rPr>
                <w:noProof/>
              </w:rPr>
              <w:t>RO-C[C8]-R[R3.0]-M[201]</w:t>
            </w:r>
          </w:p>
        </w:tc>
        <w:tc>
          <w:tcPr>
            <w:tcW w:w="3544" w:type="dxa"/>
            <w:tcBorders>
              <w:top w:val="nil"/>
              <w:left w:val="nil"/>
              <w:bottom w:val="single" w:sz="4" w:space="0" w:color="auto"/>
              <w:right w:val="single" w:sz="4" w:space="0" w:color="auto"/>
            </w:tcBorders>
            <w:shd w:val="clear" w:color="auto" w:fill="C6EFCE"/>
            <w:noWrap/>
          </w:tcPr>
          <w:p w14:paraId="61AA0CE3" w14:textId="77777777" w:rsidR="00A345F4" w:rsidRDefault="005E2D4E">
            <w:pPr>
              <w:pStyle w:val="P68B1DB1-Normal73"/>
              <w:spacing w:after="0" w:line="259" w:lineRule="auto"/>
              <w:rPr>
                <w:noProof/>
              </w:rPr>
            </w:pPr>
            <w:r>
              <w:rPr>
                <w:noProof/>
              </w:rPr>
              <w:t>Amélioration du mécanisme de programmation budgétaire</w:t>
            </w:r>
          </w:p>
        </w:tc>
        <w:tc>
          <w:tcPr>
            <w:tcW w:w="1275" w:type="dxa"/>
            <w:tcBorders>
              <w:top w:val="nil"/>
              <w:left w:val="nil"/>
              <w:bottom w:val="single" w:sz="4" w:space="0" w:color="auto"/>
              <w:right w:val="single" w:sz="4" w:space="0" w:color="auto"/>
            </w:tcBorders>
            <w:shd w:val="clear" w:color="auto" w:fill="C6EFCE"/>
            <w:noWrap/>
          </w:tcPr>
          <w:p w14:paraId="53BD4C70"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02A34B7" w14:textId="77777777" w:rsidR="00A345F4" w:rsidRDefault="005E2D4E">
            <w:pPr>
              <w:pStyle w:val="P68B1DB1-Normal74"/>
              <w:spacing w:after="0" w:line="259" w:lineRule="auto"/>
              <w:rPr>
                <w:noProof/>
              </w:rPr>
            </w:pPr>
            <w:r>
              <w:rPr>
                <w:noProof/>
              </w:rPr>
              <w:t>Révision des dépenses dans les secteurs de la santé et de l'éducation</w:t>
            </w:r>
          </w:p>
        </w:tc>
      </w:tr>
      <w:tr w:rsidR="00A345F4" w14:paraId="37457F3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DA2032" w14:textId="77777777" w:rsidR="00A345F4" w:rsidRDefault="005E2D4E">
            <w:pPr>
              <w:pStyle w:val="P68B1DB1-Normal74"/>
              <w:spacing w:after="0" w:line="259" w:lineRule="auto"/>
              <w:rPr>
                <w:noProof/>
              </w:rPr>
            </w:pPr>
            <w:r>
              <w:rPr>
                <w:noProof/>
              </w:rPr>
              <w:t>RO-C[C8]-R[R3.0]-M[202]</w:t>
            </w:r>
          </w:p>
        </w:tc>
        <w:tc>
          <w:tcPr>
            <w:tcW w:w="3544" w:type="dxa"/>
            <w:tcBorders>
              <w:top w:val="nil"/>
              <w:left w:val="nil"/>
              <w:bottom w:val="single" w:sz="4" w:space="0" w:color="auto"/>
              <w:right w:val="single" w:sz="4" w:space="0" w:color="auto"/>
            </w:tcBorders>
            <w:shd w:val="clear" w:color="auto" w:fill="C6EFCE"/>
            <w:noWrap/>
          </w:tcPr>
          <w:p w14:paraId="2511E1AD" w14:textId="77777777" w:rsidR="00A345F4" w:rsidRDefault="005E2D4E">
            <w:pPr>
              <w:pStyle w:val="P68B1DB1-Normal73"/>
              <w:spacing w:after="0" w:line="259" w:lineRule="auto"/>
              <w:rPr>
                <w:noProof/>
              </w:rPr>
            </w:pPr>
            <w:r>
              <w:rPr>
                <w:noProof/>
              </w:rPr>
              <w:t>Amélioration du mécanisme de programmation budgétaire</w:t>
            </w:r>
          </w:p>
        </w:tc>
        <w:tc>
          <w:tcPr>
            <w:tcW w:w="1275" w:type="dxa"/>
            <w:tcBorders>
              <w:top w:val="nil"/>
              <w:left w:val="nil"/>
              <w:bottom w:val="single" w:sz="4" w:space="0" w:color="auto"/>
              <w:right w:val="single" w:sz="4" w:space="0" w:color="auto"/>
            </w:tcBorders>
            <w:shd w:val="clear" w:color="auto" w:fill="C6EFCE"/>
            <w:noWrap/>
          </w:tcPr>
          <w:p w14:paraId="3A0B7693"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4D0BF3D" w14:textId="77777777" w:rsidR="00A345F4" w:rsidRDefault="005E2D4E">
            <w:pPr>
              <w:pStyle w:val="P68B1DB1-Normal74"/>
              <w:spacing w:after="0" w:line="259" w:lineRule="auto"/>
              <w:rPr>
                <w:noProof/>
              </w:rPr>
            </w:pPr>
            <w:r>
              <w:rPr>
                <w:noProof/>
              </w:rPr>
              <w:t>Adoption d’une stratégie et d’un calendrier pluriannuels pour un examen systématique des dépenses dans tous les secteurs</w:t>
            </w:r>
          </w:p>
        </w:tc>
      </w:tr>
      <w:tr w:rsidR="00A345F4" w14:paraId="3A29D464"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02D7A8F" w14:textId="77777777" w:rsidR="00A345F4" w:rsidRDefault="005E2D4E">
            <w:pPr>
              <w:pStyle w:val="P68B1DB1-Normal74"/>
              <w:spacing w:after="0" w:line="259" w:lineRule="auto"/>
              <w:rPr>
                <w:noProof/>
              </w:rPr>
            </w:pPr>
            <w:r>
              <w:rPr>
                <w:noProof/>
              </w:rPr>
              <w:t>RO-C[C8]-R[R4.0]-M[207]</w:t>
            </w:r>
          </w:p>
        </w:tc>
        <w:tc>
          <w:tcPr>
            <w:tcW w:w="3544" w:type="dxa"/>
            <w:tcBorders>
              <w:top w:val="nil"/>
              <w:left w:val="nil"/>
              <w:bottom w:val="single" w:sz="4" w:space="0" w:color="auto"/>
              <w:right w:val="single" w:sz="4" w:space="0" w:color="auto"/>
            </w:tcBorders>
            <w:shd w:val="clear" w:color="auto" w:fill="C6EFCE"/>
            <w:noWrap/>
          </w:tcPr>
          <w:p w14:paraId="6BC367CF" w14:textId="77777777" w:rsidR="00A345F4" w:rsidRDefault="005E2D4E">
            <w:pPr>
              <w:pStyle w:val="P68B1DB1-Normal73"/>
              <w:spacing w:after="0" w:line="259" w:lineRule="auto"/>
              <w:rPr>
                <w:noProof/>
              </w:rPr>
            </w:pPr>
            <w:r>
              <w:rPr>
                <w:noProof/>
              </w:rPr>
              <w:t>Révision du cadre fiscal</w:t>
            </w:r>
          </w:p>
        </w:tc>
        <w:tc>
          <w:tcPr>
            <w:tcW w:w="1275" w:type="dxa"/>
            <w:tcBorders>
              <w:top w:val="nil"/>
              <w:left w:val="nil"/>
              <w:bottom w:val="single" w:sz="4" w:space="0" w:color="auto"/>
              <w:right w:val="single" w:sz="4" w:space="0" w:color="auto"/>
            </w:tcBorders>
            <w:shd w:val="clear" w:color="auto" w:fill="C6EFCE"/>
            <w:noWrap/>
          </w:tcPr>
          <w:p w14:paraId="42726251"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93297DD" w14:textId="77777777" w:rsidR="00A345F4" w:rsidRDefault="005E2D4E">
            <w:pPr>
              <w:pStyle w:val="P68B1DB1-Normal74"/>
              <w:spacing w:after="0" w:line="259" w:lineRule="auto"/>
              <w:rPr>
                <w:noProof/>
              </w:rPr>
            </w:pPr>
            <w:r>
              <w:rPr>
                <w:noProof/>
              </w:rPr>
              <w:t>Acte(s) juridique(s) visant à réduire et/ou éliminer d’autres incitations fiscales dans le but de simplifier et de rendre plus efficace le système fiscal</w:t>
            </w:r>
          </w:p>
          <w:p w14:paraId="64F8DC57" w14:textId="77777777" w:rsidR="00A345F4" w:rsidRDefault="005E2D4E">
            <w:pPr>
              <w:pStyle w:val="P68B1DB1-Normal74"/>
              <w:spacing w:after="0" w:line="259" w:lineRule="auto"/>
              <w:rPr>
                <w:noProof/>
              </w:rPr>
            </w:pPr>
            <w:r>
              <w:rPr>
                <w:noProof/>
              </w:rPr>
              <w:t>Législation visant à étendre la fiscalité verte</w:t>
            </w:r>
          </w:p>
        </w:tc>
      </w:tr>
      <w:tr w:rsidR="00A345F4" w14:paraId="7488634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1C5D18C" w14:textId="77777777" w:rsidR="00A345F4" w:rsidRDefault="005E2D4E">
            <w:pPr>
              <w:pStyle w:val="P68B1DB1-Normal74"/>
              <w:spacing w:after="0" w:line="259" w:lineRule="auto"/>
              <w:rPr>
                <w:noProof/>
              </w:rPr>
            </w:pPr>
            <w:r>
              <w:rPr>
                <w:noProof/>
              </w:rPr>
              <w:t>RO-C[C8]-R[R5.0]-M[209]</w:t>
            </w:r>
          </w:p>
        </w:tc>
        <w:tc>
          <w:tcPr>
            <w:tcW w:w="3544" w:type="dxa"/>
            <w:tcBorders>
              <w:top w:val="nil"/>
              <w:left w:val="nil"/>
              <w:bottom w:val="single" w:sz="4" w:space="0" w:color="auto"/>
              <w:right w:val="single" w:sz="4" w:space="0" w:color="auto"/>
            </w:tcBorders>
            <w:shd w:val="clear" w:color="auto" w:fill="C6EFCE"/>
            <w:noWrap/>
          </w:tcPr>
          <w:p w14:paraId="4D04E42A" w14:textId="77777777" w:rsidR="00A345F4" w:rsidRDefault="005E2D4E">
            <w:pPr>
              <w:pStyle w:val="P68B1DB1-Normal73"/>
              <w:spacing w:after="0" w:line="259" w:lineRule="auto"/>
              <w:rPr>
                <w:noProof/>
              </w:rPr>
            </w:pPr>
            <w:r>
              <w:rPr>
                <w:noProof/>
              </w:rPr>
              <w:t>Création de la Banque nationale de développement</w:t>
            </w:r>
          </w:p>
        </w:tc>
        <w:tc>
          <w:tcPr>
            <w:tcW w:w="1275" w:type="dxa"/>
            <w:tcBorders>
              <w:top w:val="nil"/>
              <w:left w:val="nil"/>
              <w:bottom w:val="single" w:sz="4" w:space="0" w:color="auto"/>
              <w:right w:val="single" w:sz="4" w:space="0" w:color="auto"/>
            </w:tcBorders>
            <w:shd w:val="clear" w:color="auto" w:fill="C6EFCE"/>
            <w:noWrap/>
          </w:tcPr>
          <w:p w14:paraId="4FB20649"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BA7EEFD" w14:textId="77777777" w:rsidR="00A345F4" w:rsidRDefault="005E2D4E">
            <w:pPr>
              <w:pStyle w:val="P68B1DB1-Normal76"/>
              <w:spacing w:after="0" w:line="259" w:lineRule="auto"/>
              <w:rPr>
                <w:rFonts w:eastAsia="Times New Roman"/>
                <w:noProof/>
              </w:rPr>
            </w:pPr>
            <w:r>
              <w:rPr>
                <w:noProof/>
              </w:rPr>
              <w:t>Création de la Banque nationale de développement</w:t>
            </w:r>
          </w:p>
        </w:tc>
      </w:tr>
      <w:tr w:rsidR="00A345F4" w14:paraId="019C5D8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F54C4DA" w14:textId="77777777" w:rsidR="00A345F4" w:rsidRDefault="005E2D4E">
            <w:pPr>
              <w:pStyle w:val="P68B1DB1-Normal74"/>
              <w:spacing w:after="0" w:line="259" w:lineRule="auto"/>
              <w:rPr>
                <w:noProof/>
              </w:rPr>
            </w:pPr>
            <w:r>
              <w:rPr>
                <w:noProof/>
              </w:rPr>
              <w:t>RO-C[C8]-R[R6.0]-M[214]</w:t>
            </w:r>
          </w:p>
        </w:tc>
        <w:tc>
          <w:tcPr>
            <w:tcW w:w="3544" w:type="dxa"/>
            <w:tcBorders>
              <w:top w:val="nil"/>
              <w:left w:val="nil"/>
              <w:bottom w:val="single" w:sz="4" w:space="0" w:color="auto"/>
              <w:right w:val="single" w:sz="4" w:space="0" w:color="auto"/>
            </w:tcBorders>
            <w:shd w:val="clear" w:color="auto" w:fill="C6EFCE"/>
            <w:noWrap/>
          </w:tcPr>
          <w:p w14:paraId="6210ABFF" w14:textId="77777777" w:rsidR="00A345F4" w:rsidRDefault="005E2D4E">
            <w:pPr>
              <w:pStyle w:val="P68B1DB1-Normal73"/>
              <w:spacing w:after="0" w:line="259" w:lineRule="auto"/>
              <w:rPr>
                <w:noProof/>
              </w:rPr>
            </w:pPr>
            <w:r>
              <w:rPr>
                <w:noProof/>
              </w:rPr>
              <w:t xml:space="preserve">Réforme du système public de retraite </w:t>
            </w:r>
          </w:p>
        </w:tc>
        <w:tc>
          <w:tcPr>
            <w:tcW w:w="1275" w:type="dxa"/>
            <w:tcBorders>
              <w:top w:val="nil"/>
              <w:left w:val="nil"/>
              <w:bottom w:val="single" w:sz="4" w:space="0" w:color="auto"/>
              <w:right w:val="single" w:sz="4" w:space="0" w:color="auto"/>
            </w:tcBorders>
            <w:shd w:val="clear" w:color="auto" w:fill="C6EFCE"/>
            <w:noWrap/>
          </w:tcPr>
          <w:p w14:paraId="34A33672"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46C80F6" w14:textId="77777777" w:rsidR="00A345F4" w:rsidRDefault="005E2D4E">
            <w:pPr>
              <w:pStyle w:val="P68B1DB1-Normal74"/>
              <w:spacing w:after="0" w:line="259" w:lineRule="auto"/>
              <w:rPr>
                <w:noProof/>
              </w:rPr>
            </w:pPr>
            <w:r>
              <w:rPr>
                <w:noProof/>
              </w:rPr>
              <w:t>Acte(s) juridique(s) relatif(s) au système de retraite</w:t>
            </w:r>
          </w:p>
        </w:tc>
      </w:tr>
      <w:tr w:rsidR="00A345F4" w14:paraId="0802824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6BB9BFD" w14:textId="77777777" w:rsidR="00A345F4" w:rsidRDefault="005E2D4E">
            <w:pPr>
              <w:pStyle w:val="P68B1DB1-Normal74"/>
              <w:spacing w:after="0" w:line="259" w:lineRule="auto"/>
              <w:rPr>
                <w:noProof/>
              </w:rPr>
            </w:pPr>
            <w:r>
              <w:rPr>
                <w:noProof/>
              </w:rPr>
              <w:t>RO-C[C8]-I[I9.0]-M[239]</w:t>
            </w:r>
          </w:p>
        </w:tc>
        <w:tc>
          <w:tcPr>
            <w:tcW w:w="3544" w:type="dxa"/>
            <w:tcBorders>
              <w:top w:val="nil"/>
              <w:left w:val="nil"/>
              <w:bottom w:val="single" w:sz="4" w:space="0" w:color="auto"/>
              <w:right w:val="single" w:sz="4" w:space="0" w:color="auto"/>
            </w:tcBorders>
            <w:shd w:val="clear" w:color="auto" w:fill="C6EFCE"/>
            <w:noWrap/>
          </w:tcPr>
          <w:p w14:paraId="465C245C" w14:textId="77777777" w:rsidR="00A345F4" w:rsidRDefault="005E2D4E">
            <w:pPr>
              <w:pStyle w:val="P68B1DB1-Normal73"/>
              <w:spacing w:after="0" w:line="259" w:lineRule="auto"/>
              <w:rPr>
                <w:noProof/>
              </w:rPr>
            </w:pPr>
            <w:r>
              <w:rPr>
                <w:noProof/>
              </w:rPr>
              <w:t>Soutenir le processus d'évaluation des dossiers de pension</w:t>
            </w:r>
          </w:p>
        </w:tc>
        <w:tc>
          <w:tcPr>
            <w:tcW w:w="1275" w:type="dxa"/>
            <w:tcBorders>
              <w:top w:val="nil"/>
              <w:left w:val="nil"/>
              <w:bottom w:val="single" w:sz="4" w:space="0" w:color="auto"/>
              <w:right w:val="single" w:sz="4" w:space="0" w:color="auto"/>
            </w:tcBorders>
            <w:shd w:val="clear" w:color="auto" w:fill="C6EFCE"/>
            <w:noWrap/>
          </w:tcPr>
          <w:p w14:paraId="57EBAE7E"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7920626" w14:textId="77777777" w:rsidR="00A345F4" w:rsidRDefault="005E2D4E">
            <w:pPr>
              <w:pStyle w:val="P68B1DB1-Normal74"/>
              <w:spacing w:after="0" w:line="259" w:lineRule="auto"/>
              <w:rPr>
                <w:noProof/>
              </w:rPr>
            </w:pPr>
            <w:r>
              <w:rPr>
                <w:noProof/>
              </w:rPr>
              <w:t>Tous les dossiers de pension recalculés</w:t>
            </w:r>
          </w:p>
        </w:tc>
      </w:tr>
      <w:tr w:rsidR="00A345F4" w14:paraId="5C29DAE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34C802F" w14:textId="77777777" w:rsidR="00A345F4" w:rsidRDefault="005E2D4E">
            <w:pPr>
              <w:pStyle w:val="P68B1DB1-Normal74"/>
              <w:spacing w:after="0" w:line="259" w:lineRule="auto"/>
              <w:rPr>
                <w:noProof/>
              </w:rPr>
            </w:pPr>
            <w:r>
              <w:rPr>
                <w:noProof/>
              </w:rPr>
              <w:t>RO-C[C9]-R[R2.a]-M[273]</w:t>
            </w:r>
          </w:p>
        </w:tc>
        <w:tc>
          <w:tcPr>
            <w:tcW w:w="3544" w:type="dxa"/>
            <w:tcBorders>
              <w:top w:val="nil"/>
              <w:left w:val="nil"/>
              <w:bottom w:val="single" w:sz="4" w:space="0" w:color="auto"/>
              <w:right w:val="single" w:sz="4" w:space="0" w:color="auto"/>
            </w:tcBorders>
            <w:shd w:val="clear" w:color="auto" w:fill="C6EFCE"/>
            <w:noWrap/>
          </w:tcPr>
          <w:p w14:paraId="08DE733A" w14:textId="77777777" w:rsidR="00A345F4" w:rsidRDefault="005E2D4E">
            <w:pPr>
              <w:pStyle w:val="P68B1DB1-Normal73"/>
              <w:spacing w:after="0" w:line="259" w:lineRule="auto"/>
              <w:rPr>
                <w:noProof/>
              </w:rPr>
            </w:pPr>
            <w:r>
              <w:rPr>
                <w:noProof/>
              </w:rPr>
              <w:t>Rationaliser la gouvernance de la recherche, du développement et de l'innovation</w:t>
            </w:r>
          </w:p>
        </w:tc>
        <w:tc>
          <w:tcPr>
            <w:tcW w:w="1275" w:type="dxa"/>
            <w:tcBorders>
              <w:top w:val="nil"/>
              <w:left w:val="nil"/>
              <w:bottom w:val="single" w:sz="4" w:space="0" w:color="auto"/>
              <w:right w:val="single" w:sz="4" w:space="0" w:color="auto"/>
            </w:tcBorders>
            <w:shd w:val="clear" w:color="auto" w:fill="C6EFCE"/>
            <w:noWrap/>
          </w:tcPr>
          <w:p w14:paraId="58F73DFA"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0118BB8" w14:textId="77777777" w:rsidR="00A345F4" w:rsidRDefault="005E2D4E">
            <w:pPr>
              <w:pStyle w:val="P68B1DB1-Normal74"/>
              <w:spacing w:after="0" w:line="259" w:lineRule="auto"/>
              <w:rPr>
                <w:noProof/>
              </w:rPr>
            </w:pPr>
            <w:r>
              <w:rPr>
                <w:noProof/>
              </w:rPr>
              <w:t>Entrée en vigueur d’un ou de plusieurs actes juridiques établissant un organe unique qui englobe les conseils existants, assure la coordination interministérielle et s’adresse au secteur privé</w:t>
            </w:r>
          </w:p>
        </w:tc>
      </w:tr>
      <w:tr w:rsidR="00A345F4" w14:paraId="3FB71F0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CBF8737" w14:textId="77777777" w:rsidR="00A345F4" w:rsidRDefault="005E2D4E">
            <w:pPr>
              <w:pStyle w:val="P68B1DB1-Normal74"/>
              <w:spacing w:after="0" w:line="259" w:lineRule="auto"/>
              <w:rPr>
                <w:noProof/>
              </w:rPr>
            </w:pPr>
            <w:r>
              <w:rPr>
                <w:noProof/>
              </w:rPr>
              <w:t>RO-C[C9]-R[R3.0]-M[274]</w:t>
            </w:r>
          </w:p>
        </w:tc>
        <w:tc>
          <w:tcPr>
            <w:tcW w:w="3544" w:type="dxa"/>
            <w:tcBorders>
              <w:top w:val="nil"/>
              <w:left w:val="nil"/>
              <w:bottom w:val="single" w:sz="4" w:space="0" w:color="auto"/>
              <w:right w:val="single" w:sz="4" w:space="0" w:color="auto"/>
            </w:tcBorders>
            <w:shd w:val="clear" w:color="auto" w:fill="C6EFCE"/>
            <w:noWrap/>
          </w:tcPr>
          <w:p w14:paraId="6AB324C4" w14:textId="77777777" w:rsidR="00A345F4" w:rsidRDefault="005E2D4E">
            <w:pPr>
              <w:pStyle w:val="P68B1DB1-Normal73"/>
              <w:spacing w:after="0" w:line="259" w:lineRule="auto"/>
              <w:rPr>
                <w:noProof/>
              </w:rPr>
            </w:pPr>
            <w:r>
              <w:rPr>
                <w:noProof/>
              </w:rPr>
              <w:t>Réforme de la carrière de chercheur</w:t>
            </w:r>
          </w:p>
        </w:tc>
        <w:tc>
          <w:tcPr>
            <w:tcW w:w="1275" w:type="dxa"/>
            <w:tcBorders>
              <w:top w:val="nil"/>
              <w:left w:val="nil"/>
              <w:bottom w:val="single" w:sz="4" w:space="0" w:color="auto"/>
              <w:right w:val="single" w:sz="4" w:space="0" w:color="auto"/>
            </w:tcBorders>
            <w:shd w:val="clear" w:color="auto" w:fill="C6EFCE"/>
            <w:noWrap/>
          </w:tcPr>
          <w:p w14:paraId="75966098"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504AEEA" w14:textId="77777777" w:rsidR="00A345F4" w:rsidRDefault="005E2D4E">
            <w:pPr>
              <w:pStyle w:val="P68B1DB1-Normal74"/>
              <w:spacing w:after="0" w:line="259" w:lineRule="auto"/>
              <w:rPr>
                <w:noProof/>
              </w:rPr>
            </w:pPr>
            <w:r>
              <w:rPr>
                <w:noProof/>
              </w:rPr>
              <w:t>Entrée en vigueur du ou des actes juridiques relatifs à la carrière et au statut du chercheur</w:t>
            </w:r>
          </w:p>
        </w:tc>
      </w:tr>
      <w:tr w:rsidR="00A345F4" w14:paraId="6735BDE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F2EF99B" w14:textId="77777777" w:rsidR="00A345F4" w:rsidRDefault="005E2D4E">
            <w:pPr>
              <w:pStyle w:val="P68B1DB1-Normal74"/>
              <w:spacing w:after="0" w:line="259" w:lineRule="auto"/>
              <w:rPr>
                <w:noProof/>
              </w:rPr>
            </w:pPr>
            <w:r>
              <w:rPr>
                <w:noProof/>
              </w:rPr>
              <w:t>RO-C[C9]-R[R3.0]-T[275]</w:t>
            </w:r>
          </w:p>
        </w:tc>
        <w:tc>
          <w:tcPr>
            <w:tcW w:w="3544" w:type="dxa"/>
            <w:tcBorders>
              <w:top w:val="nil"/>
              <w:left w:val="nil"/>
              <w:bottom w:val="single" w:sz="4" w:space="0" w:color="auto"/>
              <w:right w:val="single" w:sz="4" w:space="0" w:color="auto"/>
            </w:tcBorders>
            <w:shd w:val="clear" w:color="auto" w:fill="C6EFCE"/>
            <w:noWrap/>
          </w:tcPr>
          <w:p w14:paraId="782A9EE0" w14:textId="77777777" w:rsidR="00A345F4" w:rsidRDefault="005E2D4E">
            <w:pPr>
              <w:pStyle w:val="P68B1DB1-Normal73"/>
              <w:spacing w:after="0" w:line="259" w:lineRule="auto"/>
              <w:rPr>
                <w:noProof/>
              </w:rPr>
            </w:pPr>
            <w:r>
              <w:rPr>
                <w:noProof/>
              </w:rPr>
              <w:t>Réforme de la carrière de chercheur</w:t>
            </w:r>
          </w:p>
        </w:tc>
        <w:tc>
          <w:tcPr>
            <w:tcW w:w="1275" w:type="dxa"/>
            <w:tcBorders>
              <w:top w:val="nil"/>
              <w:left w:val="nil"/>
              <w:bottom w:val="single" w:sz="4" w:space="0" w:color="auto"/>
              <w:right w:val="single" w:sz="4" w:space="0" w:color="auto"/>
            </w:tcBorders>
            <w:shd w:val="clear" w:color="auto" w:fill="C6EFCE"/>
            <w:noWrap/>
          </w:tcPr>
          <w:p w14:paraId="161DE30D"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139C1DF3" w14:textId="77777777" w:rsidR="00A345F4" w:rsidRDefault="005E2D4E">
            <w:pPr>
              <w:pStyle w:val="P68B1DB1-Normal74"/>
              <w:spacing w:after="0" w:line="259" w:lineRule="auto"/>
              <w:rPr>
                <w:noProof/>
              </w:rPr>
            </w:pPr>
            <w:r>
              <w:rPr>
                <w:noProof/>
              </w:rPr>
              <w:t>Les institutions qui ont adhéré à la Charte européenne du chercheur et au Code pour le recrutement des chercheurs ont lancé le processus de conception, d'application et d'évaluation des plans d'action.</w:t>
            </w:r>
          </w:p>
        </w:tc>
      </w:tr>
      <w:tr w:rsidR="00A345F4" w14:paraId="0C19D3C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3C343D4" w14:textId="77777777" w:rsidR="00A345F4" w:rsidRDefault="005E2D4E">
            <w:pPr>
              <w:pStyle w:val="P68B1DB1-Normal74"/>
              <w:spacing w:after="0" w:line="259" w:lineRule="auto"/>
              <w:rPr>
                <w:noProof/>
              </w:rPr>
            </w:pPr>
            <w:r>
              <w:rPr>
                <w:noProof/>
              </w:rPr>
              <w:t>RO-C[C9]-I[I2.a]-T[252]</w:t>
            </w:r>
          </w:p>
        </w:tc>
        <w:tc>
          <w:tcPr>
            <w:tcW w:w="3544" w:type="dxa"/>
            <w:tcBorders>
              <w:top w:val="nil"/>
              <w:left w:val="nil"/>
              <w:bottom w:val="single" w:sz="4" w:space="0" w:color="auto"/>
              <w:right w:val="single" w:sz="4" w:space="0" w:color="auto"/>
            </w:tcBorders>
            <w:shd w:val="clear" w:color="auto" w:fill="C6EFCE"/>
            <w:noWrap/>
          </w:tcPr>
          <w:p w14:paraId="450DC7A0" w14:textId="77777777" w:rsidR="00A345F4" w:rsidRDefault="005E2D4E">
            <w:pPr>
              <w:pStyle w:val="P68B1DB1-Normal73"/>
              <w:spacing w:after="0" w:line="259" w:lineRule="auto"/>
              <w:rPr>
                <w:noProof/>
              </w:rPr>
            </w:pPr>
            <w:r>
              <w:rPr>
                <w:noProof/>
              </w:rPr>
              <w:t>Instruments financiers pour le secteur privé - Garantie du portefeuille d'action pour le climat</w:t>
            </w:r>
          </w:p>
        </w:tc>
        <w:tc>
          <w:tcPr>
            <w:tcW w:w="1275" w:type="dxa"/>
            <w:tcBorders>
              <w:top w:val="nil"/>
              <w:left w:val="nil"/>
              <w:bottom w:val="single" w:sz="4" w:space="0" w:color="auto"/>
              <w:right w:val="single" w:sz="4" w:space="0" w:color="auto"/>
            </w:tcBorders>
            <w:shd w:val="clear" w:color="auto" w:fill="C6EFCE"/>
            <w:noWrap/>
          </w:tcPr>
          <w:p w14:paraId="3CB01406"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49FD0E49" w14:textId="77777777" w:rsidR="00A345F4" w:rsidRDefault="005E2D4E">
            <w:pPr>
              <w:pStyle w:val="P68B1DB1-Normal74"/>
              <w:spacing w:after="0" w:line="259" w:lineRule="auto"/>
              <w:rPr>
                <w:noProof/>
              </w:rPr>
            </w:pPr>
            <w:r>
              <w:rPr>
                <w:noProof/>
              </w:rPr>
              <w:t>Opérations de financement ou d’investissement représentant 100 % du montant total des ressources allouées à l’instrument, approuvées par le comité d’investissement InvestEU.</w:t>
            </w:r>
          </w:p>
        </w:tc>
      </w:tr>
      <w:tr w:rsidR="00A345F4" w14:paraId="698051E4"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5DE10D2" w14:textId="77777777" w:rsidR="00A345F4" w:rsidRDefault="005E2D4E">
            <w:pPr>
              <w:pStyle w:val="P68B1DB1-Normal74"/>
              <w:spacing w:after="0" w:line="259" w:lineRule="auto"/>
              <w:rPr>
                <w:noProof/>
              </w:rPr>
            </w:pPr>
            <w:r>
              <w:rPr>
                <w:noProof/>
              </w:rPr>
              <w:t>RO-C[C9]-I[I3.a]-T[263]</w:t>
            </w:r>
          </w:p>
        </w:tc>
        <w:tc>
          <w:tcPr>
            <w:tcW w:w="3544" w:type="dxa"/>
            <w:tcBorders>
              <w:top w:val="nil"/>
              <w:left w:val="nil"/>
              <w:bottom w:val="single" w:sz="4" w:space="0" w:color="auto"/>
              <w:right w:val="single" w:sz="4" w:space="0" w:color="auto"/>
            </w:tcBorders>
            <w:shd w:val="clear" w:color="auto" w:fill="C6EFCE"/>
            <w:noWrap/>
          </w:tcPr>
          <w:p w14:paraId="4338237A" w14:textId="77777777" w:rsidR="00A345F4" w:rsidRDefault="005E2D4E">
            <w:pPr>
              <w:pStyle w:val="P68B1DB1-Normal73"/>
              <w:spacing w:after="0" w:line="259" w:lineRule="auto"/>
              <w:rPr>
                <w:noProof/>
              </w:rPr>
            </w:pPr>
            <w:r>
              <w:rPr>
                <w:noProof/>
              </w:rPr>
              <w:t>Régimes d’aides au secteur privé – Régime d’aides à la numérisation des PME</w:t>
            </w:r>
          </w:p>
        </w:tc>
        <w:tc>
          <w:tcPr>
            <w:tcW w:w="1275" w:type="dxa"/>
            <w:tcBorders>
              <w:top w:val="nil"/>
              <w:left w:val="nil"/>
              <w:bottom w:val="single" w:sz="4" w:space="0" w:color="auto"/>
              <w:right w:val="single" w:sz="4" w:space="0" w:color="auto"/>
            </w:tcBorders>
            <w:shd w:val="clear" w:color="auto" w:fill="C6EFCE"/>
            <w:noWrap/>
          </w:tcPr>
          <w:p w14:paraId="5BB5DB55"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6AAC27D0" w14:textId="77777777" w:rsidR="00A345F4" w:rsidRDefault="005E2D4E">
            <w:pPr>
              <w:pStyle w:val="P68B1DB1-Normal74"/>
              <w:spacing w:after="0" w:line="259" w:lineRule="auto"/>
              <w:rPr>
                <w:noProof/>
              </w:rPr>
            </w:pPr>
            <w:r>
              <w:rPr>
                <w:noProof/>
              </w:rPr>
              <w:t>Nombre de contrats de financement signés</w:t>
            </w:r>
          </w:p>
        </w:tc>
      </w:tr>
      <w:tr w:rsidR="00A345F4" w14:paraId="24281B6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AD29747" w14:textId="77777777" w:rsidR="00A345F4" w:rsidRDefault="005E2D4E">
            <w:pPr>
              <w:pStyle w:val="P68B1DB1-Normal74"/>
              <w:spacing w:after="0" w:line="259" w:lineRule="auto"/>
              <w:rPr>
                <w:noProof/>
              </w:rPr>
            </w:pPr>
            <w:r>
              <w:rPr>
                <w:noProof/>
              </w:rPr>
              <w:t>RO-C[C9]-I[I8.0]-T[284]</w:t>
            </w:r>
          </w:p>
        </w:tc>
        <w:tc>
          <w:tcPr>
            <w:tcW w:w="3544" w:type="dxa"/>
            <w:tcBorders>
              <w:top w:val="nil"/>
              <w:left w:val="nil"/>
              <w:bottom w:val="single" w:sz="4" w:space="0" w:color="auto"/>
              <w:right w:val="single" w:sz="4" w:space="0" w:color="auto"/>
            </w:tcBorders>
            <w:shd w:val="clear" w:color="auto" w:fill="C6EFCE"/>
            <w:noWrap/>
          </w:tcPr>
          <w:p w14:paraId="7C027DDE" w14:textId="77777777" w:rsidR="00A345F4" w:rsidRDefault="005E2D4E">
            <w:pPr>
              <w:pStyle w:val="P68B1DB1-Normal73"/>
              <w:spacing w:after="0" w:line="259" w:lineRule="auto"/>
              <w:rPr>
                <w:noProof/>
              </w:rPr>
            </w:pPr>
            <w:r>
              <w:rPr>
                <w:noProof/>
              </w:rPr>
              <w:t>Programme visant à attirer des ressources humaines de l'étranger dans les activités de recherche, de développement et d'innovation</w:t>
            </w:r>
          </w:p>
        </w:tc>
        <w:tc>
          <w:tcPr>
            <w:tcW w:w="1275" w:type="dxa"/>
            <w:tcBorders>
              <w:top w:val="nil"/>
              <w:left w:val="nil"/>
              <w:bottom w:val="single" w:sz="4" w:space="0" w:color="auto"/>
              <w:right w:val="single" w:sz="4" w:space="0" w:color="auto"/>
            </w:tcBorders>
            <w:shd w:val="clear" w:color="auto" w:fill="C6EFCE"/>
            <w:noWrap/>
          </w:tcPr>
          <w:p w14:paraId="06A3B041"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50AD51CE" w14:textId="77777777" w:rsidR="00A345F4" w:rsidRDefault="005E2D4E">
            <w:pPr>
              <w:pStyle w:val="P68B1DB1-Normal74"/>
              <w:spacing w:after="0" w:line="259" w:lineRule="auto"/>
              <w:rPr>
                <w:noProof/>
              </w:rPr>
            </w:pPr>
            <w:r>
              <w:rPr>
                <w:noProof/>
              </w:rPr>
              <w:t>Projets menés par des chercheurs internationaux</w:t>
            </w:r>
          </w:p>
        </w:tc>
      </w:tr>
      <w:tr w:rsidR="00A345F4" w14:paraId="1C0E13F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1B0613D" w14:textId="77777777" w:rsidR="00A345F4" w:rsidRDefault="005E2D4E">
            <w:pPr>
              <w:pStyle w:val="P68B1DB1-Normal74"/>
              <w:spacing w:after="0" w:line="259" w:lineRule="auto"/>
              <w:rPr>
                <w:noProof/>
              </w:rPr>
            </w:pPr>
            <w:r>
              <w:rPr>
                <w:noProof/>
              </w:rPr>
              <w:t>RO-C[C9]-I[I9.0]-T[285]</w:t>
            </w:r>
          </w:p>
        </w:tc>
        <w:tc>
          <w:tcPr>
            <w:tcW w:w="3544" w:type="dxa"/>
            <w:tcBorders>
              <w:top w:val="nil"/>
              <w:left w:val="nil"/>
              <w:bottom w:val="single" w:sz="4" w:space="0" w:color="auto"/>
              <w:right w:val="single" w:sz="4" w:space="0" w:color="auto"/>
            </w:tcBorders>
            <w:shd w:val="clear" w:color="auto" w:fill="C6EFCE"/>
            <w:noWrap/>
          </w:tcPr>
          <w:p w14:paraId="568F2FAF" w14:textId="77777777" w:rsidR="00A345F4" w:rsidRDefault="005E2D4E">
            <w:pPr>
              <w:pStyle w:val="P68B1DB1-Normal73"/>
              <w:spacing w:after="0" w:line="259" w:lineRule="auto"/>
              <w:rPr>
                <w:noProof/>
              </w:rPr>
            </w:pPr>
            <w:r>
              <w:rPr>
                <w:noProof/>
              </w:rPr>
              <w:t>Soutien aux titulaires de certificats d'excellence reçus dans le cadre de la bourse individuelle Marie Sklodowska Curie</w:t>
            </w:r>
          </w:p>
        </w:tc>
        <w:tc>
          <w:tcPr>
            <w:tcW w:w="1275" w:type="dxa"/>
            <w:tcBorders>
              <w:top w:val="nil"/>
              <w:left w:val="nil"/>
              <w:bottom w:val="single" w:sz="4" w:space="0" w:color="auto"/>
              <w:right w:val="single" w:sz="4" w:space="0" w:color="auto"/>
            </w:tcBorders>
            <w:shd w:val="clear" w:color="auto" w:fill="C6EFCE"/>
            <w:noWrap/>
          </w:tcPr>
          <w:p w14:paraId="4E253433" w14:textId="77777777" w:rsidR="00A345F4" w:rsidRDefault="005E2D4E">
            <w:pPr>
              <w:pStyle w:val="P68B1DB1-Normal73"/>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04506A63" w14:textId="77777777" w:rsidR="00A345F4" w:rsidRDefault="005E2D4E">
            <w:pPr>
              <w:pStyle w:val="P68B1DB1-Normal74"/>
              <w:spacing w:after="0" w:line="259" w:lineRule="auto"/>
              <w:rPr>
                <w:noProof/>
              </w:rPr>
            </w:pPr>
            <w:r>
              <w:rPr>
                <w:noProof/>
              </w:rPr>
              <w:t>Marie Sklodowska Curie lauréate du label d'excellence</w:t>
            </w:r>
          </w:p>
        </w:tc>
      </w:tr>
      <w:tr w:rsidR="00A345F4" w14:paraId="5C1B53F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32170FA" w14:textId="77777777" w:rsidR="00A345F4" w:rsidRDefault="005E2D4E">
            <w:pPr>
              <w:pStyle w:val="P68B1DB1-Normal74"/>
              <w:spacing w:after="0" w:line="259" w:lineRule="auto"/>
              <w:rPr>
                <w:noProof/>
              </w:rPr>
            </w:pPr>
            <w:r>
              <w:rPr>
                <w:noProof/>
              </w:rPr>
              <w:t>RO-C[C9]-I[I10.0]-T[287]</w:t>
            </w:r>
          </w:p>
        </w:tc>
        <w:tc>
          <w:tcPr>
            <w:tcW w:w="3544" w:type="dxa"/>
            <w:tcBorders>
              <w:top w:val="nil"/>
              <w:left w:val="nil"/>
              <w:bottom w:val="single" w:sz="4" w:space="0" w:color="auto"/>
              <w:right w:val="single" w:sz="4" w:space="0" w:color="auto"/>
            </w:tcBorders>
            <w:shd w:val="clear" w:color="auto" w:fill="C6EFCE"/>
            <w:noWrap/>
          </w:tcPr>
          <w:p w14:paraId="14F81D23" w14:textId="77777777" w:rsidR="00A345F4" w:rsidRDefault="005E2D4E">
            <w:pPr>
              <w:pStyle w:val="P68B1DB1-Normal73"/>
              <w:spacing w:after="0" w:line="259" w:lineRule="auto"/>
              <w:rPr>
                <w:noProof/>
              </w:rPr>
            </w:pPr>
            <w:r>
              <w:rPr>
                <w:noProof/>
              </w:rPr>
              <w:t xml:space="preserve">Création et soutien financier d'un réseau national de huit centres régionaux d'orientation professionnelle </w:t>
            </w:r>
          </w:p>
        </w:tc>
        <w:tc>
          <w:tcPr>
            <w:tcW w:w="1275" w:type="dxa"/>
            <w:tcBorders>
              <w:top w:val="nil"/>
              <w:left w:val="nil"/>
              <w:bottom w:val="single" w:sz="4" w:space="0" w:color="auto"/>
              <w:right w:val="single" w:sz="4" w:space="0" w:color="auto"/>
            </w:tcBorders>
            <w:shd w:val="clear" w:color="auto" w:fill="C6EFCE"/>
            <w:noWrap/>
          </w:tcPr>
          <w:p w14:paraId="0D8273ED" w14:textId="77777777" w:rsidR="00A345F4" w:rsidRDefault="005E2D4E">
            <w:pPr>
              <w:pStyle w:val="P68B1DB1-Normal73"/>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60A60504" w14:textId="77777777" w:rsidR="00A345F4" w:rsidRDefault="005E2D4E">
            <w:pPr>
              <w:pStyle w:val="P68B1DB1-Normal74"/>
              <w:spacing w:after="0" w:line="259" w:lineRule="auto"/>
              <w:rPr>
                <w:noProof/>
              </w:rPr>
            </w:pPr>
            <w:r>
              <w:rPr>
                <w:noProof/>
              </w:rPr>
              <w:t>Création de centres régionaux d'orientation professionnelle dans le domaine de la recherche</w:t>
            </w:r>
          </w:p>
        </w:tc>
      </w:tr>
      <w:tr w:rsidR="00A345F4" w14:paraId="3A37E1E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F7087E4" w14:textId="77777777" w:rsidR="00A345F4" w:rsidRDefault="005E2D4E">
            <w:pPr>
              <w:pStyle w:val="P68B1DB1-Normal78"/>
              <w:spacing w:after="0" w:line="259" w:lineRule="auto"/>
              <w:rPr>
                <w:rFonts w:eastAsia="Times New Roman"/>
                <w:noProof/>
              </w:rPr>
            </w:pPr>
            <w:r>
              <w:rPr>
                <w:noProof/>
              </w:rPr>
              <w:t>RO-C[C11]-R[R3.a.0]-M[345]</w:t>
            </w:r>
          </w:p>
        </w:tc>
        <w:tc>
          <w:tcPr>
            <w:tcW w:w="3544" w:type="dxa"/>
            <w:tcBorders>
              <w:top w:val="nil"/>
              <w:left w:val="nil"/>
              <w:bottom w:val="single" w:sz="4" w:space="0" w:color="auto"/>
              <w:right w:val="single" w:sz="4" w:space="0" w:color="auto"/>
            </w:tcBorders>
            <w:shd w:val="clear" w:color="auto" w:fill="C6EFCE"/>
            <w:noWrap/>
          </w:tcPr>
          <w:p w14:paraId="3B19FDE9" w14:textId="77777777" w:rsidR="00A345F4" w:rsidRDefault="005E2D4E">
            <w:pPr>
              <w:pStyle w:val="P68B1DB1-Normal78"/>
              <w:spacing w:after="0" w:line="259" w:lineRule="auto"/>
              <w:rPr>
                <w:noProof/>
              </w:rPr>
            </w:pPr>
            <w:r>
              <w:rPr>
                <w:noProof/>
              </w:rPr>
              <w:t>Réforme du système de financement du secteur culturel</w:t>
            </w:r>
          </w:p>
        </w:tc>
        <w:tc>
          <w:tcPr>
            <w:tcW w:w="1275" w:type="dxa"/>
            <w:tcBorders>
              <w:top w:val="nil"/>
              <w:left w:val="nil"/>
              <w:bottom w:val="single" w:sz="4" w:space="0" w:color="auto"/>
              <w:right w:val="single" w:sz="4" w:space="0" w:color="auto"/>
            </w:tcBorders>
            <w:shd w:val="clear" w:color="auto" w:fill="C6EFCE"/>
            <w:noWrap/>
          </w:tcPr>
          <w:p w14:paraId="6F2EA371"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B41110C" w14:textId="753EDEE2" w:rsidR="00A345F4" w:rsidRDefault="005E2D4E">
            <w:pPr>
              <w:pStyle w:val="P68B1DB1-Normal79"/>
              <w:spacing w:after="0" w:line="259" w:lineRule="auto"/>
              <w:rPr>
                <w:rFonts w:ascii="Times New Roman" w:eastAsia="Times New Roman" w:hAnsi="Times New Roman" w:cs="Times New Roman"/>
                <w:noProof/>
              </w:rPr>
            </w:pPr>
            <w:r>
              <w:rPr>
                <w:rFonts w:ascii="Times New Roman" w:eastAsia="Aptos" w:hAnsi="Times New Roman" w:cs="Times New Roman"/>
                <w:noProof/>
                <w:color w:val="000000"/>
              </w:rPr>
              <w:t xml:space="preserve">Entrée en vigueur des actes juridiques </w:t>
            </w:r>
            <w:r>
              <w:rPr>
                <w:rFonts w:ascii="Times New Roman" w:eastAsia="Times New Roman" w:hAnsi="Times New Roman" w:cs="Times New Roman"/>
                <w:noProof/>
              </w:rPr>
              <w:t>relatifs au cadre juridique applicable aux travailleurs culturels</w:t>
            </w:r>
          </w:p>
        </w:tc>
      </w:tr>
      <w:tr w:rsidR="00A345F4" w14:paraId="18A8906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CE183EE" w14:textId="77777777" w:rsidR="00A345F4" w:rsidRDefault="005E2D4E">
            <w:pPr>
              <w:pStyle w:val="P68B1DB1-Normal78"/>
              <w:spacing w:after="0" w:line="259" w:lineRule="auto"/>
              <w:rPr>
                <w:rFonts w:eastAsia="Times New Roman"/>
                <w:noProof/>
              </w:rPr>
            </w:pPr>
            <w:r>
              <w:rPr>
                <w:noProof/>
              </w:rPr>
              <w:t>RO-C[C11]-I[I6.0]-M[348]</w:t>
            </w:r>
          </w:p>
        </w:tc>
        <w:tc>
          <w:tcPr>
            <w:tcW w:w="3544" w:type="dxa"/>
            <w:tcBorders>
              <w:top w:val="nil"/>
              <w:left w:val="nil"/>
              <w:bottom w:val="single" w:sz="4" w:space="0" w:color="auto"/>
              <w:right w:val="single" w:sz="4" w:space="0" w:color="auto"/>
            </w:tcBorders>
            <w:shd w:val="clear" w:color="auto" w:fill="C6EFCE"/>
            <w:noWrap/>
          </w:tcPr>
          <w:p w14:paraId="428EF95C" w14:textId="77777777" w:rsidR="00A345F4" w:rsidRDefault="005E2D4E">
            <w:pPr>
              <w:pStyle w:val="P68B1DB1-Normal78"/>
              <w:spacing w:after="0" w:line="259" w:lineRule="auto"/>
              <w:rPr>
                <w:noProof/>
              </w:rPr>
            </w:pPr>
            <w:r>
              <w:rPr>
                <w:noProof/>
              </w:rPr>
              <w:t>Mise en place d'un système numérique pour les processus de financement de la culture</w:t>
            </w:r>
          </w:p>
        </w:tc>
        <w:tc>
          <w:tcPr>
            <w:tcW w:w="1275" w:type="dxa"/>
            <w:tcBorders>
              <w:top w:val="nil"/>
              <w:left w:val="nil"/>
              <w:bottom w:val="single" w:sz="4" w:space="0" w:color="auto"/>
              <w:right w:val="single" w:sz="4" w:space="0" w:color="auto"/>
            </w:tcBorders>
            <w:shd w:val="clear" w:color="auto" w:fill="C6EFCE"/>
            <w:noWrap/>
          </w:tcPr>
          <w:p w14:paraId="0201053C"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C3274DB" w14:textId="77777777" w:rsidR="00A345F4" w:rsidRDefault="005E2D4E">
            <w:pPr>
              <w:pStyle w:val="P68B1DB1-Normal74"/>
              <w:spacing w:after="0" w:line="259" w:lineRule="auto"/>
              <w:jc w:val="both"/>
              <w:rPr>
                <w:noProof/>
              </w:rPr>
            </w:pPr>
            <w:r>
              <w:rPr>
                <w:noProof/>
              </w:rPr>
              <w:t xml:space="preserve"> Système numérique pour les processus de financement de la culture</w:t>
            </w:r>
          </w:p>
          <w:p w14:paraId="36BA0041" w14:textId="77777777" w:rsidR="00A345F4" w:rsidRDefault="00A345F4">
            <w:pPr>
              <w:spacing w:after="0" w:line="259" w:lineRule="auto"/>
              <w:rPr>
                <w:rFonts w:ascii="Times New Roman" w:eastAsia="Aptos" w:hAnsi="Times New Roman" w:cs="Times New Roman"/>
                <w:noProof/>
                <w:color w:val="000000"/>
                <w:kern w:val="2"/>
                <w:sz w:val="22"/>
                <w:szCs w:val="22"/>
                <w14:ligatures w14:val="standardContextual"/>
              </w:rPr>
            </w:pPr>
          </w:p>
        </w:tc>
      </w:tr>
      <w:tr w:rsidR="00A345F4" w14:paraId="4FFA89E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5B8DAF9" w14:textId="77777777" w:rsidR="00A345F4" w:rsidRDefault="005E2D4E">
            <w:pPr>
              <w:pStyle w:val="P68B1DB1-Normal78"/>
              <w:spacing w:after="0" w:line="259" w:lineRule="auto"/>
              <w:rPr>
                <w:rFonts w:eastAsia="Times New Roman"/>
                <w:noProof/>
              </w:rPr>
            </w:pPr>
            <w:r>
              <w:rPr>
                <w:noProof/>
              </w:rPr>
              <w:t>RO-C[C11]-I[I7.0]-T[350]</w:t>
            </w:r>
          </w:p>
        </w:tc>
        <w:tc>
          <w:tcPr>
            <w:tcW w:w="3544" w:type="dxa"/>
            <w:tcBorders>
              <w:top w:val="nil"/>
              <w:left w:val="nil"/>
              <w:bottom w:val="single" w:sz="4" w:space="0" w:color="auto"/>
              <w:right w:val="single" w:sz="4" w:space="0" w:color="auto"/>
            </w:tcBorders>
            <w:shd w:val="clear" w:color="auto" w:fill="C6EFCE"/>
            <w:noWrap/>
          </w:tcPr>
          <w:p w14:paraId="6FB5393A" w14:textId="77777777" w:rsidR="00A345F4" w:rsidRDefault="005E2D4E">
            <w:pPr>
              <w:pStyle w:val="P68B1DB1-Normal78"/>
              <w:spacing w:after="0" w:line="259" w:lineRule="auto"/>
              <w:rPr>
                <w:noProof/>
              </w:rPr>
            </w:pPr>
            <w:r>
              <w:rPr>
                <w:noProof/>
              </w:rPr>
              <w:t>Accélérer la numérisation de la production et de la distribution de films</w:t>
            </w:r>
          </w:p>
        </w:tc>
        <w:tc>
          <w:tcPr>
            <w:tcW w:w="1275" w:type="dxa"/>
            <w:tcBorders>
              <w:top w:val="nil"/>
              <w:left w:val="nil"/>
              <w:bottom w:val="single" w:sz="4" w:space="0" w:color="auto"/>
              <w:right w:val="single" w:sz="4" w:space="0" w:color="auto"/>
            </w:tcBorders>
            <w:shd w:val="clear" w:color="auto" w:fill="C6EFCE"/>
            <w:noWrap/>
          </w:tcPr>
          <w:p w14:paraId="16615DCF"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30588BDE" w14:textId="77777777" w:rsidR="00A345F4" w:rsidRDefault="005E2D4E">
            <w:pPr>
              <w:pStyle w:val="P68B1DB1-Normal74"/>
              <w:spacing w:after="0" w:line="259" w:lineRule="auto"/>
              <w:rPr>
                <w:noProof/>
              </w:rPr>
            </w:pPr>
            <w:r>
              <w:rPr>
                <w:noProof/>
              </w:rPr>
              <w:t xml:space="preserve"> Producteurs et distributeurs de films participant à des formations sur les compétences numériques</w:t>
            </w:r>
          </w:p>
        </w:tc>
      </w:tr>
      <w:tr w:rsidR="00A345F4" w14:paraId="6BBB574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98A57D6" w14:textId="77777777" w:rsidR="00A345F4" w:rsidRDefault="005E2D4E">
            <w:pPr>
              <w:pStyle w:val="P68B1DB1-Normal78"/>
              <w:spacing w:after="0" w:line="259" w:lineRule="auto"/>
              <w:rPr>
                <w:rFonts w:eastAsia="Times New Roman"/>
                <w:noProof/>
              </w:rPr>
            </w:pPr>
            <w:r>
              <w:rPr>
                <w:noProof/>
              </w:rPr>
              <w:t>RO-C[C12]-R[R1.0]-M[352]</w:t>
            </w:r>
          </w:p>
        </w:tc>
        <w:tc>
          <w:tcPr>
            <w:tcW w:w="3544" w:type="dxa"/>
            <w:tcBorders>
              <w:top w:val="nil"/>
              <w:left w:val="nil"/>
              <w:bottom w:val="single" w:sz="4" w:space="0" w:color="auto"/>
              <w:right w:val="single" w:sz="4" w:space="0" w:color="auto"/>
            </w:tcBorders>
            <w:shd w:val="clear" w:color="auto" w:fill="C6EFCE"/>
            <w:noWrap/>
          </w:tcPr>
          <w:p w14:paraId="2B58878F" w14:textId="77777777" w:rsidR="00A345F4" w:rsidRDefault="005E2D4E">
            <w:pPr>
              <w:pStyle w:val="P68B1DB1-Normal78"/>
              <w:spacing w:after="0" w:line="259" w:lineRule="auto"/>
              <w:rPr>
                <w:noProof/>
              </w:rPr>
            </w:pPr>
            <w:r>
              <w:rPr>
                <w:noProof/>
              </w:rPr>
              <w:t>Renforcement des capacités de gestion des fonds de santé publique</w:t>
            </w:r>
          </w:p>
        </w:tc>
        <w:tc>
          <w:tcPr>
            <w:tcW w:w="1275" w:type="dxa"/>
            <w:tcBorders>
              <w:top w:val="nil"/>
              <w:left w:val="nil"/>
              <w:bottom w:val="single" w:sz="4" w:space="0" w:color="auto"/>
              <w:right w:val="single" w:sz="4" w:space="0" w:color="auto"/>
            </w:tcBorders>
            <w:shd w:val="clear" w:color="auto" w:fill="C6EFCE"/>
            <w:noWrap/>
          </w:tcPr>
          <w:p w14:paraId="7E55321E"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5709971" w14:textId="77777777" w:rsidR="00A345F4" w:rsidRDefault="005E2D4E">
            <w:pPr>
              <w:pStyle w:val="P68B1DB1-Normal78"/>
              <w:spacing w:after="0" w:line="259" w:lineRule="auto"/>
              <w:rPr>
                <w:rFonts w:eastAsia="Times New Roman"/>
                <w:noProof/>
              </w:rPr>
            </w:pPr>
            <w:r>
              <w:rPr>
                <w:noProof/>
              </w:rPr>
              <w:t>Entrée en vigueur de l’acte juridique relatif à un nouveau contrat-cadre type pour le système d’assurance maladie</w:t>
            </w:r>
          </w:p>
        </w:tc>
      </w:tr>
      <w:tr w:rsidR="00A345F4" w14:paraId="0B2EF1B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D10D0E2" w14:textId="77777777" w:rsidR="00A345F4" w:rsidRDefault="005E2D4E">
            <w:pPr>
              <w:pStyle w:val="P68B1DB1-Normal74"/>
              <w:spacing w:after="0" w:line="259" w:lineRule="auto"/>
              <w:rPr>
                <w:rFonts w:eastAsia="Aptos"/>
                <w:noProof/>
                <w:color w:val="000000"/>
              </w:rPr>
            </w:pPr>
            <w:r>
              <w:rPr>
                <w:noProof/>
              </w:rPr>
              <w:t>RO-C[C12]-R[R3.0]-M[365]</w:t>
            </w:r>
          </w:p>
        </w:tc>
        <w:tc>
          <w:tcPr>
            <w:tcW w:w="3544" w:type="dxa"/>
            <w:tcBorders>
              <w:top w:val="nil"/>
              <w:left w:val="nil"/>
              <w:bottom w:val="single" w:sz="4" w:space="0" w:color="auto"/>
              <w:right w:val="single" w:sz="4" w:space="0" w:color="auto"/>
            </w:tcBorders>
            <w:shd w:val="clear" w:color="auto" w:fill="C6EFCE"/>
            <w:noWrap/>
          </w:tcPr>
          <w:p w14:paraId="592A32A9" w14:textId="77777777" w:rsidR="00A345F4" w:rsidRDefault="005E2D4E">
            <w:pPr>
              <w:pStyle w:val="P68B1DB1-Normal74"/>
              <w:spacing w:after="0" w:line="259" w:lineRule="auto"/>
              <w:rPr>
                <w:rFonts w:eastAsia="Aptos"/>
                <w:noProof/>
                <w:color w:val="000000"/>
              </w:rPr>
            </w:pPr>
            <w:r>
              <w:rPr>
                <w:noProof/>
              </w:rPr>
              <w:t>Renforcement des capacités en matière de gestion de la santé et de ressources humaines dans le domaine de la santé</w:t>
            </w:r>
          </w:p>
        </w:tc>
        <w:tc>
          <w:tcPr>
            <w:tcW w:w="1275" w:type="dxa"/>
            <w:tcBorders>
              <w:top w:val="nil"/>
              <w:left w:val="nil"/>
              <w:bottom w:val="single" w:sz="4" w:space="0" w:color="auto"/>
              <w:right w:val="single" w:sz="4" w:space="0" w:color="auto"/>
            </w:tcBorders>
            <w:shd w:val="clear" w:color="auto" w:fill="C6EFCE"/>
            <w:noWrap/>
          </w:tcPr>
          <w:p w14:paraId="42E65EF4" w14:textId="77777777" w:rsidR="00A345F4" w:rsidRDefault="005E2D4E">
            <w:pPr>
              <w:pStyle w:val="P68B1DB1-Normal73"/>
              <w:spacing w:after="0" w:line="259" w:lineRule="auto"/>
              <w:jc w:val="center"/>
              <w:rPr>
                <w:noProof/>
                <w:color w:val="000000"/>
              </w:rPr>
            </w:pPr>
            <w:r>
              <w:rPr>
                <w:noProof/>
              </w:rPr>
              <w:t>M</w:t>
            </w:r>
          </w:p>
        </w:tc>
        <w:tc>
          <w:tcPr>
            <w:tcW w:w="3402" w:type="dxa"/>
            <w:tcBorders>
              <w:top w:val="nil"/>
              <w:left w:val="nil"/>
              <w:bottom w:val="single" w:sz="4" w:space="0" w:color="auto"/>
              <w:right w:val="single" w:sz="4" w:space="0" w:color="auto"/>
            </w:tcBorders>
            <w:shd w:val="clear" w:color="auto" w:fill="C6EFCE"/>
            <w:noWrap/>
          </w:tcPr>
          <w:p w14:paraId="1AD57D27" w14:textId="77777777" w:rsidR="00A345F4" w:rsidRDefault="005E2D4E">
            <w:pPr>
              <w:pStyle w:val="P68B1DB1-Normal73"/>
              <w:spacing w:after="0" w:line="259" w:lineRule="auto"/>
              <w:rPr>
                <w:noProof/>
                <w:color w:val="000000"/>
              </w:rPr>
            </w:pPr>
            <w:r>
              <w:rPr>
                <w:noProof/>
              </w:rPr>
              <w:t>Mise en service du portail transparenta.ms.ro sur l'utilisation des ressources publiques</w:t>
            </w:r>
          </w:p>
        </w:tc>
      </w:tr>
      <w:tr w:rsidR="00A345F4" w14:paraId="590F6C6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FC14A9" w14:textId="77777777" w:rsidR="00A345F4" w:rsidRDefault="005E2D4E">
            <w:pPr>
              <w:pStyle w:val="P68B1DB1-Normal78"/>
              <w:spacing w:after="0" w:line="259" w:lineRule="auto"/>
              <w:rPr>
                <w:rFonts w:eastAsia="Times New Roman"/>
                <w:noProof/>
              </w:rPr>
            </w:pPr>
            <w:r>
              <w:rPr>
                <w:noProof/>
              </w:rPr>
              <w:t>RO-C[C12]-I[I1.0]-T[367]</w:t>
            </w:r>
          </w:p>
        </w:tc>
        <w:tc>
          <w:tcPr>
            <w:tcW w:w="3544" w:type="dxa"/>
            <w:tcBorders>
              <w:top w:val="nil"/>
              <w:left w:val="nil"/>
              <w:bottom w:val="single" w:sz="4" w:space="0" w:color="auto"/>
              <w:right w:val="single" w:sz="4" w:space="0" w:color="auto"/>
            </w:tcBorders>
            <w:shd w:val="clear" w:color="auto" w:fill="C6EFCE"/>
            <w:noWrap/>
          </w:tcPr>
          <w:p w14:paraId="3BB151B0" w14:textId="77777777" w:rsidR="00A345F4" w:rsidRDefault="005E2D4E">
            <w:pPr>
              <w:pStyle w:val="P68B1DB1-Normal78"/>
              <w:spacing w:after="0" w:line="259" w:lineRule="auto"/>
              <w:rPr>
                <w:noProof/>
              </w:rPr>
            </w:pPr>
            <w:r>
              <w:rPr>
                <w:noProof/>
              </w:rPr>
              <w:t>Infrastructures médicales préhospitalières</w:t>
            </w:r>
          </w:p>
        </w:tc>
        <w:tc>
          <w:tcPr>
            <w:tcW w:w="1275" w:type="dxa"/>
            <w:tcBorders>
              <w:top w:val="nil"/>
              <w:left w:val="nil"/>
              <w:bottom w:val="single" w:sz="4" w:space="0" w:color="auto"/>
              <w:right w:val="single" w:sz="4" w:space="0" w:color="auto"/>
            </w:tcBorders>
            <w:shd w:val="clear" w:color="auto" w:fill="C6EFCE"/>
            <w:noWrap/>
          </w:tcPr>
          <w:p w14:paraId="1C97B2EB"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02B79D05" w14:textId="77777777" w:rsidR="00A345F4" w:rsidRDefault="005E2D4E">
            <w:pPr>
              <w:pStyle w:val="P68B1DB1-Normal78"/>
              <w:spacing w:after="0" w:line="259" w:lineRule="auto"/>
              <w:rPr>
                <w:rFonts w:eastAsia="Times New Roman"/>
                <w:noProof/>
              </w:rPr>
            </w:pPr>
            <w:r>
              <w:rPr>
                <w:noProof/>
              </w:rPr>
              <w:t>Pratiques de médecins de famille ou d’associations de praticiens de soins primaires équipées ou rénovées, en donnant la priorité aux pratiques situées dans des régions et des municipalités marginalisées</w:t>
            </w:r>
          </w:p>
        </w:tc>
      </w:tr>
      <w:tr w:rsidR="00A345F4" w14:paraId="35C7E08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FBEB656" w14:textId="77777777" w:rsidR="00A345F4" w:rsidRDefault="005E2D4E">
            <w:pPr>
              <w:pStyle w:val="P68B1DB1-Normal78"/>
              <w:spacing w:after="0" w:line="259" w:lineRule="auto"/>
              <w:rPr>
                <w:rFonts w:eastAsia="Times New Roman"/>
                <w:noProof/>
              </w:rPr>
            </w:pPr>
            <w:r>
              <w:rPr>
                <w:noProof/>
              </w:rPr>
              <w:t>RO-C[C12]-I[I1.0]-T[369]</w:t>
            </w:r>
          </w:p>
        </w:tc>
        <w:tc>
          <w:tcPr>
            <w:tcW w:w="3544" w:type="dxa"/>
            <w:tcBorders>
              <w:top w:val="nil"/>
              <w:left w:val="nil"/>
              <w:bottom w:val="single" w:sz="4" w:space="0" w:color="auto"/>
              <w:right w:val="single" w:sz="4" w:space="0" w:color="auto"/>
            </w:tcBorders>
            <w:shd w:val="clear" w:color="auto" w:fill="C6EFCE"/>
            <w:noWrap/>
          </w:tcPr>
          <w:p w14:paraId="1265E8F2" w14:textId="77777777" w:rsidR="00A345F4" w:rsidRDefault="005E2D4E">
            <w:pPr>
              <w:pStyle w:val="P68B1DB1-Normal78"/>
              <w:spacing w:after="0" w:line="259" w:lineRule="auto"/>
              <w:rPr>
                <w:noProof/>
              </w:rPr>
            </w:pPr>
            <w:r>
              <w:rPr>
                <w:noProof/>
              </w:rPr>
              <w:t>Infrastructures médicales préhospitalières</w:t>
            </w:r>
          </w:p>
        </w:tc>
        <w:tc>
          <w:tcPr>
            <w:tcW w:w="1275" w:type="dxa"/>
            <w:tcBorders>
              <w:top w:val="nil"/>
              <w:left w:val="nil"/>
              <w:bottom w:val="single" w:sz="4" w:space="0" w:color="auto"/>
              <w:right w:val="single" w:sz="4" w:space="0" w:color="auto"/>
            </w:tcBorders>
            <w:shd w:val="clear" w:color="auto" w:fill="C6EFCE"/>
            <w:noWrap/>
          </w:tcPr>
          <w:p w14:paraId="6AA64E60"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09199723" w14:textId="77777777" w:rsidR="00A345F4" w:rsidRDefault="005E2D4E">
            <w:pPr>
              <w:pStyle w:val="P68B1DB1-Normal78"/>
              <w:spacing w:after="0" w:line="259" w:lineRule="auto"/>
              <w:rPr>
                <w:rFonts w:eastAsia="Times New Roman"/>
                <w:noProof/>
              </w:rPr>
            </w:pPr>
            <w:r>
              <w:rPr>
                <w:noProof/>
              </w:rPr>
              <w:t>Unités de soins ambulatoires nouvellement construites ou rénovées et équipées</w:t>
            </w:r>
          </w:p>
        </w:tc>
      </w:tr>
      <w:tr w:rsidR="00A345F4" w14:paraId="4162553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FFD411B" w14:textId="77777777" w:rsidR="00A345F4" w:rsidRDefault="005E2D4E">
            <w:pPr>
              <w:pStyle w:val="P68B1DB1-Normal78"/>
              <w:spacing w:after="0" w:line="259" w:lineRule="auto"/>
              <w:rPr>
                <w:rFonts w:eastAsia="Times New Roman"/>
                <w:noProof/>
              </w:rPr>
            </w:pPr>
            <w:r>
              <w:rPr>
                <w:noProof/>
              </w:rPr>
              <w:t>RO-C[C12]-I[I2.0]-T[375]</w:t>
            </w:r>
          </w:p>
        </w:tc>
        <w:tc>
          <w:tcPr>
            <w:tcW w:w="3544" w:type="dxa"/>
            <w:tcBorders>
              <w:top w:val="nil"/>
              <w:left w:val="nil"/>
              <w:bottom w:val="single" w:sz="4" w:space="0" w:color="auto"/>
              <w:right w:val="single" w:sz="4" w:space="0" w:color="auto"/>
            </w:tcBorders>
            <w:shd w:val="clear" w:color="auto" w:fill="C6EFCE"/>
            <w:noWrap/>
          </w:tcPr>
          <w:p w14:paraId="41B78D23" w14:textId="77777777" w:rsidR="00A345F4" w:rsidRDefault="005E2D4E">
            <w:pPr>
              <w:pStyle w:val="P68B1DB1-Normal78"/>
              <w:spacing w:after="0" w:line="259" w:lineRule="auto"/>
              <w:rPr>
                <w:noProof/>
              </w:rPr>
            </w:pPr>
            <w:r>
              <w:rPr>
                <w:noProof/>
              </w:rPr>
              <w:t>Infrastructures hospitalières publiques</w:t>
            </w:r>
          </w:p>
        </w:tc>
        <w:tc>
          <w:tcPr>
            <w:tcW w:w="1275" w:type="dxa"/>
            <w:tcBorders>
              <w:top w:val="nil"/>
              <w:left w:val="nil"/>
              <w:bottom w:val="single" w:sz="4" w:space="0" w:color="auto"/>
              <w:right w:val="single" w:sz="4" w:space="0" w:color="auto"/>
            </w:tcBorders>
            <w:shd w:val="clear" w:color="auto" w:fill="C6EFCE"/>
            <w:noWrap/>
          </w:tcPr>
          <w:p w14:paraId="39AE59DF"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70BA97E6" w14:textId="77777777" w:rsidR="00A345F4" w:rsidRDefault="005E2D4E">
            <w:pPr>
              <w:pStyle w:val="P68B1DB1-Normal78"/>
              <w:spacing w:after="0" w:line="259" w:lineRule="auto"/>
              <w:rPr>
                <w:rFonts w:eastAsia="Times New Roman"/>
                <w:noProof/>
              </w:rPr>
            </w:pPr>
            <w:r>
              <w:rPr>
                <w:noProof/>
              </w:rPr>
              <w:t>Les hôpitaux publics reçoivent de l'équipement et du matériel pour réduire le risque d'infections</w:t>
            </w:r>
          </w:p>
        </w:tc>
      </w:tr>
      <w:tr w:rsidR="00A345F4" w14:paraId="4DC0954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46C89E1" w14:textId="77777777" w:rsidR="00A345F4" w:rsidRDefault="005E2D4E">
            <w:pPr>
              <w:pStyle w:val="P68B1DB1-Normal78"/>
              <w:spacing w:after="0" w:line="259" w:lineRule="auto"/>
              <w:rPr>
                <w:rFonts w:eastAsia="Times New Roman"/>
                <w:noProof/>
              </w:rPr>
            </w:pPr>
            <w:r>
              <w:rPr>
                <w:noProof/>
              </w:rPr>
              <w:t>RO-C[C13]-R[R5.0]-M[392]</w:t>
            </w:r>
          </w:p>
        </w:tc>
        <w:tc>
          <w:tcPr>
            <w:tcW w:w="3544" w:type="dxa"/>
            <w:tcBorders>
              <w:top w:val="nil"/>
              <w:left w:val="nil"/>
              <w:bottom w:val="single" w:sz="4" w:space="0" w:color="auto"/>
              <w:right w:val="single" w:sz="4" w:space="0" w:color="auto"/>
            </w:tcBorders>
            <w:shd w:val="clear" w:color="auto" w:fill="C6EFCE"/>
            <w:noWrap/>
          </w:tcPr>
          <w:p w14:paraId="02F26797" w14:textId="77777777" w:rsidR="00A345F4" w:rsidRDefault="005E2D4E">
            <w:pPr>
              <w:pStyle w:val="P68B1DB1-Normal78"/>
              <w:spacing w:after="0" w:line="259" w:lineRule="auto"/>
              <w:rPr>
                <w:noProof/>
              </w:rPr>
            </w:pPr>
            <w:r>
              <w:rPr>
                <w:noProof/>
              </w:rPr>
              <w:t>Garantir la fixation d’un salaire minimum</w:t>
            </w:r>
          </w:p>
        </w:tc>
        <w:tc>
          <w:tcPr>
            <w:tcW w:w="1275" w:type="dxa"/>
            <w:tcBorders>
              <w:top w:val="nil"/>
              <w:left w:val="nil"/>
              <w:bottom w:val="single" w:sz="4" w:space="0" w:color="auto"/>
              <w:right w:val="single" w:sz="4" w:space="0" w:color="auto"/>
            </w:tcBorders>
            <w:shd w:val="clear" w:color="auto" w:fill="C6EFCE"/>
            <w:noWrap/>
          </w:tcPr>
          <w:p w14:paraId="287CC03B" w14:textId="77777777" w:rsidR="00A345F4" w:rsidRDefault="005E2D4E">
            <w:pPr>
              <w:pStyle w:val="P68B1DB1-Normal78"/>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4E77000" w14:textId="77777777" w:rsidR="00A345F4" w:rsidRDefault="005E2D4E">
            <w:pPr>
              <w:pStyle w:val="P68B1DB1-Normal78"/>
              <w:spacing w:after="0" w:line="259" w:lineRule="auto"/>
              <w:rPr>
                <w:rFonts w:eastAsia="Times New Roman"/>
                <w:noProof/>
              </w:rPr>
            </w:pPr>
            <w:r>
              <w:rPr>
                <w:noProof/>
              </w:rPr>
              <w:t>Entrée en vigueur des actes juridiques régissant le nouveau système de fixation du salaire minimum</w:t>
            </w:r>
          </w:p>
        </w:tc>
      </w:tr>
      <w:tr w:rsidR="00A345F4" w14:paraId="26A5257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02C9AFD" w14:textId="77777777" w:rsidR="00A345F4" w:rsidRDefault="005E2D4E">
            <w:pPr>
              <w:pStyle w:val="P68B1DB1-Normal78"/>
              <w:spacing w:after="0" w:line="259" w:lineRule="auto"/>
              <w:rPr>
                <w:rFonts w:eastAsia="Times New Roman"/>
                <w:noProof/>
              </w:rPr>
            </w:pPr>
            <w:r>
              <w:rPr>
                <w:noProof/>
              </w:rPr>
              <w:t>RO-C[C13]-I[I2.0]-T[395]</w:t>
            </w:r>
          </w:p>
        </w:tc>
        <w:tc>
          <w:tcPr>
            <w:tcW w:w="3544" w:type="dxa"/>
            <w:tcBorders>
              <w:top w:val="nil"/>
              <w:left w:val="nil"/>
              <w:bottom w:val="single" w:sz="4" w:space="0" w:color="auto"/>
              <w:right w:val="single" w:sz="4" w:space="0" w:color="auto"/>
            </w:tcBorders>
            <w:shd w:val="clear" w:color="auto" w:fill="C6EFCE"/>
            <w:noWrap/>
          </w:tcPr>
          <w:p w14:paraId="7A42CAF3" w14:textId="77777777" w:rsidR="00A345F4" w:rsidRDefault="005E2D4E">
            <w:pPr>
              <w:pStyle w:val="P68B1DB1-Normal78"/>
              <w:spacing w:after="0" w:line="259" w:lineRule="auto"/>
              <w:rPr>
                <w:noProof/>
              </w:rPr>
            </w:pPr>
            <w:r>
              <w:rPr>
                <w:noProof/>
              </w:rPr>
              <w:t>Réhabilitation, rénovation et extension des infrastructures sociales pour les personnes handicapées</w:t>
            </w:r>
          </w:p>
        </w:tc>
        <w:tc>
          <w:tcPr>
            <w:tcW w:w="1275" w:type="dxa"/>
            <w:tcBorders>
              <w:top w:val="nil"/>
              <w:left w:val="nil"/>
              <w:bottom w:val="single" w:sz="4" w:space="0" w:color="auto"/>
              <w:right w:val="single" w:sz="4" w:space="0" w:color="auto"/>
            </w:tcBorders>
            <w:shd w:val="clear" w:color="auto" w:fill="C6EFCE"/>
            <w:noWrap/>
          </w:tcPr>
          <w:p w14:paraId="6F70D3F8"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5680CF7F" w14:textId="77777777" w:rsidR="00A345F4" w:rsidRDefault="005E2D4E">
            <w:pPr>
              <w:pStyle w:val="P68B1DB1-Normal78"/>
              <w:spacing w:after="0" w:line="259" w:lineRule="auto"/>
              <w:rPr>
                <w:rFonts w:eastAsia="Times New Roman"/>
                <w:noProof/>
              </w:rPr>
            </w:pPr>
            <w:r>
              <w:rPr>
                <w:noProof/>
              </w:rPr>
              <w:t>Modernisation des services communautaires pour les personnes handicapées</w:t>
            </w:r>
          </w:p>
        </w:tc>
      </w:tr>
      <w:tr w:rsidR="00A345F4" w14:paraId="536577D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89AF00B" w14:textId="77777777" w:rsidR="00A345F4" w:rsidRDefault="005E2D4E">
            <w:pPr>
              <w:pStyle w:val="P68B1DB1-Normal78"/>
              <w:spacing w:after="0" w:line="259" w:lineRule="auto"/>
              <w:rPr>
                <w:rFonts w:eastAsia="Times New Roman"/>
                <w:noProof/>
              </w:rPr>
            </w:pPr>
            <w:r>
              <w:rPr>
                <w:noProof/>
              </w:rPr>
              <w:t>RO-C[C13]-R[R3.0]-T[386]</w:t>
            </w:r>
          </w:p>
        </w:tc>
        <w:tc>
          <w:tcPr>
            <w:tcW w:w="3544" w:type="dxa"/>
            <w:tcBorders>
              <w:top w:val="nil"/>
              <w:left w:val="nil"/>
              <w:bottom w:val="single" w:sz="4" w:space="0" w:color="auto"/>
              <w:right w:val="single" w:sz="4" w:space="0" w:color="auto"/>
            </w:tcBorders>
            <w:shd w:val="clear" w:color="auto" w:fill="C6EFCE"/>
            <w:noWrap/>
          </w:tcPr>
          <w:p w14:paraId="5AF7971C" w14:textId="77777777" w:rsidR="00A345F4" w:rsidRDefault="005E2D4E">
            <w:pPr>
              <w:pStyle w:val="P68B1DB1-Normal78"/>
              <w:spacing w:after="0" w:line="259" w:lineRule="auto"/>
              <w:rPr>
                <w:noProof/>
              </w:rPr>
            </w:pPr>
            <w:r>
              <w:rPr>
                <w:noProof/>
              </w:rPr>
              <w:t>Fourniture du revenu minimum d'inclusion (VMI)</w:t>
            </w:r>
          </w:p>
        </w:tc>
        <w:tc>
          <w:tcPr>
            <w:tcW w:w="1275" w:type="dxa"/>
            <w:tcBorders>
              <w:top w:val="nil"/>
              <w:left w:val="nil"/>
              <w:bottom w:val="single" w:sz="4" w:space="0" w:color="auto"/>
              <w:right w:val="single" w:sz="4" w:space="0" w:color="auto"/>
            </w:tcBorders>
            <w:shd w:val="clear" w:color="auto" w:fill="C6EFCE"/>
            <w:noWrap/>
          </w:tcPr>
          <w:p w14:paraId="676CE117"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570419FA" w14:textId="77777777" w:rsidR="00A345F4" w:rsidRDefault="005E2D4E">
            <w:pPr>
              <w:pStyle w:val="P68B1DB1-Normal78"/>
              <w:spacing w:after="0" w:line="259" w:lineRule="auto"/>
              <w:rPr>
                <w:rFonts w:eastAsia="Times New Roman"/>
                <w:noProof/>
              </w:rPr>
            </w:pPr>
            <w:r>
              <w:rPr>
                <w:noProof/>
              </w:rPr>
              <w:t>Mesures d'activation reçues</w:t>
            </w:r>
          </w:p>
        </w:tc>
      </w:tr>
      <w:tr w:rsidR="00A345F4" w14:paraId="43D5909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6B456A3" w14:textId="77777777" w:rsidR="00A345F4" w:rsidRDefault="005E2D4E">
            <w:pPr>
              <w:pStyle w:val="P68B1DB1-Normal78"/>
              <w:spacing w:after="0" w:line="259" w:lineRule="auto"/>
              <w:rPr>
                <w:rFonts w:eastAsia="Times New Roman"/>
                <w:noProof/>
              </w:rPr>
            </w:pPr>
            <w:r>
              <w:rPr>
                <w:noProof/>
              </w:rPr>
              <w:t>RO-C[C13]-I[I3.0]-M[397]</w:t>
            </w:r>
          </w:p>
        </w:tc>
        <w:tc>
          <w:tcPr>
            <w:tcW w:w="3544" w:type="dxa"/>
            <w:tcBorders>
              <w:top w:val="nil"/>
              <w:left w:val="nil"/>
              <w:bottom w:val="single" w:sz="4" w:space="0" w:color="auto"/>
              <w:right w:val="single" w:sz="4" w:space="0" w:color="auto"/>
            </w:tcBorders>
            <w:shd w:val="clear" w:color="auto" w:fill="C6EFCE"/>
            <w:noWrap/>
          </w:tcPr>
          <w:p w14:paraId="7F6CA6FE" w14:textId="77777777" w:rsidR="00A345F4" w:rsidRDefault="005E2D4E">
            <w:pPr>
              <w:pStyle w:val="P68B1DB1-Normal78"/>
              <w:spacing w:after="0" w:line="259" w:lineRule="auto"/>
              <w:rPr>
                <w:noProof/>
              </w:rPr>
            </w:pPr>
            <w:r>
              <w:rPr>
                <w:noProof/>
              </w:rPr>
              <w:t>Mise en place du système de bons de travail pour les prestataires nationaux et les bénéficiaires de services</w:t>
            </w:r>
          </w:p>
        </w:tc>
        <w:tc>
          <w:tcPr>
            <w:tcW w:w="1275" w:type="dxa"/>
            <w:tcBorders>
              <w:top w:val="nil"/>
              <w:left w:val="nil"/>
              <w:bottom w:val="single" w:sz="4" w:space="0" w:color="auto"/>
              <w:right w:val="single" w:sz="4" w:space="0" w:color="auto"/>
            </w:tcBorders>
            <w:shd w:val="clear" w:color="auto" w:fill="C6EFCE"/>
            <w:noWrap/>
          </w:tcPr>
          <w:p w14:paraId="064F612D"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E4FBB6A" w14:textId="77777777" w:rsidR="00A345F4" w:rsidRDefault="005E2D4E">
            <w:pPr>
              <w:pStyle w:val="P68B1DB1-Normal78"/>
              <w:spacing w:after="0" w:line="259" w:lineRule="auto"/>
              <w:rPr>
                <w:rFonts w:eastAsia="Times New Roman"/>
                <w:noProof/>
              </w:rPr>
            </w:pPr>
            <w:r>
              <w:rPr>
                <w:noProof/>
              </w:rPr>
              <w:t xml:space="preserve"> Plateforme numérique pour l’utilisation des bons de travail par les prestataires nationaux et les bénéficiaires de services</w:t>
            </w:r>
          </w:p>
        </w:tc>
      </w:tr>
      <w:tr w:rsidR="00A345F4" w14:paraId="34361CC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319152C" w14:textId="77777777" w:rsidR="00A345F4" w:rsidRDefault="005E2D4E">
            <w:pPr>
              <w:pStyle w:val="P68B1DB1-Normal78"/>
              <w:spacing w:after="0" w:line="259" w:lineRule="auto"/>
              <w:rPr>
                <w:rFonts w:eastAsia="Times New Roman"/>
                <w:noProof/>
              </w:rPr>
            </w:pPr>
            <w:r>
              <w:rPr>
                <w:noProof/>
              </w:rPr>
              <w:t>RO-C[C14]-R[R1.0]-M[402]</w:t>
            </w:r>
          </w:p>
        </w:tc>
        <w:tc>
          <w:tcPr>
            <w:tcW w:w="3544" w:type="dxa"/>
            <w:tcBorders>
              <w:top w:val="nil"/>
              <w:left w:val="nil"/>
              <w:bottom w:val="single" w:sz="4" w:space="0" w:color="auto"/>
              <w:right w:val="single" w:sz="4" w:space="0" w:color="auto"/>
            </w:tcBorders>
            <w:shd w:val="clear" w:color="auto" w:fill="C6EFCE"/>
            <w:noWrap/>
          </w:tcPr>
          <w:p w14:paraId="244E1FCA" w14:textId="77777777" w:rsidR="00A345F4" w:rsidRDefault="005E2D4E">
            <w:pPr>
              <w:pStyle w:val="P68B1DB1-Normal79"/>
              <w:spacing w:after="0" w:line="259" w:lineRule="auto"/>
              <w:rPr>
                <w:rFonts w:ascii="Times New Roman" w:eastAsia="Aptos" w:hAnsi="Times New Roman" w:cs="Times New Roman"/>
                <w:noProof/>
              </w:rPr>
            </w:pPr>
            <w:r>
              <w:rPr>
                <w:rFonts w:ascii="Times New Roman" w:hAnsi="Times New Roman" w:cs="Times New Roman"/>
                <w:noProof/>
                <w:color w:val="000000"/>
              </w:rPr>
              <w:t>Améliorer la qualité de la prise de décisions gouvernementales</w:t>
            </w:r>
            <w:r>
              <w:rPr>
                <w:rFonts w:ascii="Times New Roman" w:eastAsia="Times New Roman" w:hAnsi="Times New Roman" w:cs="Times New Roman"/>
                <w:noProof/>
              </w:rPr>
              <w:t xml:space="preserve"> </w:t>
            </w:r>
          </w:p>
        </w:tc>
        <w:tc>
          <w:tcPr>
            <w:tcW w:w="1275" w:type="dxa"/>
            <w:tcBorders>
              <w:top w:val="nil"/>
              <w:left w:val="nil"/>
              <w:bottom w:val="single" w:sz="4" w:space="0" w:color="auto"/>
              <w:right w:val="single" w:sz="4" w:space="0" w:color="auto"/>
            </w:tcBorders>
            <w:shd w:val="clear" w:color="auto" w:fill="C6EFCE"/>
            <w:noWrap/>
          </w:tcPr>
          <w:p w14:paraId="642643F3"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B09AAA1" w14:textId="076A17B6" w:rsidR="00A345F4" w:rsidRDefault="005E2D4E">
            <w:pPr>
              <w:pStyle w:val="P68B1DB1-Normal75"/>
              <w:spacing w:after="0" w:line="240" w:lineRule="auto"/>
              <w:jc w:val="both"/>
              <w:rPr>
                <w:noProof/>
              </w:rPr>
            </w:pPr>
            <w:r>
              <w:rPr>
                <w:noProof/>
              </w:rPr>
              <w:t xml:space="preserve">Un nouveau système de gestion et de planification stratégique utilisé dans tous les ministères </w:t>
            </w:r>
          </w:p>
          <w:p w14:paraId="2CE3A4CD" w14:textId="77777777" w:rsidR="00A345F4" w:rsidRDefault="00A345F4">
            <w:pPr>
              <w:spacing w:after="0" w:line="259" w:lineRule="auto"/>
              <w:rPr>
                <w:rFonts w:ascii="Times New Roman" w:eastAsia="Aptos" w:hAnsi="Times New Roman" w:cs="Times New Roman"/>
                <w:noProof/>
                <w:color w:val="000000"/>
                <w:kern w:val="2"/>
                <w:sz w:val="22"/>
                <w:szCs w:val="22"/>
                <w14:ligatures w14:val="standardContextual"/>
              </w:rPr>
            </w:pPr>
          </w:p>
        </w:tc>
      </w:tr>
      <w:tr w:rsidR="00A345F4" w14:paraId="6744FBF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AFB8D29" w14:textId="77777777" w:rsidR="00A345F4" w:rsidRDefault="005E2D4E">
            <w:pPr>
              <w:pStyle w:val="P68B1DB1-Normal74"/>
              <w:spacing w:after="0" w:line="259" w:lineRule="auto"/>
              <w:rPr>
                <w:rFonts w:eastAsia="Aptos"/>
                <w:noProof/>
                <w:color w:val="000000"/>
              </w:rPr>
            </w:pPr>
            <w:r>
              <w:rPr>
                <w:noProof/>
              </w:rPr>
              <w:t>RO-C[C14]-R[R1.0]-T[403]</w:t>
            </w:r>
          </w:p>
        </w:tc>
        <w:tc>
          <w:tcPr>
            <w:tcW w:w="3544" w:type="dxa"/>
            <w:tcBorders>
              <w:top w:val="nil"/>
              <w:left w:val="nil"/>
              <w:bottom w:val="single" w:sz="4" w:space="0" w:color="auto"/>
              <w:right w:val="single" w:sz="4" w:space="0" w:color="auto"/>
            </w:tcBorders>
            <w:shd w:val="clear" w:color="auto" w:fill="C6EFCE"/>
            <w:noWrap/>
          </w:tcPr>
          <w:p w14:paraId="3F632993" w14:textId="3678B64C" w:rsidR="00A345F4" w:rsidRDefault="005E2D4E">
            <w:pPr>
              <w:pStyle w:val="P68B1DB1-Normal74"/>
              <w:spacing w:after="0" w:line="259" w:lineRule="auto"/>
              <w:rPr>
                <w:noProof/>
                <w:color w:val="000000"/>
              </w:rPr>
            </w:pPr>
            <w:r>
              <w:rPr>
                <w:noProof/>
                <w:color w:val="000000"/>
              </w:rPr>
              <w:t>Améliorer la qualité de la prise de décisions gouvernementales</w:t>
            </w:r>
            <w:r>
              <w:rPr>
                <w:noProof/>
              </w:rPr>
              <w:t xml:space="preserve"> </w:t>
            </w:r>
          </w:p>
        </w:tc>
        <w:tc>
          <w:tcPr>
            <w:tcW w:w="1275" w:type="dxa"/>
            <w:tcBorders>
              <w:top w:val="nil"/>
              <w:left w:val="nil"/>
              <w:bottom w:val="single" w:sz="4" w:space="0" w:color="auto"/>
              <w:right w:val="single" w:sz="4" w:space="0" w:color="auto"/>
            </w:tcBorders>
            <w:shd w:val="clear" w:color="auto" w:fill="C6EFCE"/>
            <w:noWrap/>
          </w:tcPr>
          <w:p w14:paraId="5A3EB169" w14:textId="77777777" w:rsidR="00A345F4" w:rsidRDefault="005E2D4E">
            <w:pPr>
              <w:pStyle w:val="P68B1DB1-Normal73"/>
              <w:spacing w:after="0" w:line="259" w:lineRule="auto"/>
              <w:jc w:val="center"/>
              <w:rPr>
                <w:noProof/>
                <w:color w:val="000000"/>
              </w:rPr>
            </w:pPr>
            <w:r>
              <w:rPr>
                <w:noProof/>
              </w:rPr>
              <w:t>T</w:t>
            </w:r>
          </w:p>
        </w:tc>
        <w:tc>
          <w:tcPr>
            <w:tcW w:w="3402" w:type="dxa"/>
            <w:tcBorders>
              <w:top w:val="nil"/>
              <w:left w:val="nil"/>
              <w:bottom w:val="single" w:sz="4" w:space="0" w:color="auto"/>
              <w:right w:val="single" w:sz="4" w:space="0" w:color="auto"/>
            </w:tcBorders>
            <w:shd w:val="clear" w:color="auto" w:fill="C6EFCE"/>
            <w:noWrap/>
          </w:tcPr>
          <w:p w14:paraId="3228EE26" w14:textId="364D9CE9" w:rsidR="00A345F4" w:rsidRDefault="005E2D4E">
            <w:pPr>
              <w:pStyle w:val="P68B1DB1-Normal74"/>
              <w:spacing w:after="0" w:line="240" w:lineRule="auto"/>
              <w:jc w:val="both"/>
              <w:rPr>
                <w:noProof/>
                <w:color w:val="000000"/>
              </w:rPr>
            </w:pPr>
            <w:r>
              <w:rPr>
                <w:noProof/>
                <w:color w:val="000000"/>
              </w:rPr>
              <w:t>Trois ministères ont prévu et utilisé des budgets par programme</w:t>
            </w:r>
            <w:r>
              <w:rPr>
                <w:noProof/>
              </w:rPr>
              <w:t xml:space="preserve"> </w:t>
            </w:r>
          </w:p>
        </w:tc>
      </w:tr>
      <w:tr w:rsidR="00A345F4" w14:paraId="1F76359F"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C827271" w14:textId="77777777" w:rsidR="00A345F4" w:rsidRDefault="005E2D4E">
            <w:pPr>
              <w:pStyle w:val="P68B1DB1-Normal78"/>
              <w:spacing w:after="0" w:line="259" w:lineRule="auto"/>
              <w:rPr>
                <w:rFonts w:eastAsia="Times New Roman"/>
                <w:noProof/>
              </w:rPr>
            </w:pPr>
            <w:r>
              <w:rPr>
                <w:noProof/>
              </w:rPr>
              <w:t>RO-C[C14]-R[R1.0]-M[406]</w:t>
            </w:r>
          </w:p>
        </w:tc>
        <w:tc>
          <w:tcPr>
            <w:tcW w:w="3544" w:type="dxa"/>
            <w:tcBorders>
              <w:top w:val="nil"/>
              <w:left w:val="nil"/>
              <w:bottom w:val="single" w:sz="4" w:space="0" w:color="auto"/>
              <w:right w:val="single" w:sz="4" w:space="0" w:color="auto"/>
            </w:tcBorders>
            <w:shd w:val="clear" w:color="auto" w:fill="C6EFCE"/>
            <w:noWrap/>
          </w:tcPr>
          <w:p w14:paraId="136D38BD" w14:textId="77777777" w:rsidR="00A345F4" w:rsidRDefault="005E2D4E">
            <w:pPr>
              <w:pStyle w:val="P68B1DB1-Normal74"/>
              <w:spacing w:after="0" w:line="259" w:lineRule="auto"/>
              <w:rPr>
                <w:rFonts w:eastAsia="Aptos"/>
                <w:noProof/>
              </w:rPr>
            </w:pPr>
            <w:r>
              <w:rPr>
                <w:noProof/>
                <w:color w:val="000000"/>
              </w:rPr>
              <w:t>Améliorer la qualité de la prise de décisions gouvernementales</w:t>
            </w:r>
            <w:r>
              <w:rPr>
                <w:noProof/>
              </w:rPr>
              <w:t xml:space="preserve"> </w:t>
            </w:r>
          </w:p>
        </w:tc>
        <w:tc>
          <w:tcPr>
            <w:tcW w:w="1275" w:type="dxa"/>
            <w:tcBorders>
              <w:top w:val="nil"/>
              <w:left w:val="nil"/>
              <w:bottom w:val="single" w:sz="4" w:space="0" w:color="auto"/>
              <w:right w:val="single" w:sz="4" w:space="0" w:color="auto"/>
            </w:tcBorders>
            <w:shd w:val="clear" w:color="auto" w:fill="C6EFCE"/>
            <w:noWrap/>
          </w:tcPr>
          <w:p w14:paraId="60265C69"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AB4195D" w14:textId="656539F3" w:rsidR="00A345F4" w:rsidRDefault="005E2D4E">
            <w:pPr>
              <w:pStyle w:val="P68B1DB1-Normal75"/>
              <w:spacing w:after="0" w:line="240" w:lineRule="auto"/>
              <w:jc w:val="both"/>
              <w:rPr>
                <w:rFonts w:eastAsia="Aptos"/>
                <w:noProof/>
              </w:rPr>
            </w:pPr>
            <w:r>
              <w:rPr>
                <w:noProof/>
              </w:rPr>
              <w:t xml:space="preserve">Formation du personnel des organisations de la société civile pour accroître la capacité administrative </w:t>
            </w:r>
          </w:p>
          <w:p w14:paraId="2A3DC9DF" w14:textId="77777777" w:rsidR="00A345F4" w:rsidRDefault="00A345F4">
            <w:pPr>
              <w:spacing w:after="0" w:line="259" w:lineRule="auto"/>
              <w:rPr>
                <w:rFonts w:ascii="Times New Roman" w:eastAsia="Times New Roman" w:hAnsi="Times New Roman" w:cs="Times New Roman"/>
                <w:noProof/>
                <w:kern w:val="2"/>
                <w:sz w:val="22"/>
                <w:szCs w:val="22"/>
                <w14:ligatures w14:val="standardContextual"/>
              </w:rPr>
            </w:pPr>
          </w:p>
        </w:tc>
      </w:tr>
      <w:tr w:rsidR="00A345F4" w14:paraId="7D50687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4F3E4CA" w14:textId="77777777" w:rsidR="00A345F4" w:rsidRDefault="005E2D4E">
            <w:pPr>
              <w:pStyle w:val="P68B1DB1-Normal78"/>
              <w:spacing w:after="0" w:line="259" w:lineRule="auto"/>
              <w:rPr>
                <w:rFonts w:eastAsia="Times New Roman"/>
                <w:noProof/>
              </w:rPr>
            </w:pPr>
            <w:r>
              <w:rPr>
                <w:noProof/>
              </w:rPr>
              <w:t>RO-C[C14]-R[R2.0]-M[415]</w:t>
            </w:r>
          </w:p>
        </w:tc>
        <w:tc>
          <w:tcPr>
            <w:tcW w:w="3544" w:type="dxa"/>
            <w:tcBorders>
              <w:top w:val="nil"/>
              <w:left w:val="nil"/>
              <w:bottom w:val="single" w:sz="4" w:space="0" w:color="auto"/>
              <w:right w:val="single" w:sz="4" w:space="0" w:color="auto"/>
            </w:tcBorders>
            <w:shd w:val="clear" w:color="auto" w:fill="C6EFCE"/>
            <w:noWrap/>
          </w:tcPr>
          <w:p w14:paraId="6B9CCC8E" w14:textId="2E7D78F4" w:rsidR="00A345F4" w:rsidRDefault="005E2D4E">
            <w:pPr>
              <w:pStyle w:val="P68B1DB1-Normal75"/>
              <w:spacing w:after="0" w:line="259" w:lineRule="auto"/>
              <w:rPr>
                <w:rFonts w:eastAsia="Aptos"/>
                <w:noProof/>
              </w:rPr>
            </w:pPr>
            <w:r>
              <w:rPr>
                <w:noProof/>
              </w:rPr>
              <w:t xml:space="preserve">Renforcer la gouvernance stratégique pour le climat, le développement durable et les politiques environnementales </w:t>
            </w:r>
          </w:p>
        </w:tc>
        <w:tc>
          <w:tcPr>
            <w:tcW w:w="1275" w:type="dxa"/>
            <w:tcBorders>
              <w:top w:val="nil"/>
              <w:left w:val="nil"/>
              <w:bottom w:val="single" w:sz="4" w:space="0" w:color="auto"/>
              <w:right w:val="single" w:sz="4" w:space="0" w:color="auto"/>
            </w:tcBorders>
            <w:shd w:val="clear" w:color="auto" w:fill="C6EFCE"/>
            <w:noWrap/>
          </w:tcPr>
          <w:p w14:paraId="7960661C"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23A2A33" w14:textId="77777777" w:rsidR="00A345F4" w:rsidRDefault="005E2D4E">
            <w:pPr>
              <w:pStyle w:val="P68B1DB1-Normal75"/>
              <w:spacing w:after="180" w:line="240" w:lineRule="auto"/>
              <w:rPr>
                <w:rFonts w:eastAsia="Aptos"/>
                <w:noProof/>
              </w:rPr>
            </w:pPr>
            <w:r>
              <w:rPr>
                <w:noProof/>
              </w:rPr>
              <w:t>Établissement d ' un rôle d ' expert en matière de développement durable et élaboration d ' un programme de formation</w:t>
            </w:r>
          </w:p>
          <w:p w14:paraId="0C719AE8" w14:textId="77777777" w:rsidR="00A345F4" w:rsidRDefault="00A345F4">
            <w:pPr>
              <w:spacing w:after="0" w:line="259" w:lineRule="auto"/>
              <w:rPr>
                <w:rFonts w:ascii="Times New Roman" w:eastAsia="Times New Roman" w:hAnsi="Times New Roman" w:cs="Times New Roman"/>
                <w:noProof/>
                <w:kern w:val="2"/>
                <w:sz w:val="22"/>
                <w:szCs w:val="22"/>
                <w14:ligatures w14:val="standardContextual"/>
              </w:rPr>
            </w:pPr>
          </w:p>
        </w:tc>
      </w:tr>
      <w:tr w:rsidR="00A345F4" w14:paraId="6AF411E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0C54258" w14:textId="77777777" w:rsidR="00A345F4" w:rsidRDefault="005E2D4E">
            <w:pPr>
              <w:pStyle w:val="P68B1DB1-Normal78"/>
              <w:spacing w:after="0" w:line="259" w:lineRule="auto"/>
              <w:rPr>
                <w:rFonts w:eastAsia="Times New Roman"/>
                <w:noProof/>
              </w:rPr>
            </w:pPr>
            <w:r>
              <w:rPr>
                <w:noProof/>
              </w:rPr>
              <w:t>RO-C[C14]-R[R5.0]-M[423]</w:t>
            </w:r>
          </w:p>
        </w:tc>
        <w:tc>
          <w:tcPr>
            <w:tcW w:w="3544" w:type="dxa"/>
            <w:tcBorders>
              <w:top w:val="nil"/>
              <w:left w:val="nil"/>
              <w:bottom w:val="single" w:sz="4" w:space="0" w:color="auto"/>
              <w:right w:val="single" w:sz="4" w:space="0" w:color="auto"/>
            </w:tcBorders>
            <w:shd w:val="clear" w:color="auto" w:fill="C6EFCE"/>
            <w:noWrap/>
          </w:tcPr>
          <w:p w14:paraId="7A8EE47C" w14:textId="77777777" w:rsidR="00A345F4" w:rsidRDefault="005E2D4E">
            <w:pPr>
              <w:pStyle w:val="P68B1DB1-Normal78"/>
              <w:spacing w:after="0" w:line="259" w:lineRule="auto"/>
              <w:rPr>
                <w:noProof/>
              </w:rPr>
            </w:pPr>
            <w:r>
              <w:rPr>
                <w:noProof/>
              </w:rPr>
              <w:t>Garantir l’indépendance du pouvoir judiciaire, améliorer sa qualité et son efficacité</w:t>
            </w:r>
          </w:p>
        </w:tc>
        <w:tc>
          <w:tcPr>
            <w:tcW w:w="1275" w:type="dxa"/>
            <w:tcBorders>
              <w:top w:val="nil"/>
              <w:left w:val="nil"/>
              <w:bottom w:val="single" w:sz="4" w:space="0" w:color="auto"/>
              <w:right w:val="single" w:sz="4" w:space="0" w:color="auto"/>
            </w:tcBorders>
            <w:shd w:val="clear" w:color="auto" w:fill="C6EFCE"/>
            <w:noWrap/>
          </w:tcPr>
          <w:p w14:paraId="56E063EE" w14:textId="77777777" w:rsidR="00A345F4" w:rsidRDefault="005E2D4E">
            <w:pPr>
              <w:pStyle w:val="P68B1DB1-Normal78"/>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966771A" w14:textId="77777777" w:rsidR="00A345F4" w:rsidRDefault="005E2D4E">
            <w:pPr>
              <w:pStyle w:val="P68B1DB1-Normal78"/>
              <w:spacing w:after="0" w:line="259" w:lineRule="auto"/>
              <w:rPr>
                <w:rFonts w:eastAsia="Times New Roman"/>
                <w:noProof/>
              </w:rPr>
            </w:pPr>
            <w:r>
              <w:rPr>
                <w:noProof/>
              </w:rPr>
              <w:t>Entrée en vigueur des «lois sur la justice» (lois sur le statut des magistrats, organisation judiciaire, Conseil supérieur de la magistrature)</w:t>
            </w:r>
          </w:p>
        </w:tc>
      </w:tr>
      <w:tr w:rsidR="00A345F4" w14:paraId="5A08990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05F0B9B" w14:textId="77777777" w:rsidR="00A345F4" w:rsidRDefault="005E2D4E">
            <w:pPr>
              <w:pStyle w:val="P68B1DB1-Normal78"/>
              <w:spacing w:after="0" w:line="259" w:lineRule="auto"/>
              <w:rPr>
                <w:rFonts w:eastAsia="Times New Roman"/>
                <w:noProof/>
              </w:rPr>
            </w:pPr>
            <w:r>
              <w:rPr>
                <w:noProof/>
              </w:rPr>
              <w:t>RO-C[C14]-R[R6.0]-T[427]</w:t>
            </w:r>
          </w:p>
        </w:tc>
        <w:tc>
          <w:tcPr>
            <w:tcW w:w="3544" w:type="dxa"/>
            <w:tcBorders>
              <w:top w:val="nil"/>
              <w:left w:val="nil"/>
              <w:bottom w:val="single" w:sz="4" w:space="0" w:color="auto"/>
              <w:right w:val="single" w:sz="4" w:space="0" w:color="auto"/>
            </w:tcBorders>
            <w:shd w:val="clear" w:color="auto" w:fill="C6EFCE"/>
            <w:noWrap/>
          </w:tcPr>
          <w:p w14:paraId="494D0091" w14:textId="77777777" w:rsidR="00A345F4" w:rsidRDefault="005E2D4E">
            <w:pPr>
              <w:pStyle w:val="P68B1DB1-Normal78"/>
              <w:spacing w:after="0" w:line="259" w:lineRule="auto"/>
              <w:rPr>
                <w:noProof/>
              </w:rPr>
            </w:pPr>
            <w:r>
              <w:rPr>
                <w:noProof/>
              </w:rPr>
              <w:t>Intensifier la lutte contre la corruption</w:t>
            </w:r>
          </w:p>
        </w:tc>
        <w:tc>
          <w:tcPr>
            <w:tcW w:w="1275" w:type="dxa"/>
            <w:tcBorders>
              <w:top w:val="nil"/>
              <w:left w:val="nil"/>
              <w:bottom w:val="single" w:sz="4" w:space="0" w:color="auto"/>
              <w:right w:val="single" w:sz="4" w:space="0" w:color="auto"/>
            </w:tcBorders>
            <w:shd w:val="clear" w:color="auto" w:fill="C6EFCE"/>
            <w:noWrap/>
          </w:tcPr>
          <w:p w14:paraId="2A1B8A8D"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7D9F0ED2" w14:textId="77777777" w:rsidR="00A345F4" w:rsidRDefault="005E2D4E">
            <w:pPr>
              <w:pStyle w:val="P68B1DB1-Normal78"/>
              <w:spacing w:after="0" w:line="259" w:lineRule="auto"/>
              <w:rPr>
                <w:rFonts w:eastAsia="Times New Roman"/>
                <w:noProof/>
              </w:rPr>
            </w:pPr>
            <w:r>
              <w:rPr>
                <w:noProof/>
              </w:rPr>
              <w:t>Augmentation de la valeur des avoirs saisis gérés par l'Agence nationale de gestion des avoirs saisis</w:t>
            </w:r>
          </w:p>
        </w:tc>
      </w:tr>
      <w:tr w:rsidR="00A345F4" w14:paraId="37E3417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6E49737" w14:textId="77777777" w:rsidR="00A345F4" w:rsidRDefault="005E2D4E">
            <w:pPr>
              <w:pStyle w:val="P68B1DB1-Normal78"/>
              <w:spacing w:after="0" w:line="259" w:lineRule="auto"/>
              <w:rPr>
                <w:rFonts w:eastAsia="Times New Roman"/>
                <w:noProof/>
              </w:rPr>
            </w:pPr>
            <w:r>
              <w:rPr>
                <w:noProof/>
              </w:rPr>
              <w:t>RO-C[C14]-R[R6.0]-T[429]</w:t>
            </w:r>
          </w:p>
        </w:tc>
        <w:tc>
          <w:tcPr>
            <w:tcW w:w="3544" w:type="dxa"/>
            <w:tcBorders>
              <w:top w:val="nil"/>
              <w:left w:val="nil"/>
              <w:bottom w:val="single" w:sz="4" w:space="0" w:color="auto"/>
              <w:right w:val="single" w:sz="4" w:space="0" w:color="auto"/>
            </w:tcBorders>
            <w:shd w:val="clear" w:color="auto" w:fill="C6EFCE"/>
            <w:noWrap/>
          </w:tcPr>
          <w:p w14:paraId="5A89C663" w14:textId="77777777" w:rsidR="00A345F4" w:rsidRDefault="005E2D4E">
            <w:pPr>
              <w:pStyle w:val="P68B1DB1-Normal78"/>
              <w:spacing w:after="0" w:line="259" w:lineRule="auto"/>
              <w:rPr>
                <w:noProof/>
              </w:rPr>
            </w:pPr>
            <w:r>
              <w:rPr>
                <w:noProof/>
              </w:rPr>
              <w:t>Intensifier la lutte contre la corruption</w:t>
            </w:r>
          </w:p>
        </w:tc>
        <w:tc>
          <w:tcPr>
            <w:tcW w:w="1275" w:type="dxa"/>
            <w:tcBorders>
              <w:top w:val="nil"/>
              <w:left w:val="nil"/>
              <w:bottom w:val="single" w:sz="4" w:space="0" w:color="auto"/>
              <w:right w:val="single" w:sz="4" w:space="0" w:color="auto"/>
            </w:tcBorders>
            <w:shd w:val="clear" w:color="auto" w:fill="C6EFCE"/>
            <w:noWrap/>
          </w:tcPr>
          <w:p w14:paraId="728CA0A6"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17FBF499" w14:textId="77777777" w:rsidR="00A345F4" w:rsidRDefault="005E2D4E">
            <w:pPr>
              <w:pStyle w:val="P68B1DB1-Normal78"/>
              <w:spacing w:after="0" w:line="259" w:lineRule="auto"/>
              <w:rPr>
                <w:rFonts w:eastAsia="Times New Roman"/>
                <w:noProof/>
              </w:rPr>
            </w:pPr>
            <w:r>
              <w:rPr>
                <w:noProof/>
              </w:rPr>
              <w:t>Taux d ' occupation de 85 % des postes de procureur de la Direction nationale de lutte contre la corruption</w:t>
            </w:r>
          </w:p>
        </w:tc>
      </w:tr>
      <w:tr w:rsidR="00A345F4" w14:paraId="0A0ACF2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532855" w14:textId="77777777" w:rsidR="00A345F4" w:rsidRDefault="005E2D4E">
            <w:pPr>
              <w:pStyle w:val="P68B1DB1-Normal74"/>
              <w:spacing w:after="0" w:line="259" w:lineRule="auto"/>
              <w:rPr>
                <w:rFonts w:eastAsia="Aptos"/>
                <w:noProof/>
                <w:color w:val="000000"/>
              </w:rPr>
            </w:pPr>
            <w:r>
              <w:rPr>
                <w:noProof/>
              </w:rPr>
              <w:t>RO-C[C14]-R[R7.0]-M[432]</w:t>
            </w:r>
          </w:p>
        </w:tc>
        <w:tc>
          <w:tcPr>
            <w:tcW w:w="3544" w:type="dxa"/>
            <w:tcBorders>
              <w:top w:val="nil"/>
              <w:left w:val="nil"/>
              <w:bottom w:val="single" w:sz="4" w:space="0" w:color="auto"/>
              <w:right w:val="single" w:sz="4" w:space="0" w:color="auto"/>
            </w:tcBorders>
            <w:shd w:val="clear" w:color="auto" w:fill="C6EFCE"/>
            <w:noWrap/>
          </w:tcPr>
          <w:p w14:paraId="253EFDE7" w14:textId="77777777" w:rsidR="00A345F4" w:rsidRDefault="005E2D4E">
            <w:pPr>
              <w:pStyle w:val="P68B1DB1-Normal74"/>
              <w:spacing w:after="0" w:line="259" w:lineRule="auto"/>
              <w:rPr>
                <w:rFonts w:eastAsia="Aptos"/>
                <w:noProof/>
                <w:color w:val="000000"/>
              </w:rPr>
            </w:pPr>
            <w:r>
              <w:rPr>
                <w:noProof/>
                <w:color w:val="000000"/>
              </w:rPr>
              <w:t>Mise à jour du cadre juridique relatif à l'intégrité de la fonction publique</w:t>
            </w:r>
            <w:r>
              <w:rPr>
                <w:noProof/>
              </w:rPr>
              <w:t xml:space="preserve"> </w:t>
            </w:r>
          </w:p>
        </w:tc>
        <w:tc>
          <w:tcPr>
            <w:tcW w:w="1275" w:type="dxa"/>
            <w:tcBorders>
              <w:top w:val="nil"/>
              <w:left w:val="nil"/>
              <w:bottom w:val="single" w:sz="4" w:space="0" w:color="auto"/>
              <w:right w:val="single" w:sz="4" w:space="0" w:color="auto"/>
            </w:tcBorders>
            <w:shd w:val="clear" w:color="auto" w:fill="C6EFCE"/>
            <w:noWrap/>
          </w:tcPr>
          <w:p w14:paraId="7C9F4328" w14:textId="77777777" w:rsidR="00A345F4" w:rsidRDefault="005E2D4E">
            <w:pPr>
              <w:pStyle w:val="P68B1DB1-Normal73"/>
              <w:spacing w:after="0" w:line="259" w:lineRule="auto"/>
              <w:jc w:val="center"/>
              <w:rPr>
                <w:noProof/>
                <w:color w:val="000000"/>
              </w:rPr>
            </w:pPr>
            <w:r>
              <w:rPr>
                <w:noProof/>
              </w:rPr>
              <w:t>M</w:t>
            </w:r>
          </w:p>
        </w:tc>
        <w:tc>
          <w:tcPr>
            <w:tcW w:w="3402" w:type="dxa"/>
            <w:tcBorders>
              <w:top w:val="nil"/>
              <w:left w:val="nil"/>
              <w:bottom w:val="single" w:sz="4" w:space="0" w:color="auto"/>
              <w:right w:val="single" w:sz="4" w:space="0" w:color="auto"/>
            </w:tcBorders>
            <w:shd w:val="clear" w:color="auto" w:fill="C6EFCE"/>
            <w:noWrap/>
          </w:tcPr>
          <w:p w14:paraId="04E0573C" w14:textId="77777777" w:rsidR="00A345F4" w:rsidRDefault="005E2D4E">
            <w:pPr>
              <w:pStyle w:val="P68B1DB1-Normal75"/>
              <w:spacing w:after="0" w:line="240" w:lineRule="auto"/>
              <w:jc w:val="both"/>
              <w:rPr>
                <w:rFonts w:eastAsia="Aptos"/>
                <w:noProof/>
              </w:rPr>
            </w:pPr>
            <w:r>
              <w:rPr>
                <w:noProof/>
              </w:rPr>
              <w:t>Approuvé des lois révisées sur la déontologie et la conduite pour le Gouvernement</w:t>
            </w:r>
          </w:p>
          <w:p w14:paraId="2D7F5C75" w14:textId="77777777" w:rsidR="00A345F4" w:rsidRDefault="00A345F4">
            <w:pPr>
              <w:spacing w:after="0" w:line="259" w:lineRule="auto"/>
              <w:rPr>
                <w:rFonts w:ascii="Times New Roman" w:eastAsia="Aptos" w:hAnsi="Times New Roman" w:cs="Times New Roman"/>
                <w:noProof/>
                <w:color w:val="000000"/>
                <w:kern w:val="2"/>
                <w:sz w:val="22"/>
                <w:szCs w:val="22"/>
                <w14:ligatures w14:val="standardContextual"/>
              </w:rPr>
            </w:pPr>
          </w:p>
        </w:tc>
      </w:tr>
      <w:tr w:rsidR="00A345F4" w14:paraId="4D1A7C7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BBA7637" w14:textId="77777777" w:rsidR="00A345F4" w:rsidRDefault="005E2D4E">
            <w:pPr>
              <w:pStyle w:val="P68B1DB1-Normal78"/>
              <w:spacing w:after="0" w:line="259" w:lineRule="auto"/>
              <w:rPr>
                <w:rFonts w:eastAsia="Times New Roman"/>
                <w:noProof/>
              </w:rPr>
            </w:pPr>
            <w:r>
              <w:rPr>
                <w:noProof/>
              </w:rPr>
              <w:t>RO-C[C14]-R[R8.0]-T[435]</w:t>
            </w:r>
          </w:p>
        </w:tc>
        <w:tc>
          <w:tcPr>
            <w:tcW w:w="3544" w:type="dxa"/>
            <w:tcBorders>
              <w:top w:val="nil"/>
              <w:left w:val="nil"/>
              <w:bottom w:val="single" w:sz="4" w:space="0" w:color="auto"/>
              <w:right w:val="single" w:sz="4" w:space="0" w:color="auto"/>
            </w:tcBorders>
            <w:shd w:val="clear" w:color="auto" w:fill="C6EFCE"/>
            <w:noWrap/>
          </w:tcPr>
          <w:p w14:paraId="1B5614C4" w14:textId="77777777" w:rsidR="00A345F4" w:rsidRDefault="005E2D4E">
            <w:pPr>
              <w:pStyle w:val="P68B1DB1-Normal73"/>
              <w:spacing w:after="0" w:line="259" w:lineRule="auto"/>
              <w:rPr>
                <w:noProof/>
              </w:rPr>
            </w:pPr>
            <w:r>
              <w:rPr>
                <w:noProof/>
              </w:rPr>
              <w:t>Modernisation et rationalisation du système national de passation des marchés publics</w:t>
            </w:r>
          </w:p>
        </w:tc>
        <w:tc>
          <w:tcPr>
            <w:tcW w:w="1275" w:type="dxa"/>
            <w:tcBorders>
              <w:top w:val="nil"/>
              <w:left w:val="nil"/>
              <w:bottom w:val="single" w:sz="4" w:space="0" w:color="auto"/>
              <w:right w:val="single" w:sz="4" w:space="0" w:color="auto"/>
            </w:tcBorders>
            <w:shd w:val="clear" w:color="auto" w:fill="C6EFCE"/>
            <w:noWrap/>
          </w:tcPr>
          <w:p w14:paraId="5067758C"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2C156D9A" w14:textId="77777777" w:rsidR="00A345F4" w:rsidRDefault="005E2D4E">
            <w:pPr>
              <w:pStyle w:val="P68B1DB1-Normal78"/>
              <w:spacing w:after="0" w:line="259" w:lineRule="auto"/>
              <w:rPr>
                <w:rFonts w:eastAsia="Times New Roman"/>
                <w:noProof/>
              </w:rPr>
            </w:pPr>
            <w:r>
              <w:rPr>
                <w:noProof/>
              </w:rPr>
              <w:t xml:space="preserve">Les autorités locales ont recours à des organismes centralisés de passation des marchés (OCP) opérationnels. </w:t>
            </w:r>
          </w:p>
        </w:tc>
      </w:tr>
      <w:tr w:rsidR="00A345F4" w14:paraId="5864566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C24F08B" w14:textId="77777777" w:rsidR="00A345F4" w:rsidRDefault="005E2D4E">
            <w:pPr>
              <w:pStyle w:val="P68B1DB1-Normal78"/>
              <w:spacing w:after="0" w:line="259" w:lineRule="auto"/>
              <w:rPr>
                <w:noProof/>
              </w:rPr>
            </w:pPr>
            <w:r>
              <w:rPr>
                <w:noProof/>
              </w:rPr>
              <w:t>RO-C[C14]-R[R8.0]-M[437]</w:t>
            </w:r>
          </w:p>
        </w:tc>
        <w:tc>
          <w:tcPr>
            <w:tcW w:w="3544" w:type="dxa"/>
            <w:tcBorders>
              <w:top w:val="nil"/>
              <w:left w:val="nil"/>
              <w:bottom w:val="single" w:sz="4" w:space="0" w:color="auto"/>
              <w:right w:val="single" w:sz="4" w:space="0" w:color="auto"/>
            </w:tcBorders>
            <w:shd w:val="clear" w:color="auto" w:fill="C6EFCE"/>
            <w:noWrap/>
          </w:tcPr>
          <w:p w14:paraId="002CB0C8" w14:textId="77777777" w:rsidR="00A345F4" w:rsidRDefault="005E2D4E">
            <w:pPr>
              <w:pStyle w:val="P68B1DB1-Normal75"/>
              <w:spacing w:after="0" w:line="259" w:lineRule="auto"/>
              <w:rPr>
                <w:rFonts w:eastAsia="Aptos"/>
                <w:noProof/>
              </w:rPr>
            </w:pPr>
            <w:r>
              <w:rPr>
                <w:noProof/>
              </w:rPr>
              <w:t>Modernisation et rationalisation du système national de passation des marchés publics</w:t>
            </w:r>
          </w:p>
        </w:tc>
        <w:tc>
          <w:tcPr>
            <w:tcW w:w="1275" w:type="dxa"/>
            <w:tcBorders>
              <w:top w:val="nil"/>
              <w:left w:val="nil"/>
              <w:bottom w:val="single" w:sz="4" w:space="0" w:color="auto"/>
              <w:right w:val="single" w:sz="4" w:space="0" w:color="auto"/>
            </w:tcBorders>
            <w:shd w:val="clear" w:color="auto" w:fill="C6EFCE"/>
            <w:noWrap/>
          </w:tcPr>
          <w:p w14:paraId="4D86A98B" w14:textId="77777777" w:rsidR="00A345F4" w:rsidRDefault="005E2D4E">
            <w:pPr>
              <w:pStyle w:val="P68B1DB1-Normal78"/>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2231EE0" w14:textId="77777777" w:rsidR="00A345F4" w:rsidRDefault="005E2D4E">
            <w:pPr>
              <w:pStyle w:val="P68B1DB1-Normal78"/>
              <w:spacing w:after="0" w:line="259" w:lineRule="auto"/>
              <w:rPr>
                <w:rFonts w:eastAsia="Times New Roman"/>
                <w:noProof/>
              </w:rPr>
            </w:pPr>
            <w:r>
              <w:rPr>
                <w:noProof/>
              </w:rPr>
              <w:t>Le système électronique des marchés publics (SEAP) est interconnecté et interopérable avec d’autres bases de données.</w:t>
            </w:r>
          </w:p>
        </w:tc>
      </w:tr>
      <w:tr w:rsidR="00A345F4" w14:paraId="0BD1917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C52D3BB" w14:textId="77777777" w:rsidR="00A345F4" w:rsidRDefault="005E2D4E">
            <w:pPr>
              <w:pStyle w:val="P68B1DB1-Normal78"/>
              <w:spacing w:after="0" w:line="259" w:lineRule="auto"/>
              <w:rPr>
                <w:rFonts w:eastAsia="Times New Roman"/>
                <w:noProof/>
              </w:rPr>
            </w:pPr>
            <w:r>
              <w:rPr>
                <w:noProof/>
              </w:rPr>
              <w:t>RO-C[C14]-R[R9.0]-M[441]</w:t>
            </w:r>
          </w:p>
        </w:tc>
        <w:tc>
          <w:tcPr>
            <w:tcW w:w="3544" w:type="dxa"/>
            <w:tcBorders>
              <w:top w:val="nil"/>
              <w:left w:val="nil"/>
              <w:bottom w:val="single" w:sz="4" w:space="0" w:color="auto"/>
              <w:right w:val="single" w:sz="4" w:space="0" w:color="auto"/>
            </w:tcBorders>
            <w:shd w:val="clear" w:color="auto" w:fill="C6EFCE"/>
            <w:noWrap/>
          </w:tcPr>
          <w:p w14:paraId="30917684" w14:textId="77777777" w:rsidR="00A345F4" w:rsidRDefault="005E2D4E">
            <w:pPr>
              <w:pStyle w:val="P68B1DB1-Normal78"/>
              <w:spacing w:after="0" w:line="259" w:lineRule="auto"/>
              <w:rPr>
                <w:noProof/>
              </w:rPr>
            </w:pPr>
            <w:r>
              <w:rPr>
                <w:noProof/>
              </w:rPr>
              <w:t>Améliorer le cadre procédural pour la mise en œuvre des principes de gouvernance d'entreprise dans les entreprises publiques</w:t>
            </w:r>
          </w:p>
        </w:tc>
        <w:tc>
          <w:tcPr>
            <w:tcW w:w="1275" w:type="dxa"/>
            <w:tcBorders>
              <w:top w:val="nil"/>
              <w:left w:val="nil"/>
              <w:bottom w:val="single" w:sz="4" w:space="0" w:color="auto"/>
              <w:right w:val="single" w:sz="4" w:space="0" w:color="auto"/>
            </w:tcBorders>
            <w:shd w:val="clear" w:color="auto" w:fill="C6EFCE"/>
            <w:noWrap/>
          </w:tcPr>
          <w:p w14:paraId="577C67AA"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AA1CA0F" w14:textId="77777777" w:rsidR="00A345F4" w:rsidRDefault="005E2D4E">
            <w:pPr>
              <w:pStyle w:val="P68B1DB1-Normal75"/>
              <w:spacing w:after="0" w:line="259" w:lineRule="auto"/>
              <w:rPr>
                <w:noProof/>
              </w:rPr>
            </w:pPr>
            <w:r>
              <w:rPr>
                <w:noProof/>
              </w:rPr>
              <w:t>Publication du tableau de bord de suivi énumérant les indicateurs clés de performance (ICP) financiers et non financiers pour toutes les entreprises publiques</w:t>
            </w:r>
          </w:p>
        </w:tc>
      </w:tr>
      <w:tr w:rsidR="00A345F4" w14:paraId="74D1451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1C67147" w14:textId="77777777" w:rsidR="00A345F4" w:rsidRDefault="005E2D4E">
            <w:pPr>
              <w:pStyle w:val="P68B1DB1-Normal78"/>
              <w:spacing w:after="0" w:line="259" w:lineRule="auto"/>
              <w:rPr>
                <w:rFonts w:eastAsia="Times New Roman"/>
                <w:noProof/>
              </w:rPr>
            </w:pPr>
            <w:r>
              <w:rPr>
                <w:noProof/>
              </w:rPr>
              <w:t>RO-C[C14]-R[R9.0]-M[441a]</w:t>
            </w:r>
          </w:p>
        </w:tc>
        <w:tc>
          <w:tcPr>
            <w:tcW w:w="3544" w:type="dxa"/>
            <w:tcBorders>
              <w:top w:val="nil"/>
              <w:left w:val="nil"/>
              <w:bottom w:val="single" w:sz="4" w:space="0" w:color="auto"/>
              <w:right w:val="single" w:sz="4" w:space="0" w:color="auto"/>
            </w:tcBorders>
            <w:shd w:val="clear" w:color="auto" w:fill="C6EFCE"/>
            <w:noWrap/>
          </w:tcPr>
          <w:p w14:paraId="34F46B9D" w14:textId="77777777" w:rsidR="00A345F4" w:rsidRDefault="005E2D4E">
            <w:pPr>
              <w:pStyle w:val="P68B1DB1-Normal78"/>
              <w:spacing w:after="0" w:line="259" w:lineRule="auto"/>
              <w:rPr>
                <w:noProof/>
              </w:rPr>
            </w:pPr>
            <w:r>
              <w:rPr>
                <w:noProof/>
              </w:rPr>
              <w:t>Améliorer le cadre procédural pour la mise en œuvre des principes de gouvernance d'entreprise dans les entreprises publiques</w:t>
            </w:r>
          </w:p>
        </w:tc>
        <w:tc>
          <w:tcPr>
            <w:tcW w:w="1275" w:type="dxa"/>
            <w:tcBorders>
              <w:top w:val="nil"/>
              <w:left w:val="nil"/>
              <w:bottom w:val="single" w:sz="4" w:space="0" w:color="auto"/>
              <w:right w:val="single" w:sz="4" w:space="0" w:color="auto"/>
            </w:tcBorders>
            <w:shd w:val="clear" w:color="auto" w:fill="C6EFCE"/>
            <w:noWrap/>
          </w:tcPr>
          <w:p w14:paraId="1FD13012"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72DD857" w14:textId="77777777" w:rsidR="00A345F4" w:rsidRDefault="005E2D4E">
            <w:pPr>
              <w:pStyle w:val="P68B1DB1-Normal78"/>
              <w:spacing w:after="0" w:line="259" w:lineRule="auto"/>
              <w:rPr>
                <w:rFonts w:eastAsia="Times New Roman"/>
                <w:noProof/>
              </w:rPr>
            </w:pPr>
            <w:r>
              <w:rPr>
                <w:noProof/>
              </w:rPr>
              <w:t>Publication d’une évaluation de toutes les entreprises publiques sur la base des progrès accomplis dans la réalisation des indicateurs clés de performance financiers et non financiers figurant dans le tableau de bord</w:t>
            </w:r>
          </w:p>
        </w:tc>
      </w:tr>
      <w:tr w:rsidR="00A345F4" w14:paraId="14C7736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B555CA1" w14:textId="77777777" w:rsidR="00A345F4" w:rsidRDefault="005E2D4E">
            <w:pPr>
              <w:pStyle w:val="P68B1DB1-Normal78"/>
              <w:spacing w:after="0" w:line="259" w:lineRule="auto"/>
              <w:rPr>
                <w:rFonts w:eastAsia="Times New Roman"/>
                <w:noProof/>
              </w:rPr>
            </w:pPr>
            <w:r>
              <w:rPr>
                <w:noProof/>
              </w:rPr>
              <w:t>RO-C[C15]-R[R1.0]-M[452]</w:t>
            </w:r>
          </w:p>
        </w:tc>
        <w:tc>
          <w:tcPr>
            <w:tcW w:w="3544" w:type="dxa"/>
            <w:tcBorders>
              <w:top w:val="nil"/>
              <w:left w:val="nil"/>
              <w:bottom w:val="single" w:sz="4" w:space="0" w:color="auto"/>
              <w:right w:val="single" w:sz="4" w:space="0" w:color="auto"/>
            </w:tcBorders>
            <w:shd w:val="clear" w:color="auto" w:fill="C6EFCE"/>
            <w:noWrap/>
          </w:tcPr>
          <w:p w14:paraId="34CF3FF7" w14:textId="77777777" w:rsidR="00A345F4" w:rsidRDefault="005E2D4E">
            <w:pPr>
              <w:pStyle w:val="P68B1DB1-Normal78"/>
              <w:spacing w:after="0" w:line="259" w:lineRule="auto"/>
              <w:rPr>
                <w:noProof/>
              </w:rPr>
            </w:pPr>
            <w:r>
              <w:rPr>
                <w:noProof/>
              </w:rPr>
              <w:t>Élaboration et adoption du paquet d'actes juridiques pour l'application du projet "Roumanie éduquée"</w:t>
            </w:r>
          </w:p>
        </w:tc>
        <w:tc>
          <w:tcPr>
            <w:tcW w:w="1275" w:type="dxa"/>
            <w:tcBorders>
              <w:top w:val="nil"/>
              <w:left w:val="nil"/>
              <w:bottom w:val="single" w:sz="4" w:space="0" w:color="auto"/>
              <w:right w:val="single" w:sz="4" w:space="0" w:color="auto"/>
            </w:tcBorders>
            <w:shd w:val="clear" w:color="auto" w:fill="C6EFCE"/>
            <w:noWrap/>
          </w:tcPr>
          <w:p w14:paraId="0DD5B868"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B1020CE" w14:textId="77777777" w:rsidR="00A345F4" w:rsidRDefault="005E2D4E">
            <w:pPr>
              <w:pStyle w:val="P68B1DB1-Normal78"/>
              <w:spacing w:after="0" w:line="259" w:lineRule="auto"/>
              <w:rPr>
                <w:rFonts w:eastAsia="Times New Roman"/>
                <w:noProof/>
              </w:rPr>
            </w:pPr>
            <w:r>
              <w:rPr>
                <w:noProof/>
              </w:rPr>
              <w:t>Entrée en vigueur du paquet d’actes juridiques pour l’application du projet «Roumanie éduquée»</w:t>
            </w:r>
          </w:p>
        </w:tc>
      </w:tr>
      <w:tr w:rsidR="00A345F4" w14:paraId="283966C4"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2A3E85A" w14:textId="77777777" w:rsidR="00A345F4" w:rsidRDefault="005E2D4E">
            <w:pPr>
              <w:pStyle w:val="P68B1DB1-Normal78"/>
              <w:spacing w:after="0" w:line="259" w:lineRule="auto"/>
              <w:rPr>
                <w:rFonts w:eastAsia="Times New Roman"/>
                <w:noProof/>
              </w:rPr>
            </w:pPr>
            <w:r>
              <w:rPr>
                <w:noProof/>
              </w:rPr>
              <w:t>RO-C[C15]-R[R5.0]-M[479]</w:t>
            </w:r>
          </w:p>
        </w:tc>
        <w:tc>
          <w:tcPr>
            <w:tcW w:w="3544" w:type="dxa"/>
            <w:tcBorders>
              <w:top w:val="nil"/>
              <w:left w:val="nil"/>
              <w:bottom w:val="single" w:sz="4" w:space="0" w:color="auto"/>
              <w:right w:val="single" w:sz="4" w:space="0" w:color="auto"/>
            </w:tcBorders>
            <w:shd w:val="clear" w:color="auto" w:fill="C6EFCE"/>
            <w:noWrap/>
          </w:tcPr>
          <w:p w14:paraId="251590AD" w14:textId="77777777" w:rsidR="00A345F4" w:rsidRDefault="005E2D4E">
            <w:pPr>
              <w:pStyle w:val="P68B1DB1-Normal78"/>
              <w:spacing w:after="0" w:line="259" w:lineRule="auto"/>
              <w:rPr>
                <w:noProof/>
              </w:rPr>
            </w:pPr>
            <w:r>
              <w:rPr>
                <w:noProof/>
              </w:rPr>
              <w:t>Adoption du cadre juridique pour la numérisation de l’éducation</w:t>
            </w:r>
          </w:p>
        </w:tc>
        <w:tc>
          <w:tcPr>
            <w:tcW w:w="1275" w:type="dxa"/>
            <w:tcBorders>
              <w:top w:val="nil"/>
              <w:left w:val="nil"/>
              <w:bottom w:val="single" w:sz="4" w:space="0" w:color="auto"/>
              <w:right w:val="single" w:sz="4" w:space="0" w:color="auto"/>
            </w:tcBorders>
            <w:shd w:val="clear" w:color="auto" w:fill="C6EFCE"/>
            <w:noWrap/>
          </w:tcPr>
          <w:p w14:paraId="475BF75E"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E2DA5AB" w14:textId="77777777" w:rsidR="00A345F4" w:rsidRDefault="005E2D4E">
            <w:pPr>
              <w:pStyle w:val="P68B1DB1-Normal78"/>
              <w:spacing w:after="0" w:line="259" w:lineRule="auto"/>
              <w:rPr>
                <w:rFonts w:eastAsia="Times New Roman"/>
                <w:noProof/>
              </w:rPr>
            </w:pPr>
            <w:r>
              <w:rPr>
                <w:noProof/>
              </w:rPr>
              <w:t>Entrée en vigueur des actes juridiques établissant le cadre national de référence en matière de compétences numériques pour l’enseignement préuniversitaire</w:t>
            </w:r>
          </w:p>
        </w:tc>
      </w:tr>
      <w:tr w:rsidR="00A345F4" w14:paraId="17E6001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D283848" w14:textId="77777777" w:rsidR="00A345F4" w:rsidRDefault="005E2D4E">
            <w:pPr>
              <w:pStyle w:val="P68B1DB1-Normal78"/>
              <w:spacing w:after="0" w:line="259" w:lineRule="auto"/>
              <w:rPr>
                <w:rFonts w:eastAsia="Times New Roman"/>
                <w:noProof/>
              </w:rPr>
            </w:pPr>
            <w:r>
              <w:rPr>
                <w:noProof/>
              </w:rPr>
              <w:t>RO-C[C15]-I[I5.0]-T[469]</w:t>
            </w:r>
          </w:p>
        </w:tc>
        <w:tc>
          <w:tcPr>
            <w:tcW w:w="3544" w:type="dxa"/>
            <w:tcBorders>
              <w:top w:val="nil"/>
              <w:left w:val="nil"/>
              <w:bottom w:val="single" w:sz="4" w:space="0" w:color="auto"/>
              <w:right w:val="single" w:sz="4" w:space="0" w:color="auto"/>
            </w:tcBorders>
            <w:shd w:val="clear" w:color="auto" w:fill="C6EFCE"/>
            <w:noWrap/>
          </w:tcPr>
          <w:p w14:paraId="4B03FC25" w14:textId="77777777" w:rsidR="00A345F4" w:rsidRDefault="005E2D4E">
            <w:pPr>
              <w:pStyle w:val="P68B1DB1-Normal78"/>
              <w:spacing w:after="0" w:line="259" w:lineRule="auto"/>
              <w:rPr>
                <w:noProof/>
              </w:rPr>
            </w:pPr>
            <w:r>
              <w:rPr>
                <w:noProof/>
              </w:rPr>
              <w:t>Formations destinées aux utilisateurs du système intégré roumain d’information sur l’éducation (SIIIR) et de l’outil informatique du mécanisme d’alerte précoce (MATE) et interventions systémiques visant à réduire le décrochage scolaire</w:t>
            </w:r>
          </w:p>
        </w:tc>
        <w:tc>
          <w:tcPr>
            <w:tcW w:w="1275" w:type="dxa"/>
            <w:tcBorders>
              <w:top w:val="nil"/>
              <w:left w:val="nil"/>
              <w:bottom w:val="single" w:sz="4" w:space="0" w:color="auto"/>
              <w:right w:val="single" w:sz="4" w:space="0" w:color="auto"/>
            </w:tcBorders>
            <w:shd w:val="clear" w:color="auto" w:fill="C6EFCE"/>
            <w:noWrap/>
          </w:tcPr>
          <w:p w14:paraId="72ECF70C"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7CE7EE0" w14:textId="77777777" w:rsidR="00A345F4" w:rsidRDefault="005E2D4E">
            <w:pPr>
              <w:pStyle w:val="P68B1DB1-Normal73"/>
              <w:spacing w:after="0" w:line="259" w:lineRule="auto"/>
              <w:rPr>
                <w:rFonts w:eastAsia="Times New Roman"/>
                <w:noProof/>
              </w:rPr>
            </w:pPr>
            <w:r>
              <w:rPr>
                <w:noProof/>
              </w:rPr>
              <w:t>Cours de formation en ligne dispensé</w:t>
            </w:r>
            <w:r>
              <w:rPr>
                <w:noProof/>
                <w:color w:val="000000"/>
              </w:rPr>
              <w:t xml:space="preserve"> aux utilisateurs du système intégré roumain d’information sur l’éducation (SIIR) et de l’outil informatique MATE</w:t>
            </w:r>
          </w:p>
        </w:tc>
      </w:tr>
      <w:tr w:rsidR="00A345F4" w14:paraId="5C38E03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D9D317D" w14:textId="77777777" w:rsidR="00A345F4" w:rsidRDefault="005E2D4E">
            <w:pPr>
              <w:pStyle w:val="P68B1DB1-Normal78"/>
              <w:spacing w:after="0" w:line="259" w:lineRule="auto"/>
              <w:rPr>
                <w:rFonts w:eastAsia="Times New Roman"/>
                <w:noProof/>
              </w:rPr>
            </w:pPr>
            <w:r>
              <w:rPr>
                <w:noProof/>
              </w:rPr>
              <w:t>RO-C[C16]-R[R2.0]-M[523]</w:t>
            </w:r>
          </w:p>
        </w:tc>
        <w:tc>
          <w:tcPr>
            <w:tcW w:w="3544" w:type="dxa"/>
            <w:tcBorders>
              <w:top w:val="nil"/>
              <w:left w:val="nil"/>
              <w:bottom w:val="single" w:sz="4" w:space="0" w:color="auto"/>
              <w:right w:val="single" w:sz="4" w:space="0" w:color="auto"/>
            </w:tcBorders>
            <w:shd w:val="clear" w:color="auto" w:fill="C6EFCE"/>
            <w:noWrap/>
          </w:tcPr>
          <w:p w14:paraId="428073C8" w14:textId="77777777" w:rsidR="00A345F4" w:rsidRDefault="005E2D4E">
            <w:pPr>
              <w:pStyle w:val="P68B1DB1-Normal74"/>
              <w:spacing w:after="0" w:line="259" w:lineRule="auto"/>
              <w:rPr>
                <w:noProof/>
              </w:rPr>
            </w:pPr>
            <w:r>
              <w:rPr>
                <w:noProof/>
              </w:rPr>
              <w:t xml:space="preserve"> Mise en place de guichets uniques (OSS) pour fournir des services de conseil en énergie</w:t>
            </w:r>
          </w:p>
        </w:tc>
        <w:tc>
          <w:tcPr>
            <w:tcW w:w="1275" w:type="dxa"/>
            <w:tcBorders>
              <w:top w:val="nil"/>
              <w:left w:val="nil"/>
              <w:bottom w:val="single" w:sz="4" w:space="0" w:color="auto"/>
              <w:right w:val="single" w:sz="4" w:space="0" w:color="auto"/>
            </w:tcBorders>
            <w:shd w:val="clear" w:color="auto" w:fill="C6EFCE"/>
            <w:noWrap/>
          </w:tcPr>
          <w:p w14:paraId="54E6A4BC"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F4A9B69" w14:textId="77777777" w:rsidR="00A345F4" w:rsidRDefault="005E2D4E">
            <w:pPr>
              <w:pStyle w:val="P68B1DB1-Normal78"/>
              <w:spacing w:after="0" w:line="259" w:lineRule="auto"/>
              <w:rPr>
                <w:rFonts w:eastAsia="Times New Roman"/>
                <w:noProof/>
              </w:rPr>
            </w:pPr>
            <w:r>
              <w:rPr>
                <w:noProof/>
              </w:rPr>
              <w:t>Entrée en vigueur d’actes juridiques et réglementaires pour la création de bureaux OSS chargés de fournir des services de conseil en matière d’énergie</w:t>
            </w:r>
          </w:p>
        </w:tc>
      </w:tr>
      <w:tr w:rsidR="00A345F4" w14:paraId="0BE8484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CFD7180" w14:textId="77777777" w:rsidR="00A345F4" w:rsidRDefault="005E2D4E">
            <w:pPr>
              <w:pStyle w:val="P68B1DB1-Normal78"/>
              <w:spacing w:after="0" w:line="259" w:lineRule="auto"/>
              <w:rPr>
                <w:rFonts w:eastAsia="Times New Roman"/>
                <w:noProof/>
              </w:rPr>
            </w:pPr>
            <w:r>
              <w:rPr>
                <w:noProof/>
              </w:rPr>
              <w:t>RO-C[C16]-R[R2.0]-T[524]</w:t>
            </w:r>
          </w:p>
        </w:tc>
        <w:tc>
          <w:tcPr>
            <w:tcW w:w="3544" w:type="dxa"/>
            <w:tcBorders>
              <w:top w:val="nil"/>
              <w:left w:val="nil"/>
              <w:bottom w:val="single" w:sz="4" w:space="0" w:color="auto"/>
              <w:right w:val="single" w:sz="4" w:space="0" w:color="auto"/>
            </w:tcBorders>
            <w:shd w:val="clear" w:color="auto" w:fill="C6EFCE"/>
            <w:noWrap/>
          </w:tcPr>
          <w:p w14:paraId="71F7E9BA" w14:textId="77777777" w:rsidR="00A345F4" w:rsidRDefault="005E2D4E">
            <w:pPr>
              <w:pStyle w:val="P68B1DB1-Normal74"/>
              <w:spacing w:after="0" w:line="259" w:lineRule="auto"/>
              <w:rPr>
                <w:noProof/>
              </w:rPr>
            </w:pPr>
            <w:r>
              <w:rPr>
                <w:noProof/>
              </w:rPr>
              <w:t xml:space="preserve"> Mise en place de guichets uniques (OSS) pour fournir des services de conseil en énergie</w:t>
            </w:r>
          </w:p>
        </w:tc>
        <w:tc>
          <w:tcPr>
            <w:tcW w:w="1275" w:type="dxa"/>
            <w:tcBorders>
              <w:top w:val="nil"/>
              <w:left w:val="nil"/>
              <w:bottom w:val="single" w:sz="4" w:space="0" w:color="auto"/>
              <w:right w:val="single" w:sz="4" w:space="0" w:color="auto"/>
            </w:tcBorders>
            <w:shd w:val="clear" w:color="auto" w:fill="C6EFCE"/>
            <w:noWrap/>
          </w:tcPr>
          <w:p w14:paraId="4ECE878B"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6432CCD1" w14:textId="77777777" w:rsidR="00A345F4" w:rsidRDefault="005E2D4E">
            <w:pPr>
              <w:pStyle w:val="P68B1DB1-Normal78"/>
              <w:spacing w:after="0" w:line="259" w:lineRule="auto"/>
              <w:rPr>
                <w:noProof/>
              </w:rPr>
            </w:pPr>
            <w:r>
              <w:rPr>
                <w:noProof/>
              </w:rPr>
              <w:t xml:space="preserve">Formation du personnel du guichet unique </w:t>
            </w:r>
          </w:p>
        </w:tc>
      </w:tr>
      <w:tr w:rsidR="00A345F4" w14:paraId="7E1E29F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92A1AF8" w14:textId="77777777" w:rsidR="00A345F4" w:rsidRDefault="005E2D4E">
            <w:pPr>
              <w:pStyle w:val="P68B1DB1-Normal78"/>
              <w:spacing w:after="0" w:line="259" w:lineRule="auto"/>
              <w:rPr>
                <w:rFonts w:eastAsia="Times New Roman"/>
                <w:noProof/>
              </w:rPr>
            </w:pPr>
            <w:r>
              <w:rPr>
                <w:noProof/>
              </w:rPr>
              <w:t>RO-C[C16]-R[R2.0]-T[525]</w:t>
            </w:r>
          </w:p>
        </w:tc>
        <w:tc>
          <w:tcPr>
            <w:tcW w:w="3544" w:type="dxa"/>
            <w:tcBorders>
              <w:top w:val="nil"/>
              <w:left w:val="nil"/>
              <w:bottom w:val="single" w:sz="4" w:space="0" w:color="auto"/>
              <w:right w:val="single" w:sz="4" w:space="0" w:color="auto"/>
            </w:tcBorders>
            <w:shd w:val="clear" w:color="auto" w:fill="C6EFCE"/>
            <w:noWrap/>
          </w:tcPr>
          <w:p w14:paraId="0F597F01" w14:textId="77777777" w:rsidR="00A345F4" w:rsidRDefault="005E2D4E">
            <w:pPr>
              <w:pStyle w:val="P68B1DB1-Normal78"/>
              <w:spacing w:after="0" w:line="259" w:lineRule="auto"/>
              <w:rPr>
                <w:noProof/>
              </w:rPr>
            </w:pPr>
            <w:r>
              <w:rPr>
                <w:noProof/>
              </w:rPr>
              <w:t xml:space="preserve">Mise en place de guichets uniques (OSS) pour fournir des services de conseil en énergie </w:t>
            </w:r>
          </w:p>
        </w:tc>
        <w:tc>
          <w:tcPr>
            <w:tcW w:w="1275" w:type="dxa"/>
            <w:tcBorders>
              <w:top w:val="nil"/>
              <w:left w:val="nil"/>
              <w:bottom w:val="single" w:sz="4" w:space="0" w:color="auto"/>
              <w:right w:val="single" w:sz="4" w:space="0" w:color="auto"/>
            </w:tcBorders>
            <w:shd w:val="clear" w:color="auto" w:fill="C6EFCE"/>
            <w:noWrap/>
          </w:tcPr>
          <w:p w14:paraId="7769F3D8" w14:textId="77777777" w:rsidR="00A345F4" w:rsidRDefault="005E2D4E">
            <w:pPr>
              <w:pStyle w:val="P68B1DB1-Normal78"/>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36BCA54C" w14:textId="77777777" w:rsidR="00A345F4" w:rsidRDefault="005E2D4E">
            <w:pPr>
              <w:pStyle w:val="P68B1DB1-Normal78"/>
              <w:spacing w:after="0" w:line="259" w:lineRule="auto"/>
              <w:rPr>
                <w:rFonts w:eastAsia="Times New Roman"/>
                <w:noProof/>
              </w:rPr>
            </w:pPr>
            <w:r>
              <w:rPr>
                <w:noProof/>
              </w:rPr>
              <w:t>Ouverture de bureaux OSS physiques</w:t>
            </w:r>
          </w:p>
        </w:tc>
      </w:tr>
      <w:tr w:rsidR="00A345F4" w14:paraId="1D345B7E"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63C4B35"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321E1AE1" w14:textId="77777777" w:rsidR="00A345F4" w:rsidRDefault="00A345F4">
            <w:pPr>
              <w:spacing w:after="0" w:line="259" w:lineRule="auto"/>
              <w:jc w:val="both"/>
              <w:rPr>
                <w:rFonts w:ascii="Times New Roman" w:eastAsia="Times New Roman" w:hAnsi="Times New Roman" w:cs="Times New Roman"/>
                <w:noProof/>
                <w:kern w:val="2"/>
                <w:sz w:val="22"/>
                <w:szCs w:val="22"/>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47F9EF6C" w14:textId="77777777" w:rsidR="00A345F4" w:rsidRDefault="005E2D4E">
            <w:pPr>
              <w:pStyle w:val="P68B1DB1-Normal74"/>
              <w:spacing w:after="0" w:line="259" w:lineRule="auto"/>
              <w:jc w:val="center"/>
              <w:rPr>
                <w:noProof/>
              </w:rPr>
            </w:pPr>
            <w:r>
              <w:rPr>
                <w:noProof/>
              </w:rPr>
              <w:t>Montant des acomptes provisionnels</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A62D93A" w14:textId="77777777" w:rsidR="00A345F4" w:rsidRDefault="005E2D4E">
            <w:pPr>
              <w:pStyle w:val="P68B1DB1-Normal74"/>
              <w:spacing w:after="0" w:line="259" w:lineRule="auto"/>
              <w:jc w:val="right"/>
              <w:rPr>
                <w:noProof/>
              </w:rPr>
            </w:pPr>
            <w:r>
              <w:rPr>
                <w:noProof/>
              </w:rPr>
              <w:t>2 620 279 973 EUR</w:t>
            </w:r>
          </w:p>
        </w:tc>
      </w:tr>
    </w:tbl>
    <w:p w14:paraId="7CA6A6F1" w14:textId="77777777" w:rsidR="00A345F4" w:rsidRDefault="00A345F4">
      <w:pPr>
        <w:spacing w:before="120" w:after="120" w:line="240" w:lineRule="auto"/>
        <w:ind w:left="850"/>
        <w:jc w:val="both"/>
        <w:rPr>
          <w:rFonts w:ascii="Times New Roman" w:eastAsia="Aptos" w:hAnsi="Times New Roman" w:cs="Times New Roman"/>
          <w:noProof/>
          <w:sz w:val="22"/>
          <w:szCs w:val="22"/>
          <w14:ligatures w14:val="standardContextual"/>
        </w:rPr>
        <w:sectPr w:rsidR="00A345F4" w:rsidSect="00137D7A">
          <w:headerReference w:type="even" r:id="rId383"/>
          <w:headerReference w:type="default" r:id="rId384"/>
          <w:footerReference w:type="even" r:id="rId385"/>
          <w:footerReference w:type="default" r:id="rId386"/>
          <w:headerReference w:type="first" r:id="rId387"/>
          <w:footerReference w:type="first" r:id="rId388"/>
          <w:pgSz w:w="12240" w:h="15840" w:code="1"/>
          <w:pgMar w:top="1134" w:right="1134" w:bottom="1134" w:left="1134" w:header="567" w:footer="567" w:gutter="0"/>
          <w:cols w:space="720"/>
          <w:docGrid w:linePitch="360"/>
        </w:sectPr>
      </w:pPr>
    </w:p>
    <w:p w14:paraId="205F7845" w14:textId="77777777" w:rsidR="00A345F4" w:rsidRDefault="005E2D4E">
      <w:pPr>
        <w:pStyle w:val="P68B1DB1-Normal71"/>
        <w:keepNext/>
        <w:tabs>
          <w:tab w:val="num" w:pos="1417"/>
        </w:tabs>
        <w:spacing w:before="120" w:after="120" w:line="240" w:lineRule="auto"/>
        <w:ind w:left="1417" w:hanging="850"/>
        <w:jc w:val="both"/>
        <w:outlineLvl w:val="2"/>
        <w:rPr>
          <w:bCs/>
          <w:noProof/>
        </w:rPr>
      </w:pPr>
      <w:r>
        <w:rPr>
          <w:noProof/>
        </w:rPr>
        <w:t xml:space="preserve">2.1.5 Cinquième tranche (soutien non remboursable): </w:t>
      </w:r>
    </w:p>
    <w:tbl>
      <w:tblPr>
        <w:tblW w:w="9635" w:type="dxa"/>
        <w:jc w:val="center"/>
        <w:tblLook w:val="04A0" w:firstRow="1" w:lastRow="0" w:firstColumn="1" w:lastColumn="0" w:noHBand="0" w:noVBand="1"/>
      </w:tblPr>
      <w:tblGrid>
        <w:gridCol w:w="1329"/>
        <w:gridCol w:w="3561"/>
        <w:gridCol w:w="1402"/>
        <w:gridCol w:w="3343"/>
      </w:tblGrid>
      <w:tr w:rsidR="00A345F4" w14:paraId="7F4C3DB2" w14:textId="77777777">
        <w:trPr>
          <w:trHeight w:val="906"/>
          <w:tblHeade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95A757" w14:textId="77777777" w:rsidR="00A345F4" w:rsidRDefault="005E2D4E">
            <w:pPr>
              <w:pStyle w:val="P68B1DB1-Normal72"/>
              <w:spacing w:after="0" w:line="259" w:lineRule="auto"/>
              <w:jc w:val="center"/>
              <w:rPr>
                <w:noProof/>
              </w:rPr>
            </w:pPr>
            <w:r>
              <w:rPr>
                <w:noProof/>
              </w:rPr>
              <w:t>Numéro séquentiel</w:t>
            </w:r>
          </w:p>
        </w:tc>
        <w:tc>
          <w:tcPr>
            <w:tcW w:w="36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4177E4" w14:textId="77777777" w:rsidR="00A345F4" w:rsidRDefault="005E2D4E">
            <w:pPr>
              <w:pStyle w:val="P68B1DB1-Normal72"/>
              <w:spacing w:after="0" w:line="259" w:lineRule="auto"/>
              <w:jc w:val="center"/>
              <w:rPr>
                <w:noProof/>
              </w:rPr>
            </w:pPr>
            <w:r>
              <w:rPr>
                <w:noProof/>
              </w:rPr>
              <w:t>Mesure connexe</w:t>
            </w:r>
          </w:p>
          <w:p w14:paraId="63A14403" w14:textId="77777777" w:rsidR="00A345F4" w:rsidRDefault="005E2D4E">
            <w:pPr>
              <w:pStyle w:val="P68B1DB1-Normal72"/>
              <w:spacing w:after="0" w:line="259" w:lineRule="auto"/>
              <w:jc w:val="center"/>
              <w:rPr>
                <w:noProof/>
              </w:rPr>
            </w:pPr>
            <w:r>
              <w:rPr>
                <w:noProof/>
              </w:rPr>
              <w:t>(Réforme ou investissement)</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BB0D4B" w14:textId="77777777" w:rsidR="00A345F4" w:rsidRDefault="005E2D4E">
            <w:pPr>
              <w:pStyle w:val="P68B1DB1-Normal72"/>
              <w:spacing w:after="0" w:line="259" w:lineRule="auto"/>
              <w:jc w:val="center"/>
              <w:rPr>
                <w:noProof/>
              </w:rPr>
            </w:pPr>
            <w:r>
              <w:rPr>
                <w:noProof/>
              </w:rPr>
              <w:t>Étape/cible</w:t>
            </w:r>
          </w:p>
        </w:tc>
        <w:tc>
          <w:tcPr>
            <w:tcW w:w="34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F9C6CB" w14:textId="77777777" w:rsidR="00A345F4" w:rsidRDefault="005E2D4E">
            <w:pPr>
              <w:pStyle w:val="P68B1DB1-Normal72"/>
              <w:spacing w:after="0" w:line="259" w:lineRule="auto"/>
              <w:jc w:val="center"/>
              <w:rPr>
                <w:noProof/>
              </w:rPr>
            </w:pPr>
            <w:r>
              <w:rPr>
                <w:noProof/>
              </w:rPr>
              <w:t>Nom</w:t>
            </w:r>
          </w:p>
        </w:tc>
      </w:tr>
      <w:tr w:rsidR="00A345F4" w14:paraId="11392630" w14:textId="77777777">
        <w:trPr>
          <w:trHeight w:val="509"/>
          <w:tblHeader/>
          <w:jc w:val="center"/>
        </w:trPr>
        <w:tc>
          <w:tcPr>
            <w:tcW w:w="1347" w:type="dxa"/>
            <w:vMerge/>
            <w:tcBorders>
              <w:top w:val="single" w:sz="4" w:space="0" w:color="auto"/>
              <w:left w:val="single" w:sz="4" w:space="0" w:color="auto"/>
              <w:bottom w:val="single" w:sz="4" w:space="0" w:color="auto"/>
              <w:right w:val="single" w:sz="4" w:space="0" w:color="auto"/>
            </w:tcBorders>
            <w:vAlign w:val="center"/>
            <w:hideMark/>
          </w:tcPr>
          <w:p w14:paraId="2AE7E1DB"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3607" w:type="dxa"/>
            <w:vMerge/>
            <w:tcBorders>
              <w:top w:val="single" w:sz="4" w:space="0" w:color="auto"/>
              <w:left w:val="single" w:sz="4" w:space="0" w:color="auto"/>
              <w:bottom w:val="single" w:sz="4" w:space="0" w:color="auto"/>
              <w:right w:val="single" w:sz="4" w:space="0" w:color="auto"/>
            </w:tcBorders>
            <w:vAlign w:val="center"/>
            <w:hideMark/>
          </w:tcPr>
          <w:p w14:paraId="1CD062B5"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01676C8F" w14:textId="77777777" w:rsidR="00A345F4" w:rsidRDefault="00A345F4">
            <w:pPr>
              <w:spacing w:after="0" w:line="259" w:lineRule="auto"/>
              <w:jc w:val="center"/>
              <w:rPr>
                <w:rFonts w:ascii="Times New Roman" w:eastAsia="Times New Roman" w:hAnsi="Times New Roman" w:cs="Times New Roman"/>
                <w:b/>
                <w:bCs/>
                <w:noProof/>
                <w:kern w:val="2"/>
                <w:sz w:val="22"/>
                <w:szCs w:val="22"/>
                <w14:ligatures w14:val="standardContextual"/>
              </w:rPr>
            </w:pPr>
          </w:p>
        </w:tc>
        <w:tc>
          <w:tcPr>
            <w:tcW w:w="3465" w:type="dxa"/>
            <w:vMerge/>
            <w:tcBorders>
              <w:top w:val="single" w:sz="4" w:space="0" w:color="auto"/>
              <w:left w:val="single" w:sz="4" w:space="0" w:color="auto"/>
              <w:bottom w:val="single" w:sz="4" w:space="0" w:color="auto"/>
              <w:right w:val="single" w:sz="4" w:space="0" w:color="auto"/>
            </w:tcBorders>
            <w:vAlign w:val="center"/>
            <w:hideMark/>
          </w:tcPr>
          <w:p w14:paraId="77BC6344"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r>
      <w:tr w:rsidR="00A345F4" w14:paraId="4BD8B2A2" w14:textId="77777777">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87AAF77" w14:textId="77777777" w:rsidR="00A345F4" w:rsidRDefault="005E2D4E">
            <w:pPr>
              <w:pStyle w:val="P68B1DB1-Normal74"/>
              <w:spacing w:after="0" w:line="259" w:lineRule="auto"/>
              <w:rPr>
                <w:noProof/>
              </w:rPr>
            </w:pPr>
            <w:r>
              <w:rPr>
                <w:noProof/>
              </w:rPr>
              <w:t>RO-C[C1]-I[I6.0]-M[19]</w:t>
            </w:r>
          </w:p>
        </w:tc>
        <w:tc>
          <w:tcPr>
            <w:tcW w:w="3607" w:type="dxa"/>
            <w:tcBorders>
              <w:top w:val="single" w:sz="4" w:space="0" w:color="auto"/>
              <w:left w:val="nil"/>
              <w:bottom w:val="single" w:sz="4" w:space="0" w:color="auto"/>
              <w:right w:val="single" w:sz="4" w:space="0" w:color="auto"/>
            </w:tcBorders>
            <w:shd w:val="clear" w:color="auto" w:fill="C6EFCE"/>
          </w:tcPr>
          <w:p w14:paraId="75AA52A0" w14:textId="77777777" w:rsidR="00A345F4" w:rsidRDefault="005E2D4E">
            <w:pPr>
              <w:pStyle w:val="P68B1DB1-Normal74"/>
              <w:spacing w:after="0" w:line="259" w:lineRule="auto"/>
              <w:rPr>
                <w:noProof/>
              </w:rPr>
            </w:pPr>
            <w:r>
              <w:rPr>
                <w:noProof/>
              </w:rPr>
              <w:t>Livraison du cadastre d'eau</w:t>
            </w:r>
          </w:p>
        </w:tc>
        <w:tc>
          <w:tcPr>
            <w:tcW w:w="1216" w:type="dxa"/>
            <w:tcBorders>
              <w:top w:val="single" w:sz="4" w:space="0" w:color="auto"/>
              <w:left w:val="nil"/>
              <w:bottom w:val="single" w:sz="4" w:space="0" w:color="auto"/>
              <w:right w:val="single" w:sz="4" w:space="0" w:color="auto"/>
            </w:tcBorders>
            <w:shd w:val="clear" w:color="auto" w:fill="C6EFCE"/>
          </w:tcPr>
          <w:p w14:paraId="2230C1A2" w14:textId="77777777" w:rsidR="00A345F4" w:rsidRDefault="005E2D4E">
            <w:pPr>
              <w:pStyle w:val="P68B1DB1-Normal73"/>
              <w:spacing w:after="0" w:line="259" w:lineRule="auto"/>
              <w:jc w:val="center"/>
              <w:rPr>
                <w:noProof/>
              </w:rPr>
            </w:pPr>
            <w:r>
              <w:rPr>
                <w:noProof/>
              </w:rPr>
              <w:t>M</w:t>
            </w:r>
          </w:p>
        </w:tc>
        <w:tc>
          <w:tcPr>
            <w:tcW w:w="3465" w:type="dxa"/>
            <w:tcBorders>
              <w:top w:val="single" w:sz="4" w:space="0" w:color="auto"/>
              <w:left w:val="nil"/>
              <w:bottom w:val="single" w:sz="4" w:space="0" w:color="auto"/>
              <w:right w:val="single" w:sz="4" w:space="0" w:color="auto"/>
            </w:tcBorders>
            <w:shd w:val="clear" w:color="auto" w:fill="C6EFCE"/>
          </w:tcPr>
          <w:p w14:paraId="438120EB" w14:textId="77777777" w:rsidR="00A345F4" w:rsidRDefault="005E2D4E">
            <w:pPr>
              <w:pStyle w:val="P68B1DB1-Normal73"/>
              <w:spacing w:after="0" w:line="259" w:lineRule="auto"/>
              <w:rPr>
                <w:noProof/>
              </w:rPr>
            </w:pPr>
            <w:r>
              <w:rPr>
                <w:noProof/>
              </w:rPr>
              <w:t>Cadastre de l'eau livré</w:t>
            </w:r>
          </w:p>
        </w:tc>
      </w:tr>
      <w:tr w:rsidR="00A345F4" w14:paraId="3F66A35F" w14:textId="77777777">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349D3D5" w14:textId="77777777" w:rsidR="00A345F4" w:rsidRDefault="005E2D4E">
            <w:pPr>
              <w:pStyle w:val="P68B1DB1-Normal78"/>
              <w:spacing w:after="0" w:line="259" w:lineRule="auto"/>
              <w:rPr>
                <w:rFonts w:eastAsia="Times New Roman"/>
                <w:noProof/>
              </w:rPr>
            </w:pPr>
            <w:r>
              <w:rPr>
                <w:noProof/>
              </w:rPr>
              <w:t>RO-C[C2]-I[I1.0]-T[26]</w:t>
            </w:r>
          </w:p>
        </w:tc>
        <w:tc>
          <w:tcPr>
            <w:tcW w:w="3607" w:type="dxa"/>
            <w:tcBorders>
              <w:top w:val="single" w:sz="4" w:space="0" w:color="auto"/>
              <w:left w:val="nil"/>
              <w:bottom w:val="single" w:sz="4" w:space="0" w:color="auto"/>
              <w:right w:val="single" w:sz="4" w:space="0" w:color="auto"/>
            </w:tcBorders>
            <w:shd w:val="clear" w:color="auto" w:fill="C6EFCE"/>
          </w:tcPr>
          <w:p w14:paraId="52506A32" w14:textId="77777777" w:rsidR="00A345F4" w:rsidRDefault="005E2D4E">
            <w:pPr>
              <w:pStyle w:val="P68B1DB1-Normal78"/>
              <w:spacing w:after="0" w:line="259" w:lineRule="auto"/>
              <w:rPr>
                <w:rFonts w:eastAsia="Times New Roman"/>
                <w:noProof/>
              </w:rPr>
            </w:pPr>
            <w:r>
              <w:rPr>
                <w:noProof/>
              </w:rPr>
              <w:t>Campagne nationale de boisement et de reboisement, y compris les forêts urbaines</w:t>
            </w:r>
          </w:p>
        </w:tc>
        <w:tc>
          <w:tcPr>
            <w:tcW w:w="1216" w:type="dxa"/>
            <w:tcBorders>
              <w:top w:val="single" w:sz="4" w:space="0" w:color="auto"/>
              <w:left w:val="nil"/>
              <w:bottom w:val="single" w:sz="4" w:space="0" w:color="auto"/>
              <w:right w:val="single" w:sz="4" w:space="0" w:color="auto"/>
            </w:tcBorders>
            <w:shd w:val="clear" w:color="auto" w:fill="C6EFCE"/>
          </w:tcPr>
          <w:p w14:paraId="7206D581" w14:textId="77777777" w:rsidR="00A345F4" w:rsidRDefault="005E2D4E">
            <w:pPr>
              <w:pStyle w:val="P68B1DB1-Normal78"/>
              <w:spacing w:after="0" w:line="259" w:lineRule="auto"/>
              <w:jc w:val="center"/>
              <w:rPr>
                <w:noProof/>
              </w:rPr>
            </w:pPr>
            <w:r>
              <w:rPr>
                <w:noProof/>
              </w:rPr>
              <w:t>T</w:t>
            </w:r>
          </w:p>
        </w:tc>
        <w:tc>
          <w:tcPr>
            <w:tcW w:w="3465" w:type="dxa"/>
            <w:tcBorders>
              <w:top w:val="single" w:sz="4" w:space="0" w:color="auto"/>
              <w:left w:val="nil"/>
              <w:bottom w:val="single" w:sz="4" w:space="0" w:color="auto"/>
              <w:right w:val="single" w:sz="4" w:space="0" w:color="auto"/>
            </w:tcBorders>
            <w:shd w:val="clear" w:color="auto" w:fill="C6EFCE"/>
          </w:tcPr>
          <w:p w14:paraId="0B39B1CC" w14:textId="77777777" w:rsidR="00A345F4" w:rsidRDefault="005E2D4E">
            <w:pPr>
              <w:pStyle w:val="P68B1DB1-Normal78"/>
              <w:spacing w:after="0" w:line="259" w:lineRule="auto"/>
              <w:rPr>
                <w:noProof/>
              </w:rPr>
            </w:pPr>
            <w:r>
              <w:rPr>
                <w:noProof/>
              </w:rPr>
              <w:t>Nouvelles superficies de terres boisées ou reboisées</w:t>
            </w:r>
          </w:p>
        </w:tc>
      </w:tr>
      <w:tr w:rsidR="00A345F4" w14:paraId="74665CFD" w14:textId="77777777">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F963932" w14:textId="77777777" w:rsidR="00A345F4" w:rsidRDefault="005E2D4E">
            <w:pPr>
              <w:pStyle w:val="P68B1DB1-Normal78"/>
              <w:spacing w:after="0" w:line="259" w:lineRule="auto"/>
              <w:rPr>
                <w:rFonts w:eastAsia="Times New Roman"/>
                <w:noProof/>
              </w:rPr>
            </w:pPr>
            <w:r>
              <w:rPr>
                <w:noProof/>
              </w:rPr>
              <w:t>RO-C[C2]-I[I1.0]-T[28]</w:t>
            </w:r>
          </w:p>
        </w:tc>
        <w:tc>
          <w:tcPr>
            <w:tcW w:w="3607" w:type="dxa"/>
            <w:tcBorders>
              <w:top w:val="single" w:sz="4" w:space="0" w:color="auto"/>
              <w:left w:val="nil"/>
              <w:bottom w:val="single" w:sz="4" w:space="0" w:color="auto"/>
              <w:right w:val="single" w:sz="4" w:space="0" w:color="auto"/>
            </w:tcBorders>
            <w:shd w:val="clear" w:color="auto" w:fill="C6EFCE"/>
          </w:tcPr>
          <w:p w14:paraId="211D0A28" w14:textId="77777777" w:rsidR="00A345F4" w:rsidRDefault="005E2D4E">
            <w:pPr>
              <w:pStyle w:val="P68B1DB1-Normal78"/>
              <w:spacing w:after="0" w:line="259" w:lineRule="auto"/>
              <w:rPr>
                <w:rFonts w:eastAsia="Times New Roman"/>
                <w:noProof/>
              </w:rPr>
            </w:pPr>
            <w:r>
              <w:rPr>
                <w:noProof/>
              </w:rPr>
              <w:t>Campagne nationale de boisement et de reboisement, y compris les forêts urbaines</w:t>
            </w:r>
          </w:p>
        </w:tc>
        <w:tc>
          <w:tcPr>
            <w:tcW w:w="1216" w:type="dxa"/>
            <w:tcBorders>
              <w:top w:val="single" w:sz="4" w:space="0" w:color="auto"/>
              <w:left w:val="nil"/>
              <w:bottom w:val="single" w:sz="4" w:space="0" w:color="auto"/>
              <w:right w:val="single" w:sz="4" w:space="0" w:color="auto"/>
            </w:tcBorders>
            <w:shd w:val="clear" w:color="auto" w:fill="C6EFCE"/>
          </w:tcPr>
          <w:p w14:paraId="721B75F2" w14:textId="77777777" w:rsidR="00A345F4" w:rsidRDefault="005E2D4E">
            <w:pPr>
              <w:pStyle w:val="P68B1DB1-Normal78"/>
              <w:spacing w:after="0" w:line="259" w:lineRule="auto"/>
              <w:jc w:val="center"/>
              <w:rPr>
                <w:noProof/>
              </w:rPr>
            </w:pPr>
            <w:r>
              <w:rPr>
                <w:noProof/>
              </w:rPr>
              <w:t>T</w:t>
            </w:r>
          </w:p>
        </w:tc>
        <w:tc>
          <w:tcPr>
            <w:tcW w:w="3465" w:type="dxa"/>
            <w:tcBorders>
              <w:top w:val="single" w:sz="4" w:space="0" w:color="auto"/>
              <w:left w:val="nil"/>
              <w:bottom w:val="single" w:sz="4" w:space="0" w:color="auto"/>
              <w:right w:val="single" w:sz="4" w:space="0" w:color="auto"/>
            </w:tcBorders>
            <w:shd w:val="clear" w:color="auto" w:fill="C6EFCE"/>
          </w:tcPr>
          <w:p w14:paraId="2288C7D1" w14:textId="77777777" w:rsidR="00A345F4" w:rsidRDefault="005E2D4E">
            <w:pPr>
              <w:pStyle w:val="P68B1DB1-Normal78"/>
              <w:spacing w:after="0" w:line="259" w:lineRule="auto"/>
              <w:rPr>
                <w:noProof/>
              </w:rPr>
            </w:pPr>
            <w:r>
              <w:rPr>
                <w:noProof/>
              </w:rPr>
              <w:t>Création de nouvelles zones de forêts urbaines</w:t>
            </w:r>
          </w:p>
        </w:tc>
      </w:tr>
      <w:tr w:rsidR="00A345F4" w14:paraId="19D6910D" w14:textId="77777777">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160A3B5E" w14:textId="77777777" w:rsidR="00A345F4" w:rsidRDefault="005E2D4E">
            <w:pPr>
              <w:pStyle w:val="P68B1DB1-Normal78"/>
              <w:spacing w:after="0" w:line="259" w:lineRule="auto"/>
              <w:rPr>
                <w:rFonts w:eastAsia="Times New Roman"/>
                <w:noProof/>
              </w:rPr>
            </w:pPr>
            <w:r>
              <w:rPr>
                <w:noProof/>
              </w:rPr>
              <w:t>RO-C[C2]-I[I2.0]-T[29]</w:t>
            </w:r>
          </w:p>
        </w:tc>
        <w:tc>
          <w:tcPr>
            <w:tcW w:w="3607" w:type="dxa"/>
            <w:tcBorders>
              <w:top w:val="single" w:sz="4" w:space="0" w:color="auto"/>
              <w:left w:val="nil"/>
              <w:bottom w:val="single" w:sz="4" w:space="0" w:color="auto"/>
              <w:right w:val="single" w:sz="4" w:space="0" w:color="auto"/>
            </w:tcBorders>
            <w:shd w:val="clear" w:color="auto" w:fill="C6EFCE"/>
          </w:tcPr>
          <w:p w14:paraId="21943687" w14:textId="77777777" w:rsidR="00A345F4" w:rsidRDefault="005E2D4E">
            <w:pPr>
              <w:pStyle w:val="P68B1DB1-Normal78"/>
              <w:spacing w:after="0" w:line="259" w:lineRule="auto"/>
              <w:rPr>
                <w:rFonts w:eastAsia="Times New Roman"/>
                <w:noProof/>
              </w:rPr>
            </w:pPr>
            <w:r>
              <w:rPr>
                <w:noProof/>
              </w:rPr>
              <w:t>Capacités modernes de production de matériel forestier de reproduction</w:t>
            </w:r>
          </w:p>
        </w:tc>
        <w:tc>
          <w:tcPr>
            <w:tcW w:w="1216" w:type="dxa"/>
            <w:tcBorders>
              <w:top w:val="single" w:sz="4" w:space="0" w:color="auto"/>
              <w:left w:val="nil"/>
              <w:bottom w:val="single" w:sz="4" w:space="0" w:color="auto"/>
              <w:right w:val="single" w:sz="4" w:space="0" w:color="auto"/>
            </w:tcBorders>
            <w:shd w:val="clear" w:color="auto" w:fill="C6EFCE"/>
          </w:tcPr>
          <w:p w14:paraId="4DFCA76B" w14:textId="77777777" w:rsidR="00A345F4" w:rsidRDefault="005E2D4E">
            <w:pPr>
              <w:pStyle w:val="P68B1DB1-Normal78"/>
              <w:spacing w:after="0" w:line="259" w:lineRule="auto"/>
              <w:jc w:val="center"/>
              <w:rPr>
                <w:noProof/>
              </w:rPr>
            </w:pPr>
            <w:r>
              <w:rPr>
                <w:noProof/>
              </w:rPr>
              <w:t>T</w:t>
            </w:r>
          </w:p>
        </w:tc>
        <w:tc>
          <w:tcPr>
            <w:tcW w:w="3465" w:type="dxa"/>
            <w:tcBorders>
              <w:top w:val="single" w:sz="4" w:space="0" w:color="auto"/>
              <w:left w:val="nil"/>
              <w:bottom w:val="single" w:sz="4" w:space="0" w:color="auto"/>
              <w:right w:val="single" w:sz="4" w:space="0" w:color="auto"/>
            </w:tcBorders>
            <w:shd w:val="clear" w:color="auto" w:fill="C6EFCE"/>
          </w:tcPr>
          <w:p w14:paraId="70AF8D8F" w14:textId="77777777" w:rsidR="00A345F4" w:rsidRDefault="005E2D4E">
            <w:pPr>
              <w:pStyle w:val="P68B1DB1-Normal78"/>
              <w:spacing w:after="0" w:line="259" w:lineRule="auto"/>
              <w:rPr>
                <w:noProof/>
              </w:rPr>
            </w:pPr>
            <w:r>
              <w:rPr>
                <w:noProof/>
              </w:rPr>
              <w:t>Pépinières d'arbres nouvelles ou réhabilitées</w:t>
            </w:r>
          </w:p>
        </w:tc>
      </w:tr>
      <w:tr w:rsidR="00A345F4" w14:paraId="01831E96" w14:textId="77777777">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7875AFD" w14:textId="77777777" w:rsidR="00A345F4" w:rsidRDefault="005E2D4E">
            <w:pPr>
              <w:pStyle w:val="P68B1DB1-Normal78"/>
              <w:spacing w:after="0" w:line="259" w:lineRule="auto"/>
              <w:rPr>
                <w:rFonts w:eastAsia="Times New Roman"/>
                <w:noProof/>
              </w:rPr>
            </w:pPr>
            <w:r>
              <w:rPr>
                <w:noProof/>
              </w:rPr>
              <w:t>RO-C[C2]-I[I3.0]-M[34]</w:t>
            </w:r>
          </w:p>
        </w:tc>
        <w:tc>
          <w:tcPr>
            <w:tcW w:w="3607" w:type="dxa"/>
            <w:tcBorders>
              <w:top w:val="single" w:sz="4" w:space="0" w:color="auto"/>
              <w:left w:val="nil"/>
              <w:bottom w:val="single" w:sz="4" w:space="0" w:color="auto"/>
              <w:right w:val="single" w:sz="4" w:space="0" w:color="auto"/>
            </w:tcBorders>
            <w:shd w:val="clear" w:color="auto" w:fill="C6EFCE"/>
          </w:tcPr>
          <w:p w14:paraId="7EBA8FBF" w14:textId="77777777" w:rsidR="00A345F4" w:rsidRDefault="005E2D4E">
            <w:pPr>
              <w:pStyle w:val="P68B1DB1-Normal78"/>
              <w:spacing w:after="0" w:line="259" w:lineRule="auto"/>
              <w:rPr>
                <w:rFonts w:eastAsia="Times New Roman"/>
                <w:noProof/>
              </w:rPr>
            </w:pPr>
            <w:r>
              <w:rPr>
                <w:noProof/>
              </w:rPr>
              <w:t>Recensement des zones susceptibles de bénéficier d’une protection stricte dans les habitats terrestres et marins naturels, conformément à la stratégie de l’UE en faveur de la biodiversité à l’horizon 2030</w:t>
            </w:r>
          </w:p>
        </w:tc>
        <w:tc>
          <w:tcPr>
            <w:tcW w:w="1216" w:type="dxa"/>
            <w:tcBorders>
              <w:top w:val="single" w:sz="4" w:space="0" w:color="auto"/>
              <w:left w:val="nil"/>
              <w:bottom w:val="single" w:sz="4" w:space="0" w:color="auto"/>
              <w:right w:val="single" w:sz="4" w:space="0" w:color="auto"/>
            </w:tcBorders>
            <w:shd w:val="clear" w:color="auto" w:fill="C6EFCE"/>
          </w:tcPr>
          <w:p w14:paraId="56298B8B" w14:textId="77777777" w:rsidR="00A345F4" w:rsidRDefault="005E2D4E">
            <w:pPr>
              <w:pStyle w:val="P68B1DB1-Normal73"/>
              <w:spacing w:after="0" w:line="259" w:lineRule="auto"/>
              <w:jc w:val="center"/>
              <w:rPr>
                <w:noProof/>
              </w:rPr>
            </w:pPr>
            <w:r>
              <w:rPr>
                <w:noProof/>
              </w:rPr>
              <w:t>M</w:t>
            </w:r>
          </w:p>
        </w:tc>
        <w:tc>
          <w:tcPr>
            <w:tcW w:w="3465" w:type="dxa"/>
            <w:tcBorders>
              <w:top w:val="single" w:sz="4" w:space="0" w:color="auto"/>
              <w:left w:val="nil"/>
              <w:bottom w:val="single" w:sz="4" w:space="0" w:color="auto"/>
              <w:right w:val="single" w:sz="4" w:space="0" w:color="auto"/>
            </w:tcBorders>
            <w:shd w:val="clear" w:color="auto" w:fill="C6EFCE"/>
          </w:tcPr>
          <w:p w14:paraId="12DB48C3" w14:textId="3663FD42" w:rsidR="00A345F4" w:rsidRDefault="005E2D4E">
            <w:pPr>
              <w:pStyle w:val="P68B1DB1-Normal80"/>
              <w:spacing w:after="0" w:line="259" w:lineRule="auto"/>
              <w:rPr>
                <w:noProof/>
              </w:rPr>
            </w:pPr>
            <w:r>
              <w:rPr>
                <w:noProof/>
                <w:kern w:val="2"/>
                <w14:ligatures w14:val="standardContextual"/>
              </w:rPr>
              <w:t xml:space="preserve">Entrée en vigueur du </w:t>
            </w:r>
            <w:r>
              <w:rPr>
                <w:noProof/>
              </w:rPr>
              <w:t>ou des actes juridiques relatifs à la désignation des zones strictement protégées</w:t>
            </w:r>
          </w:p>
        </w:tc>
      </w:tr>
      <w:tr w:rsidR="00A345F4" w14:paraId="44A18C64" w14:textId="77777777">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1E390762" w14:textId="77777777" w:rsidR="00A345F4" w:rsidRDefault="005E2D4E">
            <w:pPr>
              <w:pStyle w:val="P68B1DB1-Normal78"/>
              <w:spacing w:after="0" w:line="259" w:lineRule="auto"/>
              <w:rPr>
                <w:rFonts w:eastAsia="Times New Roman"/>
                <w:noProof/>
              </w:rPr>
            </w:pPr>
            <w:r>
              <w:rPr>
                <w:noProof/>
              </w:rPr>
              <w:t>RO-C[C2]-I[I4]-M[39]</w:t>
            </w:r>
          </w:p>
        </w:tc>
        <w:tc>
          <w:tcPr>
            <w:tcW w:w="3607" w:type="dxa"/>
            <w:tcBorders>
              <w:top w:val="single" w:sz="4" w:space="0" w:color="auto"/>
              <w:left w:val="nil"/>
              <w:bottom w:val="single" w:sz="4" w:space="0" w:color="auto"/>
              <w:right w:val="single" w:sz="4" w:space="0" w:color="auto"/>
            </w:tcBorders>
            <w:shd w:val="clear" w:color="auto" w:fill="C6EFCE"/>
          </w:tcPr>
          <w:p w14:paraId="0CDCF87F" w14:textId="77777777" w:rsidR="00A345F4" w:rsidRDefault="005E2D4E">
            <w:pPr>
              <w:pStyle w:val="P68B1DB1-Normal78"/>
              <w:spacing w:after="0" w:line="259" w:lineRule="auto"/>
              <w:rPr>
                <w:rFonts w:eastAsia="Times New Roman"/>
                <w:noProof/>
              </w:rPr>
            </w:pPr>
            <w:r>
              <w:rPr>
                <w:noProof/>
              </w:rPr>
              <w:t>Système de surveillance des esturgeons sauvages le long du Bas-Danube</w:t>
            </w:r>
          </w:p>
        </w:tc>
        <w:tc>
          <w:tcPr>
            <w:tcW w:w="1216" w:type="dxa"/>
            <w:tcBorders>
              <w:top w:val="single" w:sz="4" w:space="0" w:color="auto"/>
              <w:left w:val="nil"/>
              <w:bottom w:val="single" w:sz="4" w:space="0" w:color="auto"/>
              <w:right w:val="single" w:sz="4" w:space="0" w:color="auto"/>
            </w:tcBorders>
            <w:shd w:val="clear" w:color="auto" w:fill="C6EFCE"/>
          </w:tcPr>
          <w:p w14:paraId="1435E077" w14:textId="77777777" w:rsidR="00A345F4" w:rsidRDefault="005E2D4E">
            <w:pPr>
              <w:pStyle w:val="P68B1DB1-Normal73"/>
              <w:spacing w:after="0" w:line="259" w:lineRule="auto"/>
              <w:jc w:val="center"/>
              <w:rPr>
                <w:noProof/>
              </w:rPr>
            </w:pPr>
            <w:r>
              <w:rPr>
                <w:noProof/>
              </w:rPr>
              <w:t>M</w:t>
            </w:r>
          </w:p>
        </w:tc>
        <w:tc>
          <w:tcPr>
            <w:tcW w:w="3465" w:type="dxa"/>
            <w:tcBorders>
              <w:top w:val="single" w:sz="4" w:space="0" w:color="auto"/>
              <w:left w:val="nil"/>
              <w:bottom w:val="single" w:sz="4" w:space="0" w:color="auto"/>
              <w:right w:val="single" w:sz="4" w:space="0" w:color="auto"/>
            </w:tcBorders>
            <w:shd w:val="clear" w:color="auto" w:fill="C6EFCE"/>
          </w:tcPr>
          <w:p w14:paraId="71F0F986" w14:textId="34F7AD2F" w:rsidR="00A345F4" w:rsidRDefault="005E2D4E">
            <w:pPr>
              <w:pStyle w:val="P68B1DB1-Normal80"/>
              <w:spacing w:after="0" w:line="259" w:lineRule="auto"/>
              <w:rPr>
                <w:noProof/>
              </w:rPr>
            </w:pPr>
            <w:r>
              <w:rPr>
                <w:noProof/>
              </w:rPr>
              <w:t>Livraison d'équipements et de véhicules pour la surveillance des données sur l'esturgeon sauvage</w:t>
            </w:r>
          </w:p>
        </w:tc>
      </w:tr>
      <w:tr w:rsidR="00A345F4" w14:paraId="251997A7" w14:textId="77777777">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0493C08F" w14:textId="77777777" w:rsidR="00A345F4" w:rsidRDefault="005E2D4E">
            <w:pPr>
              <w:pStyle w:val="P68B1DB1-Normal78"/>
              <w:spacing w:after="0" w:line="259" w:lineRule="auto"/>
              <w:rPr>
                <w:noProof/>
              </w:rPr>
            </w:pPr>
            <w:r>
              <w:rPr>
                <w:noProof/>
              </w:rPr>
              <w:t>RO-C[C2]-I[I5.0]-M[42]</w:t>
            </w:r>
          </w:p>
        </w:tc>
        <w:tc>
          <w:tcPr>
            <w:tcW w:w="3607" w:type="dxa"/>
            <w:tcBorders>
              <w:top w:val="single" w:sz="4" w:space="0" w:color="auto"/>
              <w:left w:val="nil"/>
              <w:bottom w:val="single" w:sz="4" w:space="0" w:color="auto"/>
              <w:right w:val="single" w:sz="4" w:space="0" w:color="auto"/>
            </w:tcBorders>
            <w:shd w:val="clear" w:color="auto" w:fill="C6EFCE"/>
          </w:tcPr>
          <w:p w14:paraId="334ED477" w14:textId="77777777" w:rsidR="00A345F4" w:rsidRDefault="005E2D4E">
            <w:pPr>
              <w:pStyle w:val="P68B1DB1-Normal78"/>
              <w:spacing w:after="0" w:line="259" w:lineRule="auto"/>
              <w:rPr>
                <w:noProof/>
              </w:rPr>
            </w:pPr>
            <w:r>
              <w:rPr>
                <w:noProof/>
              </w:rPr>
              <w:t>Systèmes intégrés d'atténuation des risques d'inondation dans les bassins hydrographiques forestiers</w:t>
            </w:r>
          </w:p>
        </w:tc>
        <w:tc>
          <w:tcPr>
            <w:tcW w:w="1216" w:type="dxa"/>
            <w:tcBorders>
              <w:top w:val="single" w:sz="4" w:space="0" w:color="auto"/>
              <w:left w:val="nil"/>
              <w:bottom w:val="single" w:sz="4" w:space="0" w:color="auto"/>
              <w:right w:val="single" w:sz="4" w:space="0" w:color="auto"/>
            </w:tcBorders>
            <w:shd w:val="clear" w:color="auto" w:fill="C6EFCE"/>
          </w:tcPr>
          <w:p w14:paraId="72399AA4" w14:textId="77777777" w:rsidR="00A345F4" w:rsidRDefault="005E2D4E">
            <w:pPr>
              <w:pStyle w:val="P68B1DB1-Normal78"/>
              <w:spacing w:after="0" w:line="259" w:lineRule="auto"/>
              <w:jc w:val="center"/>
              <w:rPr>
                <w:noProof/>
              </w:rPr>
            </w:pPr>
            <w:r>
              <w:rPr>
                <w:noProof/>
              </w:rPr>
              <w:t>M</w:t>
            </w:r>
          </w:p>
        </w:tc>
        <w:tc>
          <w:tcPr>
            <w:tcW w:w="3465" w:type="dxa"/>
            <w:tcBorders>
              <w:top w:val="single" w:sz="4" w:space="0" w:color="auto"/>
              <w:left w:val="nil"/>
              <w:bottom w:val="single" w:sz="4" w:space="0" w:color="auto"/>
              <w:right w:val="single" w:sz="4" w:space="0" w:color="auto"/>
            </w:tcBorders>
            <w:shd w:val="clear" w:color="auto" w:fill="C6EFCE"/>
          </w:tcPr>
          <w:p w14:paraId="26EE755F" w14:textId="77777777" w:rsidR="00A345F4" w:rsidRDefault="005E2D4E">
            <w:pPr>
              <w:pStyle w:val="P68B1DB1-Normal78"/>
              <w:spacing w:after="0" w:line="259" w:lineRule="auto"/>
              <w:rPr>
                <w:noProof/>
              </w:rPr>
            </w:pPr>
            <w:r>
              <w:rPr>
                <w:noProof/>
              </w:rPr>
              <w:t>Travaux de modernisation pour la protection contre les inondations</w:t>
            </w:r>
          </w:p>
        </w:tc>
      </w:tr>
      <w:tr w:rsidR="00A345F4" w14:paraId="5BF836F3" w14:textId="77777777">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61DBA8D9" w14:textId="77777777" w:rsidR="00A345F4" w:rsidRDefault="005E2D4E">
            <w:pPr>
              <w:pStyle w:val="P68B1DB1-Normal78"/>
              <w:spacing w:after="0" w:line="259" w:lineRule="auto"/>
              <w:rPr>
                <w:rFonts w:eastAsia="Times New Roman"/>
                <w:noProof/>
              </w:rPr>
            </w:pPr>
            <w:r>
              <w:rPr>
                <w:noProof/>
              </w:rPr>
              <w:t>RO-C[C3]-I[I1a.0]-T[49]</w:t>
            </w:r>
          </w:p>
        </w:tc>
        <w:tc>
          <w:tcPr>
            <w:tcW w:w="3607" w:type="dxa"/>
            <w:tcBorders>
              <w:top w:val="single" w:sz="4" w:space="0" w:color="auto"/>
              <w:left w:val="nil"/>
              <w:bottom w:val="single" w:sz="4" w:space="0" w:color="auto"/>
              <w:right w:val="single" w:sz="4" w:space="0" w:color="auto"/>
            </w:tcBorders>
            <w:shd w:val="clear" w:color="auto" w:fill="C6EFCE"/>
          </w:tcPr>
          <w:p w14:paraId="42E97C1A" w14:textId="1CBBC69B" w:rsidR="00A345F4" w:rsidRDefault="005E2D4E">
            <w:pPr>
              <w:pStyle w:val="P68B1DB1-Normal78"/>
              <w:spacing w:after="0" w:line="259" w:lineRule="auto"/>
              <w:rPr>
                <w:rFonts w:eastAsia="Times New Roman"/>
                <w:noProof/>
              </w:rPr>
            </w:pPr>
            <w:r>
              <w:rPr>
                <w:noProof/>
              </w:rPr>
              <w:t xml:space="preserve">Construction de centres de collecte volontaire des déchets </w:t>
            </w:r>
          </w:p>
        </w:tc>
        <w:tc>
          <w:tcPr>
            <w:tcW w:w="1216" w:type="dxa"/>
            <w:tcBorders>
              <w:top w:val="single" w:sz="4" w:space="0" w:color="auto"/>
              <w:left w:val="nil"/>
              <w:bottom w:val="single" w:sz="4" w:space="0" w:color="auto"/>
              <w:right w:val="single" w:sz="4" w:space="0" w:color="auto"/>
            </w:tcBorders>
            <w:shd w:val="clear" w:color="auto" w:fill="C6EFCE"/>
          </w:tcPr>
          <w:p w14:paraId="124AC12C" w14:textId="77777777" w:rsidR="00A345F4" w:rsidRDefault="005E2D4E">
            <w:pPr>
              <w:pStyle w:val="P68B1DB1-Normal78"/>
              <w:spacing w:after="0" w:line="259" w:lineRule="auto"/>
              <w:jc w:val="center"/>
              <w:rPr>
                <w:noProof/>
              </w:rPr>
            </w:pPr>
            <w:r>
              <w:rPr>
                <w:noProof/>
              </w:rPr>
              <w:t>T</w:t>
            </w:r>
          </w:p>
        </w:tc>
        <w:tc>
          <w:tcPr>
            <w:tcW w:w="3465" w:type="dxa"/>
            <w:tcBorders>
              <w:top w:val="single" w:sz="4" w:space="0" w:color="auto"/>
              <w:left w:val="nil"/>
              <w:bottom w:val="single" w:sz="4" w:space="0" w:color="auto"/>
              <w:right w:val="single" w:sz="4" w:space="0" w:color="auto"/>
            </w:tcBorders>
            <w:shd w:val="clear" w:color="auto" w:fill="C6EFCE"/>
          </w:tcPr>
          <w:p w14:paraId="58E172A6" w14:textId="77777777" w:rsidR="00A345F4" w:rsidRDefault="005E2D4E">
            <w:pPr>
              <w:pStyle w:val="P68B1DB1-Normal78"/>
              <w:spacing w:after="0" w:line="259" w:lineRule="auto"/>
              <w:rPr>
                <w:noProof/>
              </w:rPr>
            </w:pPr>
            <w:r>
              <w:rPr>
                <w:noProof/>
              </w:rPr>
              <w:t>Construction de centres de collecte volontaire</w:t>
            </w:r>
          </w:p>
        </w:tc>
      </w:tr>
      <w:tr w:rsidR="00A345F4" w14:paraId="2F0A30C7" w14:textId="77777777">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C60F0A7" w14:textId="77777777" w:rsidR="00A345F4" w:rsidRDefault="005E2D4E">
            <w:pPr>
              <w:pStyle w:val="P68B1DB1-Normal74"/>
              <w:spacing w:after="0" w:line="259" w:lineRule="auto"/>
              <w:rPr>
                <w:noProof/>
              </w:rPr>
            </w:pPr>
            <w:r>
              <w:rPr>
                <w:noProof/>
              </w:rPr>
              <w:t>RO-C[C3]-I[I3a.0]-M[56]</w:t>
            </w:r>
          </w:p>
        </w:tc>
        <w:tc>
          <w:tcPr>
            <w:tcW w:w="3607" w:type="dxa"/>
            <w:tcBorders>
              <w:top w:val="single" w:sz="4" w:space="0" w:color="auto"/>
              <w:left w:val="nil"/>
              <w:bottom w:val="single" w:sz="4" w:space="0" w:color="auto"/>
              <w:right w:val="single" w:sz="4" w:space="0" w:color="auto"/>
            </w:tcBorders>
            <w:shd w:val="clear" w:color="auto" w:fill="C6EFCE"/>
          </w:tcPr>
          <w:p w14:paraId="0DFD117C" w14:textId="6ABEFCAD" w:rsidR="00A345F4" w:rsidRDefault="005E2D4E">
            <w:pPr>
              <w:pStyle w:val="P68B1DB1-Normal74"/>
              <w:spacing w:after="0" w:line="259" w:lineRule="auto"/>
              <w:rPr>
                <w:noProof/>
              </w:rPr>
            </w:pPr>
            <w:r>
              <w:rPr>
                <w:noProof/>
              </w:rPr>
              <w:t xml:space="preserve">Suivi public, contrôle et capacités institutionnelles </w:t>
            </w:r>
          </w:p>
        </w:tc>
        <w:tc>
          <w:tcPr>
            <w:tcW w:w="1216" w:type="dxa"/>
            <w:tcBorders>
              <w:top w:val="single" w:sz="4" w:space="0" w:color="auto"/>
              <w:left w:val="nil"/>
              <w:bottom w:val="single" w:sz="4" w:space="0" w:color="auto"/>
              <w:right w:val="single" w:sz="4" w:space="0" w:color="auto"/>
            </w:tcBorders>
            <w:shd w:val="clear" w:color="auto" w:fill="C6EFCE"/>
          </w:tcPr>
          <w:p w14:paraId="40947B38" w14:textId="77777777" w:rsidR="00A345F4" w:rsidRDefault="005E2D4E">
            <w:pPr>
              <w:pStyle w:val="P68B1DB1-Normal73"/>
              <w:spacing w:after="0" w:line="259" w:lineRule="auto"/>
              <w:jc w:val="center"/>
              <w:rPr>
                <w:noProof/>
              </w:rPr>
            </w:pPr>
            <w:r>
              <w:rPr>
                <w:noProof/>
              </w:rPr>
              <w:t>M</w:t>
            </w:r>
          </w:p>
        </w:tc>
        <w:tc>
          <w:tcPr>
            <w:tcW w:w="3465" w:type="dxa"/>
            <w:tcBorders>
              <w:top w:val="single" w:sz="4" w:space="0" w:color="auto"/>
              <w:left w:val="nil"/>
              <w:bottom w:val="single" w:sz="4" w:space="0" w:color="auto"/>
              <w:right w:val="single" w:sz="4" w:space="0" w:color="auto"/>
            </w:tcBorders>
            <w:shd w:val="clear" w:color="auto" w:fill="C6EFCE"/>
          </w:tcPr>
          <w:p w14:paraId="1B47DD86" w14:textId="77777777" w:rsidR="00A345F4" w:rsidRDefault="005E2D4E">
            <w:pPr>
              <w:pStyle w:val="P68B1DB1-Normal73"/>
              <w:spacing w:after="0" w:line="259" w:lineRule="auto"/>
              <w:rPr>
                <w:noProof/>
              </w:rPr>
            </w:pPr>
            <w:r>
              <w:rPr>
                <w:noProof/>
              </w:rPr>
              <w:t>Achat d'équipements numériques</w:t>
            </w:r>
          </w:p>
        </w:tc>
      </w:tr>
      <w:tr w:rsidR="00A345F4" w14:paraId="7809818D"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4FE06A1" w14:textId="77777777" w:rsidR="00A345F4" w:rsidRDefault="005E2D4E">
            <w:pPr>
              <w:pStyle w:val="P68B1DB1-Normal74"/>
              <w:spacing w:after="0" w:line="259" w:lineRule="auto"/>
              <w:rPr>
                <w:noProof/>
              </w:rPr>
            </w:pPr>
            <w:r>
              <w:rPr>
                <w:noProof/>
              </w:rPr>
              <w:t>RO-C[C3]-I[I3a.0]-T[57]</w:t>
            </w:r>
          </w:p>
        </w:tc>
        <w:tc>
          <w:tcPr>
            <w:tcW w:w="3607" w:type="dxa"/>
            <w:tcBorders>
              <w:top w:val="nil"/>
              <w:left w:val="nil"/>
              <w:bottom w:val="single" w:sz="4" w:space="0" w:color="auto"/>
              <w:right w:val="single" w:sz="4" w:space="0" w:color="auto"/>
            </w:tcBorders>
            <w:shd w:val="clear" w:color="auto" w:fill="C6EFCE"/>
          </w:tcPr>
          <w:p w14:paraId="10511B25" w14:textId="3BF066EB" w:rsidR="00A345F4" w:rsidRDefault="005E2D4E">
            <w:pPr>
              <w:pStyle w:val="P68B1DB1-Normal74"/>
              <w:spacing w:after="0" w:line="259" w:lineRule="auto"/>
              <w:rPr>
                <w:noProof/>
              </w:rPr>
            </w:pPr>
            <w:r>
              <w:rPr>
                <w:noProof/>
              </w:rPr>
              <w:t xml:space="preserve">Suivi public, contrôle et capacités institutionnelles </w:t>
            </w:r>
          </w:p>
        </w:tc>
        <w:tc>
          <w:tcPr>
            <w:tcW w:w="1216" w:type="dxa"/>
            <w:tcBorders>
              <w:top w:val="nil"/>
              <w:left w:val="nil"/>
              <w:bottom w:val="single" w:sz="4" w:space="0" w:color="auto"/>
              <w:right w:val="single" w:sz="4" w:space="0" w:color="auto"/>
            </w:tcBorders>
            <w:shd w:val="clear" w:color="auto" w:fill="C6EFCE"/>
          </w:tcPr>
          <w:p w14:paraId="128B06F4" w14:textId="77777777" w:rsidR="00A345F4" w:rsidRDefault="005E2D4E">
            <w:pPr>
              <w:pStyle w:val="P68B1DB1-Normal73"/>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7A966E11" w14:textId="77777777" w:rsidR="00A345F4" w:rsidRDefault="005E2D4E">
            <w:pPr>
              <w:pStyle w:val="P68B1DB1-Normal73"/>
              <w:spacing w:after="0" w:line="259" w:lineRule="auto"/>
              <w:rPr>
                <w:noProof/>
              </w:rPr>
            </w:pPr>
            <w:r>
              <w:rPr>
                <w:noProof/>
              </w:rPr>
              <w:t>Fourniture de 400 missions de contrôle à l'aide d'équipements numériques</w:t>
            </w:r>
          </w:p>
        </w:tc>
      </w:tr>
      <w:tr w:rsidR="00A345F4" w14:paraId="1FBE551D"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FBBF656" w14:textId="77777777" w:rsidR="00A345F4" w:rsidRDefault="005E2D4E">
            <w:pPr>
              <w:pStyle w:val="P68B1DB1-Normal74"/>
              <w:spacing w:after="0" w:line="259" w:lineRule="auto"/>
              <w:rPr>
                <w:noProof/>
              </w:rPr>
            </w:pPr>
            <w:r>
              <w:rPr>
                <w:noProof/>
              </w:rPr>
              <w:t>RO-C[C4]-R[R1.0]-T[61]</w:t>
            </w:r>
          </w:p>
        </w:tc>
        <w:tc>
          <w:tcPr>
            <w:tcW w:w="3607" w:type="dxa"/>
            <w:tcBorders>
              <w:top w:val="nil"/>
              <w:left w:val="nil"/>
              <w:bottom w:val="single" w:sz="4" w:space="0" w:color="auto"/>
              <w:right w:val="single" w:sz="4" w:space="0" w:color="auto"/>
            </w:tcBorders>
            <w:shd w:val="clear" w:color="auto" w:fill="C6EFCE"/>
          </w:tcPr>
          <w:p w14:paraId="08E5FB51" w14:textId="10A918B2" w:rsidR="00A345F4" w:rsidRDefault="005E2D4E">
            <w:pPr>
              <w:pStyle w:val="P68B1DB1-Normal74"/>
              <w:spacing w:after="0" w:line="259" w:lineRule="auto"/>
              <w:rPr>
                <w:noProof/>
              </w:rPr>
            </w:pPr>
            <w:r>
              <w:rPr>
                <w:noProof/>
              </w:rPr>
              <w:t xml:space="preserve">Transports durables, décarbonation et sécurité routière </w:t>
            </w:r>
          </w:p>
        </w:tc>
        <w:tc>
          <w:tcPr>
            <w:tcW w:w="1216" w:type="dxa"/>
            <w:tcBorders>
              <w:top w:val="nil"/>
              <w:left w:val="nil"/>
              <w:bottom w:val="single" w:sz="4" w:space="0" w:color="auto"/>
              <w:right w:val="single" w:sz="4" w:space="0" w:color="auto"/>
            </w:tcBorders>
            <w:shd w:val="clear" w:color="auto" w:fill="C6EFCE"/>
          </w:tcPr>
          <w:p w14:paraId="79E6FD22" w14:textId="77777777" w:rsidR="00A345F4" w:rsidRDefault="005E2D4E">
            <w:pPr>
              <w:pStyle w:val="P68B1DB1-Normal73"/>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2D89EFB9" w14:textId="6F916B75" w:rsidR="00A345F4" w:rsidRDefault="005E2D4E">
            <w:pPr>
              <w:pStyle w:val="P68B1DB1-Normal81"/>
              <w:spacing w:after="0" w:line="259" w:lineRule="auto"/>
              <w:rPr>
                <w:noProof/>
              </w:rPr>
            </w:pPr>
            <w:r>
              <w:rPr>
                <w:noProof/>
                <w:kern w:val="2"/>
                <w14:ligatures w14:val="standardContextual"/>
              </w:rPr>
              <w:t>Véhicules propres neufs achetés par les pouvoirs adjudicateurs/entités adjudicatrices</w:t>
            </w:r>
          </w:p>
        </w:tc>
      </w:tr>
      <w:tr w:rsidR="00A345F4" w14:paraId="11722D56"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3D40942" w14:textId="77777777" w:rsidR="00A345F4" w:rsidRDefault="005E2D4E">
            <w:pPr>
              <w:pStyle w:val="P68B1DB1-Normal74"/>
              <w:spacing w:after="0" w:line="259" w:lineRule="auto"/>
              <w:rPr>
                <w:noProof/>
              </w:rPr>
            </w:pPr>
            <w:r>
              <w:rPr>
                <w:noProof/>
              </w:rPr>
              <w:t>RO-C[C4]-R[R1.0]-M[62]</w:t>
            </w:r>
          </w:p>
        </w:tc>
        <w:tc>
          <w:tcPr>
            <w:tcW w:w="3607" w:type="dxa"/>
            <w:tcBorders>
              <w:top w:val="nil"/>
              <w:left w:val="nil"/>
              <w:bottom w:val="single" w:sz="4" w:space="0" w:color="auto"/>
              <w:right w:val="single" w:sz="4" w:space="0" w:color="auto"/>
            </w:tcBorders>
            <w:shd w:val="clear" w:color="auto" w:fill="C6EFCE"/>
          </w:tcPr>
          <w:p w14:paraId="58740D01" w14:textId="4225178A" w:rsidR="00A345F4" w:rsidRDefault="005E2D4E">
            <w:pPr>
              <w:pStyle w:val="P68B1DB1-Normal74"/>
              <w:spacing w:after="0" w:line="259" w:lineRule="auto"/>
              <w:rPr>
                <w:noProof/>
              </w:rPr>
            </w:pPr>
            <w:r>
              <w:rPr>
                <w:noProof/>
              </w:rPr>
              <w:t>Transports durables, décarbonation et sécurité routière</w:t>
            </w:r>
          </w:p>
        </w:tc>
        <w:tc>
          <w:tcPr>
            <w:tcW w:w="1216" w:type="dxa"/>
            <w:tcBorders>
              <w:top w:val="nil"/>
              <w:left w:val="nil"/>
              <w:bottom w:val="single" w:sz="4" w:space="0" w:color="auto"/>
              <w:right w:val="single" w:sz="4" w:space="0" w:color="auto"/>
            </w:tcBorders>
            <w:shd w:val="clear" w:color="auto" w:fill="C6EFCE"/>
          </w:tcPr>
          <w:p w14:paraId="7723CC02"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3356511A" w14:textId="6C6FC603" w:rsidR="00A345F4" w:rsidRDefault="005E2D4E">
            <w:pPr>
              <w:pStyle w:val="P68B1DB1-Normal81"/>
              <w:spacing w:after="0" w:line="259" w:lineRule="auto"/>
              <w:rPr>
                <w:noProof/>
                <w:kern w:val="2"/>
                <w14:ligatures w14:val="standardContextual"/>
              </w:rPr>
            </w:pPr>
            <w:r>
              <w:rPr>
                <w:noProof/>
              </w:rPr>
              <w:t xml:space="preserve"> Véhicules mis au rebut (EURO 3 ou moins) et stock de véhicules à émissions nulles</w:t>
            </w:r>
          </w:p>
        </w:tc>
      </w:tr>
      <w:tr w:rsidR="00A345F4" w14:paraId="74CA3959"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441FC61" w14:textId="77777777" w:rsidR="00A345F4" w:rsidRDefault="005E2D4E">
            <w:pPr>
              <w:pStyle w:val="P68B1DB1-Normal74"/>
              <w:spacing w:after="0" w:line="259" w:lineRule="auto"/>
              <w:rPr>
                <w:noProof/>
              </w:rPr>
            </w:pPr>
            <w:r>
              <w:rPr>
                <w:noProof/>
              </w:rPr>
              <w:t>RO-C[C6]-R[R1.0]-M[118]</w:t>
            </w:r>
          </w:p>
        </w:tc>
        <w:tc>
          <w:tcPr>
            <w:tcW w:w="3607" w:type="dxa"/>
            <w:tcBorders>
              <w:top w:val="nil"/>
              <w:left w:val="nil"/>
              <w:bottom w:val="single" w:sz="4" w:space="0" w:color="auto"/>
              <w:right w:val="single" w:sz="4" w:space="0" w:color="auto"/>
            </w:tcBorders>
            <w:shd w:val="clear" w:color="auto" w:fill="C6EFCE"/>
          </w:tcPr>
          <w:p w14:paraId="527C01A9" w14:textId="77777777" w:rsidR="00A345F4" w:rsidRDefault="005E2D4E">
            <w:pPr>
              <w:pStyle w:val="P68B1DB1-Normal74"/>
              <w:spacing w:after="0" w:line="259" w:lineRule="auto"/>
              <w:rPr>
                <w:noProof/>
              </w:rPr>
            </w:pPr>
            <w:r>
              <w:rPr>
                <w:noProof/>
              </w:rPr>
              <w:t>Réforme du marché de l'électricité, remplacement du charbon dans le bouquet énergétique et soutien à un cadre législatif et réglementaire pour les investissements privés dans la production d'électricité renouvelable</w:t>
            </w:r>
          </w:p>
        </w:tc>
        <w:tc>
          <w:tcPr>
            <w:tcW w:w="1216" w:type="dxa"/>
            <w:tcBorders>
              <w:top w:val="nil"/>
              <w:left w:val="nil"/>
              <w:bottom w:val="single" w:sz="4" w:space="0" w:color="auto"/>
              <w:right w:val="single" w:sz="4" w:space="0" w:color="auto"/>
            </w:tcBorders>
            <w:shd w:val="clear" w:color="auto" w:fill="C6EFCE"/>
          </w:tcPr>
          <w:p w14:paraId="7A5883DD"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30C79C76" w14:textId="170C52AF" w:rsidR="00A345F4" w:rsidRDefault="005E2D4E">
            <w:pPr>
              <w:pStyle w:val="P68B1DB1-Normal81"/>
              <w:spacing w:after="0" w:line="259" w:lineRule="auto"/>
              <w:rPr>
                <w:noProof/>
                <w:kern w:val="2"/>
                <w14:ligatures w14:val="standardContextual"/>
              </w:rPr>
            </w:pPr>
            <w:r>
              <w:rPr>
                <w:noProof/>
                <w:kern w:val="2"/>
                <w14:ligatures w14:val="standardContextual"/>
              </w:rPr>
              <w:t xml:space="preserve">Signature de contrats d’écart compensatoire pour les sources d’énergie renouvelables à l’issue </w:t>
            </w:r>
            <w:r>
              <w:rPr>
                <w:noProof/>
              </w:rPr>
              <w:t>de cycles d’enchères</w:t>
            </w:r>
          </w:p>
        </w:tc>
      </w:tr>
      <w:tr w:rsidR="00A345F4" w14:paraId="4C0DE0C5"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D070D69" w14:textId="77777777" w:rsidR="00A345F4" w:rsidRDefault="005E2D4E">
            <w:pPr>
              <w:pStyle w:val="P68B1DB1-Normal78"/>
              <w:spacing w:after="0" w:line="259" w:lineRule="auto"/>
              <w:rPr>
                <w:rFonts w:eastAsia="Times New Roman"/>
                <w:noProof/>
              </w:rPr>
            </w:pPr>
            <w:r>
              <w:rPr>
                <w:noProof/>
              </w:rPr>
              <w:t>RO-C[C6]-R[R1.0]-T[120]</w:t>
            </w:r>
          </w:p>
        </w:tc>
        <w:tc>
          <w:tcPr>
            <w:tcW w:w="3607" w:type="dxa"/>
            <w:tcBorders>
              <w:top w:val="nil"/>
              <w:left w:val="nil"/>
              <w:bottom w:val="single" w:sz="4" w:space="0" w:color="auto"/>
              <w:right w:val="single" w:sz="4" w:space="0" w:color="auto"/>
            </w:tcBorders>
            <w:shd w:val="clear" w:color="auto" w:fill="C6EFCE"/>
          </w:tcPr>
          <w:p w14:paraId="629A3535" w14:textId="77777777" w:rsidR="00A345F4" w:rsidRDefault="005E2D4E">
            <w:pPr>
              <w:pStyle w:val="P68B1DB1-Normal78"/>
              <w:spacing w:after="0" w:line="259" w:lineRule="auto"/>
              <w:rPr>
                <w:rFonts w:eastAsia="Times New Roman"/>
                <w:noProof/>
              </w:rPr>
            </w:pPr>
            <w:r>
              <w:rPr>
                <w:noProof/>
              </w:rPr>
              <w:t>Réforme du marché de l'électricité, remplacement du charbon dans le bouquet énergétique et soutien à un cadre législatif et réglementaire pour les investissements privés dans la production d'électricité renouvelable</w:t>
            </w:r>
          </w:p>
        </w:tc>
        <w:tc>
          <w:tcPr>
            <w:tcW w:w="1216" w:type="dxa"/>
            <w:tcBorders>
              <w:top w:val="nil"/>
              <w:left w:val="nil"/>
              <w:bottom w:val="single" w:sz="4" w:space="0" w:color="auto"/>
              <w:right w:val="single" w:sz="4" w:space="0" w:color="auto"/>
            </w:tcBorders>
            <w:shd w:val="clear" w:color="auto" w:fill="C6EFCE"/>
          </w:tcPr>
          <w:p w14:paraId="50F817B5"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58B25258" w14:textId="77777777" w:rsidR="00A345F4" w:rsidRDefault="005E2D4E">
            <w:pPr>
              <w:pStyle w:val="P68B1DB1-Normal78"/>
              <w:spacing w:after="0" w:line="259" w:lineRule="auto"/>
              <w:rPr>
                <w:noProof/>
              </w:rPr>
            </w:pPr>
            <w:r>
              <w:rPr>
                <w:noProof/>
              </w:rPr>
              <w:t>Capacité supplémentaire d’énergies renouvelables installée et connectée au réseau</w:t>
            </w:r>
          </w:p>
        </w:tc>
      </w:tr>
      <w:tr w:rsidR="00A345F4" w14:paraId="60824674"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B74C77F" w14:textId="20B3A715" w:rsidR="00A345F4" w:rsidRDefault="005E2D4E">
            <w:pPr>
              <w:pStyle w:val="P68B1DB1-Normal78"/>
              <w:spacing w:after="0" w:line="259" w:lineRule="auto"/>
              <w:rPr>
                <w:rFonts w:eastAsia="Times New Roman"/>
                <w:noProof/>
              </w:rPr>
            </w:pPr>
            <w:r>
              <w:rPr>
                <w:noProof/>
              </w:rPr>
              <w:t>RO-C[C16]-I[I9.0]-T[139]</w:t>
            </w:r>
          </w:p>
        </w:tc>
        <w:tc>
          <w:tcPr>
            <w:tcW w:w="3607" w:type="dxa"/>
            <w:tcBorders>
              <w:top w:val="nil"/>
              <w:left w:val="nil"/>
              <w:bottom w:val="single" w:sz="4" w:space="0" w:color="auto"/>
              <w:right w:val="single" w:sz="4" w:space="0" w:color="auto"/>
            </w:tcBorders>
            <w:shd w:val="clear" w:color="auto" w:fill="C6EFCE"/>
          </w:tcPr>
          <w:p w14:paraId="5A163C7C" w14:textId="77777777" w:rsidR="00A345F4" w:rsidRDefault="005E2D4E">
            <w:pPr>
              <w:pStyle w:val="P68B1DB1-Normal78"/>
              <w:spacing w:after="0" w:line="259" w:lineRule="auto"/>
              <w:rPr>
                <w:rFonts w:eastAsia="Times New Roman"/>
                <w:noProof/>
              </w:rPr>
            </w:pPr>
            <w:r>
              <w:rPr>
                <w:noProof/>
              </w:rPr>
              <w:t>Nouvelles capacités de stockage d'électricité</w:t>
            </w:r>
          </w:p>
        </w:tc>
        <w:tc>
          <w:tcPr>
            <w:tcW w:w="1216" w:type="dxa"/>
            <w:tcBorders>
              <w:top w:val="nil"/>
              <w:left w:val="nil"/>
              <w:bottom w:val="single" w:sz="4" w:space="0" w:color="auto"/>
              <w:right w:val="single" w:sz="4" w:space="0" w:color="auto"/>
            </w:tcBorders>
            <w:shd w:val="clear" w:color="auto" w:fill="C6EFCE"/>
          </w:tcPr>
          <w:p w14:paraId="221B49B9"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0BE80E89" w14:textId="77777777" w:rsidR="00A345F4" w:rsidRDefault="005E2D4E">
            <w:pPr>
              <w:pStyle w:val="P68B1DB1-Normal78"/>
              <w:spacing w:after="0" w:line="259" w:lineRule="auto"/>
              <w:rPr>
                <w:noProof/>
              </w:rPr>
            </w:pPr>
            <w:r>
              <w:rPr>
                <w:noProof/>
              </w:rPr>
              <w:t>Capacité de stockage d'électricité installée</w:t>
            </w:r>
          </w:p>
        </w:tc>
      </w:tr>
      <w:tr w:rsidR="00A345F4" w14:paraId="69B109F3"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0D5C230" w14:textId="271DA287" w:rsidR="00A345F4" w:rsidRDefault="005E2D4E">
            <w:pPr>
              <w:pStyle w:val="P68B1DB1-Normal74"/>
              <w:spacing w:after="0" w:line="259" w:lineRule="auto"/>
              <w:rPr>
                <w:noProof/>
              </w:rPr>
            </w:pPr>
            <w:r>
              <w:rPr>
                <w:noProof/>
              </w:rPr>
              <w:t>RO-C[C16]-I[I10.0]-T[141]</w:t>
            </w:r>
          </w:p>
        </w:tc>
        <w:tc>
          <w:tcPr>
            <w:tcW w:w="3607" w:type="dxa"/>
            <w:tcBorders>
              <w:top w:val="nil"/>
              <w:left w:val="nil"/>
              <w:bottom w:val="single" w:sz="4" w:space="0" w:color="auto"/>
              <w:right w:val="single" w:sz="4" w:space="0" w:color="auto"/>
            </w:tcBorders>
            <w:shd w:val="clear" w:color="auto" w:fill="C6EFCE"/>
          </w:tcPr>
          <w:p w14:paraId="23874A16" w14:textId="77777777" w:rsidR="00A345F4" w:rsidRDefault="005E2D4E">
            <w:pPr>
              <w:pStyle w:val="P68B1DB1-Normal74"/>
              <w:spacing w:after="0" w:line="259" w:lineRule="auto"/>
              <w:rPr>
                <w:noProof/>
              </w:rPr>
            </w:pPr>
            <w:r>
              <w:rPr>
                <w:noProof/>
              </w:rPr>
              <w:t>Assurer l'efficacité énergétique dans le secteur industriel</w:t>
            </w:r>
          </w:p>
        </w:tc>
        <w:tc>
          <w:tcPr>
            <w:tcW w:w="1216" w:type="dxa"/>
            <w:tcBorders>
              <w:top w:val="nil"/>
              <w:left w:val="nil"/>
              <w:bottom w:val="single" w:sz="4" w:space="0" w:color="auto"/>
              <w:right w:val="single" w:sz="4" w:space="0" w:color="auto"/>
            </w:tcBorders>
            <w:shd w:val="clear" w:color="auto" w:fill="C6EFCE"/>
          </w:tcPr>
          <w:p w14:paraId="1831ECA3" w14:textId="77777777" w:rsidR="00A345F4" w:rsidRDefault="005E2D4E">
            <w:pPr>
              <w:pStyle w:val="P68B1DB1-Normal73"/>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4E4FE27F" w14:textId="77777777" w:rsidR="00A345F4" w:rsidRDefault="005E2D4E">
            <w:pPr>
              <w:pStyle w:val="P68B1DB1-Normal73"/>
              <w:spacing w:after="0" w:line="259" w:lineRule="auto"/>
              <w:rPr>
                <w:noProof/>
              </w:rPr>
            </w:pPr>
            <w:r>
              <w:rPr>
                <w:noProof/>
              </w:rPr>
              <w:t>Réalisation de projets d'efficacité énergétique</w:t>
            </w:r>
          </w:p>
        </w:tc>
      </w:tr>
      <w:tr w:rsidR="00A345F4" w14:paraId="285C25D2"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7D78F56" w14:textId="77777777" w:rsidR="00A345F4" w:rsidRDefault="005E2D4E">
            <w:pPr>
              <w:pStyle w:val="P68B1DB1-Normal74"/>
              <w:spacing w:after="0" w:line="259" w:lineRule="auto"/>
              <w:rPr>
                <w:noProof/>
              </w:rPr>
            </w:pPr>
            <w:r>
              <w:rPr>
                <w:noProof/>
              </w:rPr>
              <w:t>RO-C[C7]-I[I1.0]-T[155]</w:t>
            </w:r>
          </w:p>
        </w:tc>
        <w:tc>
          <w:tcPr>
            <w:tcW w:w="3607" w:type="dxa"/>
            <w:tcBorders>
              <w:top w:val="nil"/>
              <w:left w:val="nil"/>
              <w:bottom w:val="single" w:sz="4" w:space="0" w:color="auto"/>
              <w:right w:val="single" w:sz="4" w:space="0" w:color="auto"/>
            </w:tcBorders>
            <w:shd w:val="clear" w:color="auto" w:fill="C6EFCE"/>
          </w:tcPr>
          <w:p w14:paraId="33A2AAD6" w14:textId="77777777" w:rsidR="00A345F4" w:rsidRDefault="005E2D4E">
            <w:pPr>
              <w:pStyle w:val="P68B1DB1-Normal74"/>
              <w:spacing w:after="0" w:line="259" w:lineRule="auto"/>
              <w:rPr>
                <w:noProof/>
              </w:rPr>
            </w:pPr>
            <w:r>
              <w:rPr>
                <w:noProof/>
              </w:rPr>
              <w:t>Déploiement de l'infrastructure d'informatique en nuage du gouvernement</w:t>
            </w:r>
          </w:p>
        </w:tc>
        <w:tc>
          <w:tcPr>
            <w:tcW w:w="1216" w:type="dxa"/>
            <w:tcBorders>
              <w:top w:val="nil"/>
              <w:left w:val="nil"/>
              <w:bottom w:val="single" w:sz="4" w:space="0" w:color="auto"/>
              <w:right w:val="single" w:sz="4" w:space="0" w:color="auto"/>
            </w:tcBorders>
            <w:shd w:val="clear" w:color="auto" w:fill="C6EFCE"/>
          </w:tcPr>
          <w:p w14:paraId="0280B05C" w14:textId="77777777" w:rsidR="00A345F4" w:rsidRDefault="005E2D4E">
            <w:pPr>
              <w:pStyle w:val="P68B1DB1-Normal73"/>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1DFA5A05" w14:textId="77777777" w:rsidR="00A345F4" w:rsidRDefault="005E2D4E">
            <w:pPr>
              <w:pStyle w:val="P68B1DB1-Normal73"/>
              <w:spacing w:after="0" w:line="259" w:lineRule="auto"/>
              <w:rPr>
                <w:noProof/>
              </w:rPr>
            </w:pPr>
            <w:r>
              <w:rPr>
                <w:noProof/>
              </w:rPr>
              <w:t xml:space="preserve">Centres de données de niveau III et de niveau IV fonctionnels </w:t>
            </w:r>
          </w:p>
        </w:tc>
      </w:tr>
      <w:tr w:rsidR="00A345F4" w14:paraId="25FC13F5"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223B603" w14:textId="77777777" w:rsidR="00A345F4" w:rsidRDefault="005E2D4E">
            <w:pPr>
              <w:pStyle w:val="P68B1DB1-Normal78"/>
              <w:spacing w:after="0" w:line="259" w:lineRule="auto"/>
              <w:rPr>
                <w:rFonts w:eastAsia="Times New Roman"/>
                <w:noProof/>
              </w:rPr>
            </w:pPr>
            <w:r>
              <w:rPr>
                <w:noProof/>
              </w:rPr>
              <w:t>RO-C[C7]-I[I2.0]-T[157]</w:t>
            </w:r>
          </w:p>
        </w:tc>
        <w:tc>
          <w:tcPr>
            <w:tcW w:w="3607" w:type="dxa"/>
            <w:tcBorders>
              <w:top w:val="nil"/>
              <w:left w:val="nil"/>
              <w:bottom w:val="single" w:sz="4" w:space="0" w:color="auto"/>
              <w:right w:val="single" w:sz="4" w:space="0" w:color="auto"/>
            </w:tcBorders>
            <w:shd w:val="clear" w:color="auto" w:fill="C6EFCE"/>
          </w:tcPr>
          <w:p w14:paraId="5F0A914A" w14:textId="77777777" w:rsidR="00A345F4" w:rsidRDefault="005E2D4E">
            <w:pPr>
              <w:pStyle w:val="P68B1DB1-Normal78"/>
              <w:spacing w:after="0" w:line="259" w:lineRule="auto"/>
              <w:rPr>
                <w:rFonts w:eastAsia="Times New Roman"/>
                <w:noProof/>
              </w:rPr>
            </w:pPr>
            <w:r>
              <w:rPr>
                <w:noProof/>
              </w:rPr>
              <w:t>Développement et migration vers le cloud</w:t>
            </w:r>
          </w:p>
        </w:tc>
        <w:tc>
          <w:tcPr>
            <w:tcW w:w="1216" w:type="dxa"/>
            <w:tcBorders>
              <w:top w:val="nil"/>
              <w:left w:val="nil"/>
              <w:bottom w:val="single" w:sz="4" w:space="0" w:color="auto"/>
              <w:right w:val="single" w:sz="4" w:space="0" w:color="auto"/>
            </w:tcBorders>
            <w:shd w:val="clear" w:color="auto" w:fill="C6EFCE"/>
          </w:tcPr>
          <w:p w14:paraId="3374BBFE"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205CDFA2" w14:textId="36F0DCFA" w:rsidR="00A345F4" w:rsidRDefault="005E2D4E">
            <w:pPr>
              <w:pStyle w:val="P68B1DB1-Normal80"/>
              <w:spacing w:after="0" w:line="259" w:lineRule="auto"/>
              <w:rPr>
                <w:noProof/>
                <w:kern w:val="2"/>
                <w14:ligatures w14:val="standardContextual"/>
              </w:rPr>
            </w:pPr>
            <w:r>
              <w:rPr>
                <w:noProof/>
              </w:rPr>
              <w:t xml:space="preserve">Applications </w:t>
            </w:r>
            <w:r>
              <w:rPr>
                <w:noProof/>
                <w:kern w:val="2"/>
                <w14:ligatures w14:val="standardContextual"/>
              </w:rPr>
              <w:t>de services numériques gouvernementales</w:t>
            </w:r>
            <w:r>
              <w:rPr>
                <w:noProof/>
              </w:rPr>
              <w:t xml:space="preserve"> cloud-native ou cloud-ready développées ou migrées dans Platform-as-a-Service (PaaS) ou Infrastructure-as-a-Service (IaaS).</w:t>
            </w:r>
          </w:p>
        </w:tc>
      </w:tr>
      <w:tr w:rsidR="00A345F4" w14:paraId="016FD943"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2966A21" w14:textId="77777777" w:rsidR="00A345F4" w:rsidRDefault="005E2D4E">
            <w:pPr>
              <w:pStyle w:val="P68B1DB1-Normal78"/>
              <w:spacing w:after="0" w:line="259" w:lineRule="auto"/>
              <w:rPr>
                <w:rFonts w:eastAsia="Times New Roman"/>
                <w:noProof/>
              </w:rPr>
            </w:pPr>
            <w:r>
              <w:rPr>
                <w:noProof/>
              </w:rPr>
              <w:t>RO-C[C7]-I[I5.0]-M[167]</w:t>
            </w:r>
          </w:p>
        </w:tc>
        <w:tc>
          <w:tcPr>
            <w:tcW w:w="3607" w:type="dxa"/>
            <w:tcBorders>
              <w:top w:val="nil"/>
              <w:left w:val="nil"/>
              <w:bottom w:val="single" w:sz="4" w:space="0" w:color="auto"/>
              <w:right w:val="single" w:sz="4" w:space="0" w:color="auto"/>
            </w:tcBorders>
            <w:shd w:val="clear" w:color="auto" w:fill="C6EFCE"/>
          </w:tcPr>
          <w:p w14:paraId="6F7262CE" w14:textId="77777777" w:rsidR="00A345F4" w:rsidRDefault="005E2D4E">
            <w:pPr>
              <w:pStyle w:val="P68B1DB1-Normal78"/>
              <w:spacing w:after="0" w:line="259" w:lineRule="auto"/>
              <w:rPr>
                <w:rFonts w:eastAsia="Times New Roman"/>
                <w:noProof/>
              </w:rPr>
            </w:pPr>
            <w:r>
              <w:rPr>
                <w:noProof/>
              </w:rPr>
              <w:t>Numérisation dans le domaine de l’environnement</w:t>
            </w:r>
          </w:p>
        </w:tc>
        <w:tc>
          <w:tcPr>
            <w:tcW w:w="1216" w:type="dxa"/>
            <w:tcBorders>
              <w:top w:val="nil"/>
              <w:left w:val="nil"/>
              <w:bottom w:val="single" w:sz="4" w:space="0" w:color="auto"/>
              <w:right w:val="single" w:sz="4" w:space="0" w:color="auto"/>
            </w:tcBorders>
            <w:shd w:val="clear" w:color="auto" w:fill="C6EFCE"/>
          </w:tcPr>
          <w:p w14:paraId="12456B7B"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0C38FDDE" w14:textId="77777777" w:rsidR="00A345F4" w:rsidRDefault="005E2D4E">
            <w:pPr>
              <w:pStyle w:val="P68B1DB1-Normal78"/>
              <w:spacing w:after="0" w:line="259" w:lineRule="auto"/>
              <w:rPr>
                <w:noProof/>
              </w:rPr>
            </w:pPr>
            <w:r>
              <w:rPr>
                <w:noProof/>
              </w:rPr>
              <w:t xml:space="preserve">Système fonctionnel de surveillance des forêts roumaines, avec des mesures contre l'exploitation illégale des forêts </w:t>
            </w:r>
          </w:p>
        </w:tc>
      </w:tr>
      <w:tr w:rsidR="00A345F4" w14:paraId="3526B7CD"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AEE87E0" w14:textId="77777777" w:rsidR="00A345F4" w:rsidRDefault="005E2D4E">
            <w:pPr>
              <w:pStyle w:val="P68B1DB1-Normal78"/>
              <w:spacing w:after="0" w:line="259" w:lineRule="auto"/>
              <w:rPr>
                <w:rFonts w:eastAsia="Times New Roman"/>
                <w:noProof/>
              </w:rPr>
            </w:pPr>
            <w:r>
              <w:rPr>
                <w:noProof/>
              </w:rPr>
              <w:t>RO-C[C7]-I[I6.0]-M[171]</w:t>
            </w:r>
          </w:p>
        </w:tc>
        <w:tc>
          <w:tcPr>
            <w:tcW w:w="3607" w:type="dxa"/>
            <w:tcBorders>
              <w:top w:val="nil"/>
              <w:left w:val="nil"/>
              <w:bottom w:val="single" w:sz="4" w:space="0" w:color="auto"/>
              <w:right w:val="single" w:sz="4" w:space="0" w:color="auto"/>
            </w:tcBorders>
            <w:shd w:val="clear" w:color="auto" w:fill="C6EFCE"/>
          </w:tcPr>
          <w:p w14:paraId="6BDF807A" w14:textId="77777777" w:rsidR="00A345F4" w:rsidRDefault="005E2D4E">
            <w:pPr>
              <w:pStyle w:val="P68B1DB1-Normal78"/>
              <w:spacing w:after="0" w:line="259" w:lineRule="auto"/>
              <w:rPr>
                <w:rFonts w:eastAsia="Times New Roman"/>
                <w:noProof/>
              </w:rPr>
            </w:pPr>
            <w:r>
              <w:rPr>
                <w:noProof/>
              </w:rPr>
              <w:t>Numérisation dans le domaine de l’emploi et de la protection sociale</w:t>
            </w:r>
          </w:p>
        </w:tc>
        <w:tc>
          <w:tcPr>
            <w:tcW w:w="1216" w:type="dxa"/>
            <w:tcBorders>
              <w:top w:val="nil"/>
              <w:left w:val="nil"/>
              <w:bottom w:val="single" w:sz="4" w:space="0" w:color="auto"/>
              <w:right w:val="single" w:sz="4" w:space="0" w:color="auto"/>
            </w:tcBorders>
            <w:shd w:val="clear" w:color="auto" w:fill="C6EFCE"/>
          </w:tcPr>
          <w:p w14:paraId="7850C765"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4DFE704A" w14:textId="77777777" w:rsidR="00A345F4" w:rsidRDefault="005E2D4E">
            <w:pPr>
              <w:pStyle w:val="P68B1DB1-Normal78"/>
              <w:spacing w:after="0" w:line="259" w:lineRule="auto"/>
              <w:rPr>
                <w:noProof/>
              </w:rPr>
            </w:pPr>
            <w:r>
              <w:rPr>
                <w:noProof/>
              </w:rPr>
              <w:t>Formations sur les compétences numériques pour les employés</w:t>
            </w:r>
          </w:p>
        </w:tc>
      </w:tr>
      <w:tr w:rsidR="00A345F4" w14:paraId="41ED1B75"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966030C" w14:textId="77777777" w:rsidR="00A345F4" w:rsidRDefault="005E2D4E">
            <w:pPr>
              <w:pStyle w:val="P68B1DB1-Normal78"/>
              <w:spacing w:after="0" w:line="259" w:lineRule="auto"/>
              <w:rPr>
                <w:rFonts w:eastAsia="Times New Roman"/>
                <w:noProof/>
              </w:rPr>
            </w:pPr>
            <w:r>
              <w:rPr>
                <w:noProof/>
              </w:rPr>
              <w:t>RO-C[C7]-I[I9.0]-T[175]</w:t>
            </w:r>
          </w:p>
        </w:tc>
        <w:tc>
          <w:tcPr>
            <w:tcW w:w="3607" w:type="dxa"/>
            <w:tcBorders>
              <w:top w:val="nil"/>
              <w:left w:val="nil"/>
              <w:bottom w:val="single" w:sz="4" w:space="0" w:color="auto"/>
              <w:right w:val="single" w:sz="4" w:space="0" w:color="auto"/>
            </w:tcBorders>
            <w:shd w:val="clear" w:color="auto" w:fill="C6EFCE"/>
          </w:tcPr>
          <w:p w14:paraId="498FB974" w14:textId="77777777" w:rsidR="00A345F4" w:rsidRDefault="005E2D4E">
            <w:pPr>
              <w:pStyle w:val="P68B1DB1-Normal78"/>
              <w:spacing w:after="0" w:line="259" w:lineRule="auto"/>
              <w:rPr>
                <w:rFonts w:eastAsia="Times New Roman"/>
                <w:noProof/>
              </w:rPr>
            </w:pPr>
            <w:r>
              <w:rPr>
                <w:noProof/>
              </w:rPr>
              <w:t>Numérisation du secteur des organisations non gouvernementales</w:t>
            </w:r>
          </w:p>
        </w:tc>
        <w:tc>
          <w:tcPr>
            <w:tcW w:w="1216" w:type="dxa"/>
            <w:tcBorders>
              <w:top w:val="nil"/>
              <w:left w:val="nil"/>
              <w:bottom w:val="single" w:sz="4" w:space="0" w:color="auto"/>
              <w:right w:val="single" w:sz="4" w:space="0" w:color="auto"/>
            </w:tcBorders>
            <w:shd w:val="clear" w:color="auto" w:fill="C6EFCE"/>
          </w:tcPr>
          <w:p w14:paraId="29CA65AB"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54AB1262" w14:textId="515A24AE" w:rsidR="00A345F4" w:rsidRDefault="005E2D4E">
            <w:pPr>
              <w:pStyle w:val="P68B1DB1-Normal80"/>
              <w:spacing w:after="0" w:line="259" w:lineRule="auto"/>
              <w:rPr>
                <w:noProof/>
              </w:rPr>
            </w:pPr>
            <w:r>
              <w:rPr>
                <w:noProof/>
              </w:rPr>
              <w:t xml:space="preserve"> Attribution de conventions de financement à des ONG pour des projets de numérisation</w:t>
            </w:r>
          </w:p>
        </w:tc>
      </w:tr>
      <w:tr w:rsidR="00A345F4" w14:paraId="2AACC77B"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04339E3" w14:textId="77777777" w:rsidR="00A345F4" w:rsidRDefault="005E2D4E">
            <w:pPr>
              <w:pStyle w:val="P68B1DB1-Normal74"/>
              <w:spacing w:after="0" w:line="259" w:lineRule="auto"/>
              <w:rPr>
                <w:noProof/>
              </w:rPr>
            </w:pPr>
            <w:r>
              <w:rPr>
                <w:noProof/>
              </w:rPr>
              <w:t>RO-C[C7]-I[I10.0]-M[177]</w:t>
            </w:r>
          </w:p>
        </w:tc>
        <w:tc>
          <w:tcPr>
            <w:tcW w:w="3607" w:type="dxa"/>
            <w:tcBorders>
              <w:top w:val="nil"/>
              <w:left w:val="nil"/>
              <w:bottom w:val="single" w:sz="4" w:space="0" w:color="auto"/>
              <w:right w:val="single" w:sz="4" w:space="0" w:color="auto"/>
            </w:tcBorders>
            <w:shd w:val="clear" w:color="auto" w:fill="C6EFCE"/>
          </w:tcPr>
          <w:p w14:paraId="6E107FE5" w14:textId="77777777" w:rsidR="00A345F4" w:rsidRDefault="005E2D4E">
            <w:pPr>
              <w:pStyle w:val="P68B1DB1-Normal73"/>
              <w:spacing w:after="0" w:line="259" w:lineRule="auto"/>
              <w:rPr>
                <w:rFonts w:eastAsia="Times New Roman"/>
                <w:noProof/>
              </w:rPr>
            </w:pPr>
            <w:r>
              <w:rPr>
                <w:noProof/>
              </w:rPr>
              <w:t>Transformation numérique dans la gestion de la fonction publique</w:t>
            </w:r>
          </w:p>
        </w:tc>
        <w:tc>
          <w:tcPr>
            <w:tcW w:w="1216" w:type="dxa"/>
            <w:tcBorders>
              <w:top w:val="nil"/>
              <w:left w:val="nil"/>
              <w:bottom w:val="single" w:sz="4" w:space="0" w:color="auto"/>
              <w:right w:val="single" w:sz="4" w:space="0" w:color="auto"/>
            </w:tcBorders>
            <w:shd w:val="clear" w:color="auto" w:fill="C6EFCE"/>
          </w:tcPr>
          <w:p w14:paraId="0A076A82"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598DA982" w14:textId="0A3E1A74" w:rsidR="00A345F4" w:rsidRDefault="005E2D4E">
            <w:pPr>
              <w:pStyle w:val="P68B1DB1-Normal74"/>
              <w:spacing w:after="0" w:line="259" w:lineRule="auto"/>
              <w:rPr>
                <w:rFonts w:eastAsia="Aptos"/>
                <w:noProof/>
              </w:rPr>
            </w:pPr>
            <w:r>
              <w:rPr>
                <w:noProof/>
              </w:rPr>
              <w:t xml:space="preserve">Les plateformes interopérables pour une gestion normalisée des ressources humaines dans l’administration publique centrale sont fonctionnelles </w:t>
            </w:r>
          </w:p>
        </w:tc>
      </w:tr>
      <w:tr w:rsidR="00A345F4" w14:paraId="1FF77B00"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16D78B3" w14:textId="77777777" w:rsidR="00A345F4" w:rsidRDefault="005E2D4E">
            <w:pPr>
              <w:pStyle w:val="P68B1DB1-Normal74"/>
              <w:spacing w:after="0" w:line="259" w:lineRule="auto"/>
              <w:rPr>
                <w:noProof/>
              </w:rPr>
            </w:pPr>
            <w:r>
              <w:rPr>
                <w:noProof/>
              </w:rPr>
              <w:t>RO-C[C7]-I[I11.0]-M[178]</w:t>
            </w:r>
          </w:p>
        </w:tc>
        <w:tc>
          <w:tcPr>
            <w:tcW w:w="3607" w:type="dxa"/>
            <w:tcBorders>
              <w:top w:val="nil"/>
              <w:left w:val="nil"/>
              <w:bottom w:val="single" w:sz="4" w:space="0" w:color="auto"/>
              <w:right w:val="single" w:sz="4" w:space="0" w:color="auto"/>
            </w:tcBorders>
            <w:shd w:val="clear" w:color="auto" w:fill="C6EFCE"/>
          </w:tcPr>
          <w:p w14:paraId="1FBC3BA7" w14:textId="0B89958E" w:rsidR="00A345F4" w:rsidRDefault="005E2D4E">
            <w:pPr>
              <w:pStyle w:val="P68B1DB1-Normal73"/>
              <w:spacing w:after="0" w:line="259" w:lineRule="auto"/>
              <w:rPr>
                <w:rFonts w:eastAsia="Times New Roman"/>
                <w:noProof/>
              </w:rPr>
            </w:pPr>
            <w:r>
              <w:rPr>
                <w:noProof/>
              </w:rPr>
              <w:t>Soutien à l'utilisation des services de communication dans les zones blanches</w:t>
            </w:r>
          </w:p>
        </w:tc>
        <w:tc>
          <w:tcPr>
            <w:tcW w:w="1216" w:type="dxa"/>
            <w:tcBorders>
              <w:top w:val="nil"/>
              <w:left w:val="nil"/>
              <w:bottom w:val="single" w:sz="4" w:space="0" w:color="auto"/>
              <w:right w:val="single" w:sz="4" w:space="0" w:color="auto"/>
            </w:tcBorders>
            <w:shd w:val="clear" w:color="auto" w:fill="C6EFCE"/>
          </w:tcPr>
          <w:p w14:paraId="13493A3B"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7B4BA4A0" w14:textId="77777777" w:rsidR="00A345F4" w:rsidRDefault="005E2D4E">
            <w:pPr>
              <w:pStyle w:val="P68B1DB1-Normal74"/>
              <w:spacing w:after="0" w:line="259" w:lineRule="auto"/>
              <w:rPr>
                <w:rFonts w:eastAsia="Aptos"/>
                <w:noProof/>
              </w:rPr>
            </w:pPr>
            <w:r>
              <w:rPr>
                <w:noProof/>
              </w:rPr>
              <w:t>Villages dans les zones blanches connectés à Internet très haut débit</w:t>
            </w:r>
          </w:p>
        </w:tc>
      </w:tr>
      <w:tr w:rsidR="00A345F4" w14:paraId="62B9D247"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4365FA0" w14:textId="77777777" w:rsidR="00A345F4" w:rsidRDefault="005E2D4E">
            <w:pPr>
              <w:pStyle w:val="P68B1DB1-Normal78"/>
              <w:spacing w:after="0" w:line="259" w:lineRule="auto"/>
              <w:rPr>
                <w:rFonts w:eastAsia="Times New Roman"/>
                <w:noProof/>
              </w:rPr>
            </w:pPr>
            <w:r>
              <w:rPr>
                <w:noProof/>
              </w:rPr>
              <w:t>RO-C[C7]-I[I12.0]-M[180]</w:t>
            </w:r>
          </w:p>
        </w:tc>
        <w:tc>
          <w:tcPr>
            <w:tcW w:w="3607" w:type="dxa"/>
            <w:tcBorders>
              <w:top w:val="nil"/>
              <w:left w:val="nil"/>
              <w:bottom w:val="single" w:sz="4" w:space="0" w:color="auto"/>
              <w:right w:val="single" w:sz="4" w:space="0" w:color="auto"/>
            </w:tcBorders>
            <w:shd w:val="clear" w:color="auto" w:fill="C6EFCE"/>
          </w:tcPr>
          <w:p w14:paraId="64FF78E8" w14:textId="77777777" w:rsidR="00A345F4" w:rsidRDefault="005E2D4E">
            <w:pPr>
              <w:pStyle w:val="P68B1DB1-Normal78"/>
              <w:spacing w:after="0" w:line="259" w:lineRule="auto"/>
              <w:rPr>
                <w:rFonts w:eastAsia="Times New Roman"/>
                <w:noProof/>
              </w:rPr>
            </w:pPr>
            <w:r>
              <w:rPr>
                <w:noProof/>
              </w:rPr>
              <w:t>Assurer la protection de la cybersécurité des infrastructures ITC publiques et privées importantes pour la sécurité nationale</w:t>
            </w:r>
          </w:p>
        </w:tc>
        <w:tc>
          <w:tcPr>
            <w:tcW w:w="1216" w:type="dxa"/>
            <w:tcBorders>
              <w:top w:val="nil"/>
              <w:left w:val="nil"/>
              <w:bottom w:val="single" w:sz="4" w:space="0" w:color="auto"/>
              <w:right w:val="single" w:sz="4" w:space="0" w:color="auto"/>
            </w:tcBorders>
            <w:shd w:val="clear" w:color="auto" w:fill="C6EFCE"/>
          </w:tcPr>
          <w:p w14:paraId="37CE38D2"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7D669046" w14:textId="77777777" w:rsidR="00A345F4" w:rsidRDefault="005E2D4E">
            <w:pPr>
              <w:pStyle w:val="P68B1DB1-Normal78"/>
              <w:spacing w:after="0" w:line="259" w:lineRule="auto"/>
              <w:rPr>
                <w:noProof/>
              </w:rPr>
            </w:pPr>
            <w:r>
              <w:rPr>
                <w:noProof/>
              </w:rPr>
              <w:t>Augmentation de la capacité des centres nationaux Cyberint</w:t>
            </w:r>
          </w:p>
        </w:tc>
      </w:tr>
      <w:tr w:rsidR="00A345F4" w14:paraId="2BE3578D"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DC4C995" w14:textId="77777777" w:rsidR="00A345F4" w:rsidRDefault="005E2D4E">
            <w:pPr>
              <w:pStyle w:val="P68B1DB1-Normal74"/>
              <w:spacing w:after="0" w:line="259" w:lineRule="auto"/>
              <w:rPr>
                <w:noProof/>
              </w:rPr>
            </w:pPr>
            <w:r>
              <w:rPr>
                <w:noProof/>
              </w:rPr>
              <w:t>RO-C[C7]-I[I13.0]-M[181]</w:t>
            </w:r>
          </w:p>
        </w:tc>
        <w:tc>
          <w:tcPr>
            <w:tcW w:w="3607" w:type="dxa"/>
            <w:tcBorders>
              <w:top w:val="nil"/>
              <w:left w:val="nil"/>
              <w:bottom w:val="single" w:sz="4" w:space="0" w:color="auto"/>
              <w:right w:val="single" w:sz="4" w:space="0" w:color="auto"/>
            </w:tcBorders>
            <w:shd w:val="clear" w:color="auto" w:fill="C6EFCE"/>
          </w:tcPr>
          <w:p w14:paraId="51762029" w14:textId="77777777" w:rsidR="00A345F4" w:rsidRDefault="005E2D4E">
            <w:pPr>
              <w:pStyle w:val="P68B1DB1-Normal74"/>
              <w:spacing w:after="0" w:line="259" w:lineRule="auto"/>
              <w:rPr>
                <w:noProof/>
              </w:rPr>
            </w:pPr>
            <w:r>
              <w:rPr>
                <w:noProof/>
              </w:rPr>
              <w:t>Développement de systèmes de sécurité pour la protection du spectre gouvernemental</w:t>
            </w:r>
          </w:p>
        </w:tc>
        <w:tc>
          <w:tcPr>
            <w:tcW w:w="1216" w:type="dxa"/>
            <w:tcBorders>
              <w:top w:val="nil"/>
              <w:left w:val="nil"/>
              <w:bottom w:val="single" w:sz="4" w:space="0" w:color="auto"/>
              <w:right w:val="single" w:sz="4" w:space="0" w:color="auto"/>
            </w:tcBorders>
            <w:shd w:val="clear" w:color="auto" w:fill="C6EFCE"/>
          </w:tcPr>
          <w:p w14:paraId="3BBCA63A"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4F41D709" w14:textId="77777777" w:rsidR="00A345F4" w:rsidRDefault="005E2D4E">
            <w:pPr>
              <w:pStyle w:val="P68B1DB1-Normal73"/>
              <w:spacing w:after="0" w:line="259" w:lineRule="auto"/>
              <w:rPr>
                <w:noProof/>
              </w:rPr>
            </w:pPr>
            <w:r>
              <w:rPr>
                <w:noProof/>
              </w:rPr>
              <w:t>Installation de sites d'accueil au niveau national</w:t>
            </w:r>
          </w:p>
        </w:tc>
      </w:tr>
      <w:tr w:rsidR="00A345F4" w14:paraId="4184C323"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BA2898C" w14:textId="77777777" w:rsidR="00A345F4" w:rsidRDefault="005E2D4E">
            <w:pPr>
              <w:pStyle w:val="P68B1DB1-Normal78"/>
              <w:spacing w:after="0" w:line="259" w:lineRule="auto"/>
              <w:rPr>
                <w:rFonts w:eastAsia="Times New Roman"/>
                <w:noProof/>
              </w:rPr>
            </w:pPr>
            <w:r>
              <w:rPr>
                <w:noProof/>
              </w:rPr>
              <w:t>RO-C[C7]-I[I15.0]-M[184]</w:t>
            </w:r>
          </w:p>
        </w:tc>
        <w:tc>
          <w:tcPr>
            <w:tcW w:w="3607" w:type="dxa"/>
            <w:tcBorders>
              <w:top w:val="nil"/>
              <w:left w:val="nil"/>
              <w:bottom w:val="single" w:sz="4" w:space="0" w:color="auto"/>
              <w:right w:val="single" w:sz="4" w:space="0" w:color="auto"/>
            </w:tcBorders>
            <w:shd w:val="clear" w:color="auto" w:fill="C6EFCE"/>
          </w:tcPr>
          <w:p w14:paraId="3583AB15" w14:textId="383B3204" w:rsidR="00A345F4" w:rsidRDefault="005E2D4E">
            <w:pPr>
              <w:pStyle w:val="P68B1DB1-Normal80"/>
              <w:spacing w:after="0" w:line="259" w:lineRule="auto"/>
              <w:rPr>
                <w:noProof/>
              </w:rPr>
            </w:pPr>
            <w:r>
              <w:rPr>
                <w:noProof/>
              </w:rPr>
              <w:t xml:space="preserve"> Compétences en matière de cybersécurité pour les entités identifiées</w:t>
            </w:r>
          </w:p>
        </w:tc>
        <w:tc>
          <w:tcPr>
            <w:tcW w:w="1216" w:type="dxa"/>
            <w:tcBorders>
              <w:top w:val="nil"/>
              <w:left w:val="nil"/>
              <w:bottom w:val="single" w:sz="4" w:space="0" w:color="auto"/>
              <w:right w:val="single" w:sz="4" w:space="0" w:color="auto"/>
            </w:tcBorders>
            <w:shd w:val="clear" w:color="auto" w:fill="C6EFCE"/>
          </w:tcPr>
          <w:p w14:paraId="17471BB3"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1DFE580E" w14:textId="51FA9D97" w:rsidR="00A345F4" w:rsidRDefault="005E2D4E">
            <w:pPr>
              <w:pStyle w:val="P68B1DB1-Normal80"/>
              <w:spacing w:after="0" w:line="259" w:lineRule="auto"/>
              <w:rPr>
                <w:noProof/>
              </w:rPr>
            </w:pPr>
            <w:r>
              <w:rPr>
                <w:noProof/>
              </w:rPr>
              <w:t xml:space="preserve"> Compétences en matière de cybersécurité pour les entités identifiées</w:t>
            </w:r>
          </w:p>
        </w:tc>
      </w:tr>
      <w:tr w:rsidR="00A345F4" w14:paraId="4FE8B718"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D3EFC72" w14:textId="77777777" w:rsidR="00A345F4" w:rsidRDefault="005E2D4E">
            <w:pPr>
              <w:pStyle w:val="P68B1DB1-Normal78"/>
              <w:spacing w:after="0" w:line="259" w:lineRule="auto"/>
              <w:rPr>
                <w:rFonts w:eastAsia="Times New Roman"/>
                <w:noProof/>
              </w:rPr>
            </w:pPr>
            <w:r>
              <w:rPr>
                <w:noProof/>
              </w:rPr>
              <w:t>RO-C[C7]-I[I16.0]-M[185]</w:t>
            </w:r>
          </w:p>
        </w:tc>
        <w:tc>
          <w:tcPr>
            <w:tcW w:w="3607" w:type="dxa"/>
            <w:tcBorders>
              <w:top w:val="nil"/>
              <w:left w:val="nil"/>
              <w:bottom w:val="single" w:sz="4" w:space="0" w:color="auto"/>
              <w:right w:val="single" w:sz="4" w:space="0" w:color="auto"/>
            </w:tcBorders>
            <w:shd w:val="clear" w:color="auto" w:fill="C6EFCE"/>
          </w:tcPr>
          <w:p w14:paraId="14675604" w14:textId="77777777" w:rsidR="00A345F4" w:rsidRDefault="005E2D4E">
            <w:pPr>
              <w:pStyle w:val="P68B1DB1-Normal78"/>
              <w:spacing w:after="0" w:line="259" w:lineRule="auto"/>
              <w:rPr>
                <w:rFonts w:eastAsia="Times New Roman"/>
                <w:noProof/>
              </w:rPr>
            </w:pPr>
            <w:r>
              <w:rPr>
                <w:noProof/>
              </w:rPr>
              <w:t xml:space="preserve">Programme de formation des fonctionnaires aux compétences numériques </w:t>
            </w:r>
          </w:p>
        </w:tc>
        <w:tc>
          <w:tcPr>
            <w:tcW w:w="1216" w:type="dxa"/>
            <w:tcBorders>
              <w:top w:val="nil"/>
              <w:left w:val="nil"/>
              <w:bottom w:val="single" w:sz="4" w:space="0" w:color="auto"/>
              <w:right w:val="single" w:sz="4" w:space="0" w:color="auto"/>
            </w:tcBorders>
            <w:shd w:val="clear" w:color="auto" w:fill="C6EFCE"/>
          </w:tcPr>
          <w:p w14:paraId="5B5B9E8F" w14:textId="77777777" w:rsidR="00A345F4" w:rsidRDefault="005E2D4E">
            <w:pPr>
              <w:pStyle w:val="P68B1DB1-Normal78"/>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64DEBC3F" w14:textId="77777777" w:rsidR="00A345F4" w:rsidRDefault="005E2D4E">
            <w:pPr>
              <w:pStyle w:val="P68B1DB1-Normal78"/>
              <w:spacing w:after="0" w:line="259" w:lineRule="auto"/>
              <w:rPr>
                <w:noProof/>
              </w:rPr>
            </w:pPr>
            <w:r>
              <w:rPr>
                <w:noProof/>
              </w:rPr>
              <w:t>Formations dispensées aux fonctionnaires</w:t>
            </w:r>
          </w:p>
        </w:tc>
      </w:tr>
      <w:tr w:rsidR="00A345F4" w14:paraId="7F5CFEC7"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DC4F760" w14:textId="77777777" w:rsidR="00A345F4" w:rsidRDefault="005E2D4E">
            <w:pPr>
              <w:pStyle w:val="P68B1DB1-Normal74"/>
              <w:spacing w:after="0" w:line="259" w:lineRule="auto"/>
              <w:rPr>
                <w:noProof/>
              </w:rPr>
            </w:pPr>
            <w:r>
              <w:rPr>
                <w:noProof/>
              </w:rPr>
              <w:t>RO-C[C7]-I[I17.0]-M[186]</w:t>
            </w:r>
          </w:p>
        </w:tc>
        <w:tc>
          <w:tcPr>
            <w:tcW w:w="3607" w:type="dxa"/>
            <w:tcBorders>
              <w:top w:val="nil"/>
              <w:left w:val="nil"/>
              <w:bottom w:val="single" w:sz="4" w:space="0" w:color="auto"/>
              <w:right w:val="single" w:sz="4" w:space="0" w:color="auto"/>
            </w:tcBorders>
            <w:shd w:val="clear" w:color="auto" w:fill="C6EFCE"/>
          </w:tcPr>
          <w:p w14:paraId="7852E7AD" w14:textId="167C9767" w:rsidR="00A345F4" w:rsidRDefault="005E2D4E">
            <w:pPr>
              <w:pStyle w:val="P68B1DB1-Normal82"/>
              <w:spacing w:after="0" w:line="259" w:lineRule="auto"/>
              <w:rPr>
                <w:noProof/>
              </w:rPr>
            </w:pPr>
            <w:r>
              <w:rPr>
                <w:noProof/>
              </w:rPr>
              <w:t xml:space="preserve"> Numérisation des bibliothèques</w:t>
            </w:r>
          </w:p>
        </w:tc>
        <w:tc>
          <w:tcPr>
            <w:tcW w:w="1216" w:type="dxa"/>
            <w:tcBorders>
              <w:top w:val="nil"/>
              <w:left w:val="nil"/>
              <w:bottom w:val="single" w:sz="4" w:space="0" w:color="auto"/>
              <w:right w:val="single" w:sz="4" w:space="0" w:color="auto"/>
            </w:tcBorders>
            <w:shd w:val="clear" w:color="auto" w:fill="C6EFCE"/>
          </w:tcPr>
          <w:p w14:paraId="1F8ED4D5"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4587A1F5" w14:textId="44C91353" w:rsidR="00A345F4" w:rsidRDefault="005E2D4E">
            <w:pPr>
              <w:pStyle w:val="P68B1DB1-Normal81"/>
              <w:spacing w:after="0" w:line="259" w:lineRule="auto"/>
              <w:rPr>
                <w:noProof/>
              </w:rPr>
            </w:pPr>
            <w:r>
              <w:rPr>
                <w:noProof/>
              </w:rPr>
              <w:t xml:space="preserve"> Numérisation des bibliothèques</w:t>
            </w:r>
          </w:p>
        </w:tc>
      </w:tr>
      <w:tr w:rsidR="00A345F4" w14:paraId="087E2E0F"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DA72323" w14:textId="77777777" w:rsidR="00A345F4" w:rsidRDefault="005E2D4E">
            <w:pPr>
              <w:pStyle w:val="P68B1DB1-Normal78"/>
              <w:spacing w:after="0" w:line="259" w:lineRule="auto"/>
              <w:rPr>
                <w:rFonts w:eastAsia="Times New Roman"/>
                <w:noProof/>
              </w:rPr>
            </w:pPr>
            <w:r>
              <w:rPr>
                <w:noProof/>
              </w:rPr>
              <w:t>RO-C[C7]-I[I17.0]-T[187]</w:t>
            </w:r>
          </w:p>
        </w:tc>
        <w:tc>
          <w:tcPr>
            <w:tcW w:w="3607" w:type="dxa"/>
            <w:tcBorders>
              <w:top w:val="nil"/>
              <w:left w:val="nil"/>
              <w:bottom w:val="single" w:sz="4" w:space="0" w:color="auto"/>
              <w:right w:val="single" w:sz="4" w:space="0" w:color="auto"/>
            </w:tcBorders>
            <w:shd w:val="clear" w:color="auto" w:fill="C6EFCE"/>
          </w:tcPr>
          <w:p w14:paraId="7FFBBF84" w14:textId="70F726E0" w:rsidR="00A345F4" w:rsidRDefault="005E2D4E">
            <w:pPr>
              <w:pStyle w:val="P68B1DB1-Normal80"/>
              <w:spacing w:after="0" w:line="259" w:lineRule="auto"/>
              <w:rPr>
                <w:noProof/>
              </w:rPr>
            </w:pPr>
            <w:r>
              <w:rPr>
                <w:noProof/>
              </w:rPr>
              <w:t xml:space="preserve"> Numérisation des bibliothèques</w:t>
            </w:r>
          </w:p>
        </w:tc>
        <w:tc>
          <w:tcPr>
            <w:tcW w:w="1216" w:type="dxa"/>
            <w:tcBorders>
              <w:top w:val="nil"/>
              <w:left w:val="nil"/>
              <w:bottom w:val="single" w:sz="4" w:space="0" w:color="auto"/>
              <w:right w:val="single" w:sz="4" w:space="0" w:color="auto"/>
            </w:tcBorders>
            <w:shd w:val="clear" w:color="auto" w:fill="C6EFCE"/>
          </w:tcPr>
          <w:p w14:paraId="77EF27EE"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2CDBD4C4" w14:textId="549B4367" w:rsidR="00A345F4" w:rsidRDefault="005E2D4E">
            <w:pPr>
              <w:pStyle w:val="P68B1DB1-Normal80"/>
              <w:spacing w:after="0" w:line="259" w:lineRule="auto"/>
              <w:rPr>
                <w:noProof/>
              </w:rPr>
            </w:pPr>
            <w:r>
              <w:rPr>
                <w:noProof/>
              </w:rPr>
              <w:t>Citoyens ayant reçu une formation aux compétences numériques de base</w:t>
            </w:r>
          </w:p>
        </w:tc>
      </w:tr>
      <w:tr w:rsidR="00A345F4" w14:paraId="15EAB0CB"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BB9BA88" w14:textId="77777777" w:rsidR="00A345F4" w:rsidRDefault="005E2D4E">
            <w:pPr>
              <w:pStyle w:val="P68B1DB1-Normal74"/>
              <w:spacing w:after="0" w:line="259" w:lineRule="auto"/>
              <w:rPr>
                <w:noProof/>
              </w:rPr>
            </w:pPr>
            <w:r>
              <w:rPr>
                <w:noProof/>
              </w:rPr>
              <w:t>RO-C[C7]-I[I19a.0]-M[190]</w:t>
            </w:r>
          </w:p>
        </w:tc>
        <w:tc>
          <w:tcPr>
            <w:tcW w:w="3607" w:type="dxa"/>
            <w:tcBorders>
              <w:top w:val="nil"/>
              <w:left w:val="nil"/>
              <w:bottom w:val="single" w:sz="4" w:space="0" w:color="auto"/>
              <w:right w:val="single" w:sz="4" w:space="0" w:color="auto"/>
            </w:tcBorders>
            <w:shd w:val="clear" w:color="auto" w:fill="C6EFCE"/>
          </w:tcPr>
          <w:p w14:paraId="4F35DF61" w14:textId="6375B323" w:rsidR="00A345F4" w:rsidRDefault="005E2D4E">
            <w:pPr>
              <w:pStyle w:val="P68B1DB1-Normal74"/>
              <w:spacing w:after="0" w:line="259" w:lineRule="auto"/>
              <w:rPr>
                <w:noProof/>
              </w:rPr>
            </w:pPr>
            <w:r>
              <w:rPr>
                <w:noProof/>
              </w:rPr>
              <w:t>Perfectionnement/requalification des salariés dans les entreprises</w:t>
            </w:r>
          </w:p>
        </w:tc>
        <w:tc>
          <w:tcPr>
            <w:tcW w:w="1216" w:type="dxa"/>
            <w:tcBorders>
              <w:top w:val="nil"/>
              <w:left w:val="nil"/>
              <w:bottom w:val="single" w:sz="4" w:space="0" w:color="auto"/>
              <w:right w:val="single" w:sz="4" w:space="0" w:color="auto"/>
            </w:tcBorders>
            <w:shd w:val="clear" w:color="auto" w:fill="C6EFCE"/>
          </w:tcPr>
          <w:p w14:paraId="60C75C56"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5B2E2FC0" w14:textId="79B118C6" w:rsidR="00A345F4" w:rsidRDefault="005E2D4E">
            <w:pPr>
              <w:pStyle w:val="P68B1DB1-Normal73"/>
              <w:spacing w:after="0" w:line="259" w:lineRule="auto"/>
              <w:rPr>
                <w:noProof/>
              </w:rPr>
            </w:pPr>
            <w:r>
              <w:rPr>
                <w:noProof/>
              </w:rPr>
              <w:t>Formation du personnel des PME aux compétences numériques</w:t>
            </w:r>
          </w:p>
        </w:tc>
      </w:tr>
      <w:tr w:rsidR="00A345F4" w14:paraId="392722C8"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F524A30" w14:textId="77777777" w:rsidR="00A345F4" w:rsidRDefault="005E2D4E">
            <w:pPr>
              <w:pStyle w:val="P68B1DB1-Normal78"/>
              <w:spacing w:after="0" w:line="259" w:lineRule="auto"/>
              <w:rPr>
                <w:noProof/>
              </w:rPr>
            </w:pPr>
            <w:r>
              <w:rPr>
                <w:noProof/>
              </w:rPr>
              <w:t>RO-C[C8]-R[R1.0]-T[196]</w:t>
            </w:r>
          </w:p>
        </w:tc>
        <w:tc>
          <w:tcPr>
            <w:tcW w:w="3607" w:type="dxa"/>
            <w:tcBorders>
              <w:top w:val="nil"/>
              <w:left w:val="nil"/>
              <w:bottom w:val="single" w:sz="4" w:space="0" w:color="auto"/>
              <w:right w:val="single" w:sz="4" w:space="0" w:color="auto"/>
            </w:tcBorders>
            <w:shd w:val="clear" w:color="auto" w:fill="C6EFCE"/>
          </w:tcPr>
          <w:p w14:paraId="72F509BF" w14:textId="77777777" w:rsidR="00A345F4" w:rsidRDefault="005E2D4E">
            <w:pPr>
              <w:pStyle w:val="P68B1DB1-Normal78"/>
              <w:spacing w:after="0" w:line="259" w:lineRule="auto"/>
              <w:rPr>
                <w:noProof/>
              </w:rPr>
            </w:pPr>
            <w:r>
              <w:rPr>
                <w:noProof/>
              </w:rPr>
              <w:t>Réforme de l’Agence nationale pour l’administration budgétaire (ANAF) par la numérisation</w:t>
            </w:r>
          </w:p>
        </w:tc>
        <w:tc>
          <w:tcPr>
            <w:tcW w:w="1216" w:type="dxa"/>
            <w:tcBorders>
              <w:top w:val="nil"/>
              <w:left w:val="nil"/>
              <w:bottom w:val="single" w:sz="4" w:space="0" w:color="auto"/>
              <w:right w:val="single" w:sz="4" w:space="0" w:color="auto"/>
            </w:tcBorders>
            <w:shd w:val="clear" w:color="auto" w:fill="C6EFCE"/>
          </w:tcPr>
          <w:p w14:paraId="3D83DD52"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06CE733A" w14:textId="77777777" w:rsidR="00A345F4" w:rsidRDefault="005E2D4E">
            <w:pPr>
              <w:pStyle w:val="P68B1DB1-Normal78"/>
              <w:spacing w:after="0" w:line="259" w:lineRule="auto"/>
              <w:rPr>
                <w:noProof/>
              </w:rPr>
            </w:pPr>
            <w:r>
              <w:rPr>
                <w:noProof/>
              </w:rPr>
              <w:t xml:space="preserve">Augmenter la part des recettes perçues par l'administration fiscale </w:t>
            </w:r>
          </w:p>
        </w:tc>
      </w:tr>
      <w:tr w:rsidR="00A345F4" w14:paraId="72D5E90A"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78D1FA1" w14:textId="77777777" w:rsidR="00A345F4" w:rsidRDefault="005E2D4E">
            <w:pPr>
              <w:pStyle w:val="P68B1DB1-Normal78"/>
              <w:spacing w:after="0" w:line="259" w:lineRule="auto"/>
              <w:rPr>
                <w:noProof/>
              </w:rPr>
            </w:pPr>
            <w:r>
              <w:rPr>
                <w:noProof/>
              </w:rPr>
              <w:t>RO-C[C8]-R[R5.0]-M[210]</w:t>
            </w:r>
          </w:p>
        </w:tc>
        <w:tc>
          <w:tcPr>
            <w:tcW w:w="3607" w:type="dxa"/>
            <w:tcBorders>
              <w:top w:val="nil"/>
              <w:left w:val="nil"/>
              <w:bottom w:val="single" w:sz="4" w:space="0" w:color="auto"/>
              <w:right w:val="single" w:sz="4" w:space="0" w:color="auto"/>
            </w:tcBorders>
            <w:shd w:val="clear" w:color="auto" w:fill="C6EFCE"/>
          </w:tcPr>
          <w:p w14:paraId="2C03530F" w14:textId="028D9623" w:rsidR="00A345F4" w:rsidRDefault="005E2D4E">
            <w:pPr>
              <w:pStyle w:val="P68B1DB1-Normal78"/>
              <w:spacing w:after="0" w:line="259" w:lineRule="auto"/>
              <w:rPr>
                <w:noProof/>
              </w:rPr>
            </w:pPr>
            <w:r>
              <w:rPr>
                <w:noProof/>
              </w:rPr>
              <w:t>Création de la Banque nationale de développement</w:t>
            </w:r>
          </w:p>
        </w:tc>
        <w:tc>
          <w:tcPr>
            <w:tcW w:w="1216" w:type="dxa"/>
            <w:tcBorders>
              <w:top w:val="nil"/>
              <w:left w:val="nil"/>
              <w:bottom w:val="single" w:sz="4" w:space="0" w:color="auto"/>
              <w:right w:val="single" w:sz="4" w:space="0" w:color="auto"/>
            </w:tcBorders>
            <w:shd w:val="clear" w:color="auto" w:fill="C6EFCE"/>
          </w:tcPr>
          <w:p w14:paraId="16962BB0"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1A16AC1F" w14:textId="77777777" w:rsidR="00A345F4" w:rsidRDefault="005E2D4E">
            <w:pPr>
              <w:pStyle w:val="P68B1DB1-Normal78"/>
              <w:spacing w:after="0" w:line="259" w:lineRule="auto"/>
              <w:rPr>
                <w:noProof/>
              </w:rPr>
            </w:pPr>
            <w:r>
              <w:rPr>
                <w:noProof/>
              </w:rPr>
              <w:t>La Banque nationale de développement fait l'objet d'une évaluation des piliers</w:t>
            </w:r>
          </w:p>
        </w:tc>
      </w:tr>
      <w:tr w:rsidR="00A345F4" w14:paraId="728FD7D3"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35A254A" w14:textId="77777777" w:rsidR="00A345F4" w:rsidRDefault="005E2D4E">
            <w:pPr>
              <w:pStyle w:val="P68B1DB1-Normal78"/>
              <w:spacing w:after="0" w:line="259" w:lineRule="auto"/>
              <w:rPr>
                <w:rFonts w:eastAsia="Times New Roman"/>
                <w:noProof/>
              </w:rPr>
            </w:pPr>
            <w:r>
              <w:rPr>
                <w:noProof/>
              </w:rPr>
              <w:t>RO-C[C8]-I[I1.0]-M[216]</w:t>
            </w:r>
          </w:p>
        </w:tc>
        <w:tc>
          <w:tcPr>
            <w:tcW w:w="3607" w:type="dxa"/>
            <w:tcBorders>
              <w:top w:val="nil"/>
              <w:left w:val="nil"/>
              <w:bottom w:val="single" w:sz="4" w:space="0" w:color="auto"/>
              <w:right w:val="single" w:sz="4" w:space="0" w:color="auto"/>
            </w:tcBorders>
            <w:shd w:val="clear" w:color="auto" w:fill="C6EFCE"/>
          </w:tcPr>
          <w:p w14:paraId="045536B8" w14:textId="3566350F" w:rsidR="00A345F4" w:rsidRDefault="005E2D4E">
            <w:pPr>
              <w:pStyle w:val="P68B1DB1-Normal78"/>
              <w:spacing w:after="0" w:line="259" w:lineRule="auto"/>
              <w:rPr>
                <w:rFonts w:eastAsia="Times New Roman"/>
                <w:noProof/>
              </w:rPr>
            </w:pPr>
            <w:r>
              <w:rPr>
                <w:noProof/>
              </w:rPr>
              <w:t>Faciliter le respect des règles par les contribuables grâce à l’accès aux services numériques</w:t>
            </w:r>
          </w:p>
        </w:tc>
        <w:tc>
          <w:tcPr>
            <w:tcW w:w="1216" w:type="dxa"/>
            <w:tcBorders>
              <w:top w:val="nil"/>
              <w:left w:val="nil"/>
              <w:bottom w:val="single" w:sz="4" w:space="0" w:color="auto"/>
              <w:right w:val="single" w:sz="4" w:space="0" w:color="auto"/>
            </w:tcBorders>
            <w:shd w:val="clear" w:color="auto" w:fill="C6EFCE"/>
          </w:tcPr>
          <w:p w14:paraId="5420D21C"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0A296EE4" w14:textId="77777777" w:rsidR="00A345F4" w:rsidRDefault="005E2D4E">
            <w:pPr>
              <w:pStyle w:val="P68B1DB1-Normal78"/>
              <w:spacing w:after="0" w:line="259" w:lineRule="auto"/>
              <w:rPr>
                <w:noProof/>
              </w:rPr>
            </w:pPr>
            <w:r>
              <w:rPr>
                <w:noProof/>
              </w:rPr>
              <w:t>Les services numériques et les systèmes électroniques critiques sont fonctionnels</w:t>
            </w:r>
          </w:p>
        </w:tc>
      </w:tr>
      <w:tr w:rsidR="00A345F4" w14:paraId="75836205"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3579FEF" w14:textId="77777777" w:rsidR="00A345F4" w:rsidRDefault="005E2D4E">
            <w:pPr>
              <w:pStyle w:val="P68B1DB1-Normal78"/>
              <w:spacing w:after="0" w:line="259" w:lineRule="auto"/>
              <w:rPr>
                <w:rFonts w:eastAsia="Times New Roman"/>
                <w:noProof/>
              </w:rPr>
            </w:pPr>
            <w:r>
              <w:rPr>
                <w:noProof/>
              </w:rPr>
              <w:t>RO-C[C8]-I[I1.0]-T[217]</w:t>
            </w:r>
          </w:p>
        </w:tc>
        <w:tc>
          <w:tcPr>
            <w:tcW w:w="3607" w:type="dxa"/>
            <w:tcBorders>
              <w:top w:val="nil"/>
              <w:left w:val="nil"/>
              <w:bottom w:val="single" w:sz="4" w:space="0" w:color="auto"/>
              <w:right w:val="single" w:sz="4" w:space="0" w:color="auto"/>
            </w:tcBorders>
            <w:shd w:val="clear" w:color="auto" w:fill="C6EFCE"/>
          </w:tcPr>
          <w:p w14:paraId="239F450E" w14:textId="2D0E5725" w:rsidR="00A345F4" w:rsidRDefault="005E2D4E">
            <w:pPr>
              <w:pStyle w:val="P68B1DB1-Normal78"/>
              <w:spacing w:after="0" w:line="259" w:lineRule="auto"/>
              <w:rPr>
                <w:rFonts w:eastAsia="Times New Roman"/>
                <w:noProof/>
              </w:rPr>
            </w:pPr>
            <w:r>
              <w:rPr>
                <w:noProof/>
              </w:rPr>
              <w:t>Faciliter le respect des règles par les contribuables grâce à l’accès aux services numériques</w:t>
            </w:r>
          </w:p>
        </w:tc>
        <w:tc>
          <w:tcPr>
            <w:tcW w:w="1216" w:type="dxa"/>
            <w:tcBorders>
              <w:top w:val="nil"/>
              <w:left w:val="nil"/>
              <w:bottom w:val="single" w:sz="4" w:space="0" w:color="auto"/>
              <w:right w:val="single" w:sz="4" w:space="0" w:color="auto"/>
            </w:tcBorders>
            <w:shd w:val="clear" w:color="auto" w:fill="C6EFCE"/>
          </w:tcPr>
          <w:p w14:paraId="3028EA87"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2CB9F89D" w14:textId="1A31DFFD" w:rsidR="00A345F4" w:rsidRDefault="005E2D4E">
            <w:pPr>
              <w:pStyle w:val="P68B1DB1-Normal78"/>
              <w:spacing w:after="0" w:line="259" w:lineRule="auto"/>
              <w:rPr>
                <w:noProof/>
              </w:rPr>
            </w:pPr>
            <w:r>
              <w:rPr>
                <w:noProof/>
              </w:rPr>
              <w:t>Services aux entreprises contribuables disponibles en ligne</w:t>
            </w:r>
          </w:p>
        </w:tc>
      </w:tr>
      <w:tr w:rsidR="00A345F4" w14:paraId="7E8DF61D"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C54427E" w14:textId="77777777" w:rsidR="00A345F4" w:rsidRDefault="005E2D4E">
            <w:pPr>
              <w:pStyle w:val="P68B1DB1-Normal78"/>
              <w:spacing w:after="0" w:line="259" w:lineRule="auto"/>
              <w:rPr>
                <w:rFonts w:eastAsia="Times New Roman"/>
                <w:noProof/>
              </w:rPr>
            </w:pPr>
            <w:r>
              <w:rPr>
                <w:noProof/>
              </w:rPr>
              <w:t>RO-C[C8]-I[I1.0]-M[218]</w:t>
            </w:r>
          </w:p>
        </w:tc>
        <w:tc>
          <w:tcPr>
            <w:tcW w:w="3607" w:type="dxa"/>
            <w:tcBorders>
              <w:top w:val="nil"/>
              <w:left w:val="nil"/>
              <w:bottom w:val="single" w:sz="4" w:space="0" w:color="auto"/>
              <w:right w:val="single" w:sz="4" w:space="0" w:color="auto"/>
            </w:tcBorders>
            <w:shd w:val="clear" w:color="auto" w:fill="C6EFCE"/>
          </w:tcPr>
          <w:p w14:paraId="5787AC2C" w14:textId="066AB392" w:rsidR="00A345F4" w:rsidRDefault="005E2D4E">
            <w:pPr>
              <w:pStyle w:val="P68B1DB1-Normal78"/>
              <w:spacing w:after="0" w:line="259" w:lineRule="auto"/>
              <w:rPr>
                <w:rFonts w:eastAsia="Times New Roman"/>
                <w:noProof/>
              </w:rPr>
            </w:pPr>
            <w:r>
              <w:rPr>
                <w:noProof/>
              </w:rPr>
              <w:t>Faciliter le respect des règles par les contribuables grâce à l’accès aux services numériques</w:t>
            </w:r>
          </w:p>
        </w:tc>
        <w:tc>
          <w:tcPr>
            <w:tcW w:w="1216" w:type="dxa"/>
            <w:tcBorders>
              <w:top w:val="nil"/>
              <w:left w:val="nil"/>
              <w:bottom w:val="single" w:sz="4" w:space="0" w:color="auto"/>
              <w:right w:val="single" w:sz="4" w:space="0" w:color="auto"/>
            </w:tcBorders>
            <w:shd w:val="clear" w:color="auto" w:fill="C6EFCE"/>
          </w:tcPr>
          <w:p w14:paraId="0AE4EA01"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0AF1EFEC" w14:textId="4677A687" w:rsidR="00A345F4" w:rsidRDefault="005E2D4E">
            <w:pPr>
              <w:pStyle w:val="P68B1DB1-Normal78"/>
              <w:spacing w:after="0" w:line="259" w:lineRule="auto"/>
              <w:rPr>
                <w:noProof/>
              </w:rPr>
            </w:pPr>
            <w:r>
              <w:rPr>
                <w:noProof/>
              </w:rPr>
              <w:t xml:space="preserve">La plate-forme en ligne pour la vente aux enchères de biens immobiliers et mobiles d'une valeur significative est fonctionnelle </w:t>
            </w:r>
          </w:p>
        </w:tc>
      </w:tr>
      <w:tr w:rsidR="00A345F4" w14:paraId="27C8A9D7"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727BE62" w14:textId="77777777" w:rsidR="00A345F4" w:rsidRDefault="005E2D4E">
            <w:pPr>
              <w:pStyle w:val="P68B1DB1-Normal78"/>
              <w:spacing w:after="0" w:line="259" w:lineRule="auto"/>
              <w:rPr>
                <w:rFonts w:eastAsia="Times New Roman"/>
                <w:noProof/>
              </w:rPr>
            </w:pPr>
            <w:r>
              <w:rPr>
                <w:noProof/>
              </w:rPr>
              <w:t>RO-C[C8]-I[I3.0]-M[227]</w:t>
            </w:r>
          </w:p>
        </w:tc>
        <w:tc>
          <w:tcPr>
            <w:tcW w:w="3607" w:type="dxa"/>
            <w:tcBorders>
              <w:top w:val="nil"/>
              <w:left w:val="nil"/>
              <w:bottom w:val="single" w:sz="4" w:space="0" w:color="auto"/>
              <w:right w:val="single" w:sz="4" w:space="0" w:color="auto"/>
            </w:tcBorders>
            <w:shd w:val="clear" w:color="auto" w:fill="C6EFCE"/>
          </w:tcPr>
          <w:p w14:paraId="3ABF7537" w14:textId="77777777" w:rsidR="00A345F4" w:rsidRDefault="005E2D4E">
            <w:pPr>
              <w:pStyle w:val="P68B1DB1-Normal78"/>
              <w:spacing w:after="0" w:line="259" w:lineRule="auto"/>
              <w:rPr>
                <w:rFonts w:eastAsia="Times New Roman"/>
                <w:noProof/>
              </w:rPr>
            </w:pPr>
            <w:r>
              <w:rPr>
                <w:noProof/>
              </w:rPr>
              <w:t>Garantir la capacité de relever les défis actuels et futurs en matière d’information, y compris dans le contexte de la pandémie, grâce à la transformation numérique du ministère des finances/de l’agence nationale de l’administration fiscale</w:t>
            </w:r>
          </w:p>
        </w:tc>
        <w:tc>
          <w:tcPr>
            <w:tcW w:w="1216" w:type="dxa"/>
            <w:tcBorders>
              <w:top w:val="nil"/>
              <w:left w:val="nil"/>
              <w:bottom w:val="single" w:sz="4" w:space="0" w:color="auto"/>
              <w:right w:val="single" w:sz="4" w:space="0" w:color="auto"/>
            </w:tcBorders>
            <w:shd w:val="clear" w:color="auto" w:fill="C6EFCE"/>
          </w:tcPr>
          <w:p w14:paraId="5E00A0FC"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592CD3DD" w14:textId="77777777" w:rsidR="00A345F4" w:rsidRDefault="005E2D4E">
            <w:pPr>
              <w:pStyle w:val="P68B1DB1-Normal78"/>
              <w:spacing w:after="0" w:line="259" w:lineRule="auto"/>
              <w:rPr>
                <w:noProof/>
              </w:rPr>
            </w:pPr>
            <w:r>
              <w:rPr>
                <w:noProof/>
              </w:rPr>
              <w:t>Modernisation de l'infrastructure matérielle et logicielle et de l'infrastructure d'appui à la fourniture de services électroniques aux contribuables</w:t>
            </w:r>
          </w:p>
        </w:tc>
      </w:tr>
      <w:tr w:rsidR="00A345F4" w14:paraId="3FD22540"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8286DCD" w14:textId="77777777" w:rsidR="00A345F4" w:rsidRDefault="005E2D4E">
            <w:pPr>
              <w:pStyle w:val="P68B1DB1-Normal78"/>
              <w:spacing w:after="0" w:line="259" w:lineRule="auto"/>
              <w:rPr>
                <w:rFonts w:eastAsia="Times New Roman"/>
                <w:noProof/>
              </w:rPr>
            </w:pPr>
            <w:r>
              <w:rPr>
                <w:noProof/>
              </w:rPr>
              <w:t>RO-C[C8]-I[I3.0]-T[229]</w:t>
            </w:r>
          </w:p>
        </w:tc>
        <w:tc>
          <w:tcPr>
            <w:tcW w:w="3607" w:type="dxa"/>
            <w:tcBorders>
              <w:top w:val="nil"/>
              <w:left w:val="nil"/>
              <w:bottom w:val="single" w:sz="4" w:space="0" w:color="auto"/>
              <w:right w:val="single" w:sz="4" w:space="0" w:color="auto"/>
            </w:tcBorders>
            <w:shd w:val="clear" w:color="auto" w:fill="C6EFCE"/>
          </w:tcPr>
          <w:p w14:paraId="2209435E" w14:textId="77777777" w:rsidR="00A345F4" w:rsidRDefault="005E2D4E">
            <w:pPr>
              <w:pStyle w:val="P68B1DB1-Normal78"/>
              <w:spacing w:after="0" w:line="259" w:lineRule="auto"/>
              <w:rPr>
                <w:noProof/>
              </w:rPr>
            </w:pPr>
            <w:r>
              <w:rPr>
                <w:noProof/>
              </w:rPr>
              <w:t>Garantir la capacité de relever les défis actuels et futurs en matière d’information, y compris dans le contexte de la pandémie, grâce à la transformation numérique du ministère des finances/de l’agence nationale de l’administration fiscale</w:t>
            </w:r>
          </w:p>
        </w:tc>
        <w:tc>
          <w:tcPr>
            <w:tcW w:w="1216" w:type="dxa"/>
            <w:tcBorders>
              <w:top w:val="nil"/>
              <w:left w:val="nil"/>
              <w:bottom w:val="single" w:sz="4" w:space="0" w:color="auto"/>
              <w:right w:val="single" w:sz="4" w:space="0" w:color="auto"/>
            </w:tcBorders>
            <w:shd w:val="clear" w:color="auto" w:fill="C6EFCE"/>
          </w:tcPr>
          <w:p w14:paraId="586A2438"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7AFC6596" w14:textId="62D41197" w:rsidR="00A345F4" w:rsidRDefault="005E2D4E">
            <w:pPr>
              <w:pStyle w:val="P68B1DB1-Normal78"/>
              <w:spacing w:after="0" w:line="259" w:lineRule="auto"/>
              <w:rPr>
                <w:noProof/>
              </w:rPr>
            </w:pPr>
            <w:r>
              <w:rPr>
                <w:noProof/>
              </w:rPr>
              <w:t>80% de l'infrastructure informatique matérielle et logicielle des centres de données a été acquise</w:t>
            </w:r>
          </w:p>
        </w:tc>
      </w:tr>
      <w:tr w:rsidR="00A345F4" w14:paraId="64477E5B"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BEBE888" w14:textId="1746AE20" w:rsidR="00A345F4" w:rsidRDefault="005E2D4E">
            <w:pPr>
              <w:pStyle w:val="P68B1DB1-Normal78"/>
              <w:spacing w:after="0" w:line="259" w:lineRule="auto"/>
              <w:rPr>
                <w:noProof/>
              </w:rPr>
            </w:pPr>
            <w:r>
              <w:rPr>
                <w:noProof/>
              </w:rPr>
              <w:t>RO-C[C8]-I[I4.0]-T[232]</w:t>
            </w:r>
          </w:p>
        </w:tc>
        <w:tc>
          <w:tcPr>
            <w:tcW w:w="3607" w:type="dxa"/>
            <w:tcBorders>
              <w:top w:val="nil"/>
              <w:left w:val="nil"/>
              <w:bottom w:val="single" w:sz="4" w:space="0" w:color="auto"/>
              <w:right w:val="single" w:sz="4" w:space="0" w:color="auto"/>
            </w:tcBorders>
            <w:shd w:val="clear" w:color="auto" w:fill="C6EFCE"/>
          </w:tcPr>
          <w:p w14:paraId="244492E8" w14:textId="4EFE4658" w:rsidR="00A345F4" w:rsidRDefault="005E2D4E">
            <w:pPr>
              <w:pStyle w:val="P68B1DB1-Normal78"/>
              <w:spacing w:after="0" w:line="259" w:lineRule="auto"/>
              <w:rPr>
                <w:noProof/>
              </w:rPr>
            </w:pPr>
            <w:r>
              <w:rPr>
                <w:noProof/>
              </w:rPr>
              <w:t>Mise en place d'une douane électronique</w:t>
            </w:r>
          </w:p>
        </w:tc>
        <w:tc>
          <w:tcPr>
            <w:tcW w:w="1216" w:type="dxa"/>
            <w:tcBorders>
              <w:top w:val="nil"/>
              <w:left w:val="nil"/>
              <w:bottom w:val="single" w:sz="4" w:space="0" w:color="auto"/>
              <w:right w:val="single" w:sz="4" w:space="0" w:color="auto"/>
            </w:tcBorders>
            <w:shd w:val="clear" w:color="auto" w:fill="C6EFCE"/>
          </w:tcPr>
          <w:p w14:paraId="75C49E87" w14:textId="492A9ECE"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13028F7E" w14:textId="40E7F65E" w:rsidR="00A345F4" w:rsidRDefault="005E2D4E">
            <w:pPr>
              <w:pStyle w:val="P68B1DB1-Normal78"/>
              <w:spacing w:after="0" w:line="259" w:lineRule="auto"/>
              <w:rPr>
                <w:noProof/>
              </w:rPr>
            </w:pPr>
            <w:r>
              <w:rPr>
                <w:noProof/>
              </w:rPr>
              <w:t xml:space="preserve">Interventions pour les systèmes informatiques </w:t>
            </w:r>
          </w:p>
        </w:tc>
      </w:tr>
      <w:tr w:rsidR="00A345F4" w14:paraId="53D50846"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810421B" w14:textId="77777777" w:rsidR="00A345F4" w:rsidRDefault="005E2D4E">
            <w:pPr>
              <w:pStyle w:val="P68B1DB1-Normal74"/>
              <w:spacing w:after="0" w:line="259" w:lineRule="auto"/>
              <w:rPr>
                <w:noProof/>
              </w:rPr>
            </w:pPr>
            <w:r>
              <w:rPr>
                <w:noProof/>
              </w:rPr>
              <w:t>RO-C[C9]-I[I5.a]-T[281]</w:t>
            </w:r>
          </w:p>
        </w:tc>
        <w:tc>
          <w:tcPr>
            <w:tcW w:w="3607" w:type="dxa"/>
            <w:tcBorders>
              <w:top w:val="nil"/>
              <w:left w:val="nil"/>
              <w:bottom w:val="single" w:sz="4" w:space="0" w:color="auto"/>
              <w:right w:val="single" w:sz="4" w:space="0" w:color="auto"/>
            </w:tcBorders>
            <w:shd w:val="clear" w:color="auto" w:fill="C6EFCE"/>
          </w:tcPr>
          <w:p w14:paraId="52C4F0CE" w14:textId="77777777" w:rsidR="00A345F4" w:rsidRDefault="005E2D4E">
            <w:pPr>
              <w:pStyle w:val="P68B1DB1-Normal74"/>
              <w:spacing w:after="0" w:line="259" w:lineRule="auto"/>
              <w:rPr>
                <w:noProof/>
              </w:rPr>
            </w:pPr>
            <w:r>
              <w:rPr>
                <w:noProof/>
              </w:rPr>
              <w:t>Création de centres de compétences</w:t>
            </w:r>
          </w:p>
        </w:tc>
        <w:tc>
          <w:tcPr>
            <w:tcW w:w="1216" w:type="dxa"/>
            <w:tcBorders>
              <w:top w:val="nil"/>
              <w:left w:val="nil"/>
              <w:bottom w:val="single" w:sz="4" w:space="0" w:color="auto"/>
              <w:right w:val="single" w:sz="4" w:space="0" w:color="auto"/>
            </w:tcBorders>
            <w:shd w:val="clear" w:color="auto" w:fill="C6EFCE"/>
          </w:tcPr>
          <w:p w14:paraId="6856F75C" w14:textId="77777777" w:rsidR="00A345F4" w:rsidRDefault="005E2D4E">
            <w:pPr>
              <w:pStyle w:val="P68B1DB1-Normal73"/>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6B5C6D2B" w14:textId="773C759C" w:rsidR="00A345F4" w:rsidRDefault="005E2D4E">
            <w:pPr>
              <w:pStyle w:val="P68B1DB1-Normal73"/>
              <w:spacing w:after="0" w:line="259" w:lineRule="auto"/>
              <w:rPr>
                <w:noProof/>
              </w:rPr>
            </w:pPr>
            <w:r>
              <w:rPr>
                <w:noProof/>
              </w:rPr>
              <w:t>Entreprises bénéficiant d'un financement pour des activités de recherche, de développement et d'innovation </w:t>
            </w:r>
          </w:p>
        </w:tc>
      </w:tr>
      <w:tr w:rsidR="00A345F4" w14:paraId="4502C2C4"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EAB56CC" w14:textId="77777777" w:rsidR="00A345F4" w:rsidRDefault="005E2D4E">
            <w:pPr>
              <w:pStyle w:val="P68B1DB1-Normal78"/>
              <w:spacing w:after="0" w:line="259" w:lineRule="auto"/>
              <w:rPr>
                <w:noProof/>
              </w:rPr>
            </w:pPr>
            <w:r>
              <w:rPr>
                <w:noProof/>
              </w:rPr>
              <w:t>RO-C[C10]-R[R1.0]-T[293]</w:t>
            </w:r>
          </w:p>
        </w:tc>
        <w:tc>
          <w:tcPr>
            <w:tcW w:w="3607" w:type="dxa"/>
            <w:tcBorders>
              <w:top w:val="nil"/>
              <w:left w:val="nil"/>
              <w:bottom w:val="single" w:sz="4" w:space="0" w:color="auto"/>
              <w:right w:val="single" w:sz="4" w:space="0" w:color="auto"/>
            </w:tcBorders>
            <w:shd w:val="clear" w:color="auto" w:fill="C6EFCE"/>
          </w:tcPr>
          <w:p w14:paraId="7E2DA320" w14:textId="77777777" w:rsidR="00A345F4" w:rsidRDefault="005E2D4E">
            <w:pPr>
              <w:pStyle w:val="P68B1DB1-Normal78"/>
              <w:spacing w:after="0" w:line="259" w:lineRule="auto"/>
              <w:rPr>
                <w:noProof/>
              </w:rPr>
            </w:pPr>
            <w:r>
              <w:rPr>
                <w:noProof/>
              </w:rPr>
              <w:t>Créer le cadre d'une mobilité urbaine durable</w:t>
            </w:r>
          </w:p>
        </w:tc>
        <w:tc>
          <w:tcPr>
            <w:tcW w:w="1216" w:type="dxa"/>
            <w:tcBorders>
              <w:top w:val="nil"/>
              <w:left w:val="nil"/>
              <w:bottom w:val="single" w:sz="4" w:space="0" w:color="auto"/>
              <w:right w:val="single" w:sz="4" w:space="0" w:color="auto"/>
            </w:tcBorders>
            <w:shd w:val="clear" w:color="auto" w:fill="C6EFCE"/>
          </w:tcPr>
          <w:p w14:paraId="37D80CB8"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766CBFB0" w14:textId="77777777" w:rsidR="00A345F4" w:rsidRDefault="005E2D4E">
            <w:pPr>
              <w:pStyle w:val="P68B1DB1-Normal78"/>
              <w:spacing w:after="0" w:line="259" w:lineRule="auto"/>
              <w:rPr>
                <w:noProof/>
              </w:rPr>
            </w:pPr>
            <w:r>
              <w:rPr>
                <w:noProof/>
              </w:rPr>
              <w:t>Augmentation de 20 % du volume total annuel de passagers utilisant les transports publics locaux en 2025 par rapport à 2019</w:t>
            </w:r>
          </w:p>
        </w:tc>
      </w:tr>
      <w:tr w:rsidR="00A345F4" w14:paraId="31F36D8A"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5F6AE8D" w14:textId="77777777" w:rsidR="00A345F4" w:rsidRDefault="005E2D4E">
            <w:pPr>
              <w:pStyle w:val="P68B1DB1-Normal78"/>
              <w:spacing w:after="0" w:line="259" w:lineRule="auto"/>
              <w:rPr>
                <w:noProof/>
              </w:rPr>
            </w:pPr>
            <w:r>
              <w:rPr>
                <w:noProof/>
              </w:rPr>
              <w:t>RO-C[C10]-I[I1.0]-T[300]</w:t>
            </w:r>
          </w:p>
        </w:tc>
        <w:tc>
          <w:tcPr>
            <w:tcW w:w="3607" w:type="dxa"/>
            <w:tcBorders>
              <w:top w:val="nil"/>
              <w:left w:val="nil"/>
              <w:bottom w:val="single" w:sz="4" w:space="0" w:color="auto"/>
              <w:right w:val="single" w:sz="4" w:space="0" w:color="auto"/>
            </w:tcBorders>
            <w:shd w:val="clear" w:color="auto" w:fill="C6EFCE"/>
          </w:tcPr>
          <w:p w14:paraId="3393066E" w14:textId="77777777" w:rsidR="00A345F4" w:rsidRDefault="005E2D4E">
            <w:pPr>
              <w:pStyle w:val="P68B1DB1-Normal78"/>
              <w:spacing w:after="0" w:line="259" w:lineRule="auto"/>
              <w:rPr>
                <w:noProof/>
              </w:rPr>
            </w:pPr>
            <w:r>
              <w:rPr>
                <w:noProof/>
              </w:rPr>
              <w:t>Mobilité urbaine durable</w:t>
            </w:r>
          </w:p>
        </w:tc>
        <w:tc>
          <w:tcPr>
            <w:tcW w:w="1216" w:type="dxa"/>
            <w:tcBorders>
              <w:top w:val="nil"/>
              <w:left w:val="nil"/>
              <w:bottom w:val="single" w:sz="4" w:space="0" w:color="auto"/>
              <w:right w:val="single" w:sz="4" w:space="0" w:color="auto"/>
            </w:tcBorders>
            <w:shd w:val="clear" w:color="auto" w:fill="C6EFCE"/>
          </w:tcPr>
          <w:p w14:paraId="2A6A6E13"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500D86A6" w14:textId="77777777" w:rsidR="00A345F4" w:rsidRDefault="005E2D4E">
            <w:pPr>
              <w:pStyle w:val="P68B1DB1-Normal78"/>
              <w:spacing w:after="0" w:line="259" w:lineRule="auto"/>
              <w:rPr>
                <w:noProof/>
              </w:rPr>
            </w:pPr>
            <w:r>
              <w:rPr>
                <w:noProof/>
              </w:rPr>
              <w:t>Unités administratives territoriales dotées de systèmes de transport intelligents et de billetterie électronique ou d’autres infrastructures TIC fournis ou étendus</w:t>
            </w:r>
          </w:p>
        </w:tc>
      </w:tr>
      <w:tr w:rsidR="00A345F4" w14:paraId="67175C98"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2BE1BCD" w14:textId="77777777" w:rsidR="00A345F4" w:rsidRDefault="005E2D4E">
            <w:pPr>
              <w:pStyle w:val="P68B1DB1-Normal78"/>
              <w:spacing w:after="0" w:line="259" w:lineRule="auto"/>
              <w:rPr>
                <w:noProof/>
              </w:rPr>
            </w:pPr>
            <w:r>
              <w:rPr>
                <w:noProof/>
              </w:rPr>
              <w:t>RO-C[C12]-R[R3.0]-M[361]</w:t>
            </w:r>
          </w:p>
        </w:tc>
        <w:tc>
          <w:tcPr>
            <w:tcW w:w="3607" w:type="dxa"/>
            <w:tcBorders>
              <w:top w:val="nil"/>
              <w:left w:val="nil"/>
              <w:bottom w:val="single" w:sz="4" w:space="0" w:color="auto"/>
              <w:right w:val="single" w:sz="4" w:space="0" w:color="auto"/>
            </w:tcBorders>
            <w:shd w:val="clear" w:color="auto" w:fill="C6EFCE"/>
          </w:tcPr>
          <w:p w14:paraId="323D6B0E" w14:textId="77777777" w:rsidR="00A345F4" w:rsidRDefault="005E2D4E">
            <w:pPr>
              <w:pStyle w:val="P68B1DB1-Normal78"/>
              <w:spacing w:after="0" w:line="259" w:lineRule="auto"/>
              <w:rPr>
                <w:noProof/>
              </w:rPr>
            </w:pPr>
            <w:r>
              <w:rPr>
                <w:noProof/>
              </w:rPr>
              <w:t>Renforcement des capacités en matière de gestion de la santé et de ressources humaines dans le domaine de la santé</w:t>
            </w:r>
          </w:p>
        </w:tc>
        <w:tc>
          <w:tcPr>
            <w:tcW w:w="1216" w:type="dxa"/>
            <w:tcBorders>
              <w:top w:val="nil"/>
              <w:left w:val="nil"/>
              <w:bottom w:val="single" w:sz="4" w:space="0" w:color="auto"/>
              <w:right w:val="single" w:sz="4" w:space="0" w:color="auto"/>
            </w:tcBorders>
            <w:shd w:val="clear" w:color="auto" w:fill="C6EFCE"/>
          </w:tcPr>
          <w:p w14:paraId="7940BAEB" w14:textId="77777777" w:rsidR="00A345F4" w:rsidRDefault="005E2D4E">
            <w:pPr>
              <w:pStyle w:val="P68B1DB1-Normal78"/>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434FCA79" w14:textId="77777777" w:rsidR="00A345F4" w:rsidRDefault="005E2D4E">
            <w:pPr>
              <w:pStyle w:val="P68B1DB1-Normal78"/>
              <w:spacing w:after="0" w:line="259" w:lineRule="auto"/>
              <w:rPr>
                <w:noProof/>
              </w:rPr>
            </w:pPr>
            <w:r>
              <w:rPr>
                <w:noProof/>
              </w:rPr>
              <w:t>Formation du personnel de santé</w:t>
            </w:r>
          </w:p>
        </w:tc>
      </w:tr>
      <w:tr w:rsidR="00A345F4" w14:paraId="7D236C5C"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6482EDB" w14:textId="77777777" w:rsidR="00A345F4" w:rsidRDefault="005E2D4E">
            <w:pPr>
              <w:pStyle w:val="P68B1DB1-Normal78"/>
              <w:spacing w:after="0" w:line="259" w:lineRule="auto"/>
              <w:rPr>
                <w:rFonts w:eastAsia="Times New Roman"/>
                <w:noProof/>
              </w:rPr>
            </w:pPr>
            <w:r>
              <w:rPr>
                <w:noProof/>
              </w:rPr>
              <w:t>RO-C[C13]-R[R1.0]-T[379]</w:t>
            </w:r>
          </w:p>
        </w:tc>
        <w:tc>
          <w:tcPr>
            <w:tcW w:w="3607" w:type="dxa"/>
            <w:tcBorders>
              <w:top w:val="nil"/>
              <w:left w:val="nil"/>
              <w:bottom w:val="single" w:sz="4" w:space="0" w:color="auto"/>
              <w:right w:val="single" w:sz="4" w:space="0" w:color="auto"/>
            </w:tcBorders>
            <w:shd w:val="clear" w:color="auto" w:fill="C6EFCE"/>
          </w:tcPr>
          <w:p w14:paraId="1A3A2FCC" w14:textId="77777777" w:rsidR="00A345F4" w:rsidRDefault="005E2D4E">
            <w:pPr>
              <w:pStyle w:val="P68B1DB1-Normal78"/>
              <w:spacing w:after="0" w:line="259" w:lineRule="auto"/>
              <w:rPr>
                <w:rFonts w:eastAsia="Times New Roman"/>
                <w:noProof/>
              </w:rPr>
            </w:pPr>
            <w:r>
              <w:rPr>
                <w:noProof/>
              </w:rPr>
              <w:t>Créer un nouveau cadre juridique pour empêcher la séparation des enfants de leur famille</w:t>
            </w:r>
          </w:p>
        </w:tc>
        <w:tc>
          <w:tcPr>
            <w:tcW w:w="1216" w:type="dxa"/>
            <w:tcBorders>
              <w:top w:val="nil"/>
              <w:left w:val="nil"/>
              <w:bottom w:val="single" w:sz="4" w:space="0" w:color="auto"/>
              <w:right w:val="single" w:sz="4" w:space="0" w:color="auto"/>
            </w:tcBorders>
            <w:shd w:val="clear" w:color="auto" w:fill="C6EFCE"/>
          </w:tcPr>
          <w:p w14:paraId="45486D57"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06978058" w14:textId="77777777" w:rsidR="00A345F4" w:rsidRDefault="005E2D4E">
            <w:pPr>
              <w:pStyle w:val="P68B1DB1-Normal78"/>
              <w:spacing w:after="0" w:line="259" w:lineRule="auto"/>
              <w:rPr>
                <w:noProof/>
              </w:rPr>
            </w:pPr>
            <w:r>
              <w:rPr>
                <w:noProof/>
              </w:rPr>
              <w:t>Réduction du nombre d'enfants entrant dans le système de protection sociale</w:t>
            </w:r>
          </w:p>
        </w:tc>
      </w:tr>
      <w:tr w:rsidR="00A345F4" w14:paraId="6878279C"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300EEB2" w14:textId="77777777" w:rsidR="00A345F4" w:rsidRDefault="005E2D4E">
            <w:pPr>
              <w:pStyle w:val="P68B1DB1-Normal78"/>
              <w:spacing w:after="0" w:line="259" w:lineRule="auto"/>
              <w:rPr>
                <w:rFonts w:eastAsia="Times New Roman"/>
                <w:noProof/>
              </w:rPr>
            </w:pPr>
            <w:r>
              <w:rPr>
                <w:noProof/>
              </w:rPr>
              <w:t>RO-C[C14]-R[R1.0]-M[407]</w:t>
            </w:r>
          </w:p>
        </w:tc>
        <w:tc>
          <w:tcPr>
            <w:tcW w:w="3607" w:type="dxa"/>
            <w:tcBorders>
              <w:top w:val="nil"/>
              <w:left w:val="nil"/>
              <w:bottom w:val="single" w:sz="4" w:space="0" w:color="auto"/>
              <w:right w:val="single" w:sz="4" w:space="0" w:color="auto"/>
            </w:tcBorders>
            <w:shd w:val="clear" w:color="auto" w:fill="C6EFCE"/>
          </w:tcPr>
          <w:p w14:paraId="65D20472" w14:textId="77777777" w:rsidR="00A345F4" w:rsidRDefault="005E2D4E">
            <w:pPr>
              <w:pStyle w:val="P68B1DB1-Normal79"/>
              <w:spacing w:after="0" w:line="259" w:lineRule="auto"/>
              <w:rPr>
                <w:rFonts w:ascii="Times New Roman" w:eastAsia="Times New Roman" w:hAnsi="Times New Roman" w:cs="Times New Roman"/>
                <w:noProof/>
              </w:rPr>
            </w:pPr>
            <w:r>
              <w:rPr>
                <w:rFonts w:ascii="Times New Roman" w:hAnsi="Times New Roman" w:cs="Times New Roman"/>
                <w:noProof/>
                <w:color w:val="000000"/>
              </w:rPr>
              <w:t>Améliorer la qualité de la prise de décisions gouvernementales</w:t>
            </w:r>
            <w:r>
              <w:rPr>
                <w:rFonts w:ascii="Times New Roman" w:eastAsia="Times New Roman" w:hAnsi="Times New Roman" w:cs="Times New Roman"/>
                <w:noProof/>
              </w:rPr>
              <w:t xml:space="preserve"> </w:t>
            </w:r>
          </w:p>
        </w:tc>
        <w:tc>
          <w:tcPr>
            <w:tcW w:w="1216" w:type="dxa"/>
            <w:tcBorders>
              <w:top w:val="nil"/>
              <w:left w:val="nil"/>
              <w:bottom w:val="single" w:sz="4" w:space="0" w:color="auto"/>
              <w:right w:val="single" w:sz="4" w:space="0" w:color="auto"/>
            </w:tcBorders>
            <w:shd w:val="clear" w:color="auto" w:fill="C6EFCE"/>
          </w:tcPr>
          <w:p w14:paraId="450164D4"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6185E391" w14:textId="6578E971" w:rsidR="00A345F4" w:rsidRDefault="005E2D4E">
            <w:pPr>
              <w:pStyle w:val="P68B1DB1-Normal75"/>
              <w:spacing w:after="0" w:line="259" w:lineRule="auto"/>
              <w:rPr>
                <w:rFonts w:eastAsia="Aptos"/>
                <w:noProof/>
              </w:rPr>
            </w:pPr>
            <w:r>
              <w:rPr>
                <w:noProof/>
              </w:rPr>
              <w:t>Le plan pour une meilleure réglementation 2026-2030 </w:t>
            </w:r>
          </w:p>
        </w:tc>
      </w:tr>
      <w:tr w:rsidR="00A345F4" w14:paraId="22779020"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4948820" w14:textId="77777777" w:rsidR="00A345F4" w:rsidRDefault="005E2D4E">
            <w:pPr>
              <w:pStyle w:val="P68B1DB1-Normal74"/>
              <w:spacing w:after="0" w:line="259" w:lineRule="auto"/>
              <w:rPr>
                <w:noProof/>
              </w:rPr>
            </w:pPr>
            <w:r>
              <w:rPr>
                <w:noProof/>
              </w:rPr>
              <w:t>RO-C[C14]-R[R3.0]-M[416]</w:t>
            </w:r>
          </w:p>
        </w:tc>
        <w:tc>
          <w:tcPr>
            <w:tcW w:w="3607" w:type="dxa"/>
            <w:tcBorders>
              <w:top w:val="nil"/>
              <w:left w:val="nil"/>
              <w:bottom w:val="single" w:sz="4" w:space="0" w:color="auto"/>
              <w:right w:val="single" w:sz="4" w:space="0" w:color="auto"/>
            </w:tcBorders>
            <w:shd w:val="clear" w:color="auto" w:fill="C6EFCE"/>
          </w:tcPr>
          <w:p w14:paraId="31372884" w14:textId="0FEEDCA3" w:rsidR="00A345F4" w:rsidRDefault="005E2D4E">
            <w:pPr>
              <w:pStyle w:val="P68B1DB1-Normal74"/>
              <w:spacing w:after="0" w:line="259" w:lineRule="auto"/>
              <w:rPr>
                <w:noProof/>
              </w:rPr>
            </w:pPr>
            <w:r>
              <w:rPr>
                <w:noProof/>
              </w:rPr>
              <w:t xml:space="preserve">Moderniser la gestion des ressources humaines dans le secteur public </w:t>
            </w:r>
          </w:p>
        </w:tc>
        <w:tc>
          <w:tcPr>
            <w:tcW w:w="1216" w:type="dxa"/>
            <w:tcBorders>
              <w:top w:val="nil"/>
              <w:left w:val="nil"/>
              <w:bottom w:val="single" w:sz="4" w:space="0" w:color="auto"/>
              <w:right w:val="single" w:sz="4" w:space="0" w:color="auto"/>
            </w:tcBorders>
            <w:shd w:val="clear" w:color="auto" w:fill="C6EFCE"/>
          </w:tcPr>
          <w:p w14:paraId="2C1A1138"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7F134CD5" w14:textId="77777777" w:rsidR="00A345F4" w:rsidRDefault="005E2D4E">
            <w:pPr>
              <w:pStyle w:val="P68B1DB1-Normal74"/>
              <w:spacing w:after="0" w:line="240" w:lineRule="auto"/>
              <w:jc w:val="both"/>
              <w:rPr>
                <w:rFonts w:eastAsia="Aptos"/>
                <w:noProof/>
              </w:rPr>
            </w:pPr>
            <w:r>
              <w:rPr>
                <w:noProof/>
              </w:rPr>
              <w:t xml:space="preserve">Concours pilote et organisation d'un concours national de recrutement de fonctionnaires </w:t>
            </w:r>
          </w:p>
        </w:tc>
      </w:tr>
      <w:tr w:rsidR="00A345F4" w14:paraId="4E0688A6"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FE0E222" w14:textId="77777777" w:rsidR="00A345F4" w:rsidRDefault="005E2D4E">
            <w:pPr>
              <w:pStyle w:val="P68B1DB1-Normal74"/>
              <w:spacing w:after="0" w:line="259" w:lineRule="auto"/>
              <w:rPr>
                <w:noProof/>
              </w:rPr>
            </w:pPr>
            <w:r>
              <w:rPr>
                <w:noProof/>
              </w:rPr>
              <w:t>RO-C[C15]-I[I3.0]-T[460]</w:t>
            </w:r>
          </w:p>
        </w:tc>
        <w:tc>
          <w:tcPr>
            <w:tcW w:w="3607" w:type="dxa"/>
            <w:tcBorders>
              <w:top w:val="nil"/>
              <w:left w:val="nil"/>
              <w:bottom w:val="single" w:sz="4" w:space="0" w:color="auto"/>
              <w:right w:val="single" w:sz="4" w:space="0" w:color="auto"/>
            </w:tcBorders>
            <w:shd w:val="clear" w:color="auto" w:fill="C6EFCE"/>
          </w:tcPr>
          <w:p w14:paraId="51500945" w14:textId="77777777" w:rsidR="00A345F4" w:rsidRDefault="005E2D4E">
            <w:pPr>
              <w:pStyle w:val="P68B1DB1-Normal74"/>
              <w:spacing w:after="0" w:line="259" w:lineRule="auto"/>
              <w:rPr>
                <w:noProof/>
              </w:rPr>
            </w:pPr>
            <w:r>
              <w:rPr>
                <w:noProof/>
              </w:rPr>
              <w:t>Programme-cadre pour la formation continue des professionnels des services d'éducation de la petite enfance</w:t>
            </w:r>
          </w:p>
        </w:tc>
        <w:tc>
          <w:tcPr>
            <w:tcW w:w="1216" w:type="dxa"/>
            <w:tcBorders>
              <w:top w:val="nil"/>
              <w:left w:val="nil"/>
              <w:bottom w:val="single" w:sz="4" w:space="0" w:color="auto"/>
              <w:right w:val="single" w:sz="4" w:space="0" w:color="auto"/>
            </w:tcBorders>
            <w:shd w:val="clear" w:color="auto" w:fill="C6EFCE"/>
          </w:tcPr>
          <w:p w14:paraId="06806A85" w14:textId="77777777" w:rsidR="00A345F4" w:rsidRDefault="005E2D4E">
            <w:pPr>
              <w:pStyle w:val="P68B1DB1-Normal73"/>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07832A9D" w14:textId="77777777" w:rsidR="00A345F4" w:rsidRDefault="005E2D4E">
            <w:pPr>
              <w:pStyle w:val="P68B1DB1-Normal73"/>
              <w:spacing w:after="0" w:line="240" w:lineRule="auto"/>
              <w:jc w:val="both"/>
              <w:rPr>
                <w:rFonts w:eastAsia="Times New Roman"/>
                <w:noProof/>
              </w:rPr>
            </w:pPr>
            <w:r>
              <w:rPr>
                <w:noProof/>
              </w:rPr>
              <w:t>Participants formés</w:t>
            </w:r>
          </w:p>
        </w:tc>
      </w:tr>
      <w:tr w:rsidR="00A345F4" w14:paraId="7FD42F03"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BB52A4F" w14:textId="77777777" w:rsidR="00A345F4" w:rsidRDefault="005E2D4E">
            <w:pPr>
              <w:pStyle w:val="P68B1DB1-Normal74"/>
              <w:spacing w:after="0" w:line="259" w:lineRule="auto"/>
              <w:rPr>
                <w:noProof/>
              </w:rPr>
            </w:pPr>
            <w:r>
              <w:rPr>
                <w:noProof/>
              </w:rPr>
              <w:t>RO-C[C15]-I[I8.0]-T[480]</w:t>
            </w:r>
          </w:p>
        </w:tc>
        <w:tc>
          <w:tcPr>
            <w:tcW w:w="3607" w:type="dxa"/>
            <w:tcBorders>
              <w:top w:val="nil"/>
              <w:left w:val="nil"/>
              <w:bottom w:val="single" w:sz="4" w:space="0" w:color="auto"/>
              <w:right w:val="single" w:sz="4" w:space="0" w:color="auto"/>
            </w:tcBorders>
            <w:shd w:val="clear" w:color="auto" w:fill="C6EFCE"/>
          </w:tcPr>
          <w:p w14:paraId="20250905" w14:textId="53579D46" w:rsidR="00A345F4" w:rsidRDefault="005E2D4E">
            <w:pPr>
              <w:pStyle w:val="P68B1DB1-Normal74"/>
              <w:spacing w:after="0" w:line="259" w:lineRule="auto"/>
              <w:rPr>
                <w:noProof/>
              </w:rPr>
            </w:pPr>
            <w:r>
              <w:rPr>
                <w:noProof/>
              </w:rPr>
              <w:t>Programme(s) de formation en pédagogie numérique pour le personnel enseignant</w:t>
            </w:r>
          </w:p>
        </w:tc>
        <w:tc>
          <w:tcPr>
            <w:tcW w:w="1216" w:type="dxa"/>
            <w:tcBorders>
              <w:top w:val="nil"/>
              <w:left w:val="nil"/>
              <w:bottom w:val="single" w:sz="4" w:space="0" w:color="auto"/>
              <w:right w:val="single" w:sz="4" w:space="0" w:color="auto"/>
            </w:tcBorders>
            <w:shd w:val="clear" w:color="auto" w:fill="C6EFCE"/>
          </w:tcPr>
          <w:p w14:paraId="47D7C315" w14:textId="77777777" w:rsidR="00A345F4" w:rsidRDefault="005E2D4E">
            <w:pPr>
              <w:pStyle w:val="P68B1DB1-Normal73"/>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3B63D44C" w14:textId="77777777" w:rsidR="00A345F4" w:rsidRDefault="005E2D4E">
            <w:pPr>
              <w:pStyle w:val="P68B1DB1-Normal73"/>
              <w:spacing w:after="0" w:line="259" w:lineRule="auto"/>
              <w:rPr>
                <w:noProof/>
              </w:rPr>
            </w:pPr>
            <w:r>
              <w:rPr>
                <w:noProof/>
              </w:rPr>
              <w:t>Enseignants formés à la pédagogie et aux compétences numériques</w:t>
            </w:r>
          </w:p>
        </w:tc>
      </w:tr>
      <w:tr w:rsidR="00A345F4" w14:paraId="31D2B57C"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A1C8A44" w14:textId="77777777" w:rsidR="00A345F4" w:rsidRDefault="005E2D4E">
            <w:pPr>
              <w:pStyle w:val="P68B1DB1-Normal74"/>
              <w:spacing w:after="0" w:line="259" w:lineRule="auto"/>
              <w:rPr>
                <w:noProof/>
              </w:rPr>
            </w:pPr>
            <w:r>
              <w:rPr>
                <w:noProof/>
              </w:rPr>
              <w:t>RO-C[C15]-I[I9.0]-M[482]</w:t>
            </w:r>
          </w:p>
        </w:tc>
        <w:tc>
          <w:tcPr>
            <w:tcW w:w="3607" w:type="dxa"/>
            <w:tcBorders>
              <w:top w:val="nil"/>
              <w:left w:val="nil"/>
              <w:bottom w:val="single" w:sz="4" w:space="0" w:color="auto"/>
              <w:right w:val="single" w:sz="4" w:space="0" w:color="auto"/>
            </w:tcBorders>
            <w:shd w:val="clear" w:color="auto" w:fill="C6EFCE"/>
          </w:tcPr>
          <w:p w14:paraId="03F11611" w14:textId="6AA072FC" w:rsidR="00A345F4" w:rsidRDefault="005E2D4E">
            <w:pPr>
              <w:pStyle w:val="P68B1DB1-Normal76"/>
              <w:spacing w:after="0" w:line="259" w:lineRule="auto"/>
              <w:rPr>
                <w:rFonts w:eastAsia="Times New Roman"/>
                <w:noProof/>
              </w:rPr>
            </w:pPr>
            <w:r>
              <w:rPr>
                <w:noProof/>
              </w:rPr>
              <w:t>Équipements numériques et ressources technologiques pour les écoles et les établissements d'enseignement extrascolaire</w:t>
            </w:r>
          </w:p>
        </w:tc>
        <w:tc>
          <w:tcPr>
            <w:tcW w:w="1216" w:type="dxa"/>
            <w:tcBorders>
              <w:top w:val="nil"/>
              <w:left w:val="nil"/>
              <w:bottom w:val="single" w:sz="4" w:space="0" w:color="auto"/>
              <w:right w:val="single" w:sz="4" w:space="0" w:color="auto"/>
            </w:tcBorders>
            <w:shd w:val="clear" w:color="auto" w:fill="C6EFCE"/>
          </w:tcPr>
          <w:p w14:paraId="52E848F7"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34440DD0" w14:textId="77777777" w:rsidR="00A345F4" w:rsidRDefault="005E2D4E">
            <w:pPr>
              <w:pStyle w:val="P68B1DB1-Normal73"/>
              <w:spacing w:after="0" w:line="259" w:lineRule="auto"/>
              <w:rPr>
                <w:noProof/>
              </w:rPr>
            </w:pPr>
            <w:r>
              <w:rPr>
                <w:noProof/>
              </w:rPr>
              <w:t xml:space="preserve">Écoles et établissements d ' enseignement extrascolaire dotés de moyens technologiques </w:t>
            </w:r>
          </w:p>
        </w:tc>
      </w:tr>
      <w:tr w:rsidR="00A345F4" w14:paraId="074F9847"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B89367A" w14:textId="77777777" w:rsidR="00A345F4" w:rsidRDefault="005E2D4E">
            <w:pPr>
              <w:pStyle w:val="P68B1DB1-Normal74"/>
              <w:spacing w:after="0" w:line="259" w:lineRule="auto"/>
              <w:rPr>
                <w:noProof/>
              </w:rPr>
            </w:pPr>
            <w:r>
              <w:rPr>
                <w:noProof/>
              </w:rPr>
              <w:t>RO-C[C15]-I[I11.0]-M[491]</w:t>
            </w:r>
          </w:p>
        </w:tc>
        <w:tc>
          <w:tcPr>
            <w:tcW w:w="3607" w:type="dxa"/>
            <w:tcBorders>
              <w:top w:val="nil"/>
              <w:left w:val="nil"/>
              <w:bottom w:val="single" w:sz="4" w:space="0" w:color="auto"/>
              <w:right w:val="single" w:sz="4" w:space="0" w:color="auto"/>
            </w:tcBorders>
            <w:shd w:val="clear" w:color="auto" w:fill="C6EFCE"/>
          </w:tcPr>
          <w:p w14:paraId="59FBDDC1" w14:textId="28680CB5" w:rsidR="00A345F4" w:rsidRDefault="005E2D4E">
            <w:pPr>
              <w:pStyle w:val="P68B1DB1-Normal74"/>
              <w:spacing w:after="0" w:line="259" w:lineRule="auto"/>
              <w:rPr>
                <w:noProof/>
              </w:rPr>
            </w:pPr>
            <w:r>
              <w:rPr>
                <w:noProof/>
              </w:rPr>
              <w:t>Fourniture de matériel pour les salles de classe pré-universitaires et les laboratoires de sciences scolaires/armoires scolaires</w:t>
            </w:r>
          </w:p>
        </w:tc>
        <w:tc>
          <w:tcPr>
            <w:tcW w:w="1216" w:type="dxa"/>
            <w:tcBorders>
              <w:top w:val="nil"/>
              <w:left w:val="nil"/>
              <w:bottom w:val="single" w:sz="4" w:space="0" w:color="auto"/>
              <w:right w:val="single" w:sz="4" w:space="0" w:color="auto"/>
            </w:tcBorders>
            <w:shd w:val="clear" w:color="auto" w:fill="C6EFCE"/>
          </w:tcPr>
          <w:p w14:paraId="2E7723A2"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2B9ED49F" w14:textId="77777777" w:rsidR="00A345F4" w:rsidRDefault="005E2D4E">
            <w:pPr>
              <w:pStyle w:val="P68B1DB1-Normal73"/>
              <w:spacing w:after="0" w:line="259" w:lineRule="auto"/>
              <w:rPr>
                <w:noProof/>
              </w:rPr>
            </w:pPr>
            <w:r>
              <w:rPr>
                <w:noProof/>
              </w:rPr>
              <w:t>Salles de classe pré-universitaires et laboratoires scientifiques/armoires scolaires équipés</w:t>
            </w:r>
          </w:p>
        </w:tc>
      </w:tr>
      <w:tr w:rsidR="00A345F4" w14:paraId="62382245"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3919E55" w14:textId="77777777" w:rsidR="00A345F4" w:rsidRDefault="005E2D4E">
            <w:pPr>
              <w:pStyle w:val="P68B1DB1-Normal74"/>
              <w:spacing w:after="0" w:line="259" w:lineRule="auto"/>
              <w:rPr>
                <w:noProof/>
              </w:rPr>
            </w:pPr>
            <w:r>
              <w:rPr>
                <w:noProof/>
              </w:rPr>
              <w:t>RO-C[C15]-I[I14.0]-M[497]</w:t>
            </w:r>
          </w:p>
        </w:tc>
        <w:tc>
          <w:tcPr>
            <w:tcW w:w="3607" w:type="dxa"/>
            <w:tcBorders>
              <w:top w:val="nil"/>
              <w:left w:val="nil"/>
              <w:bottom w:val="single" w:sz="4" w:space="0" w:color="auto"/>
              <w:right w:val="single" w:sz="4" w:space="0" w:color="auto"/>
            </w:tcBorders>
            <w:shd w:val="clear" w:color="auto" w:fill="C6EFCE"/>
          </w:tcPr>
          <w:p w14:paraId="5473E1BE" w14:textId="77777777" w:rsidR="00A345F4" w:rsidRDefault="005E2D4E">
            <w:pPr>
              <w:pStyle w:val="P68B1DB1-Normal74"/>
              <w:spacing w:after="0" w:line="259" w:lineRule="auto"/>
              <w:rPr>
                <w:noProof/>
              </w:rPr>
            </w:pPr>
            <w:r>
              <w:rPr>
                <w:noProof/>
              </w:rPr>
              <w:t>Équipement d’ateliers de pratique dans les écoles d’EFP</w:t>
            </w:r>
          </w:p>
        </w:tc>
        <w:tc>
          <w:tcPr>
            <w:tcW w:w="1216" w:type="dxa"/>
            <w:tcBorders>
              <w:top w:val="nil"/>
              <w:left w:val="nil"/>
              <w:bottom w:val="single" w:sz="4" w:space="0" w:color="auto"/>
              <w:right w:val="single" w:sz="4" w:space="0" w:color="auto"/>
            </w:tcBorders>
            <w:shd w:val="clear" w:color="auto" w:fill="C6EFCE"/>
          </w:tcPr>
          <w:p w14:paraId="7CA81F12"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58BCE8B4" w14:textId="77777777" w:rsidR="00A345F4" w:rsidRDefault="005E2D4E">
            <w:pPr>
              <w:pStyle w:val="P68B1DB1-Normal76"/>
              <w:spacing w:after="0" w:line="259" w:lineRule="auto"/>
              <w:rPr>
                <w:rFonts w:eastAsia="Aptos"/>
                <w:noProof/>
              </w:rPr>
            </w:pPr>
            <w:r>
              <w:rPr>
                <w:noProof/>
              </w:rPr>
              <w:t xml:space="preserve">Ateliers de pratique dans les écoles d’EFP équipées </w:t>
            </w:r>
          </w:p>
        </w:tc>
      </w:tr>
      <w:tr w:rsidR="00A345F4" w14:paraId="11F30FD6"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E87ABF3" w14:textId="77777777" w:rsidR="00A345F4" w:rsidRDefault="005E2D4E">
            <w:pPr>
              <w:pStyle w:val="P68B1DB1-Normal74"/>
              <w:spacing w:after="0" w:line="259" w:lineRule="auto"/>
              <w:rPr>
                <w:noProof/>
              </w:rPr>
            </w:pPr>
            <w:r>
              <w:rPr>
                <w:noProof/>
              </w:rPr>
              <w:t>RO-C[C15]-I[I16a.0]-T[502]</w:t>
            </w:r>
          </w:p>
        </w:tc>
        <w:tc>
          <w:tcPr>
            <w:tcW w:w="3607" w:type="dxa"/>
            <w:tcBorders>
              <w:top w:val="nil"/>
              <w:left w:val="nil"/>
              <w:bottom w:val="single" w:sz="4" w:space="0" w:color="auto"/>
              <w:right w:val="single" w:sz="4" w:space="0" w:color="auto"/>
            </w:tcBorders>
            <w:shd w:val="clear" w:color="auto" w:fill="C6EFCE"/>
          </w:tcPr>
          <w:p w14:paraId="55DC5EEB" w14:textId="77777777" w:rsidR="00A345F4" w:rsidRDefault="005E2D4E">
            <w:pPr>
              <w:pStyle w:val="P68B1DB1-Normal74"/>
              <w:spacing w:after="0" w:line="259" w:lineRule="auto"/>
              <w:rPr>
                <w:noProof/>
              </w:rPr>
            </w:pPr>
            <w:r>
              <w:rPr>
                <w:noProof/>
              </w:rPr>
              <w:t>Numérisation des universités et préparation aux métiers du numérique de demain</w:t>
            </w:r>
          </w:p>
        </w:tc>
        <w:tc>
          <w:tcPr>
            <w:tcW w:w="1216" w:type="dxa"/>
            <w:tcBorders>
              <w:top w:val="nil"/>
              <w:left w:val="nil"/>
              <w:bottom w:val="single" w:sz="4" w:space="0" w:color="auto"/>
              <w:right w:val="single" w:sz="4" w:space="0" w:color="auto"/>
            </w:tcBorders>
            <w:shd w:val="clear" w:color="auto" w:fill="C6EFCE"/>
          </w:tcPr>
          <w:p w14:paraId="02324ED1" w14:textId="77777777" w:rsidR="00A345F4" w:rsidRDefault="005E2D4E">
            <w:pPr>
              <w:pStyle w:val="P68B1DB1-Normal73"/>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5F065B8D" w14:textId="77777777" w:rsidR="00A345F4" w:rsidRDefault="005E2D4E">
            <w:pPr>
              <w:pStyle w:val="P68B1DB1-Normal73"/>
              <w:spacing w:after="0" w:line="259" w:lineRule="auto"/>
              <w:rPr>
                <w:noProof/>
              </w:rPr>
            </w:pPr>
            <w:r>
              <w:rPr>
                <w:noProof/>
              </w:rPr>
              <w:t xml:space="preserve">Universités soutenues </w:t>
            </w:r>
          </w:p>
        </w:tc>
      </w:tr>
      <w:tr w:rsidR="00A345F4" w14:paraId="17446BE6"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4B34688" w14:textId="77777777" w:rsidR="00A345F4" w:rsidRDefault="005E2D4E">
            <w:pPr>
              <w:pStyle w:val="P68B1DB1-Normal78"/>
              <w:spacing w:after="0" w:line="259" w:lineRule="auto"/>
              <w:rPr>
                <w:rFonts w:eastAsia="Times New Roman"/>
                <w:noProof/>
              </w:rPr>
            </w:pPr>
            <w:r>
              <w:rPr>
                <w:noProof/>
              </w:rPr>
              <w:t>RO-C[C16]-R[R1.0]-M[508]</w:t>
            </w:r>
          </w:p>
        </w:tc>
        <w:tc>
          <w:tcPr>
            <w:tcW w:w="3607" w:type="dxa"/>
            <w:tcBorders>
              <w:top w:val="nil"/>
              <w:left w:val="nil"/>
              <w:bottom w:val="single" w:sz="4" w:space="0" w:color="auto"/>
              <w:right w:val="single" w:sz="4" w:space="0" w:color="auto"/>
            </w:tcBorders>
            <w:shd w:val="clear" w:color="auto" w:fill="C6EFCE"/>
          </w:tcPr>
          <w:p w14:paraId="5CA59550" w14:textId="77777777" w:rsidR="00A345F4" w:rsidRDefault="005E2D4E">
            <w:pPr>
              <w:pStyle w:val="P68B1DB1-Normal78"/>
              <w:spacing w:after="0" w:line="259" w:lineRule="auto"/>
              <w:rPr>
                <w:rFonts w:eastAsia="Times New Roman"/>
                <w:noProof/>
              </w:rPr>
            </w:pPr>
            <w:r>
              <w:rPr>
                <w:noProof/>
              </w:rPr>
              <w:t>Créer un cadre juridique pour l'utilisation des terres domaniales en tant que zones d'accélération des investissements dans les énergies renouvelables</w:t>
            </w:r>
          </w:p>
        </w:tc>
        <w:tc>
          <w:tcPr>
            <w:tcW w:w="1216" w:type="dxa"/>
            <w:tcBorders>
              <w:top w:val="nil"/>
              <w:left w:val="nil"/>
              <w:bottom w:val="single" w:sz="4" w:space="0" w:color="auto"/>
              <w:right w:val="single" w:sz="4" w:space="0" w:color="auto"/>
            </w:tcBorders>
            <w:shd w:val="clear" w:color="auto" w:fill="C6EFCE"/>
          </w:tcPr>
          <w:p w14:paraId="575E09F5"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4DB0EB6C" w14:textId="77777777" w:rsidR="00A345F4" w:rsidRDefault="005E2D4E">
            <w:pPr>
              <w:pStyle w:val="P68B1DB1-Normal74"/>
              <w:spacing w:after="0" w:line="259" w:lineRule="auto"/>
              <w:rPr>
                <w:rFonts w:eastAsia="Aptos"/>
                <w:noProof/>
              </w:rPr>
            </w:pPr>
            <w:r>
              <w:rPr>
                <w:noProof/>
              </w:rPr>
              <w:t xml:space="preserve"> Équipement pour l'Agence nationale des domaines (ADS)</w:t>
            </w:r>
          </w:p>
        </w:tc>
      </w:tr>
      <w:tr w:rsidR="00A345F4" w14:paraId="206796D3"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6EC0BFB" w14:textId="77777777" w:rsidR="00A345F4" w:rsidRDefault="005E2D4E">
            <w:pPr>
              <w:pStyle w:val="P68B1DB1-Normal78"/>
              <w:spacing w:after="0" w:line="259" w:lineRule="auto"/>
              <w:rPr>
                <w:rFonts w:eastAsia="Times New Roman"/>
                <w:noProof/>
              </w:rPr>
            </w:pPr>
            <w:r>
              <w:rPr>
                <w:noProof/>
              </w:rPr>
              <w:t>RO-C[C16]-R[R1.0]-M[509]</w:t>
            </w:r>
          </w:p>
        </w:tc>
        <w:tc>
          <w:tcPr>
            <w:tcW w:w="3607" w:type="dxa"/>
            <w:tcBorders>
              <w:top w:val="nil"/>
              <w:left w:val="nil"/>
              <w:bottom w:val="single" w:sz="4" w:space="0" w:color="auto"/>
              <w:right w:val="single" w:sz="4" w:space="0" w:color="auto"/>
            </w:tcBorders>
            <w:shd w:val="clear" w:color="auto" w:fill="C6EFCE"/>
          </w:tcPr>
          <w:p w14:paraId="18946338" w14:textId="77777777" w:rsidR="00A345F4" w:rsidRDefault="005E2D4E">
            <w:pPr>
              <w:pStyle w:val="P68B1DB1-Normal78"/>
              <w:spacing w:after="0" w:line="259" w:lineRule="auto"/>
              <w:rPr>
                <w:rFonts w:eastAsia="Times New Roman"/>
                <w:noProof/>
              </w:rPr>
            </w:pPr>
            <w:r>
              <w:rPr>
                <w:noProof/>
              </w:rPr>
              <w:t>Créer un cadre juridique pour l'utilisation des terres domaniales en tant que zones d'accélération des investissements dans les énergies renouvelables</w:t>
            </w:r>
          </w:p>
        </w:tc>
        <w:tc>
          <w:tcPr>
            <w:tcW w:w="1216" w:type="dxa"/>
            <w:tcBorders>
              <w:top w:val="nil"/>
              <w:left w:val="nil"/>
              <w:bottom w:val="single" w:sz="4" w:space="0" w:color="auto"/>
              <w:right w:val="single" w:sz="4" w:space="0" w:color="auto"/>
            </w:tcBorders>
            <w:shd w:val="clear" w:color="auto" w:fill="C6EFCE"/>
          </w:tcPr>
          <w:p w14:paraId="0FAF1651"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4AF7D307" w14:textId="2A98A647" w:rsidR="00A345F4" w:rsidRDefault="005E2D4E">
            <w:pPr>
              <w:pStyle w:val="P68B1DB1-Normal78"/>
              <w:spacing w:after="0" w:line="259" w:lineRule="auto"/>
              <w:rPr>
                <w:noProof/>
              </w:rPr>
            </w:pPr>
            <w:r>
              <w:rPr>
                <w:noProof/>
              </w:rPr>
              <w:t>Entrée en vigueur du ou des actes juridiques</w:t>
            </w:r>
          </w:p>
        </w:tc>
      </w:tr>
      <w:tr w:rsidR="00A345F4" w14:paraId="05FEBEF2"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111E9FB" w14:textId="77777777" w:rsidR="00A345F4" w:rsidRDefault="005E2D4E">
            <w:pPr>
              <w:pStyle w:val="P68B1DB1-Normal78"/>
              <w:spacing w:after="0" w:line="259" w:lineRule="auto"/>
              <w:rPr>
                <w:rFonts w:eastAsia="Times New Roman"/>
                <w:noProof/>
              </w:rPr>
            </w:pPr>
            <w:r>
              <w:rPr>
                <w:noProof/>
              </w:rPr>
              <w:t>RO-C[C16]-R[R1.0]-M[510]</w:t>
            </w:r>
          </w:p>
        </w:tc>
        <w:tc>
          <w:tcPr>
            <w:tcW w:w="3607" w:type="dxa"/>
            <w:tcBorders>
              <w:top w:val="nil"/>
              <w:left w:val="nil"/>
              <w:bottom w:val="single" w:sz="4" w:space="0" w:color="auto"/>
              <w:right w:val="single" w:sz="4" w:space="0" w:color="auto"/>
            </w:tcBorders>
            <w:shd w:val="clear" w:color="auto" w:fill="C6EFCE"/>
          </w:tcPr>
          <w:p w14:paraId="674A070A" w14:textId="77777777" w:rsidR="00A345F4" w:rsidRDefault="005E2D4E">
            <w:pPr>
              <w:pStyle w:val="P68B1DB1-Normal78"/>
              <w:spacing w:after="0" w:line="259" w:lineRule="auto"/>
              <w:rPr>
                <w:rFonts w:eastAsia="Times New Roman"/>
                <w:noProof/>
              </w:rPr>
            </w:pPr>
            <w:r>
              <w:rPr>
                <w:noProof/>
              </w:rPr>
              <w:t>Créer un cadre juridique pour l'utilisation des terres domaniales en tant que zones d'accélération des investissements dans les énergies renouvelables</w:t>
            </w:r>
          </w:p>
        </w:tc>
        <w:tc>
          <w:tcPr>
            <w:tcW w:w="1216" w:type="dxa"/>
            <w:tcBorders>
              <w:top w:val="nil"/>
              <w:left w:val="nil"/>
              <w:bottom w:val="single" w:sz="4" w:space="0" w:color="auto"/>
              <w:right w:val="single" w:sz="4" w:space="0" w:color="auto"/>
            </w:tcBorders>
            <w:shd w:val="clear" w:color="auto" w:fill="C6EFCE"/>
          </w:tcPr>
          <w:p w14:paraId="1DFD0811" w14:textId="77777777" w:rsidR="00A345F4" w:rsidRDefault="005E2D4E">
            <w:pPr>
              <w:pStyle w:val="P68B1DB1-Normal73"/>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0F2B2A34" w14:textId="77777777" w:rsidR="00A345F4" w:rsidRDefault="005E2D4E">
            <w:pPr>
              <w:pStyle w:val="P68B1DB1-Normal78"/>
              <w:spacing w:after="0" w:line="259" w:lineRule="auto"/>
              <w:rPr>
                <w:noProof/>
              </w:rPr>
            </w:pPr>
            <w:r>
              <w:rPr>
                <w:noProof/>
              </w:rPr>
              <w:t>Mise en place d'un registre national unique pour les terrains appartenant à l'État</w:t>
            </w:r>
          </w:p>
        </w:tc>
      </w:tr>
      <w:tr w:rsidR="00A345F4" w14:paraId="3DC61CCE"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8F00A48" w14:textId="77777777" w:rsidR="00A345F4" w:rsidRDefault="005E2D4E">
            <w:pPr>
              <w:pStyle w:val="P68B1DB1-Normal78"/>
              <w:spacing w:after="0" w:line="259" w:lineRule="auto"/>
              <w:rPr>
                <w:rFonts w:eastAsia="Times New Roman"/>
                <w:noProof/>
              </w:rPr>
            </w:pPr>
            <w:r>
              <w:rPr>
                <w:noProof/>
              </w:rPr>
              <w:t>RO-C[C16]-I[I2.0]-T[125]</w:t>
            </w:r>
          </w:p>
        </w:tc>
        <w:tc>
          <w:tcPr>
            <w:tcW w:w="3607" w:type="dxa"/>
            <w:tcBorders>
              <w:top w:val="nil"/>
              <w:left w:val="nil"/>
              <w:bottom w:val="single" w:sz="4" w:space="0" w:color="auto"/>
              <w:right w:val="single" w:sz="4" w:space="0" w:color="auto"/>
            </w:tcBorders>
            <w:shd w:val="clear" w:color="auto" w:fill="C6EFCE"/>
          </w:tcPr>
          <w:p w14:paraId="4BC720C1" w14:textId="77777777" w:rsidR="00A345F4" w:rsidRDefault="005E2D4E">
            <w:pPr>
              <w:pStyle w:val="P68B1DB1-Normal78"/>
              <w:spacing w:after="0" w:line="259" w:lineRule="auto"/>
              <w:rPr>
                <w:rFonts w:eastAsia="Times New Roman"/>
                <w:noProof/>
              </w:rPr>
            </w:pPr>
            <w:r>
              <w:rPr>
                <w:noProof/>
              </w:rPr>
              <w:t>Nouvelles capacités de production d'électricité à partir de sources renouvelables</w:t>
            </w:r>
          </w:p>
        </w:tc>
        <w:tc>
          <w:tcPr>
            <w:tcW w:w="1216" w:type="dxa"/>
            <w:tcBorders>
              <w:top w:val="nil"/>
              <w:left w:val="nil"/>
              <w:bottom w:val="single" w:sz="4" w:space="0" w:color="auto"/>
              <w:right w:val="single" w:sz="4" w:space="0" w:color="auto"/>
            </w:tcBorders>
            <w:shd w:val="clear" w:color="auto" w:fill="C6EFCE"/>
          </w:tcPr>
          <w:p w14:paraId="31407996"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1185316F" w14:textId="77777777" w:rsidR="00A345F4" w:rsidRDefault="005E2D4E">
            <w:pPr>
              <w:pStyle w:val="P68B1DB1-Normal78"/>
              <w:spacing w:after="0" w:line="259" w:lineRule="auto"/>
              <w:rPr>
                <w:noProof/>
              </w:rPr>
            </w:pPr>
            <w:r>
              <w:rPr>
                <w:noProof/>
              </w:rPr>
              <w:t>Capacité installée et raccordée au réseau</w:t>
            </w:r>
          </w:p>
        </w:tc>
      </w:tr>
      <w:tr w:rsidR="00A345F4" w14:paraId="12003A2B"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44BEE7D" w14:textId="77777777" w:rsidR="00A345F4" w:rsidRDefault="005E2D4E">
            <w:pPr>
              <w:pStyle w:val="P68B1DB1-Normal78"/>
              <w:spacing w:after="0" w:line="259" w:lineRule="auto"/>
              <w:rPr>
                <w:rFonts w:eastAsia="Times New Roman"/>
                <w:noProof/>
              </w:rPr>
            </w:pPr>
            <w:r>
              <w:rPr>
                <w:noProof/>
              </w:rPr>
              <w:t>RO-C[C16]-I[I5.0]-T[520]</w:t>
            </w:r>
          </w:p>
        </w:tc>
        <w:tc>
          <w:tcPr>
            <w:tcW w:w="3607" w:type="dxa"/>
            <w:tcBorders>
              <w:top w:val="nil"/>
              <w:left w:val="nil"/>
              <w:bottom w:val="single" w:sz="4" w:space="0" w:color="auto"/>
              <w:right w:val="single" w:sz="4" w:space="0" w:color="auto"/>
            </w:tcBorders>
            <w:shd w:val="clear" w:color="auto" w:fill="C6EFCE"/>
          </w:tcPr>
          <w:p w14:paraId="20092195" w14:textId="77777777" w:rsidR="00A345F4" w:rsidRDefault="005E2D4E">
            <w:pPr>
              <w:pStyle w:val="P68B1DB1-Normal79"/>
              <w:spacing w:after="0" w:line="259" w:lineRule="auto"/>
              <w:rPr>
                <w:rFonts w:ascii="Times New Roman" w:eastAsia="Times New Roman" w:hAnsi="Times New Roman" w:cs="Times New Roman"/>
                <w:noProof/>
              </w:rPr>
            </w:pPr>
            <w:r>
              <w:rPr>
                <w:rFonts w:ascii="Times New Roman" w:eastAsia="Aptos" w:hAnsi="Times New Roman" w:cs="Times New Roman"/>
                <w:noProof/>
                <w:color w:val="000000"/>
              </w:rPr>
              <w:t>Numérisation et modernisation du réseau national de transport d’électricité</w:t>
            </w:r>
            <w:r>
              <w:rPr>
                <w:rFonts w:ascii="Times New Roman" w:eastAsia="Times New Roman" w:hAnsi="Times New Roman" w:cs="Times New Roman"/>
                <w:noProof/>
              </w:rPr>
              <w:t xml:space="preserve"> </w:t>
            </w:r>
          </w:p>
        </w:tc>
        <w:tc>
          <w:tcPr>
            <w:tcW w:w="1216" w:type="dxa"/>
            <w:tcBorders>
              <w:top w:val="nil"/>
              <w:left w:val="nil"/>
              <w:bottom w:val="single" w:sz="4" w:space="0" w:color="auto"/>
              <w:right w:val="single" w:sz="4" w:space="0" w:color="auto"/>
            </w:tcBorders>
            <w:shd w:val="clear" w:color="auto" w:fill="C6EFCE"/>
          </w:tcPr>
          <w:p w14:paraId="195A0176" w14:textId="77777777" w:rsidR="00A345F4" w:rsidRDefault="005E2D4E">
            <w:pPr>
              <w:pStyle w:val="P68B1DB1-Normal78"/>
              <w:spacing w:after="0" w:line="259" w:lineRule="auto"/>
              <w:jc w:val="center"/>
              <w:rPr>
                <w:noProof/>
              </w:rPr>
            </w:pPr>
            <w:r>
              <w:rPr>
                <w:noProof/>
              </w:rPr>
              <w:t>T</w:t>
            </w:r>
          </w:p>
        </w:tc>
        <w:tc>
          <w:tcPr>
            <w:tcW w:w="3465" w:type="dxa"/>
            <w:tcBorders>
              <w:top w:val="nil"/>
              <w:left w:val="nil"/>
              <w:bottom w:val="single" w:sz="4" w:space="0" w:color="auto"/>
              <w:right w:val="single" w:sz="4" w:space="0" w:color="auto"/>
            </w:tcBorders>
            <w:shd w:val="clear" w:color="auto" w:fill="C6EFCE"/>
          </w:tcPr>
          <w:p w14:paraId="2CF6C56A" w14:textId="3ABC4975" w:rsidR="00A345F4" w:rsidRDefault="005E2D4E">
            <w:pPr>
              <w:pStyle w:val="P68B1DB1-Normal78"/>
              <w:spacing w:after="0" w:line="259" w:lineRule="auto"/>
              <w:rPr>
                <w:noProof/>
              </w:rPr>
            </w:pPr>
            <w:r>
              <w:rPr>
                <w:noProof/>
              </w:rPr>
              <w:t>Durée moyenne des interventions sur le réseau du GRT</w:t>
            </w:r>
          </w:p>
        </w:tc>
      </w:tr>
      <w:tr w:rsidR="00A345F4" w14:paraId="05AC045B" w14:textId="77777777">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DC4421D" w14:textId="77777777" w:rsidR="00A345F4" w:rsidRDefault="005E2D4E">
            <w:pPr>
              <w:pStyle w:val="P68B1DB1-Normal78"/>
              <w:spacing w:after="0" w:line="259" w:lineRule="auto"/>
              <w:rPr>
                <w:rFonts w:eastAsia="Times New Roman"/>
                <w:noProof/>
              </w:rPr>
            </w:pPr>
            <w:r>
              <w:rPr>
                <w:noProof/>
              </w:rPr>
              <w:t>RO-C[C16]-I[I5.]-M[522]</w:t>
            </w:r>
          </w:p>
        </w:tc>
        <w:tc>
          <w:tcPr>
            <w:tcW w:w="3607" w:type="dxa"/>
            <w:tcBorders>
              <w:top w:val="nil"/>
              <w:left w:val="nil"/>
              <w:bottom w:val="single" w:sz="4" w:space="0" w:color="auto"/>
              <w:right w:val="single" w:sz="4" w:space="0" w:color="auto"/>
            </w:tcBorders>
            <w:shd w:val="clear" w:color="auto" w:fill="C6EFCE"/>
          </w:tcPr>
          <w:p w14:paraId="5D2918BE" w14:textId="77777777" w:rsidR="00A345F4" w:rsidRDefault="005E2D4E">
            <w:pPr>
              <w:pStyle w:val="P68B1DB1-Normal79"/>
              <w:spacing w:after="0" w:line="259" w:lineRule="auto"/>
              <w:rPr>
                <w:rFonts w:ascii="Times New Roman" w:eastAsia="Times New Roman" w:hAnsi="Times New Roman" w:cs="Times New Roman"/>
                <w:noProof/>
              </w:rPr>
            </w:pPr>
            <w:r>
              <w:rPr>
                <w:rFonts w:ascii="Times New Roman" w:eastAsia="Aptos" w:hAnsi="Times New Roman" w:cs="Times New Roman"/>
                <w:noProof/>
                <w:color w:val="000000"/>
              </w:rPr>
              <w:t>Numérisation et modernisation du réseau national de transport d’électricité</w:t>
            </w:r>
            <w:r>
              <w:rPr>
                <w:rFonts w:ascii="Times New Roman" w:eastAsia="Times New Roman" w:hAnsi="Times New Roman" w:cs="Times New Roman"/>
                <w:noProof/>
              </w:rPr>
              <w:t xml:space="preserve"> </w:t>
            </w:r>
          </w:p>
        </w:tc>
        <w:tc>
          <w:tcPr>
            <w:tcW w:w="1216" w:type="dxa"/>
            <w:tcBorders>
              <w:top w:val="nil"/>
              <w:left w:val="nil"/>
              <w:bottom w:val="single" w:sz="4" w:space="0" w:color="auto"/>
              <w:right w:val="single" w:sz="4" w:space="0" w:color="auto"/>
            </w:tcBorders>
            <w:shd w:val="clear" w:color="auto" w:fill="C6EFCE"/>
          </w:tcPr>
          <w:p w14:paraId="0CA7126F" w14:textId="77777777" w:rsidR="00A345F4" w:rsidRDefault="005E2D4E">
            <w:pPr>
              <w:pStyle w:val="P68B1DB1-Normal78"/>
              <w:spacing w:after="0" w:line="259" w:lineRule="auto"/>
              <w:jc w:val="center"/>
              <w:rPr>
                <w:noProof/>
              </w:rPr>
            </w:pPr>
            <w:r>
              <w:rPr>
                <w:noProof/>
              </w:rPr>
              <w:t>M</w:t>
            </w:r>
          </w:p>
        </w:tc>
        <w:tc>
          <w:tcPr>
            <w:tcW w:w="3465" w:type="dxa"/>
            <w:tcBorders>
              <w:top w:val="nil"/>
              <w:left w:val="nil"/>
              <w:bottom w:val="single" w:sz="4" w:space="0" w:color="auto"/>
              <w:right w:val="single" w:sz="4" w:space="0" w:color="auto"/>
            </w:tcBorders>
            <w:shd w:val="clear" w:color="auto" w:fill="C6EFCE"/>
          </w:tcPr>
          <w:p w14:paraId="007AE4E6" w14:textId="77777777" w:rsidR="00A345F4" w:rsidRDefault="005E2D4E">
            <w:pPr>
              <w:pStyle w:val="P68B1DB1-Normal78"/>
              <w:spacing w:after="0" w:line="259" w:lineRule="auto"/>
              <w:rPr>
                <w:noProof/>
              </w:rPr>
            </w:pPr>
            <w:r>
              <w:rPr>
                <w:noProof/>
              </w:rPr>
              <w:t>Centre de données en service</w:t>
            </w:r>
          </w:p>
        </w:tc>
      </w:tr>
      <w:tr w:rsidR="00A345F4" w14:paraId="1E0F0BF7" w14:textId="77777777">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332FBE66"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607" w:type="dxa"/>
            <w:tcBorders>
              <w:top w:val="single" w:sz="4" w:space="0" w:color="auto"/>
              <w:left w:val="nil"/>
              <w:bottom w:val="single" w:sz="4" w:space="0" w:color="auto"/>
              <w:right w:val="single" w:sz="4" w:space="0" w:color="auto"/>
            </w:tcBorders>
            <w:shd w:val="clear" w:color="auto" w:fill="C6EFCE"/>
          </w:tcPr>
          <w:p w14:paraId="49A81BE4" w14:textId="77777777" w:rsidR="00A345F4" w:rsidRDefault="00A345F4">
            <w:pPr>
              <w:spacing w:after="0" w:line="259" w:lineRule="auto"/>
              <w:jc w:val="both"/>
              <w:rPr>
                <w:rFonts w:ascii="Times New Roman" w:eastAsia="Times New Roman" w:hAnsi="Times New Roman" w:cs="Times New Roman"/>
                <w:noProof/>
                <w:kern w:val="2"/>
                <w:sz w:val="22"/>
                <w:szCs w:val="22"/>
                <w14:ligatures w14:val="standardContextual"/>
              </w:rPr>
            </w:pPr>
          </w:p>
        </w:tc>
        <w:tc>
          <w:tcPr>
            <w:tcW w:w="1216" w:type="dxa"/>
            <w:tcBorders>
              <w:top w:val="single" w:sz="4" w:space="0" w:color="auto"/>
              <w:left w:val="nil"/>
              <w:bottom w:val="single" w:sz="4" w:space="0" w:color="auto"/>
              <w:right w:val="single" w:sz="4" w:space="0" w:color="auto"/>
            </w:tcBorders>
            <w:shd w:val="clear" w:color="auto" w:fill="C6EFCE"/>
          </w:tcPr>
          <w:p w14:paraId="5142C34B" w14:textId="77777777" w:rsidR="00A345F4" w:rsidRDefault="005E2D4E">
            <w:pPr>
              <w:pStyle w:val="P68B1DB1-Normal74"/>
              <w:spacing w:after="0" w:line="259" w:lineRule="auto"/>
              <w:jc w:val="center"/>
              <w:rPr>
                <w:noProof/>
              </w:rPr>
            </w:pPr>
            <w:r>
              <w:rPr>
                <w:noProof/>
              </w:rPr>
              <w:t>Montant des acomptes provisionnels</w:t>
            </w:r>
          </w:p>
        </w:tc>
        <w:tc>
          <w:tcPr>
            <w:tcW w:w="3465" w:type="dxa"/>
            <w:tcBorders>
              <w:top w:val="single" w:sz="4" w:space="0" w:color="auto"/>
              <w:left w:val="nil"/>
              <w:bottom w:val="single" w:sz="4" w:space="0" w:color="auto"/>
              <w:right w:val="single" w:sz="4" w:space="0" w:color="auto"/>
            </w:tcBorders>
            <w:shd w:val="clear" w:color="auto" w:fill="C6EFCE"/>
            <w:vAlign w:val="center"/>
          </w:tcPr>
          <w:p w14:paraId="094B0517" w14:textId="77777777" w:rsidR="00A345F4" w:rsidRDefault="005E2D4E">
            <w:pPr>
              <w:pStyle w:val="P68B1DB1-Normal74"/>
              <w:spacing w:after="0" w:line="259" w:lineRule="auto"/>
              <w:jc w:val="right"/>
              <w:rPr>
                <w:noProof/>
              </w:rPr>
            </w:pPr>
            <w:r>
              <w:rPr>
                <w:noProof/>
              </w:rPr>
              <w:t>1 921 906 723 EUR</w:t>
            </w:r>
          </w:p>
        </w:tc>
      </w:tr>
    </w:tbl>
    <w:p w14:paraId="424AB695" w14:textId="77777777" w:rsidR="00A345F4" w:rsidRDefault="005E2D4E">
      <w:pPr>
        <w:pStyle w:val="P68B1DB1-Normal71"/>
        <w:keepNext/>
        <w:tabs>
          <w:tab w:val="num" w:pos="1417"/>
        </w:tabs>
        <w:spacing w:before="120" w:after="120" w:line="240" w:lineRule="auto"/>
        <w:ind w:left="1417" w:hanging="850"/>
        <w:jc w:val="both"/>
        <w:outlineLvl w:val="2"/>
        <w:rPr>
          <w:bCs/>
          <w:noProof/>
        </w:rPr>
      </w:pPr>
      <w:r>
        <w:rPr>
          <w:noProof/>
        </w:rPr>
        <w:t xml:space="preserve">2.1.6 Sixième tranche (soutien non remboursable): </w:t>
      </w:r>
    </w:p>
    <w:tbl>
      <w:tblPr>
        <w:tblW w:w="9635" w:type="dxa"/>
        <w:tblInd w:w="113" w:type="dxa"/>
        <w:tblLook w:val="04A0" w:firstRow="1" w:lastRow="0" w:firstColumn="1" w:lastColumn="0" w:noHBand="0" w:noVBand="1"/>
      </w:tblPr>
      <w:tblGrid>
        <w:gridCol w:w="1413"/>
        <w:gridCol w:w="9"/>
        <w:gridCol w:w="3535"/>
        <w:gridCol w:w="1391"/>
        <w:gridCol w:w="11"/>
        <w:gridCol w:w="3393"/>
      </w:tblGrid>
      <w:tr w:rsidR="00A345F4" w14:paraId="261AA432" w14:textId="77777777">
        <w:trPr>
          <w:trHeight w:val="906"/>
          <w:tblHeader/>
        </w:trPr>
        <w:tc>
          <w:tcPr>
            <w:tcW w:w="1422"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4B4047" w14:textId="77777777" w:rsidR="00A345F4" w:rsidRDefault="005E2D4E">
            <w:pPr>
              <w:pStyle w:val="P68B1DB1-Normal72"/>
              <w:spacing w:after="0" w:line="259" w:lineRule="auto"/>
              <w:jc w:val="center"/>
              <w:rPr>
                <w:noProof/>
              </w:rPr>
            </w:pPr>
            <w:r>
              <w:rPr>
                <w:noProof/>
              </w:rPr>
              <w:t>Numéro séquentiel</w:t>
            </w:r>
          </w:p>
        </w:tc>
        <w:tc>
          <w:tcPr>
            <w:tcW w:w="35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EDCEF1" w14:textId="77777777" w:rsidR="00A345F4" w:rsidRDefault="005E2D4E">
            <w:pPr>
              <w:pStyle w:val="P68B1DB1-Normal72"/>
              <w:spacing w:after="0" w:line="259" w:lineRule="auto"/>
              <w:jc w:val="center"/>
              <w:rPr>
                <w:noProof/>
              </w:rPr>
            </w:pPr>
            <w:r>
              <w:rPr>
                <w:noProof/>
              </w:rPr>
              <w:t>Mesure connexe</w:t>
            </w:r>
          </w:p>
          <w:p w14:paraId="3A28C3A6" w14:textId="77777777" w:rsidR="00A345F4" w:rsidRDefault="005E2D4E">
            <w:pPr>
              <w:pStyle w:val="P68B1DB1-Normal72"/>
              <w:spacing w:after="0" w:line="259" w:lineRule="auto"/>
              <w:jc w:val="center"/>
              <w:rPr>
                <w:noProof/>
              </w:rPr>
            </w:pPr>
            <w:r>
              <w:rPr>
                <w:noProof/>
              </w:rPr>
              <w:t>(Réforme ou investissement)</w:t>
            </w:r>
          </w:p>
        </w:tc>
        <w:tc>
          <w:tcPr>
            <w:tcW w:w="1285"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E697D0" w14:textId="77777777" w:rsidR="00A345F4" w:rsidRDefault="005E2D4E">
            <w:pPr>
              <w:pStyle w:val="P68B1DB1-Normal72"/>
              <w:spacing w:after="0" w:line="259" w:lineRule="auto"/>
              <w:jc w:val="center"/>
              <w:rPr>
                <w:noProof/>
              </w:rPr>
            </w:pPr>
            <w:r>
              <w:rPr>
                <w:noProof/>
              </w:rPr>
              <w:t>Étape/cible</w:t>
            </w:r>
          </w:p>
        </w:tc>
        <w:tc>
          <w:tcPr>
            <w:tcW w:w="33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5ADE9A" w14:textId="77777777" w:rsidR="00A345F4" w:rsidRDefault="005E2D4E">
            <w:pPr>
              <w:pStyle w:val="P68B1DB1-Normal72"/>
              <w:spacing w:after="0" w:line="259" w:lineRule="auto"/>
              <w:jc w:val="center"/>
              <w:rPr>
                <w:noProof/>
              </w:rPr>
            </w:pPr>
            <w:r>
              <w:rPr>
                <w:noProof/>
              </w:rPr>
              <w:t>Nom</w:t>
            </w:r>
          </w:p>
        </w:tc>
      </w:tr>
      <w:tr w:rsidR="00A345F4" w14:paraId="13979E9A" w14:textId="77777777">
        <w:trPr>
          <w:trHeight w:val="509"/>
          <w:tblHeader/>
        </w:trPr>
        <w:tc>
          <w:tcPr>
            <w:tcW w:w="1422" w:type="dxa"/>
            <w:gridSpan w:val="2"/>
            <w:vMerge/>
            <w:tcBorders>
              <w:top w:val="single" w:sz="4" w:space="0" w:color="auto"/>
              <w:left w:val="single" w:sz="4" w:space="0" w:color="auto"/>
              <w:bottom w:val="single" w:sz="4" w:space="0" w:color="auto"/>
              <w:right w:val="single" w:sz="4" w:space="0" w:color="auto"/>
            </w:tcBorders>
            <w:vAlign w:val="center"/>
            <w:hideMark/>
          </w:tcPr>
          <w:p w14:paraId="6719DB5E"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3535" w:type="dxa"/>
            <w:vMerge/>
            <w:tcBorders>
              <w:top w:val="single" w:sz="4" w:space="0" w:color="auto"/>
              <w:left w:val="single" w:sz="4" w:space="0" w:color="auto"/>
              <w:bottom w:val="single" w:sz="4" w:space="0" w:color="auto"/>
              <w:right w:val="single" w:sz="4" w:space="0" w:color="auto"/>
            </w:tcBorders>
            <w:vAlign w:val="center"/>
            <w:hideMark/>
          </w:tcPr>
          <w:p w14:paraId="660190BE"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651AC2EE" w14:textId="77777777" w:rsidR="00A345F4" w:rsidRDefault="00A345F4">
            <w:pPr>
              <w:spacing w:after="0" w:line="259" w:lineRule="auto"/>
              <w:jc w:val="center"/>
              <w:rPr>
                <w:rFonts w:ascii="Times New Roman" w:eastAsia="Times New Roman" w:hAnsi="Times New Roman" w:cs="Times New Roman"/>
                <w:b/>
                <w:bCs/>
                <w:noProof/>
                <w:kern w:val="2"/>
                <w:sz w:val="22"/>
                <w:szCs w:val="22"/>
                <w14:ligatures w14:val="standardContextual"/>
              </w:rPr>
            </w:pPr>
          </w:p>
        </w:tc>
        <w:tc>
          <w:tcPr>
            <w:tcW w:w="3393" w:type="dxa"/>
            <w:vMerge/>
            <w:tcBorders>
              <w:top w:val="single" w:sz="4" w:space="0" w:color="auto"/>
              <w:left w:val="single" w:sz="4" w:space="0" w:color="auto"/>
              <w:bottom w:val="single" w:sz="4" w:space="0" w:color="auto"/>
              <w:right w:val="single" w:sz="4" w:space="0" w:color="auto"/>
            </w:tcBorders>
            <w:vAlign w:val="center"/>
            <w:hideMark/>
          </w:tcPr>
          <w:p w14:paraId="4EB5129B"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r>
      <w:tr w:rsidR="00A345F4" w14:paraId="2F1C975E"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AAC28B4" w14:textId="77777777" w:rsidR="00A345F4" w:rsidRDefault="005E2D4E">
            <w:pPr>
              <w:pStyle w:val="P68B1DB1-Normal73"/>
              <w:spacing w:after="0" w:line="259" w:lineRule="auto"/>
              <w:rPr>
                <w:noProof/>
              </w:rPr>
            </w:pPr>
            <w:r>
              <w:rPr>
                <w:noProof/>
              </w:rPr>
              <w:t>RO-C[C4]-I[I1.0]-M[75b]</w:t>
            </w:r>
          </w:p>
        </w:tc>
        <w:tc>
          <w:tcPr>
            <w:tcW w:w="3535" w:type="dxa"/>
            <w:tcBorders>
              <w:top w:val="single" w:sz="4" w:space="0" w:color="auto"/>
              <w:left w:val="nil"/>
              <w:bottom w:val="single" w:sz="4" w:space="0" w:color="auto"/>
              <w:right w:val="single" w:sz="4" w:space="0" w:color="auto"/>
            </w:tcBorders>
            <w:shd w:val="clear" w:color="auto" w:fill="C6EFCE"/>
            <w:noWrap/>
          </w:tcPr>
          <w:p w14:paraId="79A2420D" w14:textId="7A131B8C" w:rsidR="00A345F4" w:rsidRDefault="005E2D4E">
            <w:pPr>
              <w:pStyle w:val="P68B1DB1-Normal73"/>
              <w:spacing w:after="0" w:line="259" w:lineRule="auto"/>
              <w:rPr>
                <w:noProof/>
              </w:rPr>
            </w:pPr>
            <w:r>
              <w:rPr>
                <w:noProof/>
              </w:rPr>
              <w:t>Modernisation et/ou modernisation de l'infrastructure ferroviaire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0CCE38F" w14:textId="77777777" w:rsidR="00A345F4" w:rsidRDefault="005E2D4E">
            <w:pPr>
              <w:pStyle w:val="P68B1DB1-Normal73"/>
              <w:spacing w:after="0" w:line="259" w:lineRule="auto"/>
              <w:jc w:val="center"/>
              <w:rPr>
                <w:noProof/>
              </w:rPr>
            </w:pPr>
            <w:r>
              <w:rPr>
                <w:noProof/>
              </w:rPr>
              <w:t>M</w:t>
            </w:r>
          </w:p>
        </w:tc>
        <w:tc>
          <w:tcPr>
            <w:tcW w:w="3393" w:type="dxa"/>
            <w:tcBorders>
              <w:top w:val="single" w:sz="4" w:space="0" w:color="auto"/>
              <w:left w:val="nil"/>
              <w:bottom w:val="single" w:sz="4" w:space="0" w:color="auto"/>
              <w:right w:val="single" w:sz="4" w:space="0" w:color="auto"/>
            </w:tcBorders>
            <w:shd w:val="clear" w:color="auto" w:fill="C6EFCE"/>
            <w:noWrap/>
          </w:tcPr>
          <w:p w14:paraId="2F42C216" w14:textId="0ABDF6EF" w:rsidR="00A345F4" w:rsidRDefault="005E2D4E">
            <w:pPr>
              <w:pStyle w:val="P68B1DB1-Normal73"/>
              <w:spacing w:after="0" w:line="259" w:lineRule="auto"/>
              <w:rPr>
                <w:noProof/>
              </w:rPr>
            </w:pPr>
            <w:r>
              <w:rPr>
                <w:noProof/>
              </w:rPr>
              <w:t>Mise à disposition d'infrastructures ferroviaires modernisées et/ou modernisées</w:t>
            </w:r>
          </w:p>
        </w:tc>
      </w:tr>
      <w:tr w:rsidR="00A345F4" w14:paraId="42DED0C5"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6E7AEA9" w14:textId="77777777" w:rsidR="00A345F4" w:rsidRDefault="005E2D4E">
            <w:pPr>
              <w:pStyle w:val="P68B1DB1-Normal78"/>
              <w:spacing w:after="0" w:line="259" w:lineRule="auto"/>
              <w:rPr>
                <w:noProof/>
              </w:rPr>
            </w:pPr>
            <w:r>
              <w:rPr>
                <w:noProof/>
              </w:rPr>
              <w:t>RO-C[C4]-I[I3a.0]-M[530]</w:t>
            </w:r>
          </w:p>
        </w:tc>
        <w:tc>
          <w:tcPr>
            <w:tcW w:w="3535" w:type="dxa"/>
            <w:tcBorders>
              <w:top w:val="nil"/>
              <w:left w:val="nil"/>
              <w:bottom w:val="single" w:sz="4" w:space="0" w:color="auto"/>
              <w:right w:val="single" w:sz="4" w:space="0" w:color="auto"/>
            </w:tcBorders>
            <w:shd w:val="clear" w:color="auto" w:fill="C6EFCE"/>
            <w:noWrap/>
          </w:tcPr>
          <w:p w14:paraId="31248E78" w14:textId="67BE0E03" w:rsidR="00A345F4" w:rsidRDefault="005E2D4E">
            <w:pPr>
              <w:pStyle w:val="P68B1DB1-Normal78"/>
              <w:spacing w:after="0" w:line="259" w:lineRule="auto"/>
              <w:rPr>
                <w:noProof/>
              </w:rPr>
            </w:pPr>
            <w:r>
              <w:rPr>
                <w:noProof/>
              </w:rPr>
              <w:t>Accroître la durabilité des infrastructures routières sur le réseau RTE-T, la tarification routière, la gestion du trafic et la sécurité routière</w:t>
            </w:r>
          </w:p>
        </w:tc>
        <w:tc>
          <w:tcPr>
            <w:tcW w:w="1285" w:type="dxa"/>
            <w:gridSpan w:val="2"/>
            <w:tcBorders>
              <w:top w:val="nil"/>
              <w:left w:val="nil"/>
              <w:bottom w:val="single" w:sz="4" w:space="0" w:color="auto"/>
              <w:right w:val="single" w:sz="4" w:space="0" w:color="auto"/>
            </w:tcBorders>
            <w:shd w:val="clear" w:color="auto" w:fill="C6EFCE"/>
            <w:noWrap/>
          </w:tcPr>
          <w:p w14:paraId="627A5BD9" w14:textId="77777777" w:rsidR="00A345F4" w:rsidRDefault="005E2D4E">
            <w:pPr>
              <w:pStyle w:val="P68B1DB1-Normal78"/>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0B226DE6" w14:textId="77777777" w:rsidR="00A345F4" w:rsidRDefault="005E2D4E">
            <w:pPr>
              <w:pStyle w:val="P68B1DB1-Normal78"/>
              <w:spacing w:after="0" w:line="259" w:lineRule="auto"/>
              <w:rPr>
                <w:noProof/>
              </w:rPr>
            </w:pPr>
            <w:r>
              <w:rPr>
                <w:noProof/>
              </w:rPr>
              <w:t xml:space="preserve">Construction de nouvelles routes </w:t>
            </w:r>
          </w:p>
        </w:tc>
      </w:tr>
      <w:tr w:rsidR="00A345F4" w14:paraId="252F0845"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8FBE297" w14:textId="77777777" w:rsidR="00A345F4" w:rsidRDefault="005E2D4E">
            <w:pPr>
              <w:pStyle w:val="P68B1DB1-Normal78"/>
              <w:spacing w:after="0" w:line="259" w:lineRule="auto"/>
              <w:rPr>
                <w:noProof/>
              </w:rPr>
            </w:pPr>
            <w:r>
              <w:rPr>
                <w:noProof/>
              </w:rPr>
              <w:t>RO-C[C5]-I[I1.a]-T[103a]</w:t>
            </w:r>
          </w:p>
        </w:tc>
        <w:tc>
          <w:tcPr>
            <w:tcW w:w="3535" w:type="dxa"/>
            <w:tcBorders>
              <w:top w:val="nil"/>
              <w:left w:val="nil"/>
              <w:bottom w:val="single" w:sz="4" w:space="0" w:color="auto"/>
              <w:right w:val="single" w:sz="4" w:space="0" w:color="auto"/>
            </w:tcBorders>
            <w:shd w:val="clear" w:color="auto" w:fill="C6EFCE"/>
            <w:noWrap/>
          </w:tcPr>
          <w:p w14:paraId="7230B091" w14:textId="77777777" w:rsidR="00A345F4" w:rsidRDefault="005E2D4E">
            <w:pPr>
              <w:pStyle w:val="P68B1DB1-Normal78"/>
              <w:spacing w:after="0" w:line="259" w:lineRule="auto"/>
              <w:rPr>
                <w:noProof/>
              </w:rPr>
            </w:pPr>
            <w:r>
              <w:rPr>
                <w:noProof/>
              </w:rPr>
              <w:t>Mise en place d’un fonds pour la vague de rénovations afin de financer des travaux visant à accroître l’efficacité énergétique du parc immobilier existant</w:t>
            </w:r>
          </w:p>
        </w:tc>
        <w:tc>
          <w:tcPr>
            <w:tcW w:w="1285" w:type="dxa"/>
            <w:gridSpan w:val="2"/>
            <w:tcBorders>
              <w:top w:val="nil"/>
              <w:left w:val="nil"/>
              <w:bottom w:val="single" w:sz="4" w:space="0" w:color="auto"/>
              <w:right w:val="single" w:sz="4" w:space="0" w:color="auto"/>
            </w:tcBorders>
            <w:shd w:val="clear" w:color="auto" w:fill="C6EFCE"/>
            <w:noWrap/>
          </w:tcPr>
          <w:p w14:paraId="50F2924D" w14:textId="77777777" w:rsidR="00A345F4" w:rsidRDefault="005E2D4E">
            <w:pPr>
              <w:pStyle w:val="P68B1DB1-Normal78"/>
              <w:spacing w:after="0" w:line="259" w:lineRule="auto"/>
              <w:jc w:val="center"/>
              <w:rPr>
                <w:noProof/>
              </w:rPr>
            </w:pPr>
            <w:r>
              <w:rPr>
                <w:noProof/>
              </w:rPr>
              <w:t>T</w:t>
            </w:r>
          </w:p>
        </w:tc>
        <w:tc>
          <w:tcPr>
            <w:tcW w:w="3393" w:type="dxa"/>
            <w:tcBorders>
              <w:top w:val="nil"/>
              <w:left w:val="nil"/>
              <w:bottom w:val="single" w:sz="4" w:space="0" w:color="auto"/>
              <w:right w:val="single" w:sz="4" w:space="0" w:color="auto"/>
            </w:tcBorders>
            <w:shd w:val="clear" w:color="auto" w:fill="C6EFCE"/>
            <w:noWrap/>
          </w:tcPr>
          <w:p w14:paraId="04E375E8" w14:textId="012C7BE2" w:rsidR="00A345F4" w:rsidRDefault="005E2D4E">
            <w:pPr>
              <w:pStyle w:val="P68B1DB1-Normal78"/>
              <w:spacing w:after="0" w:line="259" w:lineRule="auto"/>
              <w:rPr>
                <w:noProof/>
              </w:rPr>
            </w:pPr>
            <w:r>
              <w:rPr>
                <w:noProof/>
              </w:rPr>
              <w:t>Rénovation énergétique des immeubles résidentiels multifamiliaux</w:t>
            </w:r>
          </w:p>
        </w:tc>
      </w:tr>
      <w:tr w:rsidR="00A345F4" w14:paraId="2912D23E"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85D0161" w14:textId="77777777" w:rsidR="00A345F4" w:rsidRDefault="005E2D4E">
            <w:pPr>
              <w:pStyle w:val="P68B1DB1-Normal78"/>
              <w:spacing w:after="0" w:line="259" w:lineRule="auto"/>
              <w:rPr>
                <w:noProof/>
              </w:rPr>
            </w:pPr>
            <w:r>
              <w:rPr>
                <w:noProof/>
              </w:rPr>
              <w:t>RO-C[C5]-I[I1.a]-T[106a]</w:t>
            </w:r>
          </w:p>
        </w:tc>
        <w:tc>
          <w:tcPr>
            <w:tcW w:w="3535" w:type="dxa"/>
            <w:tcBorders>
              <w:top w:val="nil"/>
              <w:left w:val="nil"/>
              <w:bottom w:val="single" w:sz="4" w:space="0" w:color="auto"/>
              <w:right w:val="single" w:sz="4" w:space="0" w:color="auto"/>
            </w:tcBorders>
            <w:shd w:val="clear" w:color="auto" w:fill="C6EFCE"/>
            <w:noWrap/>
          </w:tcPr>
          <w:p w14:paraId="430AB690" w14:textId="77777777" w:rsidR="00A345F4" w:rsidRDefault="005E2D4E">
            <w:pPr>
              <w:pStyle w:val="P68B1DB1-Normal78"/>
              <w:spacing w:after="0" w:line="259" w:lineRule="auto"/>
              <w:rPr>
                <w:noProof/>
              </w:rPr>
            </w:pPr>
            <w:r>
              <w:rPr>
                <w:noProof/>
              </w:rPr>
              <w:t>Mise en place d’un fonds pour la vague de rénovations afin de financer des travaux visant à accroître l’efficacité énergétique du parc immobilier existant</w:t>
            </w:r>
          </w:p>
        </w:tc>
        <w:tc>
          <w:tcPr>
            <w:tcW w:w="1285" w:type="dxa"/>
            <w:gridSpan w:val="2"/>
            <w:tcBorders>
              <w:top w:val="nil"/>
              <w:left w:val="nil"/>
              <w:bottom w:val="single" w:sz="4" w:space="0" w:color="auto"/>
              <w:right w:val="single" w:sz="4" w:space="0" w:color="auto"/>
            </w:tcBorders>
            <w:shd w:val="clear" w:color="auto" w:fill="C6EFCE"/>
            <w:noWrap/>
          </w:tcPr>
          <w:p w14:paraId="0D0A815E" w14:textId="77777777" w:rsidR="00A345F4" w:rsidRDefault="005E2D4E">
            <w:pPr>
              <w:pStyle w:val="P68B1DB1-Normal78"/>
              <w:spacing w:after="0" w:line="259" w:lineRule="auto"/>
              <w:jc w:val="center"/>
              <w:rPr>
                <w:noProof/>
              </w:rPr>
            </w:pPr>
            <w:r>
              <w:rPr>
                <w:noProof/>
              </w:rPr>
              <w:t>T</w:t>
            </w:r>
          </w:p>
        </w:tc>
        <w:tc>
          <w:tcPr>
            <w:tcW w:w="3393" w:type="dxa"/>
            <w:tcBorders>
              <w:top w:val="nil"/>
              <w:left w:val="nil"/>
              <w:bottom w:val="single" w:sz="4" w:space="0" w:color="auto"/>
              <w:right w:val="single" w:sz="4" w:space="0" w:color="auto"/>
            </w:tcBorders>
            <w:shd w:val="clear" w:color="auto" w:fill="C6EFCE"/>
            <w:noWrap/>
          </w:tcPr>
          <w:p w14:paraId="67119876" w14:textId="22994B12" w:rsidR="00A345F4" w:rsidRDefault="005E2D4E">
            <w:pPr>
              <w:pStyle w:val="P68B1DB1-Normal78"/>
              <w:spacing w:after="0" w:line="259" w:lineRule="auto"/>
              <w:rPr>
                <w:noProof/>
              </w:rPr>
            </w:pPr>
            <w:r>
              <w:rPr>
                <w:noProof/>
              </w:rPr>
              <w:t>Rénovation énergétique des bâtiments publics</w:t>
            </w:r>
          </w:p>
        </w:tc>
      </w:tr>
      <w:tr w:rsidR="00A345F4" w14:paraId="46BC70AE"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5218532A" w14:textId="77777777" w:rsidR="00A345F4" w:rsidRDefault="005E2D4E">
            <w:pPr>
              <w:pStyle w:val="P68B1DB1-Normal78"/>
              <w:spacing w:after="0" w:line="259" w:lineRule="auto"/>
              <w:rPr>
                <w:noProof/>
              </w:rPr>
            </w:pPr>
            <w:r>
              <w:rPr>
                <w:noProof/>
              </w:rPr>
              <w:t>RO-C[C5]-I[I4.0]-M[110]</w:t>
            </w:r>
          </w:p>
        </w:tc>
        <w:tc>
          <w:tcPr>
            <w:tcW w:w="3535" w:type="dxa"/>
            <w:tcBorders>
              <w:top w:val="nil"/>
              <w:left w:val="nil"/>
              <w:bottom w:val="single" w:sz="4" w:space="0" w:color="auto"/>
              <w:right w:val="single" w:sz="4" w:space="0" w:color="auto"/>
            </w:tcBorders>
            <w:shd w:val="clear" w:color="auto" w:fill="C6EFCE"/>
            <w:noWrap/>
          </w:tcPr>
          <w:p w14:paraId="0A3B4668" w14:textId="77777777" w:rsidR="00A345F4" w:rsidRDefault="005E2D4E">
            <w:pPr>
              <w:pStyle w:val="P68B1DB1-Normal78"/>
              <w:spacing w:after="0" w:line="259" w:lineRule="auto"/>
              <w:rPr>
                <w:noProof/>
              </w:rPr>
            </w:pPr>
            <w:r>
              <w:rPr>
                <w:noProof/>
              </w:rPr>
              <w:t>Économie circulaire et efficacité énergétique accrue des bâtiments historiques</w:t>
            </w:r>
          </w:p>
        </w:tc>
        <w:tc>
          <w:tcPr>
            <w:tcW w:w="1285" w:type="dxa"/>
            <w:gridSpan w:val="2"/>
            <w:tcBorders>
              <w:top w:val="nil"/>
              <w:left w:val="nil"/>
              <w:bottom w:val="single" w:sz="4" w:space="0" w:color="auto"/>
              <w:right w:val="single" w:sz="4" w:space="0" w:color="auto"/>
            </w:tcBorders>
            <w:shd w:val="clear" w:color="auto" w:fill="C6EFCE"/>
            <w:noWrap/>
          </w:tcPr>
          <w:p w14:paraId="1F08B696" w14:textId="77777777" w:rsidR="00A345F4" w:rsidRDefault="005E2D4E">
            <w:pPr>
              <w:pStyle w:val="P68B1DB1-Normal78"/>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2C5151D0" w14:textId="05C37946" w:rsidR="00A345F4" w:rsidRDefault="005E2D4E">
            <w:pPr>
              <w:pStyle w:val="P68B1DB1-Normal78"/>
              <w:spacing w:after="0" w:line="259" w:lineRule="auto"/>
              <w:rPr>
                <w:noProof/>
              </w:rPr>
            </w:pPr>
            <w:r>
              <w:rPr>
                <w:noProof/>
              </w:rPr>
              <w:t xml:space="preserve">Structures pour la rénovation économe en énergie des bâtiments historiques </w:t>
            </w:r>
          </w:p>
        </w:tc>
      </w:tr>
      <w:tr w:rsidR="00A345F4" w14:paraId="25AA5F62"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463B8E10" w14:textId="77777777" w:rsidR="00A345F4" w:rsidRDefault="005E2D4E">
            <w:pPr>
              <w:pStyle w:val="P68B1DB1-Normal78"/>
              <w:spacing w:after="0" w:line="259" w:lineRule="auto"/>
              <w:rPr>
                <w:noProof/>
              </w:rPr>
            </w:pPr>
            <w:r>
              <w:rPr>
                <w:noProof/>
              </w:rPr>
              <w:t>RO-C[C5]-I[I4.0]-T[112]</w:t>
            </w:r>
          </w:p>
        </w:tc>
        <w:tc>
          <w:tcPr>
            <w:tcW w:w="3535" w:type="dxa"/>
            <w:tcBorders>
              <w:top w:val="nil"/>
              <w:left w:val="nil"/>
              <w:bottom w:val="single" w:sz="4" w:space="0" w:color="auto"/>
              <w:right w:val="single" w:sz="4" w:space="0" w:color="auto"/>
            </w:tcBorders>
            <w:shd w:val="clear" w:color="auto" w:fill="C6EFCE"/>
            <w:noWrap/>
          </w:tcPr>
          <w:p w14:paraId="75C5E742" w14:textId="77777777" w:rsidR="00A345F4" w:rsidRDefault="005E2D4E">
            <w:pPr>
              <w:pStyle w:val="P68B1DB1-Normal78"/>
              <w:spacing w:after="0" w:line="259" w:lineRule="auto"/>
              <w:rPr>
                <w:noProof/>
              </w:rPr>
            </w:pPr>
            <w:r>
              <w:rPr>
                <w:noProof/>
              </w:rPr>
              <w:t>Économie circulaire et efficacité énergétique accrue des bâtiments historiques</w:t>
            </w:r>
          </w:p>
        </w:tc>
        <w:tc>
          <w:tcPr>
            <w:tcW w:w="1285" w:type="dxa"/>
            <w:gridSpan w:val="2"/>
            <w:tcBorders>
              <w:top w:val="nil"/>
              <w:left w:val="nil"/>
              <w:bottom w:val="single" w:sz="4" w:space="0" w:color="auto"/>
              <w:right w:val="single" w:sz="4" w:space="0" w:color="auto"/>
            </w:tcBorders>
            <w:shd w:val="clear" w:color="auto" w:fill="C6EFCE"/>
            <w:noWrap/>
          </w:tcPr>
          <w:p w14:paraId="4445BAF3" w14:textId="77777777" w:rsidR="00A345F4" w:rsidRDefault="005E2D4E">
            <w:pPr>
              <w:pStyle w:val="P68B1DB1-Normal78"/>
              <w:spacing w:after="0" w:line="259" w:lineRule="auto"/>
              <w:jc w:val="center"/>
              <w:rPr>
                <w:noProof/>
              </w:rPr>
            </w:pPr>
            <w:r>
              <w:rPr>
                <w:noProof/>
              </w:rPr>
              <w:t>T</w:t>
            </w:r>
          </w:p>
        </w:tc>
        <w:tc>
          <w:tcPr>
            <w:tcW w:w="3393" w:type="dxa"/>
            <w:tcBorders>
              <w:top w:val="nil"/>
              <w:left w:val="nil"/>
              <w:bottom w:val="single" w:sz="4" w:space="0" w:color="auto"/>
              <w:right w:val="single" w:sz="4" w:space="0" w:color="auto"/>
            </w:tcBorders>
            <w:shd w:val="clear" w:color="auto" w:fill="C6EFCE"/>
            <w:noWrap/>
          </w:tcPr>
          <w:p w14:paraId="4221CC60" w14:textId="37103724" w:rsidR="00A345F4" w:rsidRDefault="005E2D4E">
            <w:pPr>
              <w:pStyle w:val="P68B1DB1-Normal78"/>
              <w:spacing w:after="0" w:line="259" w:lineRule="auto"/>
              <w:rPr>
                <w:noProof/>
              </w:rPr>
            </w:pPr>
            <w:r>
              <w:rPr>
                <w:noProof/>
              </w:rPr>
              <w:t>Au moins 200 professionnels formés à la rénovation énergétique des bâtiments historiques</w:t>
            </w:r>
          </w:p>
        </w:tc>
      </w:tr>
      <w:tr w:rsidR="00A345F4" w14:paraId="4425BD19"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41A0AA5" w14:textId="77777777" w:rsidR="00A345F4" w:rsidRDefault="005E2D4E">
            <w:pPr>
              <w:pStyle w:val="P68B1DB1-Normal78"/>
              <w:spacing w:after="0" w:line="259" w:lineRule="auto"/>
              <w:rPr>
                <w:noProof/>
              </w:rPr>
            </w:pPr>
            <w:r>
              <w:rPr>
                <w:noProof/>
              </w:rPr>
              <w:t>RO-C[C6]-R[R1.0]-M[116]</w:t>
            </w:r>
          </w:p>
        </w:tc>
        <w:tc>
          <w:tcPr>
            <w:tcW w:w="3535" w:type="dxa"/>
            <w:tcBorders>
              <w:top w:val="nil"/>
              <w:left w:val="nil"/>
              <w:bottom w:val="single" w:sz="4" w:space="0" w:color="auto"/>
              <w:right w:val="single" w:sz="4" w:space="0" w:color="auto"/>
            </w:tcBorders>
            <w:shd w:val="clear" w:color="auto" w:fill="C6EFCE"/>
            <w:noWrap/>
          </w:tcPr>
          <w:p w14:paraId="46171FD4" w14:textId="77777777" w:rsidR="00A345F4" w:rsidRDefault="005E2D4E">
            <w:pPr>
              <w:pStyle w:val="P68B1DB1-Normal78"/>
              <w:spacing w:after="0" w:line="259" w:lineRule="auto"/>
              <w:rPr>
                <w:noProof/>
              </w:rPr>
            </w:pPr>
            <w:r>
              <w:rPr>
                <w:noProof/>
              </w:rPr>
              <w:t>Réforme du marché de l'électricité, remplacement du charbon dans le bouquet énergétique et soutien à un cadre législatif et réglementaire pour les investissements privés dans la production d'électricité renouvelable</w:t>
            </w:r>
          </w:p>
        </w:tc>
        <w:tc>
          <w:tcPr>
            <w:tcW w:w="1285" w:type="dxa"/>
            <w:gridSpan w:val="2"/>
            <w:tcBorders>
              <w:top w:val="nil"/>
              <w:left w:val="nil"/>
              <w:bottom w:val="single" w:sz="4" w:space="0" w:color="auto"/>
              <w:right w:val="single" w:sz="4" w:space="0" w:color="auto"/>
            </w:tcBorders>
            <w:shd w:val="clear" w:color="auto" w:fill="C6EFCE"/>
            <w:noWrap/>
          </w:tcPr>
          <w:p w14:paraId="002CD13A" w14:textId="77777777" w:rsidR="00A345F4" w:rsidRDefault="005E2D4E">
            <w:pPr>
              <w:pStyle w:val="P68B1DB1-Normal78"/>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52633CF1" w14:textId="77777777" w:rsidR="00A345F4" w:rsidRDefault="005E2D4E">
            <w:pPr>
              <w:pStyle w:val="P68B1DB1-Normal79"/>
              <w:spacing w:after="0" w:line="259" w:lineRule="auto"/>
              <w:rPr>
                <w:rFonts w:ascii="Times New Roman" w:eastAsia="Times New Roman" w:hAnsi="Times New Roman" w:cs="Times New Roman"/>
                <w:noProof/>
              </w:rPr>
            </w:pPr>
            <w:r>
              <w:rPr>
                <w:rFonts w:ascii="Times New Roman" w:eastAsia="Aptos" w:hAnsi="Times New Roman" w:cs="Times New Roman"/>
                <w:noProof/>
                <w:color w:val="000000"/>
              </w:rPr>
              <w:t xml:space="preserve">Entrée en vigueur des </w:t>
            </w:r>
            <w:r>
              <w:rPr>
                <w:rFonts w:ascii="Times New Roman" w:eastAsia="Times New Roman" w:hAnsi="Times New Roman" w:cs="Times New Roman"/>
                <w:noProof/>
              </w:rPr>
              <w:t>actes juridiques et réglementaires</w:t>
            </w:r>
          </w:p>
        </w:tc>
      </w:tr>
      <w:tr w:rsidR="00A345F4" w14:paraId="0721452F"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6D43E3F" w14:textId="77777777" w:rsidR="00A345F4" w:rsidRDefault="005E2D4E">
            <w:pPr>
              <w:pStyle w:val="P68B1DB1-Normal78"/>
              <w:spacing w:after="0" w:line="259" w:lineRule="auto"/>
              <w:rPr>
                <w:noProof/>
              </w:rPr>
            </w:pPr>
            <w:r>
              <w:rPr>
                <w:noProof/>
              </w:rPr>
              <w:t>RO-C[C6]-R[R1.0]-T[119a]</w:t>
            </w:r>
          </w:p>
        </w:tc>
        <w:tc>
          <w:tcPr>
            <w:tcW w:w="3535" w:type="dxa"/>
            <w:tcBorders>
              <w:top w:val="nil"/>
              <w:left w:val="nil"/>
              <w:bottom w:val="single" w:sz="4" w:space="0" w:color="auto"/>
              <w:right w:val="single" w:sz="4" w:space="0" w:color="auto"/>
            </w:tcBorders>
            <w:shd w:val="clear" w:color="auto" w:fill="C6EFCE"/>
            <w:noWrap/>
          </w:tcPr>
          <w:p w14:paraId="4764F2BE" w14:textId="77777777" w:rsidR="00A345F4" w:rsidRDefault="005E2D4E">
            <w:pPr>
              <w:pStyle w:val="P68B1DB1-Normal78"/>
              <w:spacing w:after="0" w:line="259" w:lineRule="auto"/>
              <w:rPr>
                <w:noProof/>
              </w:rPr>
            </w:pPr>
            <w:r>
              <w:rPr>
                <w:noProof/>
              </w:rPr>
              <w:t>Réforme du marché de l'électricité, remplacement du charbon dans le bouquet énergétique et soutien à un cadre législatif et réglementaire pour les investissements privés dans la production d'électricité renouvelable</w:t>
            </w:r>
          </w:p>
        </w:tc>
        <w:tc>
          <w:tcPr>
            <w:tcW w:w="1285" w:type="dxa"/>
            <w:gridSpan w:val="2"/>
            <w:tcBorders>
              <w:top w:val="nil"/>
              <w:left w:val="nil"/>
              <w:bottom w:val="single" w:sz="4" w:space="0" w:color="auto"/>
              <w:right w:val="single" w:sz="4" w:space="0" w:color="auto"/>
            </w:tcBorders>
            <w:shd w:val="clear" w:color="auto" w:fill="C6EFCE"/>
            <w:noWrap/>
          </w:tcPr>
          <w:p w14:paraId="06C1469B" w14:textId="77777777" w:rsidR="00A345F4" w:rsidRDefault="005E2D4E">
            <w:pPr>
              <w:pStyle w:val="P68B1DB1-Normal78"/>
              <w:spacing w:after="0" w:line="259" w:lineRule="auto"/>
              <w:jc w:val="center"/>
              <w:rPr>
                <w:noProof/>
              </w:rPr>
            </w:pPr>
            <w:r>
              <w:rPr>
                <w:noProof/>
              </w:rPr>
              <w:t>T</w:t>
            </w:r>
          </w:p>
        </w:tc>
        <w:tc>
          <w:tcPr>
            <w:tcW w:w="3393" w:type="dxa"/>
            <w:tcBorders>
              <w:top w:val="nil"/>
              <w:left w:val="nil"/>
              <w:bottom w:val="single" w:sz="4" w:space="0" w:color="auto"/>
              <w:right w:val="single" w:sz="4" w:space="0" w:color="auto"/>
            </w:tcBorders>
            <w:shd w:val="clear" w:color="auto" w:fill="C6EFCE"/>
            <w:noWrap/>
          </w:tcPr>
          <w:p w14:paraId="3FBE6B25" w14:textId="77777777" w:rsidR="00A345F4" w:rsidRDefault="005E2D4E">
            <w:pPr>
              <w:pStyle w:val="P68B1DB1-Normal78"/>
              <w:spacing w:after="0" w:line="259" w:lineRule="auto"/>
              <w:rPr>
                <w:noProof/>
              </w:rPr>
            </w:pPr>
            <w:r>
              <w:rPr>
                <w:noProof/>
              </w:rPr>
              <w:t>Démantèlement de la capacité de production d’électricité à partir de charbon/lignite</w:t>
            </w:r>
          </w:p>
        </w:tc>
      </w:tr>
      <w:tr w:rsidR="00A345F4" w14:paraId="7B082E89"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2267CE47" w14:textId="77777777" w:rsidR="00A345F4" w:rsidRDefault="005E2D4E">
            <w:pPr>
              <w:pStyle w:val="P68B1DB1-Normal78"/>
              <w:spacing w:after="0" w:line="259" w:lineRule="auto"/>
              <w:rPr>
                <w:noProof/>
              </w:rPr>
            </w:pPr>
            <w:r>
              <w:rPr>
                <w:noProof/>
              </w:rPr>
              <w:t>RO-C[C6]-I[I2.0]-T[131]</w:t>
            </w:r>
          </w:p>
        </w:tc>
        <w:tc>
          <w:tcPr>
            <w:tcW w:w="3535" w:type="dxa"/>
            <w:tcBorders>
              <w:top w:val="nil"/>
              <w:left w:val="nil"/>
              <w:bottom w:val="single" w:sz="4" w:space="0" w:color="auto"/>
              <w:right w:val="single" w:sz="4" w:space="0" w:color="auto"/>
            </w:tcBorders>
            <w:shd w:val="clear" w:color="auto" w:fill="C6EFCE"/>
            <w:noWrap/>
          </w:tcPr>
          <w:p w14:paraId="03614819" w14:textId="77777777" w:rsidR="00A345F4" w:rsidRDefault="005E2D4E">
            <w:pPr>
              <w:pStyle w:val="P68B1DB1-Normal79"/>
              <w:spacing w:after="0" w:line="259" w:lineRule="auto"/>
              <w:rPr>
                <w:rFonts w:ascii="Times New Roman" w:eastAsia="Aptos" w:hAnsi="Times New Roman" w:cs="Times New Roman"/>
                <w:noProof/>
              </w:rPr>
            </w:pPr>
            <w:r>
              <w:rPr>
                <w:rFonts w:ascii="Times New Roman" w:eastAsia="Aptos" w:hAnsi="Times New Roman" w:cs="Times New Roman"/>
                <w:noProof/>
                <w:color w:val="000000"/>
              </w:rPr>
              <w:t xml:space="preserve">Capacités de production d’hydrogène vert destinées au </w:t>
            </w:r>
            <w:r>
              <w:rPr>
                <w:rFonts w:ascii="Times New Roman" w:eastAsia="Times New Roman" w:hAnsi="Times New Roman" w:cs="Times New Roman"/>
                <w:noProof/>
              </w:rPr>
              <w:t>stockage de l’électricité et/ou à la décarbonation de l’industrie</w:t>
            </w:r>
          </w:p>
        </w:tc>
        <w:tc>
          <w:tcPr>
            <w:tcW w:w="1285" w:type="dxa"/>
            <w:gridSpan w:val="2"/>
            <w:tcBorders>
              <w:top w:val="nil"/>
              <w:left w:val="nil"/>
              <w:bottom w:val="single" w:sz="4" w:space="0" w:color="auto"/>
              <w:right w:val="single" w:sz="4" w:space="0" w:color="auto"/>
            </w:tcBorders>
            <w:shd w:val="clear" w:color="auto" w:fill="C6EFCE"/>
            <w:noWrap/>
          </w:tcPr>
          <w:p w14:paraId="46179371" w14:textId="77777777" w:rsidR="00A345F4" w:rsidRDefault="005E2D4E">
            <w:pPr>
              <w:pStyle w:val="P68B1DB1-Normal78"/>
              <w:spacing w:after="0" w:line="259" w:lineRule="auto"/>
              <w:jc w:val="center"/>
              <w:rPr>
                <w:noProof/>
              </w:rPr>
            </w:pPr>
            <w:r>
              <w:rPr>
                <w:noProof/>
              </w:rPr>
              <w:t>T</w:t>
            </w:r>
          </w:p>
        </w:tc>
        <w:tc>
          <w:tcPr>
            <w:tcW w:w="3393" w:type="dxa"/>
            <w:tcBorders>
              <w:top w:val="nil"/>
              <w:left w:val="nil"/>
              <w:bottom w:val="single" w:sz="4" w:space="0" w:color="auto"/>
              <w:right w:val="single" w:sz="4" w:space="0" w:color="auto"/>
            </w:tcBorders>
            <w:shd w:val="clear" w:color="auto" w:fill="C6EFCE"/>
            <w:noWrap/>
          </w:tcPr>
          <w:p w14:paraId="11801DE9" w14:textId="04202936" w:rsidR="00A345F4" w:rsidRDefault="005E2D4E">
            <w:pPr>
              <w:pStyle w:val="P68B1DB1-Normal78"/>
              <w:spacing w:after="0" w:line="259" w:lineRule="auto"/>
              <w:rPr>
                <w:noProof/>
              </w:rPr>
            </w:pPr>
            <w:r>
              <w:rPr>
                <w:noProof/>
              </w:rPr>
              <w:t>Installation d'électrolyseurs </w:t>
            </w:r>
          </w:p>
        </w:tc>
      </w:tr>
      <w:tr w:rsidR="00A345F4" w14:paraId="398D20A5"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3EE3522" w14:textId="77777777" w:rsidR="00A345F4" w:rsidRDefault="005E2D4E">
            <w:pPr>
              <w:pStyle w:val="P68B1DB1-Normal74"/>
              <w:spacing w:after="0" w:line="259" w:lineRule="auto"/>
              <w:rPr>
                <w:rFonts w:eastAsia="Aptos"/>
                <w:noProof/>
                <w:color w:val="000000"/>
              </w:rPr>
            </w:pPr>
            <w:r>
              <w:rPr>
                <w:noProof/>
              </w:rPr>
              <w:t>RO-C[C7]-I[I3.0]-M[158]</w:t>
            </w:r>
          </w:p>
        </w:tc>
        <w:tc>
          <w:tcPr>
            <w:tcW w:w="3535" w:type="dxa"/>
            <w:tcBorders>
              <w:top w:val="nil"/>
              <w:left w:val="nil"/>
              <w:bottom w:val="single" w:sz="4" w:space="0" w:color="auto"/>
              <w:right w:val="single" w:sz="4" w:space="0" w:color="auto"/>
            </w:tcBorders>
            <w:shd w:val="clear" w:color="auto" w:fill="C6EFCE"/>
            <w:noWrap/>
          </w:tcPr>
          <w:p w14:paraId="64791A76" w14:textId="77777777" w:rsidR="00A345F4" w:rsidRDefault="005E2D4E">
            <w:pPr>
              <w:pStyle w:val="P68B1DB1-Normal73"/>
              <w:spacing w:after="0" w:line="259" w:lineRule="auto"/>
              <w:rPr>
                <w:noProof/>
                <w:color w:val="000000"/>
              </w:rPr>
            </w:pPr>
            <w:r>
              <w:rPr>
                <w:noProof/>
              </w:rPr>
              <w:t xml:space="preserve">Mise en place de la santé en ligne </w:t>
            </w:r>
          </w:p>
        </w:tc>
        <w:tc>
          <w:tcPr>
            <w:tcW w:w="1285" w:type="dxa"/>
            <w:gridSpan w:val="2"/>
            <w:tcBorders>
              <w:top w:val="nil"/>
              <w:left w:val="nil"/>
              <w:bottom w:val="single" w:sz="4" w:space="0" w:color="auto"/>
              <w:right w:val="single" w:sz="4" w:space="0" w:color="auto"/>
            </w:tcBorders>
            <w:shd w:val="clear" w:color="auto" w:fill="C6EFCE"/>
            <w:noWrap/>
          </w:tcPr>
          <w:p w14:paraId="14F91B27" w14:textId="77777777" w:rsidR="00A345F4" w:rsidRDefault="005E2D4E">
            <w:pPr>
              <w:pStyle w:val="P68B1DB1-Normal73"/>
              <w:spacing w:after="0" w:line="259" w:lineRule="auto"/>
              <w:jc w:val="center"/>
              <w:rPr>
                <w:noProof/>
                <w:color w:val="000000"/>
              </w:rPr>
            </w:pPr>
            <w:r>
              <w:rPr>
                <w:noProof/>
              </w:rPr>
              <w:t>M</w:t>
            </w:r>
          </w:p>
        </w:tc>
        <w:tc>
          <w:tcPr>
            <w:tcW w:w="3393" w:type="dxa"/>
            <w:tcBorders>
              <w:top w:val="nil"/>
              <w:left w:val="nil"/>
              <w:bottom w:val="single" w:sz="4" w:space="0" w:color="auto"/>
              <w:right w:val="single" w:sz="4" w:space="0" w:color="auto"/>
            </w:tcBorders>
            <w:shd w:val="clear" w:color="auto" w:fill="C6EFCE"/>
            <w:noWrap/>
          </w:tcPr>
          <w:p w14:paraId="33936B6E" w14:textId="1BE347C5" w:rsidR="00A345F4" w:rsidRDefault="005E2D4E">
            <w:pPr>
              <w:pStyle w:val="P68B1DB1-Normal74"/>
              <w:spacing w:after="0" w:line="259" w:lineRule="auto"/>
              <w:rPr>
                <w:rFonts w:eastAsia="Aptos"/>
                <w:noProof/>
                <w:color w:val="000000"/>
              </w:rPr>
            </w:pPr>
            <w:r>
              <w:rPr>
                <w:noProof/>
              </w:rPr>
              <w:t>Les établissements de santé publique ont reçu un financement pour la numérisation</w:t>
            </w:r>
          </w:p>
        </w:tc>
      </w:tr>
      <w:tr w:rsidR="00A345F4" w14:paraId="34BE151C"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62A30EE" w14:textId="77777777" w:rsidR="00A345F4" w:rsidRDefault="005E2D4E">
            <w:pPr>
              <w:pStyle w:val="P68B1DB1-Normal78"/>
              <w:spacing w:after="0" w:line="259" w:lineRule="auto"/>
              <w:rPr>
                <w:noProof/>
              </w:rPr>
            </w:pPr>
            <w:r>
              <w:rPr>
                <w:noProof/>
              </w:rPr>
              <w:t>RO-C[C7]-I[I3.0]-M[160]</w:t>
            </w:r>
          </w:p>
        </w:tc>
        <w:tc>
          <w:tcPr>
            <w:tcW w:w="3535" w:type="dxa"/>
            <w:tcBorders>
              <w:top w:val="nil"/>
              <w:left w:val="nil"/>
              <w:bottom w:val="single" w:sz="4" w:space="0" w:color="auto"/>
              <w:right w:val="single" w:sz="4" w:space="0" w:color="auto"/>
            </w:tcBorders>
            <w:shd w:val="clear" w:color="auto" w:fill="C6EFCE"/>
            <w:noWrap/>
          </w:tcPr>
          <w:p w14:paraId="4BA4163E" w14:textId="77777777" w:rsidR="00A345F4" w:rsidRDefault="005E2D4E">
            <w:pPr>
              <w:pStyle w:val="P68B1DB1-Normal78"/>
              <w:spacing w:after="0" w:line="259" w:lineRule="auto"/>
              <w:rPr>
                <w:noProof/>
              </w:rPr>
            </w:pPr>
            <w:r>
              <w:rPr>
                <w:noProof/>
              </w:rPr>
              <w:t xml:space="preserve">Mise en place de la santé en ligne </w:t>
            </w:r>
          </w:p>
        </w:tc>
        <w:tc>
          <w:tcPr>
            <w:tcW w:w="1285" w:type="dxa"/>
            <w:gridSpan w:val="2"/>
            <w:tcBorders>
              <w:top w:val="nil"/>
              <w:left w:val="nil"/>
              <w:bottom w:val="single" w:sz="4" w:space="0" w:color="auto"/>
              <w:right w:val="single" w:sz="4" w:space="0" w:color="auto"/>
            </w:tcBorders>
            <w:shd w:val="clear" w:color="auto" w:fill="C6EFCE"/>
            <w:noWrap/>
          </w:tcPr>
          <w:p w14:paraId="70F6250F" w14:textId="77777777" w:rsidR="00A345F4" w:rsidRDefault="005E2D4E">
            <w:pPr>
              <w:pStyle w:val="P68B1DB1-Normal73"/>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2DF896CD" w14:textId="77777777" w:rsidR="00A345F4" w:rsidRDefault="005E2D4E">
            <w:pPr>
              <w:pStyle w:val="P68B1DB1-Normal78"/>
              <w:spacing w:after="0" w:line="259" w:lineRule="auto"/>
              <w:rPr>
                <w:noProof/>
              </w:rPr>
            </w:pPr>
            <w:r>
              <w:rPr>
                <w:noProof/>
              </w:rPr>
              <w:t>La nouvelle PIA (plateforme informatique d'assurance maladie) est fonctionnelle</w:t>
            </w:r>
          </w:p>
        </w:tc>
      </w:tr>
      <w:tr w:rsidR="00A345F4" w14:paraId="3382F2F9"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B3C9674" w14:textId="77777777" w:rsidR="00A345F4" w:rsidRDefault="005E2D4E">
            <w:pPr>
              <w:pStyle w:val="P68B1DB1-Normal78"/>
              <w:spacing w:after="0" w:line="259" w:lineRule="auto"/>
              <w:rPr>
                <w:noProof/>
              </w:rPr>
            </w:pPr>
            <w:r>
              <w:rPr>
                <w:noProof/>
              </w:rPr>
              <w:t>RO-C[C7]-I[I3.0]-M[161]</w:t>
            </w:r>
          </w:p>
        </w:tc>
        <w:tc>
          <w:tcPr>
            <w:tcW w:w="3535" w:type="dxa"/>
            <w:tcBorders>
              <w:top w:val="nil"/>
              <w:left w:val="nil"/>
              <w:bottom w:val="single" w:sz="4" w:space="0" w:color="auto"/>
              <w:right w:val="single" w:sz="4" w:space="0" w:color="auto"/>
            </w:tcBorders>
            <w:shd w:val="clear" w:color="auto" w:fill="C6EFCE"/>
            <w:noWrap/>
          </w:tcPr>
          <w:p w14:paraId="5E64E4B0" w14:textId="77777777" w:rsidR="00A345F4" w:rsidRDefault="005E2D4E">
            <w:pPr>
              <w:pStyle w:val="P68B1DB1-Normal78"/>
              <w:spacing w:after="0" w:line="259" w:lineRule="auto"/>
              <w:rPr>
                <w:noProof/>
              </w:rPr>
            </w:pPr>
            <w:r>
              <w:rPr>
                <w:noProof/>
              </w:rPr>
              <w:t xml:space="preserve">Mise en place de la santé en ligne </w:t>
            </w:r>
          </w:p>
        </w:tc>
        <w:tc>
          <w:tcPr>
            <w:tcW w:w="1285" w:type="dxa"/>
            <w:gridSpan w:val="2"/>
            <w:tcBorders>
              <w:top w:val="nil"/>
              <w:left w:val="nil"/>
              <w:bottom w:val="single" w:sz="4" w:space="0" w:color="auto"/>
              <w:right w:val="single" w:sz="4" w:space="0" w:color="auto"/>
            </w:tcBorders>
            <w:shd w:val="clear" w:color="auto" w:fill="C6EFCE"/>
            <w:noWrap/>
          </w:tcPr>
          <w:p w14:paraId="5FA61A37" w14:textId="77777777" w:rsidR="00A345F4" w:rsidRDefault="005E2D4E">
            <w:pPr>
              <w:pStyle w:val="P68B1DB1-Normal73"/>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02488780" w14:textId="77777777" w:rsidR="00A345F4" w:rsidRDefault="005E2D4E">
            <w:pPr>
              <w:pStyle w:val="P68B1DB1-Normal78"/>
              <w:spacing w:after="0" w:line="259" w:lineRule="auto"/>
              <w:rPr>
                <w:noProof/>
              </w:rPr>
            </w:pPr>
            <w:r>
              <w:rPr>
                <w:noProof/>
              </w:rPr>
              <w:t>Remplacement ou modernisation de l’infrastructure informatique des hôpitaux publics en Roumanie</w:t>
            </w:r>
          </w:p>
        </w:tc>
      </w:tr>
      <w:tr w:rsidR="00A345F4" w14:paraId="53FE0737"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41AFFA26" w14:textId="77777777" w:rsidR="00A345F4" w:rsidRDefault="005E2D4E">
            <w:pPr>
              <w:pStyle w:val="P68B1DB1-Normal78"/>
              <w:spacing w:after="0" w:line="259" w:lineRule="auto"/>
              <w:rPr>
                <w:noProof/>
              </w:rPr>
            </w:pPr>
            <w:r>
              <w:rPr>
                <w:noProof/>
              </w:rPr>
              <w:t>RO-C[C7]-I[I4.0]-M[164]</w:t>
            </w:r>
          </w:p>
        </w:tc>
        <w:tc>
          <w:tcPr>
            <w:tcW w:w="3535" w:type="dxa"/>
            <w:tcBorders>
              <w:top w:val="nil"/>
              <w:left w:val="nil"/>
              <w:bottom w:val="single" w:sz="4" w:space="0" w:color="auto"/>
              <w:right w:val="single" w:sz="4" w:space="0" w:color="auto"/>
            </w:tcBorders>
            <w:shd w:val="clear" w:color="auto" w:fill="C6EFCE"/>
            <w:noWrap/>
          </w:tcPr>
          <w:p w14:paraId="171C5D6C" w14:textId="77777777" w:rsidR="00A345F4" w:rsidRDefault="005E2D4E">
            <w:pPr>
              <w:pStyle w:val="P68B1DB1-Normal78"/>
              <w:spacing w:after="0" w:line="259" w:lineRule="auto"/>
              <w:rPr>
                <w:noProof/>
              </w:rPr>
            </w:pPr>
            <w:r>
              <w:rPr>
                <w:noProof/>
              </w:rPr>
              <w:t>Numérisation du système judiciaire</w:t>
            </w:r>
          </w:p>
        </w:tc>
        <w:tc>
          <w:tcPr>
            <w:tcW w:w="1285" w:type="dxa"/>
            <w:gridSpan w:val="2"/>
            <w:tcBorders>
              <w:top w:val="nil"/>
              <w:left w:val="nil"/>
              <w:bottom w:val="single" w:sz="4" w:space="0" w:color="auto"/>
              <w:right w:val="single" w:sz="4" w:space="0" w:color="auto"/>
            </w:tcBorders>
            <w:shd w:val="clear" w:color="auto" w:fill="C6EFCE"/>
            <w:noWrap/>
          </w:tcPr>
          <w:p w14:paraId="3638B501" w14:textId="77777777" w:rsidR="00A345F4" w:rsidRDefault="005E2D4E">
            <w:pPr>
              <w:pStyle w:val="P68B1DB1-Normal73"/>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3884A6C1" w14:textId="23CFF7E7" w:rsidR="00A345F4" w:rsidRDefault="005E2D4E">
            <w:pPr>
              <w:pStyle w:val="P68B1DB1-Normal78"/>
              <w:spacing w:after="0" w:line="259" w:lineRule="auto"/>
              <w:rPr>
                <w:noProof/>
              </w:rPr>
            </w:pPr>
            <w:r>
              <w:rPr>
                <w:noProof/>
              </w:rPr>
              <w:t xml:space="preserve">Dossiers électroniques et système d’information ECRIS V et transformation numérique du système judiciaire </w:t>
            </w:r>
          </w:p>
        </w:tc>
      </w:tr>
      <w:tr w:rsidR="00A345F4" w14:paraId="262B2FCD"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53679F4C" w14:textId="77777777" w:rsidR="00A345F4" w:rsidRDefault="005E2D4E">
            <w:pPr>
              <w:pStyle w:val="P68B1DB1-Normal78"/>
              <w:spacing w:after="0" w:line="259" w:lineRule="auto"/>
              <w:rPr>
                <w:noProof/>
              </w:rPr>
            </w:pPr>
            <w:r>
              <w:rPr>
                <w:noProof/>
              </w:rPr>
              <w:t>RO-C[C7]-I[I4.0]-M[166]</w:t>
            </w:r>
          </w:p>
        </w:tc>
        <w:tc>
          <w:tcPr>
            <w:tcW w:w="3535" w:type="dxa"/>
            <w:tcBorders>
              <w:top w:val="nil"/>
              <w:left w:val="nil"/>
              <w:bottom w:val="single" w:sz="4" w:space="0" w:color="auto"/>
              <w:right w:val="single" w:sz="4" w:space="0" w:color="auto"/>
            </w:tcBorders>
            <w:shd w:val="clear" w:color="auto" w:fill="C6EFCE"/>
            <w:noWrap/>
          </w:tcPr>
          <w:p w14:paraId="49570A0A" w14:textId="77777777" w:rsidR="00A345F4" w:rsidRDefault="005E2D4E">
            <w:pPr>
              <w:pStyle w:val="P68B1DB1-Normal78"/>
              <w:spacing w:after="0" w:line="259" w:lineRule="auto"/>
              <w:rPr>
                <w:noProof/>
              </w:rPr>
            </w:pPr>
            <w:r>
              <w:rPr>
                <w:noProof/>
              </w:rPr>
              <w:t>Numérisation du système judiciaire</w:t>
            </w:r>
          </w:p>
        </w:tc>
        <w:tc>
          <w:tcPr>
            <w:tcW w:w="1285" w:type="dxa"/>
            <w:gridSpan w:val="2"/>
            <w:tcBorders>
              <w:top w:val="nil"/>
              <w:left w:val="nil"/>
              <w:bottom w:val="single" w:sz="4" w:space="0" w:color="auto"/>
              <w:right w:val="single" w:sz="4" w:space="0" w:color="auto"/>
            </w:tcBorders>
            <w:shd w:val="clear" w:color="auto" w:fill="C6EFCE"/>
            <w:noWrap/>
          </w:tcPr>
          <w:p w14:paraId="2B28FCE6" w14:textId="77777777" w:rsidR="00A345F4" w:rsidRDefault="005E2D4E">
            <w:pPr>
              <w:pStyle w:val="P68B1DB1-Normal73"/>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5E7AC02C" w14:textId="77777777" w:rsidR="00A345F4" w:rsidRDefault="005E2D4E">
            <w:pPr>
              <w:pStyle w:val="P68B1DB1-Normal78"/>
              <w:spacing w:after="0" w:line="259" w:lineRule="auto"/>
              <w:rPr>
                <w:noProof/>
              </w:rPr>
            </w:pPr>
            <w:r>
              <w:rPr>
                <w:noProof/>
              </w:rPr>
              <w:t>Mise en place d'un centre de données</w:t>
            </w:r>
          </w:p>
        </w:tc>
      </w:tr>
      <w:tr w:rsidR="00A345F4" w14:paraId="3990FADF"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61D5A0D0" w14:textId="77777777" w:rsidR="00A345F4" w:rsidRDefault="005E2D4E">
            <w:pPr>
              <w:pStyle w:val="P68B1DB1-Normal78"/>
              <w:spacing w:after="0" w:line="259" w:lineRule="auto"/>
              <w:rPr>
                <w:noProof/>
              </w:rPr>
            </w:pPr>
            <w:r>
              <w:rPr>
                <w:noProof/>
              </w:rPr>
              <w:t>RO-C[C7]-I[I5.0]-T[168]</w:t>
            </w:r>
          </w:p>
        </w:tc>
        <w:tc>
          <w:tcPr>
            <w:tcW w:w="3535" w:type="dxa"/>
            <w:tcBorders>
              <w:top w:val="nil"/>
              <w:left w:val="nil"/>
              <w:bottom w:val="single" w:sz="4" w:space="0" w:color="auto"/>
              <w:right w:val="single" w:sz="4" w:space="0" w:color="auto"/>
            </w:tcBorders>
            <w:shd w:val="clear" w:color="auto" w:fill="C6EFCE"/>
            <w:noWrap/>
          </w:tcPr>
          <w:p w14:paraId="5B87477E" w14:textId="77777777" w:rsidR="00A345F4" w:rsidRDefault="005E2D4E">
            <w:pPr>
              <w:pStyle w:val="P68B1DB1-Normal78"/>
              <w:spacing w:after="0" w:line="259" w:lineRule="auto"/>
              <w:rPr>
                <w:noProof/>
              </w:rPr>
            </w:pPr>
            <w:r>
              <w:rPr>
                <w:noProof/>
              </w:rPr>
              <w:t>Numérisation dans le domaine de l’environnement</w:t>
            </w:r>
          </w:p>
        </w:tc>
        <w:tc>
          <w:tcPr>
            <w:tcW w:w="1285" w:type="dxa"/>
            <w:gridSpan w:val="2"/>
            <w:tcBorders>
              <w:top w:val="nil"/>
              <w:left w:val="nil"/>
              <w:bottom w:val="single" w:sz="4" w:space="0" w:color="auto"/>
              <w:right w:val="single" w:sz="4" w:space="0" w:color="auto"/>
            </w:tcBorders>
            <w:shd w:val="clear" w:color="auto" w:fill="C6EFCE"/>
            <w:noWrap/>
          </w:tcPr>
          <w:p w14:paraId="6FCE973E" w14:textId="77777777" w:rsidR="00A345F4" w:rsidRDefault="005E2D4E">
            <w:pPr>
              <w:pStyle w:val="P68B1DB1-Normal78"/>
              <w:spacing w:after="0" w:line="259" w:lineRule="auto"/>
              <w:jc w:val="center"/>
              <w:rPr>
                <w:noProof/>
              </w:rPr>
            </w:pPr>
            <w:r>
              <w:rPr>
                <w:noProof/>
              </w:rPr>
              <w:t>T</w:t>
            </w:r>
          </w:p>
        </w:tc>
        <w:tc>
          <w:tcPr>
            <w:tcW w:w="3393" w:type="dxa"/>
            <w:tcBorders>
              <w:top w:val="nil"/>
              <w:left w:val="nil"/>
              <w:bottom w:val="single" w:sz="4" w:space="0" w:color="auto"/>
              <w:right w:val="single" w:sz="4" w:space="0" w:color="auto"/>
            </w:tcBorders>
            <w:shd w:val="clear" w:color="auto" w:fill="C6EFCE"/>
            <w:noWrap/>
          </w:tcPr>
          <w:p w14:paraId="638D29FF" w14:textId="794517F8" w:rsidR="00A345F4" w:rsidRDefault="005E2D4E">
            <w:pPr>
              <w:pStyle w:val="P68B1DB1-Normal78"/>
              <w:spacing w:after="0" w:line="259" w:lineRule="auto"/>
              <w:rPr>
                <w:noProof/>
              </w:rPr>
            </w:pPr>
            <w:r>
              <w:rPr>
                <w:noProof/>
              </w:rPr>
              <w:t>Services environnementaux publics disponibles en ligne </w:t>
            </w:r>
          </w:p>
        </w:tc>
      </w:tr>
      <w:tr w:rsidR="00A345F4" w14:paraId="4C83A037"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9F511AF" w14:textId="77777777" w:rsidR="00A345F4" w:rsidRDefault="005E2D4E">
            <w:pPr>
              <w:pStyle w:val="P68B1DB1-Normal78"/>
              <w:spacing w:after="0" w:line="259" w:lineRule="auto"/>
              <w:rPr>
                <w:noProof/>
              </w:rPr>
            </w:pPr>
            <w:r>
              <w:rPr>
                <w:noProof/>
              </w:rPr>
              <w:t>RO-C[C7]-I[I6.0]-T[170]</w:t>
            </w:r>
          </w:p>
        </w:tc>
        <w:tc>
          <w:tcPr>
            <w:tcW w:w="3535" w:type="dxa"/>
            <w:tcBorders>
              <w:top w:val="nil"/>
              <w:left w:val="nil"/>
              <w:bottom w:val="single" w:sz="4" w:space="0" w:color="auto"/>
              <w:right w:val="single" w:sz="4" w:space="0" w:color="auto"/>
            </w:tcBorders>
            <w:shd w:val="clear" w:color="auto" w:fill="C6EFCE"/>
            <w:noWrap/>
          </w:tcPr>
          <w:p w14:paraId="19B423CB" w14:textId="77777777" w:rsidR="00A345F4" w:rsidRDefault="005E2D4E">
            <w:pPr>
              <w:pStyle w:val="P68B1DB1-Normal78"/>
              <w:spacing w:after="0" w:line="259" w:lineRule="auto"/>
              <w:rPr>
                <w:noProof/>
              </w:rPr>
            </w:pPr>
            <w:r>
              <w:rPr>
                <w:noProof/>
              </w:rPr>
              <w:t>Numérisation dans le domaine de l’emploi et de la protection sociale</w:t>
            </w:r>
          </w:p>
        </w:tc>
        <w:tc>
          <w:tcPr>
            <w:tcW w:w="1285" w:type="dxa"/>
            <w:gridSpan w:val="2"/>
            <w:tcBorders>
              <w:top w:val="nil"/>
              <w:left w:val="nil"/>
              <w:bottom w:val="single" w:sz="4" w:space="0" w:color="auto"/>
              <w:right w:val="single" w:sz="4" w:space="0" w:color="auto"/>
            </w:tcBorders>
            <w:shd w:val="clear" w:color="auto" w:fill="C6EFCE"/>
            <w:noWrap/>
          </w:tcPr>
          <w:p w14:paraId="2ECDE595" w14:textId="77777777" w:rsidR="00A345F4" w:rsidRDefault="005E2D4E">
            <w:pPr>
              <w:pStyle w:val="P68B1DB1-Normal78"/>
              <w:spacing w:after="0" w:line="259" w:lineRule="auto"/>
              <w:jc w:val="center"/>
              <w:rPr>
                <w:noProof/>
              </w:rPr>
            </w:pPr>
            <w:r>
              <w:rPr>
                <w:noProof/>
              </w:rPr>
              <w:t>T</w:t>
            </w:r>
          </w:p>
        </w:tc>
        <w:tc>
          <w:tcPr>
            <w:tcW w:w="3393" w:type="dxa"/>
            <w:tcBorders>
              <w:top w:val="nil"/>
              <w:left w:val="nil"/>
              <w:bottom w:val="single" w:sz="4" w:space="0" w:color="auto"/>
              <w:right w:val="single" w:sz="4" w:space="0" w:color="auto"/>
            </w:tcBorders>
            <w:shd w:val="clear" w:color="auto" w:fill="C6EFCE"/>
            <w:noWrap/>
          </w:tcPr>
          <w:p w14:paraId="2BED5FDE" w14:textId="77777777" w:rsidR="00A345F4" w:rsidRDefault="005E2D4E">
            <w:pPr>
              <w:pStyle w:val="P68B1DB1-Normal78"/>
              <w:spacing w:after="0" w:line="259" w:lineRule="auto"/>
              <w:rPr>
                <w:noProof/>
              </w:rPr>
            </w:pPr>
            <w:r>
              <w:rPr>
                <w:noProof/>
              </w:rPr>
              <w:t>Services numériques dans le domaine de l'emploi et de la protection sociale fonctionnels</w:t>
            </w:r>
          </w:p>
        </w:tc>
      </w:tr>
      <w:tr w:rsidR="00A345F4" w14:paraId="0EFBD052"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0A62C47" w14:textId="77777777" w:rsidR="00A345F4" w:rsidRDefault="005E2D4E">
            <w:pPr>
              <w:pStyle w:val="P68B1DB1-Normal78"/>
              <w:spacing w:after="0" w:line="259" w:lineRule="auto"/>
              <w:rPr>
                <w:noProof/>
              </w:rPr>
            </w:pPr>
            <w:r>
              <w:rPr>
                <w:noProof/>
              </w:rPr>
              <w:t>RO-C[C7]-I[I8.0]-M[173]</w:t>
            </w:r>
          </w:p>
        </w:tc>
        <w:tc>
          <w:tcPr>
            <w:tcW w:w="3535" w:type="dxa"/>
            <w:tcBorders>
              <w:top w:val="nil"/>
              <w:left w:val="nil"/>
              <w:bottom w:val="single" w:sz="4" w:space="0" w:color="auto"/>
              <w:right w:val="single" w:sz="4" w:space="0" w:color="auto"/>
            </w:tcBorders>
            <w:shd w:val="clear" w:color="auto" w:fill="C6EFCE"/>
            <w:noWrap/>
          </w:tcPr>
          <w:p w14:paraId="31FD98E1" w14:textId="77777777" w:rsidR="00A345F4" w:rsidRDefault="005E2D4E">
            <w:pPr>
              <w:pStyle w:val="P68B1DB1-Normal78"/>
              <w:spacing w:after="0" w:line="259" w:lineRule="auto"/>
              <w:rPr>
                <w:noProof/>
              </w:rPr>
            </w:pPr>
            <w:r>
              <w:rPr>
                <w:noProof/>
              </w:rPr>
              <w:t>Carte d'identité électronique et signature numérique</w:t>
            </w:r>
          </w:p>
        </w:tc>
        <w:tc>
          <w:tcPr>
            <w:tcW w:w="1285" w:type="dxa"/>
            <w:gridSpan w:val="2"/>
            <w:tcBorders>
              <w:top w:val="nil"/>
              <w:left w:val="nil"/>
              <w:bottom w:val="single" w:sz="4" w:space="0" w:color="auto"/>
              <w:right w:val="single" w:sz="4" w:space="0" w:color="auto"/>
            </w:tcBorders>
            <w:shd w:val="clear" w:color="auto" w:fill="C6EFCE"/>
            <w:noWrap/>
          </w:tcPr>
          <w:p w14:paraId="68DEB798" w14:textId="77777777" w:rsidR="00A345F4" w:rsidRDefault="005E2D4E">
            <w:pPr>
              <w:pStyle w:val="P68B1DB1-Normal73"/>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4336237A" w14:textId="6AB58944" w:rsidR="00A345F4" w:rsidRDefault="005E2D4E">
            <w:pPr>
              <w:pStyle w:val="P68B1DB1-Normal78"/>
              <w:spacing w:after="0" w:line="259" w:lineRule="auto"/>
              <w:rPr>
                <w:noProof/>
              </w:rPr>
            </w:pPr>
            <w:r>
              <w:rPr>
                <w:noProof/>
              </w:rPr>
              <w:t>Délivrance de cartes d'identité électroniques </w:t>
            </w:r>
          </w:p>
        </w:tc>
      </w:tr>
      <w:tr w:rsidR="00A345F4" w14:paraId="41FFAEE4"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6D739AD3" w14:textId="77777777" w:rsidR="00A345F4" w:rsidRDefault="005E2D4E">
            <w:pPr>
              <w:pStyle w:val="P68B1DB1-Normal78"/>
              <w:spacing w:after="0" w:line="259" w:lineRule="auto"/>
              <w:rPr>
                <w:noProof/>
              </w:rPr>
            </w:pPr>
            <w:r>
              <w:rPr>
                <w:noProof/>
              </w:rPr>
              <w:t>RO-C[C7]-I[I8.0]-M[174]</w:t>
            </w:r>
          </w:p>
        </w:tc>
        <w:tc>
          <w:tcPr>
            <w:tcW w:w="3535" w:type="dxa"/>
            <w:tcBorders>
              <w:top w:val="nil"/>
              <w:left w:val="nil"/>
              <w:bottom w:val="single" w:sz="4" w:space="0" w:color="auto"/>
              <w:right w:val="single" w:sz="4" w:space="0" w:color="auto"/>
            </w:tcBorders>
            <w:shd w:val="clear" w:color="auto" w:fill="C6EFCE"/>
            <w:noWrap/>
          </w:tcPr>
          <w:p w14:paraId="070783F9" w14:textId="77777777" w:rsidR="00A345F4" w:rsidRDefault="005E2D4E">
            <w:pPr>
              <w:pStyle w:val="P68B1DB1-Normal78"/>
              <w:spacing w:after="0" w:line="259" w:lineRule="auto"/>
              <w:rPr>
                <w:noProof/>
              </w:rPr>
            </w:pPr>
            <w:r>
              <w:rPr>
                <w:noProof/>
              </w:rPr>
              <w:t>Carte d'identité électronique et signature numérique</w:t>
            </w:r>
          </w:p>
        </w:tc>
        <w:tc>
          <w:tcPr>
            <w:tcW w:w="1285" w:type="dxa"/>
            <w:gridSpan w:val="2"/>
            <w:tcBorders>
              <w:top w:val="nil"/>
              <w:left w:val="nil"/>
              <w:bottom w:val="single" w:sz="4" w:space="0" w:color="auto"/>
              <w:right w:val="single" w:sz="4" w:space="0" w:color="auto"/>
            </w:tcBorders>
            <w:shd w:val="clear" w:color="auto" w:fill="C6EFCE"/>
            <w:noWrap/>
          </w:tcPr>
          <w:p w14:paraId="465E898D" w14:textId="77777777" w:rsidR="00A345F4" w:rsidRDefault="005E2D4E">
            <w:pPr>
              <w:pStyle w:val="P68B1DB1-Normal73"/>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33CFB280" w14:textId="77777777" w:rsidR="00A345F4" w:rsidRDefault="005E2D4E">
            <w:pPr>
              <w:pStyle w:val="P68B1DB1-Normal78"/>
              <w:spacing w:after="0" w:line="259" w:lineRule="auto"/>
              <w:rPr>
                <w:noProof/>
              </w:rPr>
            </w:pPr>
            <w:r>
              <w:rPr>
                <w:noProof/>
              </w:rPr>
              <w:t xml:space="preserve">Mesures de soutien à l'utilisation de la carte d'identité électronique </w:t>
            </w:r>
          </w:p>
        </w:tc>
      </w:tr>
      <w:tr w:rsidR="00A345F4" w14:paraId="09CDEDDB"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8E54B3B" w14:textId="77777777" w:rsidR="00A345F4" w:rsidRDefault="005E2D4E">
            <w:pPr>
              <w:pStyle w:val="P68B1DB1-Normal78"/>
              <w:spacing w:after="0" w:line="259" w:lineRule="auto"/>
              <w:rPr>
                <w:noProof/>
              </w:rPr>
            </w:pPr>
            <w:r>
              <w:rPr>
                <w:noProof/>
              </w:rPr>
              <w:t>RO-C[C7]-I[I12.0]-T[179]</w:t>
            </w:r>
          </w:p>
        </w:tc>
        <w:tc>
          <w:tcPr>
            <w:tcW w:w="3535" w:type="dxa"/>
            <w:tcBorders>
              <w:top w:val="nil"/>
              <w:left w:val="nil"/>
              <w:bottom w:val="single" w:sz="4" w:space="0" w:color="auto"/>
              <w:right w:val="single" w:sz="4" w:space="0" w:color="auto"/>
            </w:tcBorders>
            <w:shd w:val="clear" w:color="auto" w:fill="C6EFCE"/>
            <w:noWrap/>
          </w:tcPr>
          <w:p w14:paraId="5F83C736" w14:textId="77777777" w:rsidR="00A345F4" w:rsidRDefault="005E2D4E">
            <w:pPr>
              <w:pStyle w:val="P68B1DB1-Normal78"/>
              <w:spacing w:after="0" w:line="259" w:lineRule="auto"/>
              <w:rPr>
                <w:noProof/>
              </w:rPr>
            </w:pPr>
            <w:r>
              <w:rPr>
                <w:noProof/>
              </w:rPr>
              <w:t>Assurer la protection de la cybersécurité des infrastructures ITC publiques et privées importantes pour la sécurité nationale</w:t>
            </w:r>
          </w:p>
        </w:tc>
        <w:tc>
          <w:tcPr>
            <w:tcW w:w="1285" w:type="dxa"/>
            <w:gridSpan w:val="2"/>
            <w:tcBorders>
              <w:top w:val="nil"/>
              <w:left w:val="nil"/>
              <w:bottom w:val="single" w:sz="4" w:space="0" w:color="auto"/>
              <w:right w:val="single" w:sz="4" w:space="0" w:color="auto"/>
            </w:tcBorders>
            <w:shd w:val="clear" w:color="auto" w:fill="C6EFCE"/>
            <w:noWrap/>
          </w:tcPr>
          <w:p w14:paraId="5D7E45F8" w14:textId="77777777" w:rsidR="00A345F4" w:rsidRDefault="005E2D4E">
            <w:pPr>
              <w:pStyle w:val="P68B1DB1-Normal78"/>
              <w:spacing w:after="0" w:line="259" w:lineRule="auto"/>
              <w:jc w:val="center"/>
              <w:rPr>
                <w:noProof/>
              </w:rPr>
            </w:pPr>
            <w:r>
              <w:rPr>
                <w:noProof/>
              </w:rPr>
              <w:t>T</w:t>
            </w:r>
          </w:p>
        </w:tc>
        <w:tc>
          <w:tcPr>
            <w:tcW w:w="3393" w:type="dxa"/>
            <w:tcBorders>
              <w:top w:val="nil"/>
              <w:left w:val="nil"/>
              <w:bottom w:val="single" w:sz="4" w:space="0" w:color="auto"/>
              <w:right w:val="single" w:sz="4" w:space="0" w:color="auto"/>
            </w:tcBorders>
            <w:shd w:val="clear" w:color="auto" w:fill="C6EFCE"/>
            <w:noWrap/>
          </w:tcPr>
          <w:p w14:paraId="504F35C0" w14:textId="77777777" w:rsidR="00A345F4" w:rsidRDefault="005E2D4E">
            <w:pPr>
              <w:pStyle w:val="P68B1DB1-Normal78"/>
              <w:spacing w:after="0" w:line="259" w:lineRule="auto"/>
              <w:rPr>
                <w:noProof/>
              </w:rPr>
            </w:pPr>
            <w:r>
              <w:rPr>
                <w:noProof/>
              </w:rPr>
              <w:t xml:space="preserve"> Soutien à la sécurité des infrastructures des entités </w:t>
            </w:r>
          </w:p>
        </w:tc>
      </w:tr>
      <w:tr w:rsidR="00A345F4" w14:paraId="36DEC028"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3348256" w14:textId="77777777" w:rsidR="00A345F4" w:rsidRDefault="005E2D4E">
            <w:pPr>
              <w:pStyle w:val="P68B1DB1-Normal78"/>
              <w:spacing w:after="0" w:line="259" w:lineRule="auto"/>
              <w:rPr>
                <w:noProof/>
              </w:rPr>
            </w:pPr>
            <w:r>
              <w:rPr>
                <w:noProof/>
              </w:rPr>
              <w:t>RO-C[C8]-R[R1.0]-M[197]</w:t>
            </w:r>
          </w:p>
        </w:tc>
        <w:tc>
          <w:tcPr>
            <w:tcW w:w="3535" w:type="dxa"/>
            <w:tcBorders>
              <w:top w:val="nil"/>
              <w:left w:val="nil"/>
              <w:bottom w:val="single" w:sz="4" w:space="0" w:color="auto"/>
              <w:right w:val="single" w:sz="4" w:space="0" w:color="auto"/>
            </w:tcBorders>
            <w:shd w:val="clear" w:color="auto" w:fill="C6EFCE"/>
            <w:noWrap/>
          </w:tcPr>
          <w:p w14:paraId="1078C22F" w14:textId="77777777" w:rsidR="00A345F4" w:rsidRDefault="005E2D4E">
            <w:pPr>
              <w:pStyle w:val="P68B1DB1-Normal78"/>
              <w:spacing w:after="0" w:line="259" w:lineRule="auto"/>
              <w:rPr>
                <w:noProof/>
              </w:rPr>
            </w:pPr>
            <w:r>
              <w:rPr>
                <w:noProof/>
              </w:rPr>
              <w:t>Réforme de l’Agence nationale pour l’administration budgétaire (ANAF) par la numérisation</w:t>
            </w:r>
          </w:p>
        </w:tc>
        <w:tc>
          <w:tcPr>
            <w:tcW w:w="1285" w:type="dxa"/>
            <w:gridSpan w:val="2"/>
            <w:tcBorders>
              <w:top w:val="nil"/>
              <w:left w:val="nil"/>
              <w:bottom w:val="single" w:sz="4" w:space="0" w:color="auto"/>
              <w:right w:val="single" w:sz="4" w:space="0" w:color="auto"/>
            </w:tcBorders>
            <w:shd w:val="clear" w:color="auto" w:fill="C6EFCE"/>
            <w:noWrap/>
          </w:tcPr>
          <w:p w14:paraId="03BE4D9C" w14:textId="77777777" w:rsidR="00A345F4" w:rsidRDefault="005E2D4E">
            <w:pPr>
              <w:pStyle w:val="P68B1DB1-Normal73"/>
              <w:spacing w:after="0" w:line="259" w:lineRule="auto"/>
              <w:jc w:val="center"/>
              <w:rPr>
                <w:noProof/>
                <w:color w:val="000000"/>
              </w:rPr>
            </w:pPr>
            <w:r>
              <w:rPr>
                <w:noProof/>
              </w:rPr>
              <w:t>M</w:t>
            </w:r>
          </w:p>
        </w:tc>
        <w:tc>
          <w:tcPr>
            <w:tcW w:w="3393" w:type="dxa"/>
            <w:tcBorders>
              <w:top w:val="nil"/>
              <w:left w:val="nil"/>
              <w:bottom w:val="single" w:sz="4" w:space="0" w:color="auto"/>
              <w:right w:val="single" w:sz="4" w:space="0" w:color="auto"/>
            </w:tcBorders>
            <w:shd w:val="clear" w:color="auto" w:fill="C6EFCE"/>
            <w:noWrap/>
          </w:tcPr>
          <w:p w14:paraId="36B41D8F" w14:textId="512C59EB" w:rsidR="00A345F4" w:rsidRDefault="005E2D4E">
            <w:pPr>
              <w:pStyle w:val="P68B1DB1-Normal78"/>
              <w:spacing w:after="0" w:line="259" w:lineRule="auto"/>
              <w:rPr>
                <w:noProof/>
              </w:rPr>
            </w:pPr>
            <w:r>
              <w:rPr>
                <w:noProof/>
              </w:rPr>
              <w:t>Réforme structurelle de l’ANAF et actes juridiques visant à accroître le respect des obligations fiscales</w:t>
            </w:r>
          </w:p>
        </w:tc>
      </w:tr>
      <w:tr w:rsidR="00A345F4" w14:paraId="499F61FB"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A7E83C5" w14:textId="77777777" w:rsidR="00A345F4" w:rsidRDefault="005E2D4E">
            <w:pPr>
              <w:pStyle w:val="P68B1DB1-Normal78"/>
              <w:spacing w:after="0" w:line="259" w:lineRule="auto"/>
              <w:rPr>
                <w:noProof/>
              </w:rPr>
            </w:pPr>
            <w:r>
              <w:rPr>
                <w:noProof/>
              </w:rPr>
              <w:t>RO-C[C8]-R[R2.0]-M[198]</w:t>
            </w:r>
          </w:p>
        </w:tc>
        <w:tc>
          <w:tcPr>
            <w:tcW w:w="3535" w:type="dxa"/>
            <w:tcBorders>
              <w:top w:val="nil"/>
              <w:left w:val="nil"/>
              <w:bottom w:val="single" w:sz="4" w:space="0" w:color="auto"/>
              <w:right w:val="single" w:sz="4" w:space="0" w:color="auto"/>
            </w:tcBorders>
            <w:shd w:val="clear" w:color="auto" w:fill="C6EFCE"/>
            <w:noWrap/>
          </w:tcPr>
          <w:p w14:paraId="0291C9C1" w14:textId="515FDF6D" w:rsidR="00A345F4" w:rsidRDefault="005E2D4E">
            <w:pPr>
              <w:pStyle w:val="P68B1DB1-Normal78"/>
              <w:spacing w:after="0" w:line="259" w:lineRule="auto"/>
              <w:rPr>
                <w:noProof/>
              </w:rPr>
            </w:pPr>
            <w:r>
              <w:rPr>
                <w:noProof/>
              </w:rPr>
              <w:t>Modernisation du système douanier et mise en place de la douane électronique</w:t>
            </w:r>
          </w:p>
        </w:tc>
        <w:tc>
          <w:tcPr>
            <w:tcW w:w="1285" w:type="dxa"/>
            <w:gridSpan w:val="2"/>
            <w:tcBorders>
              <w:top w:val="nil"/>
              <w:left w:val="nil"/>
              <w:bottom w:val="single" w:sz="4" w:space="0" w:color="auto"/>
              <w:right w:val="single" w:sz="4" w:space="0" w:color="auto"/>
            </w:tcBorders>
            <w:shd w:val="clear" w:color="auto" w:fill="C6EFCE"/>
            <w:noWrap/>
          </w:tcPr>
          <w:p w14:paraId="2DF59288" w14:textId="77777777" w:rsidR="00A345F4" w:rsidRDefault="005E2D4E">
            <w:pPr>
              <w:pStyle w:val="P68B1DB1-Normal73"/>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410345B3" w14:textId="77777777" w:rsidR="00A345F4" w:rsidRDefault="005E2D4E">
            <w:pPr>
              <w:pStyle w:val="P68B1DB1-Normal78"/>
              <w:spacing w:after="0" w:line="259" w:lineRule="auto"/>
              <w:rPr>
                <w:rFonts w:eastAsia="Times New Roman"/>
                <w:noProof/>
              </w:rPr>
            </w:pPr>
            <w:r>
              <w:rPr>
                <w:noProof/>
              </w:rPr>
              <w:t xml:space="preserve">Améliorer le fonctionnement de l'administration douanière </w:t>
            </w:r>
          </w:p>
          <w:p w14:paraId="3595A9C9" w14:textId="77777777" w:rsidR="00A345F4" w:rsidRDefault="00A345F4">
            <w:pPr>
              <w:spacing w:after="0" w:line="259" w:lineRule="auto"/>
              <w:rPr>
                <w:rFonts w:ascii="Times New Roman" w:eastAsia="Aptos" w:hAnsi="Times New Roman" w:cs="Times New Roman"/>
                <w:noProof/>
                <w:kern w:val="2"/>
                <w:sz w:val="22"/>
                <w:szCs w:val="22"/>
                <w14:ligatures w14:val="standardContextual"/>
              </w:rPr>
            </w:pPr>
          </w:p>
        </w:tc>
      </w:tr>
      <w:tr w:rsidR="00A345F4" w14:paraId="47C641D4"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27EAB7C" w14:textId="77777777" w:rsidR="00A345F4" w:rsidRDefault="005E2D4E">
            <w:pPr>
              <w:pStyle w:val="P68B1DB1-Normal78"/>
              <w:spacing w:after="0" w:line="259" w:lineRule="auto"/>
              <w:rPr>
                <w:noProof/>
              </w:rPr>
            </w:pPr>
            <w:r>
              <w:rPr>
                <w:noProof/>
              </w:rPr>
              <w:t>RO-C[C8]-I[I2.0]-M[225]</w:t>
            </w:r>
          </w:p>
        </w:tc>
        <w:tc>
          <w:tcPr>
            <w:tcW w:w="3535" w:type="dxa"/>
            <w:tcBorders>
              <w:top w:val="nil"/>
              <w:left w:val="nil"/>
              <w:bottom w:val="single" w:sz="4" w:space="0" w:color="auto"/>
              <w:right w:val="single" w:sz="4" w:space="0" w:color="auto"/>
            </w:tcBorders>
            <w:shd w:val="clear" w:color="auto" w:fill="C6EFCE"/>
            <w:noWrap/>
          </w:tcPr>
          <w:p w14:paraId="50856A98" w14:textId="4FFF3380" w:rsidR="00A345F4" w:rsidRDefault="005E2D4E">
            <w:pPr>
              <w:pStyle w:val="P68B1DB1-Normal78"/>
              <w:spacing w:after="0" w:line="259" w:lineRule="auto"/>
              <w:rPr>
                <w:noProof/>
              </w:rPr>
            </w:pPr>
            <w:r>
              <w:rPr>
                <w:noProof/>
              </w:rPr>
              <w:t>Améliorer les processus fiscaux et administratifs</w:t>
            </w:r>
          </w:p>
        </w:tc>
        <w:tc>
          <w:tcPr>
            <w:tcW w:w="1285" w:type="dxa"/>
            <w:gridSpan w:val="2"/>
            <w:tcBorders>
              <w:top w:val="nil"/>
              <w:left w:val="nil"/>
              <w:bottom w:val="single" w:sz="4" w:space="0" w:color="auto"/>
              <w:right w:val="single" w:sz="4" w:space="0" w:color="auto"/>
            </w:tcBorders>
            <w:shd w:val="clear" w:color="auto" w:fill="C6EFCE"/>
            <w:noWrap/>
          </w:tcPr>
          <w:p w14:paraId="29572C0E" w14:textId="77777777" w:rsidR="00A345F4" w:rsidRDefault="005E2D4E">
            <w:pPr>
              <w:pStyle w:val="P68B1DB1-Normal73"/>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1041CF9C" w14:textId="77777777" w:rsidR="00A345F4" w:rsidRDefault="005E2D4E">
            <w:pPr>
              <w:pStyle w:val="P68B1DB1-Normal78"/>
              <w:spacing w:after="0" w:line="259" w:lineRule="auto"/>
              <w:rPr>
                <w:noProof/>
              </w:rPr>
            </w:pPr>
            <w:r>
              <w:rPr>
                <w:noProof/>
              </w:rPr>
              <w:t>Registre électronique fonctionnel des risques</w:t>
            </w:r>
          </w:p>
        </w:tc>
      </w:tr>
      <w:tr w:rsidR="00A345F4" w14:paraId="59A32CD3"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BD837A9" w14:textId="77777777" w:rsidR="00A345F4" w:rsidRDefault="005E2D4E">
            <w:pPr>
              <w:pStyle w:val="P68B1DB1-Normal78"/>
              <w:spacing w:after="0" w:line="259" w:lineRule="auto"/>
              <w:rPr>
                <w:noProof/>
              </w:rPr>
            </w:pPr>
            <w:r>
              <w:rPr>
                <w:noProof/>
              </w:rPr>
              <w:t>RO-C[C8]-I[I2.0]-M[226]</w:t>
            </w:r>
          </w:p>
        </w:tc>
        <w:tc>
          <w:tcPr>
            <w:tcW w:w="3535" w:type="dxa"/>
            <w:tcBorders>
              <w:top w:val="nil"/>
              <w:left w:val="nil"/>
              <w:bottom w:val="single" w:sz="4" w:space="0" w:color="auto"/>
              <w:right w:val="single" w:sz="4" w:space="0" w:color="auto"/>
            </w:tcBorders>
            <w:shd w:val="clear" w:color="auto" w:fill="C6EFCE"/>
            <w:noWrap/>
          </w:tcPr>
          <w:p w14:paraId="50DC1979" w14:textId="0FA8FFEA" w:rsidR="00A345F4" w:rsidRDefault="005E2D4E">
            <w:pPr>
              <w:pStyle w:val="P68B1DB1-Normal78"/>
              <w:spacing w:after="0" w:line="259" w:lineRule="auto"/>
              <w:rPr>
                <w:noProof/>
              </w:rPr>
            </w:pPr>
            <w:r>
              <w:rPr>
                <w:noProof/>
              </w:rPr>
              <w:t>Améliorer les processus fiscaux et administratifs</w:t>
            </w:r>
          </w:p>
        </w:tc>
        <w:tc>
          <w:tcPr>
            <w:tcW w:w="1285" w:type="dxa"/>
            <w:gridSpan w:val="2"/>
            <w:tcBorders>
              <w:top w:val="nil"/>
              <w:left w:val="nil"/>
              <w:bottom w:val="single" w:sz="4" w:space="0" w:color="auto"/>
              <w:right w:val="single" w:sz="4" w:space="0" w:color="auto"/>
            </w:tcBorders>
            <w:shd w:val="clear" w:color="auto" w:fill="C6EFCE"/>
            <w:noWrap/>
          </w:tcPr>
          <w:p w14:paraId="26CA10F3" w14:textId="77777777" w:rsidR="00A345F4" w:rsidRDefault="005E2D4E">
            <w:pPr>
              <w:pStyle w:val="P68B1DB1-Normal73"/>
              <w:spacing w:after="0" w:line="259" w:lineRule="auto"/>
              <w:jc w:val="center"/>
              <w:rPr>
                <w:noProof/>
              </w:rPr>
            </w:pPr>
            <w:r>
              <w:rPr>
                <w:noProof/>
              </w:rPr>
              <w:t>M</w:t>
            </w:r>
          </w:p>
        </w:tc>
        <w:tc>
          <w:tcPr>
            <w:tcW w:w="3393" w:type="dxa"/>
            <w:tcBorders>
              <w:top w:val="nil"/>
              <w:left w:val="nil"/>
              <w:bottom w:val="single" w:sz="4" w:space="0" w:color="auto"/>
              <w:right w:val="single" w:sz="4" w:space="0" w:color="auto"/>
            </w:tcBorders>
            <w:shd w:val="clear" w:color="auto" w:fill="C6EFCE"/>
            <w:noWrap/>
          </w:tcPr>
          <w:p w14:paraId="30F8F386" w14:textId="584CD0D4" w:rsidR="00A345F4" w:rsidRDefault="005E2D4E">
            <w:pPr>
              <w:pStyle w:val="P68B1DB1-Normal78"/>
              <w:spacing w:after="0" w:line="259" w:lineRule="auto"/>
              <w:rPr>
                <w:noProof/>
              </w:rPr>
            </w:pPr>
            <w:r>
              <w:rPr>
                <w:noProof/>
              </w:rPr>
              <w:t xml:space="preserve">Les systèmes d'administration fiscale, y compris le Big Data, sontfonctionnels </w:t>
            </w:r>
          </w:p>
        </w:tc>
      </w:tr>
      <w:tr w:rsidR="00A345F4" w14:paraId="0BD1DC11"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63FB8FFD" w14:textId="77777777" w:rsidR="00A345F4" w:rsidRDefault="005E2D4E">
            <w:pPr>
              <w:pStyle w:val="P68B1DB1-Normal78"/>
              <w:spacing w:after="0" w:line="259" w:lineRule="auto"/>
              <w:rPr>
                <w:noProof/>
              </w:rPr>
            </w:pPr>
            <w:r>
              <w:rPr>
                <w:noProof/>
              </w:rPr>
              <w:t>RO-C[C8]-I[I4.0]-T[233]</w:t>
            </w:r>
          </w:p>
        </w:tc>
        <w:tc>
          <w:tcPr>
            <w:tcW w:w="3535" w:type="dxa"/>
            <w:tcBorders>
              <w:top w:val="nil"/>
              <w:left w:val="nil"/>
              <w:bottom w:val="single" w:sz="4" w:space="0" w:color="auto"/>
              <w:right w:val="single" w:sz="4" w:space="0" w:color="auto"/>
            </w:tcBorders>
            <w:shd w:val="clear" w:color="auto" w:fill="C6EFCE"/>
            <w:noWrap/>
          </w:tcPr>
          <w:p w14:paraId="44CFC7FC" w14:textId="77777777" w:rsidR="00A345F4" w:rsidRDefault="005E2D4E">
            <w:pPr>
              <w:pStyle w:val="P68B1DB1-Normal78"/>
              <w:spacing w:after="0" w:line="259" w:lineRule="auto"/>
              <w:rPr>
                <w:noProof/>
              </w:rPr>
            </w:pPr>
            <w:r>
              <w:rPr>
                <w:noProof/>
              </w:rPr>
              <w:t>Mise en place d'une douane électronique</w:t>
            </w:r>
          </w:p>
        </w:tc>
        <w:tc>
          <w:tcPr>
            <w:tcW w:w="1285" w:type="dxa"/>
            <w:gridSpan w:val="2"/>
            <w:tcBorders>
              <w:top w:val="nil"/>
              <w:left w:val="nil"/>
              <w:bottom w:val="single" w:sz="4" w:space="0" w:color="auto"/>
              <w:right w:val="single" w:sz="4" w:space="0" w:color="auto"/>
            </w:tcBorders>
            <w:shd w:val="clear" w:color="auto" w:fill="C6EFCE"/>
            <w:noWrap/>
          </w:tcPr>
          <w:p w14:paraId="7237D7AD" w14:textId="77777777" w:rsidR="00A345F4" w:rsidRDefault="005E2D4E">
            <w:pPr>
              <w:pStyle w:val="P68B1DB1-Normal78"/>
              <w:spacing w:after="0" w:line="259" w:lineRule="auto"/>
              <w:jc w:val="center"/>
              <w:rPr>
                <w:noProof/>
              </w:rPr>
            </w:pPr>
            <w:r>
              <w:rPr>
                <w:noProof/>
              </w:rPr>
              <w:t>T</w:t>
            </w:r>
          </w:p>
        </w:tc>
        <w:tc>
          <w:tcPr>
            <w:tcW w:w="3393" w:type="dxa"/>
            <w:tcBorders>
              <w:top w:val="nil"/>
              <w:left w:val="nil"/>
              <w:bottom w:val="single" w:sz="4" w:space="0" w:color="auto"/>
              <w:right w:val="single" w:sz="4" w:space="0" w:color="auto"/>
            </w:tcBorders>
            <w:shd w:val="clear" w:color="auto" w:fill="C6EFCE"/>
            <w:noWrap/>
          </w:tcPr>
          <w:p w14:paraId="6359EC79" w14:textId="77777777" w:rsidR="00A345F4" w:rsidRDefault="005E2D4E">
            <w:pPr>
              <w:pStyle w:val="P68B1DB1-Normal78"/>
              <w:spacing w:after="0" w:line="259" w:lineRule="auto"/>
              <w:rPr>
                <w:noProof/>
              </w:rPr>
            </w:pPr>
            <w:r>
              <w:rPr>
                <w:noProof/>
              </w:rPr>
              <w:t>Pourcentage des activités douanières effectuées par voie électronique</w:t>
            </w:r>
          </w:p>
        </w:tc>
      </w:tr>
      <w:tr w:rsidR="00A345F4" w14:paraId="2E37C36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2EB8251" w14:textId="77777777" w:rsidR="00A345F4" w:rsidRDefault="005E2D4E">
            <w:pPr>
              <w:pStyle w:val="P68B1DB1-Normal73"/>
              <w:spacing w:after="0" w:line="259" w:lineRule="auto"/>
              <w:rPr>
                <w:rFonts w:eastAsia="Times New Roman"/>
                <w:noProof/>
              </w:rPr>
            </w:pPr>
            <w:r>
              <w:rPr>
                <w:noProof/>
              </w:rPr>
              <w:t>RO-C[C8]-I[I5.0]-M[234]</w:t>
            </w:r>
          </w:p>
        </w:tc>
        <w:tc>
          <w:tcPr>
            <w:tcW w:w="3544" w:type="dxa"/>
            <w:gridSpan w:val="2"/>
            <w:tcBorders>
              <w:top w:val="nil"/>
              <w:left w:val="nil"/>
              <w:bottom w:val="single" w:sz="4" w:space="0" w:color="auto"/>
              <w:right w:val="single" w:sz="4" w:space="0" w:color="auto"/>
            </w:tcBorders>
            <w:shd w:val="clear" w:color="auto" w:fill="C6EFCE"/>
            <w:noWrap/>
          </w:tcPr>
          <w:p w14:paraId="5FF33889" w14:textId="77777777" w:rsidR="00A345F4" w:rsidRDefault="005E2D4E">
            <w:pPr>
              <w:pStyle w:val="P68B1DB1-Normal73"/>
              <w:spacing w:after="0" w:line="259" w:lineRule="auto"/>
              <w:rPr>
                <w:rFonts w:eastAsia="Times New Roman"/>
                <w:noProof/>
              </w:rPr>
            </w:pPr>
            <w:r>
              <w:rPr>
                <w:noProof/>
              </w:rPr>
              <w:t>Renforcement du mécanisme de programmation budgétaire</w:t>
            </w:r>
          </w:p>
        </w:tc>
        <w:tc>
          <w:tcPr>
            <w:tcW w:w="1275" w:type="dxa"/>
            <w:tcBorders>
              <w:top w:val="nil"/>
              <w:left w:val="nil"/>
              <w:bottom w:val="single" w:sz="4" w:space="0" w:color="auto"/>
              <w:right w:val="single" w:sz="4" w:space="0" w:color="auto"/>
            </w:tcBorders>
            <w:shd w:val="clear" w:color="auto" w:fill="C6EFCE"/>
            <w:noWrap/>
          </w:tcPr>
          <w:p w14:paraId="10CCDB2E" w14:textId="77777777" w:rsidR="00A345F4" w:rsidRDefault="005E2D4E">
            <w:pPr>
              <w:pStyle w:val="P68B1DB1-Normal73"/>
              <w:spacing w:after="0" w:line="259" w:lineRule="auto"/>
              <w:jc w:val="center"/>
              <w:rPr>
                <w:noProof/>
              </w:rPr>
            </w:pPr>
            <w:r>
              <w:rPr>
                <w:noProof/>
              </w:rPr>
              <w:t>M</w:t>
            </w:r>
          </w:p>
        </w:tc>
        <w:tc>
          <w:tcPr>
            <w:tcW w:w="3403" w:type="dxa"/>
            <w:gridSpan w:val="2"/>
            <w:tcBorders>
              <w:top w:val="nil"/>
              <w:left w:val="nil"/>
              <w:bottom w:val="single" w:sz="4" w:space="0" w:color="auto"/>
              <w:right w:val="single" w:sz="4" w:space="0" w:color="auto"/>
            </w:tcBorders>
            <w:shd w:val="clear" w:color="auto" w:fill="C6EFCE"/>
            <w:noWrap/>
          </w:tcPr>
          <w:p w14:paraId="1E012D68" w14:textId="15F44C4E" w:rsidR="00A345F4" w:rsidRDefault="005E2D4E">
            <w:pPr>
              <w:pStyle w:val="P68B1DB1-Normal73"/>
              <w:spacing w:after="0" w:line="259" w:lineRule="auto"/>
              <w:rPr>
                <w:noProof/>
              </w:rPr>
            </w:pPr>
            <w:r>
              <w:rPr>
                <w:noProof/>
              </w:rPr>
              <w:t>Mise à jour du système informatique BUGET_NG</w:t>
            </w:r>
          </w:p>
        </w:tc>
      </w:tr>
      <w:tr w:rsidR="00A345F4" w14:paraId="78DB05EC" w14:textId="77777777">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CF42031" w14:textId="77777777" w:rsidR="00A345F4" w:rsidRDefault="005E2D4E">
            <w:pPr>
              <w:pStyle w:val="P68B1DB1-Normal78"/>
              <w:spacing w:after="0" w:line="259" w:lineRule="auto"/>
              <w:rPr>
                <w:noProof/>
              </w:rPr>
            </w:pPr>
            <w:r>
              <w:rPr>
                <w:noProof/>
              </w:rPr>
              <w:t>RO-C[C8]-I[I10.0]-M[240]</w:t>
            </w:r>
          </w:p>
        </w:tc>
        <w:tc>
          <w:tcPr>
            <w:tcW w:w="3535" w:type="dxa"/>
            <w:tcBorders>
              <w:top w:val="nil"/>
              <w:left w:val="nil"/>
              <w:bottom w:val="single" w:sz="4" w:space="0" w:color="auto"/>
              <w:right w:val="single" w:sz="4" w:space="0" w:color="auto"/>
            </w:tcBorders>
            <w:shd w:val="clear" w:color="auto" w:fill="C6EFCE"/>
            <w:noWrap/>
          </w:tcPr>
          <w:p w14:paraId="0C83AB21" w14:textId="77777777" w:rsidR="00A345F4" w:rsidRDefault="005E2D4E">
            <w:pPr>
              <w:pStyle w:val="P68B1DB1-Normal78"/>
              <w:spacing w:after="0" w:line="259" w:lineRule="auto"/>
              <w:rPr>
                <w:noProof/>
              </w:rPr>
            </w:pPr>
            <w:r>
              <w:rPr>
                <w:noProof/>
              </w:rPr>
              <w:t>Services en ligne avancés grâce à la numérisation du système de retraite</w:t>
            </w:r>
          </w:p>
        </w:tc>
        <w:tc>
          <w:tcPr>
            <w:tcW w:w="1285" w:type="dxa"/>
            <w:gridSpan w:val="2"/>
            <w:tcBorders>
              <w:top w:val="nil"/>
              <w:left w:val="nil"/>
              <w:bottom w:val="single" w:sz="4" w:space="0" w:color="auto"/>
              <w:right w:val="single" w:sz="4" w:space="0" w:color="auto"/>
            </w:tcBorders>
            <w:shd w:val="clear" w:color="auto" w:fill="C6EFCE"/>
            <w:noWrap/>
          </w:tcPr>
          <w:p w14:paraId="3248D4BA" w14:textId="77777777" w:rsidR="00A345F4" w:rsidRDefault="005E2D4E">
            <w:pPr>
              <w:pStyle w:val="P68B1DB1-Normal73"/>
              <w:spacing w:after="0" w:line="259" w:lineRule="auto"/>
              <w:jc w:val="center"/>
              <w:rPr>
                <w:noProof/>
                <w:color w:val="000000"/>
              </w:rPr>
            </w:pPr>
            <w:r>
              <w:rPr>
                <w:noProof/>
              </w:rPr>
              <w:t>M</w:t>
            </w:r>
          </w:p>
        </w:tc>
        <w:tc>
          <w:tcPr>
            <w:tcW w:w="3393" w:type="dxa"/>
            <w:tcBorders>
              <w:top w:val="nil"/>
              <w:left w:val="nil"/>
              <w:bottom w:val="single" w:sz="4" w:space="0" w:color="auto"/>
              <w:right w:val="single" w:sz="4" w:space="0" w:color="auto"/>
            </w:tcBorders>
            <w:shd w:val="clear" w:color="auto" w:fill="C6EFCE"/>
            <w:noWrap/>
          </w:tcPr>
          <w:p w14:paraId="2F159ED7" w14:textId="77777777" w:rsidR="00A345F4" w:rsidRDefault="005E2D4E">
            <w:pPr>
              <w:pStyle w:val="P68B1DB1-Normal78"/>
              <w:spacing w:after="0" w:line="259" w:lineRule="auto"/>
              <w:rPr>
                <w:rFonts w:eastAsia="Times New Roman"/>
                <w:noProof/>
              </w:rPr>
            </w:pPr>
            <w:r>
              <w:rPr>
                <w:noProof/>
              </w:rPr>
              <w:t xml:space="preserve">Système informatique fonctionnel au sein de l’Agence nationale des pensions publiques </w:t>
            </w:r>
          </w:p>
          <w:p w14:paraId="6B7B6B94" w14:textId="77777777" w:rsidR="00A345F4" w:rsidRDefault="00A345F4">
            <w:pPr>
              <w:spacing w:after="0" w:line="259" w:lineRule="auto"/>
              <w:rPr>
                <w:rFonts w:ascii="Times New Roman" w:eastAsia="Aptos" w:hAnsi="Times New Roman" w:cs="Times New Roman"/>
                <w:noProof/>
                <w:color w:val="000000"/>
                <w:kern w:val="2"/>
                <w:sz w:val="22"/>
                <w:szCs w:val="22"/>
                <w14:ligatures w14:val="standardContextual"/>
              </w:rPr>
            </w:pPr>
          </w:p>
        </w:tc>
      </w:tr>
      <w:tr w:rsidR="00A345F4" w14:paraId="5A9DACF7"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57F2400" w14:textId="77777777" w:rsidR="00A345F4" w:rsidRDefault="005E2D4E">
            <w:pPr>
              <w:pStyle w:val="P68B1DB1-Normal78"/>
              <w:spacing w:after="0" w:line="259" w:lineRule="auto"/>
              <w:rPr>
                <w:rFonts w:eastAsia="Times New Roman"/>
                <w:noProof/>
              </w:rPr>
            </w:pPr>
            <w:r>
              <w:rPr>
                <w:noProof/>
              </w:rPr>
              <w:t>RO-C[C9]-R[R2.a]-M[272]</w:t>
            </w:r>
          </w:p>
        </w:tc>
        <w:tc>
          <w:tcPr>
            <w:tcW w:w="3535" w:type="dxa"/>
            <w:tcBorders>
              <w:top w:val="single" w:sz="4" w:space="0" w:color="auto"/>
              <w:left w:val="nil"/>
              <w:bottom w:val="single" w:sz="4" w:space="0" w:color="auto"/>
              <w:right w:val="single" w:sz="4" w:space="0" w:color="auto"/>
            </w:tcBorders>
            <w:shd w:val="clear" w:color="auto" w:fill="C6EFCE"/>
            <w:noWrap/>
          </w:tcPr>
          <w:p w14:paraId="7994D1D0" w14:textId="77777777" w:rsidR="00A345F4" w:rsidRDefault="005E2D4E">
            <w:pPr>
              <w:pStyle w:val="P68B1DB1-Normal78"/>
              <w:spacing w:after="0" w:line="259" w:lineRule="auto"/>
              <w:rPr>
                <w:rFonts w:eastAsia="Times New Roman"/>
                <w:noProof/>
              </w:rPr>
            </w:pPr>
            <w:r>
              <w:rPr>
                <w:noProof/>
              </w:rPr>
              <w:t>Rationaliser la gouvernance de la recherche, du développement et de l'innovation</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D421325" w14:textId="77777777" w:rsidR="00A345F4" w:rsidRDefault="005E2D4E">
            <w:pPr>
              <w:pStyle w:val="P68B1DB1-Normal78"/>
              <w:spacing w:after="0" w:line="259" w:lineRule="auto"/>
              <w:jc w:val="center"/>
              <w:rPr>
                <w:rFonts w:eastAsia="Times New Roman"/>
                <w:noProof/>
              </w:rPr>
            </w:pPr>
            <w:r>
              <w:rPr>
                <w:noProof/>
              </w:rPr>
              <w:t>M</w:t>
            </w:r>
          </w:p>
        </w:tc>
        <w:tc>
          <w:tcPr>
            <w:tcW w:w="3393" w:type="dxa"/>
            <w:tcBorders>
              <w:top w:val="single" w:sz="4" w:space="0" w:color="auto"/>
              <w:left w:val="nil"/>
              <w:bottom w:val="single" w:sz="4" w:space="0" w:color="auto"/>
              <w:right w:val="single" w:sz="4" w:space="0" w:color="auto"/>
            </w:tcBorders>
            <w:shd w:val="clear" w:color="auto" w:fill="C6EFCE"/>
            <w:noWrap/>
          </w:tcPr>
          <w:p w14:paraId="4AE55293" w14:textId="5FA294DA" w:rsidR="00A345F4" w:rsidRDefault="005E2D4E">
            <w:pPr>
              <w:pStyle w:val="P68B1DB1-Normal78"/>
              <w:spacing w:after="0" w:line="259" w:lineRule="auto"/>
              <w:rPr>
                <w:rFonts w:eastAsia="Times New Roman"/>
                <w:noProof/>
              </w:rPr>
            </w:pPr>
            <w:r>
              <w:rPr>
                <w:noProof/>
              </w:rPr>
              <w:t>Mise en place d’un système permanent garantissant la conception, la mise en œuvre, le suivi et l’évaluation de la politique de RDI, et approbation d’un rapport sur les progrès accomplis dans la mise en œuvre des recommandations détaillées dans le rapport par pays sur la facilité de soutien aux politiques en Roumanie.</w:t>
            </w:r>
          </w:p>
        </w:tc>
      </w:tr>
      <w:tr w:rsidR="00A345F4" w14:paraId="2E690841"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E015838" w14:textId="77777777" w:rsidR="00A345F4" w:rsidRDefault="005E2D4E">
            <w:pPr>
              <w:pStyle w:val="P68B1DB1-Normal78"/>
              <w:spacing w:after="0" w:line="259" w:lineRule="auto"/>
              <w:rPr>
                <w:rFonts w:eastAsia="Times New Roman"/>
                <w:noProof/>
              </w:rPr>
            </w:pPr>
            <w:r>
              <w:rPr>
                <w:noProof/>
              </w:rPr>
              <w:t>RO-C[C10]-I[I1.0]-T[296]</w:t>
            </w:r>
          </w:p>
        </w:tc>
        <w:tc>
          <w:tcPr>
            <w:tcW w:w="3535" w:type="dxa"/>
            <w:tcBorders>
              <w:top w:val="single" w:sz="4" w:space="0" w:color="auto"/>
              <w:left w:val="nil"/>
              <w:bottom w:val="single" w:sz="4" w:space="0" w:color="auto"/>
              <w:right w:val="single" w:sz="4" w:space="0" w:color="auto"/>
            </w:tcBorders>
            <w:shd w:val="clear" w:color="auto" w:fill="C6EFCE"/>
            <w:noWrap/>
          </w:tcPr>
          <w:p w14:paraId="44A24A0A" w14:textId="77777777" w:rsidR="00A345F4" w:rsidRDefault="005E2D4E">
            <w:pPr>
              <w:pStyle w:val="P68B1DB1-Normal78"/>
              <w:spacing w:after="0" w:line="259" w:lineRule="auto"/>
              <w:rPr>
                <w:rFonts w:eastAsia="Times New Roman"/>
                <w:noProof/>
              </w:rPr>
            </w:pPr>
            <w:r>
              <w:rPr>
                <w:noProof/>
              </w:rPr>
              <w:t>Mobilité urbaine durable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20FF387A"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7A2667CC" w14:textId="77777777" w:rsidR="00A345F4" w:rsidRDefault="005E2D4E">
            <w:pPr>
              <w:pStyle w:val="P68B1DB1-Normal78"/>
              <w:spacing w:after="0" w:line="259" w:lineRule="auto"/>
              <w:rPr>
                <w:rFonts w:eastAsia="Times New Roman"/>
                <w:noProof/>
              </w:rPr>
            </w:pPr>
            <w:r>
              <w:rPr>
                <w:noProof/>
              </w:rPr>
              <w:t>Véhicules supplémentaires à émissions nulles livrés</w:t>
            </w:r>
          </w:p>
        </w:tc>
      </w:tr>
      <w:tr w:rsidR="00A345F4" w14:paraId="3BE837C7"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E6E64EE" w14:textId="77777777" w:rsidR="00A345F4" w:rsidRDefault="005E2D4E">
            <w:pPr>
              <w:pStyle w:val="P68B1DB1-Normal74"/>
              <w:spacing w:after="0" w:line="259" w:lineRule="auto"/>
              <w:rPr>
                <w:noProof/>
              </w:rPr>
            </w:pPr>
            <w:r>
              <w:rPr>
                <w:noProof/>
              </w:rPr>
              <w:t>RO-C[C10]-I[I1.0]-T[299]</w:t>
            </w:r>
          </w:p>
        </w:tc>
        <w:tc>
          <w:tcPr>
            <w:tcW w:w="3535" w:type="dxa"/>
            <w:tcBorders>
              <w:top w:val="single" w:sz="4" w:space="0" w:color="auto"/>
              <w:left w:val="nil"/>
              <w:bottom w:val="single" w:sz="4" w:space="0" w:color="auto"/>
              <w:right w:val="single" w:sz="4" w:space="0" w:color="auto"/>
            </w:tcBorders>
            <w:shd w:val="clear" w:color="auto" w:fill="C6EFCE"/>
            <w:noWrap/>
          </w:tcPr>
          <w:p w14:paraId="3C22C498" w14:textId="77777777" w:rsidR="00A345F4" w:rsidRDefault="005E2D4E">
            <w:pPr>
              <w:pStyle w:val="P68B1DB1-Normal74"/>
              <w:spacing w:after="0" w:line="259" w:lineRule="auto"/>
              <w:rPr>
                <w:noProof/>
              </w:rPr>
            </w:pPr>
            <w:r>
              <w:rPr>
                <w:noProof/>
              </w:rPr>
              <w:t>Mobilité urbaine durable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CDCD5A9" w14:textId="77777777" w:rsidR="00A345F4" w:rsidRDefault="005E2D4E">
            <w:pPr>
              <w:pStyle w:val="P68B1DB1-Normal74"/>
              <w:spacing w:after="0" w:line="259" w:lineRule="auto"/>
              <w:jc w:val="center"/>
              <w:rPr>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5EFD7116" w14:textId="77777777" w:rsidR="00A345F4" w:rsidRDefault="005E2D4E">
            <w:pPr>
              <w:pStyle w:val="P68B1DB1-Normal74"/>
              <w:spacing w:after="0" w:line="259" w:lineRule="auto"/>
              <w:rPr>
                <w:noProof/>
              </w:rPr>
            </w:pPr>
            <w:r>
              <w:rPr>
                <w:noProof/>
              </w:rPr>
              <w:t>Voies cyclables construites</w:t>
            </w:r>
          </w:p>
        </w:tc>
      </w:tr>
      <w:tr w:rsidR="00A345F4" w14:paraId="24CAB006"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56B09E84" w14:textId="77777777" w:rsidR="00A345F4" w:rsidRDefault="005E2D4E">
            <w:pPr>
              <w:pStyle w:val="P68B1DB1-Normal78"/>
              <w:spacing w:after="0" w:line="259" w:lineRule="auto"/>
              <w:rPr>
                <w:rFonts w:eastAsia="Times New Roman"/>
                <w:noProof/>
              </w:rPr>
            </w:pPr>
            <w:r>
              <w:rPr>
                <w:noProof/>
              </w:rPr>
              <w:t>RO-C[C10]-I[I1.0]-T[303]</w:t>
            </w:r>
          </w:p>
        </w:tc>
        <w:tc>
          <w:tcPr>
            <w:tcW w:w="3535" w:type="dxa"/>
            <w:tcBorders>
              <w:top w:val="single" w:sz="4" w:space="0" w:color="auto"/>
              <w:left w:val="nil"/>
              <w:bottom w:val="single" w:sz="4" w:space="0" w:color="auto"/>
              <w:right w:val="single" w:sz="4" w:space="0" w:color="auto"/>
            </w:tcBorders>
            <w:shd w:val="clear" w:color="auto" w:fill="C6EFCE"/>
            <w:noWrap/>
          </w:tcPr>
          <w:p w14:paraId="50BE03E5" w14:textId="77777777" w:rsidR="00A345F4" w:rsidRDefault="005E2D4E">
            <w:pPr>
              <w:pStyle w:val="P68B1DB1-Normal78"/>
              <w:spacing w:after="0" w:line="259" w:lineRule="auto"/>
              <w:rPr>
                <w:rFonts w:eastAsia="Times New Roman"/>
                <w:noProof/>
              </w:rPr>
            </w:pPr>
            <w:r>
              <w:rPr>
                <w:noProof/>
              </w:rPr>
              <w:t>Mobilité urbaine durable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24A84F25"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67F107F2" w14:textId="7B355D90" w:rsidR="00A345F4" w:rsidRDefault="005E2D4E">
            <w:pPr>
              <w:pStyle w:val="P68B1DB1-Normal78"/>
              <w:spacing w:after="0" w:line="259" w:lineRule="auto"/>
              <w:rPr>
                <w:rFonts w:eastAsia="Times New Roman"/>
                <w:noProof/>
              </w:rPr>
            </w:pPr>
            <w:r>
              <w:rPr>
                <w:noProof/>
              </w:rPr>
              <w:t>Nombre de points de recharge pour véhicules électriques connectés au réseau électrique </w:t>
            </w:r>
          </w:p>
        </w:tc>
      </w:tr>
      <w:tr w:rsidR="00A345F4" w14:paraId="63D5459A"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ECF993E" w14:textId="77777777" w:rsidR="00A345F4" w:rsidRDefault="005E2D4E">
            <w:pPr>
              <w:pStyle w:val="P68B1DB1-Normal78"/>
              <w:spacing w:after="0" w:line="259" w:lineRule="auto"/>
              <w:rPr>
                <w:rFonts w:eastAsia="Times New Roman"/>
                <w:noProof/>
              </w:rPr>
            </w:pPr>
            <w:r>
              <w:rPr>
                <w:noProof/>
              </w:rPr>
              <w:t>RO-C[C10]-I[I3.0]-T[322a]</w:t>
            </w:r>
          </w:p>
        </w:tc>
        <w:tc>
          <w:tcPr>
            <w:tcW w:w="3535" w:type="dxa"/>
            <w:tcBorders>
              <w:top w:val="single" w:sz="4" w:space="0" w:color="auto"/>
              <w:left w:val="nil"/>
              <w:bottom w:val="single" w:sz="4" w:space="0" w:color="auto"/>
              <w:right w:val="single" w:sz="4" w:space="0" w:color="auto"/>
            </w:tcBorders>
            <w:shd w:val="clear" w:color="auto" w:fill="C6EFCE"/>
            <w:noWrap/>
          </w:tcPr>
          <w:p w14:paraId="4D36A8CE" w14:textId="77777777" w:rsidR="00A345F4" w:rsidRDefault="005E2D4E">
            <w:pPr>
              <w:pStyle w:val="P68B1DB1-Normal78"/>
              <w:spacing w:after="0" w:line="259" w:lineRule="auto"/>
              <w:rPr>
                <w:rFonts w:eastAsia="Times New Roman"/>
                <w:noProof/>
              </w:rPr>
            </w:pPr>
            <w:r>
              <w:rPr>
                <w:noProof/>
              </w:rPr>
              <w:t>Rénovation des bâtiments publics pour soutenir une meilleure prestation de services publics par les unités administratives territoriales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4F6B30A"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473F560F" w14:textId="77777777" w:rsidR="00A345F4" w:rsidRDefault="005E2D4E">
            <w:pPr>
              <w:pStyle w:val="P68B1DB1-Normal78"/>
              <w:spacing w:after="0" w:line="259" w:lineRule="auto"/>
              <w:rPr>
                <w:rFonts w:eastAsia="Times New Roman"/>
                <w:noProof/>
              </w:rPr>
            </w:pPr>
            <w:r>
              <w:rPr>
                <w:noProof/>
              </w:rPr>
              <w:t xml:space="preserve">Rénovation énergétique des bâtiments publics </w:t>
            </w:r>
          </w:p>
        </w:tc>
      </w:tr>
      <w:tr w:rsidR="00A345F4" w14:paraId="55FE6E97"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7DC2214" w14:textId="77777777" w:rsidR="00A345F4" w:rsidRDefault="005E2D4E">
            <w:pPr>
              <w:pStyle w:val="P68B1DB1-Normal78"/>
              <w:spacing w:after="0" w:line="259" w:lineRule="auto"/>
              <w:rPr>
                <w:rFonts w:eastAsia="Times New Roman"/>
                <w:noProof/>
              </w:rPr>
            </w:pPr>
            <w:r>
              <w:rPr>
                <w:noProof/>
              </w:rPr>
              <w:t>RO-C[C11]-I[I5.0]-M[347]</w:t>
            </w:r>
          </w:p>
        </w:tc>
        <w:tc>
          <w:tcPr>
            <w:tcW w:w="3535" w:type="dxa"/>
            <w:tcBorders>
              <w:top w:val="single" w:sz="4" w:space="0" w:color="auto"/>
              <w:left w:val="nil"/>
              <w:bottom w:val="single" w:sz="4" w:space="0" w:color="auto"/>
              <w:right w:val="single" w:sz="4" w:space="0" w:color="auto"/>
            </w:tcBorders>
            <w:shd w:val="clear" w:color="auto" w:fill="C6EFCE"/>
            <w:noWrap/>
          </w:tcPr>
          <w:p w14:paraId="231419C8" w14:textId="77777777" w:rsidR="00A345F4" w:rsidRDefault="005E2D4E">
            <w:pPr>
              <w:pStyle w:val="P68B1DB1-Normal78"/>
              <w:spacing w:after="0" w:line="259" w:lineRule="auto"/>
              <w:rPr>
                <w:rFonts w:eastAsia="Times New Roman"/>
                <w:noProof/>
              </w:rPr>
            </w:pPr>
            <w:r>
              <w:rPr>
                <w:noProof/>
              </w:rPr>
              <w:t>Accroître l'accès à la culture dans les zones culturellement défavorisées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52DD031" w14:textId="77777777" w:rsidR="00A345F4" w:rsidRDefault="005E2D4E">
            <w:pPr>
              <w:pStyle w:val="P68B1DB1-Normal78"/>
              <w:spacing w:after="0" w:line="259" w:lineRule="auto"/>
              <w:jc w:val="center"/>
              <w:rPr>
                <w:noProof/>
              </w:rPr>
            </w:pPr>
            <w:r>
              <w:rPr>
                <w:noProof/>
              </w:rPr>
              <w:t>M</w:t>
            </w:r>
          </w:p>
        </w:tc>
        <w:tc>
          <w:tcPr>
            <w:tcW w:w="3393" w:type="dxa"/>
            <w:tcBorders>
              <w:top w:val="single" w:sz="4" w:space="0" w:color="auto"/>
              <w:left w:val="nil"/>
              <w:bottom w:val="single" w:sz="4" w:space="0" w:color="auto"/>
              <w:right w:val="single" w:sz="4" w:space="0" w:color="auto"/>
            </w:tcBorders>
            <w:shd w:val="clear" w:color="auto" w:fill="C6EFCE"/>
            <w:noWrap/>
          </w:tcPr>
          <w:p w14:paraId="5998CD07" w14:textId="77777777" w:rsidR="00A345F4" w:rsidRDefault="005E2D4E">
            <w:pPr>
              <w:pStyle w:val="P68B1DB1-Normal78"/>
              <w:spacing w:after="0" w:line="259" w:lineRule="auto"/>
              <w:rPr>
                <w:rFonts w:eastAsia="Times New Roman"/>
                <w:noProof/>
              </w:rPr>
            </w:pPr>
            <w:r>
              <w:rPr>
                <w:noProof/>
              </w:rPr>
              <w:t>Petites localités avec accès à la culture</w:t>
            </w:r>
          </w:p>
        </w:tc>
      </w:tr>
      <w:tr w:rsidR="00A345F4" w14:paraId="679948BD"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CE58A06" w14:textId="77777777" w:rsidR="00A345F4" w:rsidRDefault="005E2D4E">
            <w:pPr>
              <w:pStyle w:val="P68B1DB1-Normal78"/>
              <w:spacing w:after="0" w:line="259" w:lineRule="auto"/>
              <w:rPr>
                <w:rFonts w:eastAsia="Times New Roman"/>
                <w:noProof/>
              </w:rPr>
            </w:pPr>
            <w:r>
              <w:rPr>
                <w:noProof/>
              </w:rPr>
              <w:t>RO-C[C12]-R[R3.0]-T[360]</w:t>
            </w:r>
          </w:p>
        </w:tc>
        <w:tc>
          <w:tcPr>
            <w:tcW w:w="3535" w:type="dxa"/>
            <w:tcBorders>
              <w:top w:val="single" w:sz="4" w:space="0" w:color="auto"/>
              <w:left w:val="nil"/>
              <w:bottom w:val="single" w:sz="4" w:space="0" w:color="auto"/>
              <w:right w:val="single" w:sz="4" w:space="0" w:color="auto"/>
            </w:tcBorders>
            <w:shd w:val="clear" w:color="auto" w:fill="C6EFCE"/>
            <w:noWrap/>
          </w:tcPr>
          <w:p w14:paraId="2CECC2A0" w14:textId="77777777" w:rsidR="00A345F4" w:rsidRDefault="005E2D4E">
            <w:pPr>
              <w:pStyle w:val="P68B1DB1-Normal78"/>
              <w:spacing w:after="0" w:line="259" w:lineRule="auto"/>
              <w:rPr>
                <w:rFonts w:eastAsia="Times New Roman"/>
                <w:noProof/>
              </w:rPr>
            </w:pPr>
            <w:r>
              <w:rPr>
                <w:noProof/>
              </w:rPr>
              <w:t>Renforcement des capacités en matière de gestion de la santé et de ressources humaines dans le domaine de la santé</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1F341AE"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3C2B639D" w14:textId="77777777" w:rsidR="00A345F4" w:rsidRDefault="005E2D4E">
            <w:pPr>
              <w:pStyle w:val="P68B1DB1-Normal78"/>
              <w:spacing w:after="0" w:line="259" w:lineRule="auto"/>
              <w:rPr>
                <w:rFonts w:eastAsia="Times New Roman"/>
                <w:noProof/>
              </w:rPr>
            </w:pPr>
            <w:r>
              <w:rPr>
                <w:noProof/>
              </w:rPr>
              <w:t>Construction et équipement de deux centres de développement des compétences pour la formation du personnel de santé publique</w:t>
            </w:r>
          </w:p>
        </w:tc>
      </w:tr>
      <w:tr w:rsidR="00A345F4" w14:paraId="4AB06E52"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E88582B" w14:textId="77777777" w:rsidR="00A345F4" w:rsidRDefault="005E2D4E">
            <w:pPr>
              <w:pStyle w:val="P68B1DB1-Normal78"/>
              <w:spacing w:after="0" w:line="259" w:lineRule="auto"/>
              <w:rPr>
                <w:rFonts w:eastAsia="Times New Roman"/>
                <w:noProof/>
              </w:rPr>
            </w:pPr>
            <w:r>
              <w:rPr>
                <w:noProof/>
              </w:rPr>
              <w:t>RO-C[C12]-I[I1.0]-T[370]</w:t>
            </w:r>
          </w:p>
        </w:tc>
        <w:tc>
          <w:tcPr>
            <w:tcW w:w="3535" w:type="dxa"/>
            <w:tcBorders>
              <w:top w:val="single" w:sz="4" w:space="0" w:color="auto"/>
              <w:left w:val="nil"/>
              <w:bottom w:val="single" w:sz="4" w:space="0" w:color="auto"/>
              <w:right w:val="single" w:sz="4" w:space="0" w:color="auto"/>
            </w:tcBorders>
            <w:shd w:val="clear" w:color="auto" w:fill="C6EFCE"/>
            <w:noWrap/>
          </w:tcPr>
          <w:p w14:paraId="4FAB5DD6" w14:textId="77777777" w:rsidR="00A345F4" w:rsidRDefault="005E2D4E">
            <w:pPr>
              <w:pStyle w:val="P68B1DB1-Normal78"/>
              <w:spacing w:after="0" w:line="259" w:lineRule="auto"/>
              <w:rPr>
                <w:rFonts w:eastAsia="Times New Roman"/>
                <w:noProof/>
              </w:rPr>
            </w:pPr>
            <w:r>
              <w:rPr>
                <w:noProof/>
              </w:rPr>
              <w:t>Infrastructures médicales préhospitalières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7C3BAA17"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17F91BE9" w14:textId="055F8856" w:rsidR="00A345F4" w:rsidRDefault="005E2D4E">
            <w:pPr>
              <w:pStyle w:val="P68B1DB1-Normal78"/>
              <w:spacing w:after="0" w:line="259" w:lineRule="auto"/>
              <w:rPr>
                <w:rFonts w:eastAsia="Times New Roman"/>
                <w:noProof/>
              </w:rPr>
            </w:pPr>
            <w:r>
              <w:rPr>
                <w:noProof/>
              </w:rPr>
              <w:t xml:space="preserve">Centres communautaires intégrés construits ou rénovés </w:t>
            </w:r>
          </w:p>
        </w:tc>
      </w:tr>
      <w:tr w:rsidR="00A345F4" w14:paraId="1190571A"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D850DDD" w14:textId="77777777" w:rsidR="00A345F4" w:rsidRDefault="005E2D4E">
            <w:pPr>
              <w:pStyle w:val="P68B1DB1-Normal78"/>
              <w:spacing w:after="0" w:line="259" w:lineRule="auto"/>
              <w:rPr>
                <w:rFonts w:eastAsia="Times New Roman"/>
                <w:noProof/>
              </w:rPr>
            </w:pPr>
            <w:r>
              <w:rPr>
                <w:noProof/>
              </w:rPr>
              <w:t>RO-C[C12]-I[I2.0]-T[376]</w:t>
            </w:r>
          </w:p>
        </w:tc>
        <w:tc>
          <w:tcPr>
            <w:tcW w:w="3535" w:type="dxa"/>
            <w:tcBorders>
              <w:top w:val="single" w:sz="4" w:space="0" w:color="auto"/>
              <w:left w:val="nil"/>
              <w:bottom w:val="single" w:sz="4" w:space="0" w:color="auto"/>
              <w:right w:val="single" w:sz="4" w:space="0" w:color="auto"/>
            </w:tcBorders>
            <w:shd w:val="clear" w:color="auto" w:fill="C6EFCE"/>
            <w:noWrap/>
          </w:tcPr>
          <w:p w14:paraId="2471BB77" w14:textId="77777777" w:rsidR="00A345F4" w:rsidRDefault="005E2D4E">
            <w:pPr>
              <w:pStyle w:val="P68B1DB1-Normal78"/>
              <w:spacing w:after="0" w:line="259" w:lineRule="auto"/>
              <w:rPr>
                <w:rFonts w:eastAsia="Times New Roman"/>
                <w:noProof/>
              </w:rPr>
            </w:pPr>
            <w:r>
              <w:rPr>
                <w:noProof/>
              </w:rPr>
              <w:t>Infrastructures hospitalières publiques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A319887"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1BB533C9" w14:textId="79E4CAB3" w:rsidR="00A345F4" w:rsidRDefault="005E2D4E">
            <w:pPr>
              <w:pStyle w:val="P68B1DB1-Normal78"/>
              <w:spacing w:after="0" w:line="259" w:lineRule="auto"/>
              <w:rPr>
                <w:rFonts w:eastAsia="Times New Roman"/>
                <w:noProof/>
              </w:rPr>
            </w:pPr>
            <w:r>
              <w:rPr>
                <w:noProof/>
              </w:rPr>
              <w:t xml:space="preserve">Investissements dans les unités de soins intensifs pour nouveau-nés </w:t>
            </w:r>
          </w:p>
        </w:tc>
      </w:tr>
      <w:tr w:rsidR="00A345F4" w14:paraId="2841B693"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96A32F2" w14:textId="77777777" w:rsidR="00A345F4" w:rsidRDefault="005E2D4E">
            <w:pPr>
              <w:pStyle w:val="P68B1DB1-Normal78"/>
              <w:spacing w:after="0" w:line="259" w:lineRule="auto"/>
              <w:rPr>
                <w:rFonts w:eastAsia="Times New Roman"/>
                <w:noProof/>
              </w:rPr>
            </w:pPr>
            <w:r>
              <w:rPr>
                <w:noProof/>
              </w:rPr>
              <w:t>RO-C[C12]-I[I2.0]-T[377]</w:t>
            </w:r>
          </w:p>
        </w:tc>
        <w:tc>
          <w:tcPr>
            <w:tcW w:w="3535" w:type="dxa"/>
            <w:tcBorders>
              <w:top w:val="single" w:sz="4" w:space="0" w:color="auto"/>
              <w:left w:val="nil"/>
              <w:bottom w:val="single" w:sz="4" w:space="0" w:color="auto"/>
              <w:right w:val="single" w:sz="4" w:space="0" w:color="auto"/>
            </w:tcBorders>
            <w:shd w:val="clear" w:color="auto" w:fill="C6EFCE"/>
            <w:noWrap/>
          </w:tcPr>
          <w:p w14:paraId="2A315817" w14:textId="77777777" w:rsidR="00A345F4" w:rsidRDefault="005E2D4E">
            <w:pPr>
              <w:pStyle w:val="P68B1DB1-Normal78"/>
              <w:spacing w:after="0" w:line="259" w:lineRule="auto"/>
              <w:rPr>
                <w:rFonts w:eastAsia="Times New Roman"/>
                <w:noProof/>
              </w:rPr>
            </w:pPr>
            <w:r>
              <w:rPr>
                <w:noProof/>
              </w:rPr>
              <w:t>Infrastructures hospitalières publiques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20D2C98"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0E748C94" w14:textId="77777777" w:rsidR="00A345F4" w:rsidRDefault="005E2D4E">
            <w:pPr>
              <w:pStyle w:val="P68B1DB1-Normal78"/>
              <w:spacing w:after="0" w:line="259" w:lineRule="auto"/>
              <w:rPr>
                <w:rFonts w:eastAsia="Times New Roman"/>
                <w:noProof/>
              </w:rPr>
            </w:pPr>
            <w:r>
              <w:rPr>
                <w:noProof/>
              </w:rPr>
              <w:t>Construction et/ou équipement de nouvelles unités/hôpitaux de santé publique</w:t>
            </w:r>
          </w:p>
        </w:tc>
      </w:tr>
      <w:tr w:rsidR="00A345F4" w14:paraId="1BC86CBB"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C05F0B4" w14:textId="77777777" w:rsidR="00A345F4" w:rsidRDefault="005E2D4E">
            <w:pPr>
              <w:pStyle w:val="P68B1DB1-Normal78"/>
              <w:spacing w:after="0" w:line="259" w:lineRule="auto"/>
              <w:rPr>
                <w:noProof/>
              </w:rPr>
            </w:pPr>
            <w:r>
              <w:rPr>
                <w:noProof/>
              </w:rPr>
              <w:t>RO-C[C12]-I[I4.0]-T[534]</w:t>
            </w:r>
          </w:p>
        </w:tc>
        <w:tc>
          <w:tcPr>
            <w:tcW w:w="3535" w:type="dxa"/>
            <w:tcBorders>
              <w:top w:val="single" w:sz="4" w:space="0" w:color="auto"/>
              <w:left w:val="nil"/>
              <w:bottom w:val="single" w:sz="4" w:space="0" w:color="auto"/>
              <w:right w:val="single" w:sz="4" w:space="0" w:color="auto"/>
            </w:tcBorders>
            <w:shd w:val="clear" w:color="auto" w:fill="C6EFCE"/>
            <w:noWrap/>
          </w:tcPr>
          <w:p w14:paraId="0AF0184A" w14:textId="77777777" w:rsidR="00A345F4" w:rsidRDefault="005E2D4E">
            <w:pPr>
              <w:pStyle w:val="P68B1DB1-Normal78"/>
              <w:spacing w:after="0" w:line="259" w:lineRule="auto"/>
              <w:rPr>
                <w:noProof/>
              </w:rPr>
            </w:pPr>
            <w:r>
              <w:rPr>
                <w:noProof/>
              </w:rPr>
              <w:t>Modernisation des soins de santé d'urgence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7E07BC4" w14:textId="77777777" w:rsidR="00A345F4" w:rsidRDefault="005E2D4E">
            <w:pPr>
              <w:pStyle w:val="P68B1DB1-Normal78"/>
              <w:spacing w:after="0" w:line="259" w:lineRule="auto"/>
              <w:jc w:val="center"/>
              <w:rPr>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39F8E07A" w14:textId="77777777" w:rsidR="00A345F4" w:rsidRDefault="005E2D4E">
            <w:pPr>
              <w:pStyle w:val="P68B1DB1-Normal78"/>
              <w:spacing w:after="0" w:line="259" w:lineRule="auto"/>
              <w:rPr>
                <w:noProof/>
              </w:rPr>
            </w:pPr>
            <w:r>
              <w:rPr>
                <w:noProof/>
              </w:rPr>
              <w:t>Achat de nouvelles ambulances</w:t>
            </w:r>
          </w:p>
        </w:tc>
      </w:tr>
      <w:tr w:rsidR="00A345F4" w14:paraId="42783B9C"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00158D" w14:textId="77777777" w:rsidR="00A345F4" w:rsidRDefault="005E2D4E">
            <w:pPr>
              <w:pStyle w:val="P68B1DB1-Normal78"/>
              <w:spacing w:after="0" w:line="259" w:lineRule="auto"/>
              <w:rPr>
                <w:rFonts w:eastAsia="Times New Roman"/>
                <w:noProof/>
              </w:rPr>
            </w:pPr>
            <w:r>
              <w:rPr>
                <w:noProof/>
              </w:rPr>
              <w:t>RO-C[C13]-R[R2.0]-T[383]</w:t>
            </w:r>
          </w:p>
        </w:tc>
        <w:tc>
          <w:tcPr>
            <w:tcW w:w="3535" w:type="dxa"/>
            <w:tcBorders>
              <w:top w:val="single" w:sz="4" w:space="0" w:color="auto"/>
              <w:left w:val="nil"/>
              <w:bottom w:val="single" w:sz="4" w:space="0" w:color="auto"/>
              <w:right w:val="single" w:sz="4" w:space="0" w:color="auto"/>
            </w:tcBorders>
            <w:shd w:val="clear" w:color="auto" w:fill="C6EFCE"/>
            <w:noWrap/>
          </w:tcPr>
          <w:p w14:paraId="6547B755" w14:textId="77777777" w:rsidR="00A345F4" w:rsidRDefault="005E2D4E">
            <w:pPr>
              <w:pStyle w:val="P68B1DB1-Normal78"/>
              <w:spacing w:after="0" w:line="259" w:lineRule="auto"/>
              <w:rPr>
                <w:rFonts w:eastAsia="Times New Roman"/>
                <w:noProof/>
              </w:rPr>
            </w:pPr>
            <w:r>
              <w:rPr>
                <w:noProof/>
              </w:rPr>
              <w:t>Réforme du système de protection des adultes handicapés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0B51347D"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45575582" w14:textId="77777777" w:rsidR="00A345F4" w:rsidRDefault="005E2D4E">
            <w:pPr>
              <w:pStyle w:val="P68B1DB1-Normal78"/>
              <w:spacing w:after="0" w:line="259" w:lineRule="auto"/>
              <w:rPr>
                <w:rFonts w:eastAsia="Times New Roman"/>
                <w:noProof/>
              </w:rPr>
            </w:pPr>
            <w:r>
              <w:rPr>
                <w:noProof/>
              </w:rPr>
              <w:t>Personnes handicapées désinstitutionnalisées</w:t>
            </w:r>
          </w:p>
        </w:tc>
      </w:tr>
      <w:tr w:rsidR="00A345F4" w14:paraId="2C77D5D2"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993B248" w14:textId="77777777" w:rsidR="00A345F4" w:rsidRDefault="005E2D4E">
            <w:pPr>
              <w:pStyle w:val="P68B1DB1-Normal74"/>
              <w:spacing w:after="0" w:line="259" w:lineRule="auto"/>
              <w:rPr>
                <w:rFonts w:eastAsia="Aptos"/>
                <w:noProof/>
                <w:color w:val="000000"/>
              </w:rPr>
            </w:pPr>
            <w:r>
              <w:rPr>
                <w:noProof/>
              </w:rPr>
              <w:t>RO-C[C13]-I[I1.0]-T[394]</w:t>
            </w:r>
          </w:p>
        </w:tc>
        <w:tc>
          <w:tcPr>
            <w:tcW w:w="3535" w:type="dxa"/>
            <w:tcBorders>
              <w:top w:val="single" w:sz="4" w:space="0" w:color="auto"/>
              <w:left w:val="nil"/>
              <w:bottom w:val="single" w:sz="4" w:space="0" w:color="auto"/>
              <w:right w:val="single" w:sz="4" w:space="0" w:color="auto"/>
            </w:tcBorders>
            <w:shd w:val="clear" w:color="auto" w:fill="C6EFCE"/>
            <w:noWrap/>
          </w:tcPr>
          <w:p w14:paraId="522B2921" w14:textId="77777777" w:rsidR="00A345F4" w:rsidRDefault="005E2D4E">
            <w:pPr>
              <w:pStyle w:val="P68B1DB1-Normal74"/>
              <w:spacing w:after="0" w:line="259" w:lineRule="auto"/>
              <w:rPr>
                <w:rFonts w:eastAsia="Aptos"/>
                <w:noProof/>
                <w:color w:val="000000"/>
              </w:rPr>
            </w:pPr>
            <w:r>
              <w:rPr>
                <w:noProof/>
              </w:rPr>
              <w:t>Création d'un réseau de centres de jour pour les enfants menacés de séparation</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CD5C0EF" w14:textId="77777777" w:rsidR="00A345F4" w:rsidRDefault="005E2D4E">
            <w:pPr>
              <w:pStyle w:val="P68B1DB1-Normal73"/>
              <w:spacing w:after="0" w:line="259" w:lineRule="auto"/>
              <w:jc w:val="center"/>
              <w:rPr>
                <w:noProof/>
                <w:color w:val="000000"/>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0F578AE3" w14:textId="77777777" w:rsidR="00A345F4" w:rsidRDefault="005E2D4E">
            <w:pPr>
              <w:pStyle w:val="P68B1DB1-Normal73"/>
              <w:spacing w:after="0" w:line="259" w:lineRule="auto"/>
              <w:rPr>
                <w:noProof/>
                <w:color w:val="000000"/>
              </w:rPr>
            </w:pPr>
            <w:r>
              <w:rPr>
                <w:noProof/>
              </w:rPr>
              <w:t>Centres de jour pour empêcher la séparation des enfants de la famille</w:t>
            </w:r>
          </w:p>
        </w:tc>
      </w:tr>
      <w:tr w:rsidR="00A345F4" w14:paraId="51335543"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C52AB57" w14:textId="77777777" w:rsidR="00A345F4" w:rsidRDefault="005E2D4E">
            <w:pPr>
              <w:pStyle w:val="P68B1DB1-Normal78"/>
              <w:spacing w:after="0" w:line="259" w:lineRule="auto"/>
              <w:rPr>
                <w:rFonts w:eastAsia="Times New Roman"/>
                <w:noProof/>
              </w:rPr>
            </w:pPr>
            <w:r>
              <w:rPr>
                <w:noProof/>
              </w:rPr>
              <w:t>RO-C[C13]-I[I2.0]-T[396]</w:t>
            </w:r>
          </w:p>
        </w:tc>
        <w:tc>
          <w:tcPr>
            <w:tcW w:w="3535" w:type="dxa"/>
            <w:tcBorders>
              <w:top w:val="single" w:sz="4" w:space="0" w:color="auto"/>
              <w:left w:val="nil"/>
              <w:bottom w:val="single" w:sz="4" w:space="0" w:color="auto"/>
              <w:right w:val="single" w:sz="4" w:space="0" w:color="auto"/>
            </w:tcBorders>
            <w:shd w:val="clear" w:color="auto" w:fill="C6EFCE"/>
            <w:noWrap/>
          </w:tcPr>
          <w:p w14:paraId="5A83D81C" w14:textId="59412472" w:rsidR="00A345F4" w:rsidRDefault="005E2D4E">
            <w:pPr>
              <w:pStyle w:val="P68B1DB1-Normal78"/>
              <w:spacing w:after="0" w:line="259" w:lineRule="auto"/>
              <w:rPr>
                <w:rFonts w:eastAsia="Times New Roman"/>
                <w:noProof/>
              </w:rPr>
            </w:pPr>
            <w:r>
              <w:rPr>
                <w:noProof/>
              </w:rPr>
              <w:t>Octroi de licences et modernisation des infrastructures sociales pour les personnes handicapées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0F068A29"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08EEEE29" w14:textId="77777777" w:rsidR="00A345F4" w:rsidRDefault="005E2D4E">
            <w:pPr>
              <w:pStyle w:val="P68B1DB1-Normal78"/>
              <w:spacing w:after="0" w:line="259" w:lineRule="auto"/>
              <w:rPr>
                <w:rFonts w:eastAsia="Times New Roman"/>
                <w:noProof/>
              </w:rPr>
            </w:pPr>
            <w:r>
              <w:rPr>
                <w:noProof/>
              </w:rPr>
              <w:t>Nouveaux services communautaires pour les personnes handicapées</w:t>
            </w:r>
          </w:p>
        </w:tc>
      </w:tr>
      <w:tr w:rsidR="00A345F4" w14:paraId="1FBB5259"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95AD849" w14:textId="77777777" w:rsidR="00A345F4" w:rsidRDefault="005E2D4E">
            <w:pPr>
              <w:pStyle w:val="P68B1DB1-Normal78"/>
              <w:spacing w:after="0" w:line="259" w:lineRule="auto"/>
              <w:rPr>
                <w:rFonts w:eastAsia="Times New Roman"/>
                <w:noProof/>
              </w:rPr>
            </w:pPr>
            <w:r>
              <w:rPr>
                <w:noProof/>
              </w:rPr>
              <w:t>RO-C[C13]-I[I4.0]-T[400]</w:t>
            </w:r>
          </w:p>
        </w:tc>
        <w:tc>
          <w:tcPr>
            <w:tcW w:w="3535" w:type="dxa"/>
            <w:tcBorders>
              <w:top w:val="single" w:sz="4" w:space="0" w:color="auto"/>
              <w:left w:val="nil"/>
              <w:bottom w:val="single" w:sz="4" w:space="0" w:color="auto"/>
              <w:right w:val="single" w:sz="4" w:space="0" w:color="auto"/>
            </w:tcBorders>
            <w:shd w:val="clear" w:color="auto" w:fill="C6EFCE"/>
            <w:noWrap/>
          </w:tcPr>
          <w:p w14:paraId="6D284667" w14:textId="77777777" w:rsidR="00A345F4" w:rsidRDefault="005E2D4E">
            <w:pPr>
              <w:pStyle w:val="P68B1DB1-Normal78"/>
              <w:spacing w:after="0" w:line="259" w:lineRule="auto"/>
              <w:rPr>
                <w:rFonts w:eastAsia="Times New Roman"/>
                <w:noProof/>
              </w:rPr>
            </w:pPr>
            <w:r>
              <w:rPr>
                <w:noProof/>
              </w:rPr>
              <w:t xml:space="preserve">Création d'un réseau de garderies et de centres de réadaptation pour personnes âgées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D21CE1C"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54ECE934" w14:textId="77777777" w:rsidR="00A345F4" w:rsidRDefault="005E2D4E">
            <w:pPr>
              <w:pStyle w:val="P68B1DB1-Normal78"/>
              <w:spacing w:after="0" w:line="259" w:lineRule="auto"/>
              <w:rPr>
                <w:rFonts w:eastAsia="Times New Roman"/>
                <w:noProof/>
              </w:rPr>
            </w:pPr>
            <w:r>
              <w:rPr>
                <w:noProof/>
              </w:rPr>
              <w:t>Garderies agréées et centres de réadaptation pour personnes âgées</w:t>
            </w:r>
          </w:p>
        </w:tc>
      </w:tr>
      <w:tr w:rsidR="00A345F4" w14:paraId="65EE995D"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052EDBB" w14:textId="77777777" w:rsidR="00A345F4" w:rsidRDefault="005E2D4E">
            <w:pPr>
              <w:pStyle w:val="P68B1DB1-Normal74"/>
              <w:spacing w:after="0" w:line="259" w:lineRule="auto"/>
              <w:rPr>
                <w:noProof/>
              </w:rPr>
            </w:pPr>
            <w:r>
              <w:rPr>
                <w:noProof/>
              </w:rPr>
              <w:t>RO-C[C14]-R[R3.0]-M[418]</w:t>
            </w:r>
          </w:p>
        </w:tc>
        <w:tc>
          <w:tcPr>
            <w:tcW w:w="3535" w:type="dxa"/>
            <w:tcBorders>
              <w:top w:val="single" w:sz="4" w:space="0" w:color="auto"/>
              <w:left w:val="nil"/>
              <w:bottom w:val="single" w:sz="4" w:space="0" w:color="auto"/>
              <w:right w:val="single" w:sz="4" w:space="0" w:color="auto"/>
            </w:tcBorders>
            <w:shd w:val="clear" w:color="auto" w:fill="C6EFCE"/>
            <w:noWrap/>
          </w:tcPr>
          <w:p w14:paraId="38771120" w14:textId="77777777" w:rsidR="00A345F4" w:rsidRDefault="005E2D4E">
            <w:pPr>
              <w:pStyle w:val="P68B1DB1-Normal75"/>
              <w:spacing w:after="0" w:line="259" w:lineRule="auto"/>
              <w:rPr>
                <w:noProof/>
              </w:rPr>
            </w:pPr>
            <w:r>
              <w:rPr>
                <w:noProof/>
              </w:rPr>
              <w:t xml:space="preserve">Moderniser la gestion des ressources humaines dans le secteur public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AD8CB92" w14:textId="77777777" w:rsidR="00A345F4" w:rsidRDefault="005E2D4E">
            <w:pPr>
              <w:pStyle w:val="P68B1DB1-Normal73"/>
              <w:spacing w:after="0" w:line="259" w:lineRule="auto"/>
              <w:jc w:val="center"/>
              <w:rPr>
                <w:rFonts w:eastAsia="Times New Roman"/>
                <w:noProof/>
              </w:rPr>
            </w:pPr>
            <w:r>
              <w:rPr>
                <w:noProof/>
              </w:rPr>
              <w:t>M</w:t>
            </w:r>
          </w:p>
        </w:tc>
        <w:tc>
          <w:tcPr>
            <w:tcW w:w="3393" w:type="dxa"/>
            <w:tcBorders>
              <w:top w:val="single" w:sz="4" w:space="0" w:color="auto"/>
              <w:left w:val="nil"/>
              <w:bottom w:val="single" w:sz="4" w:space="0" w:color="auto"/>
              <w:right w:val="single" w:sz="4" w:space="0" w:color="auto"/>
            </w:tcBorders>
            <w:shd w:val="clear" w:color="auto" w:fill="C6EFCE"/>
            <w:noWrap/>
          </w:tcPr>
          <w:p w14:paraId="7A067CCC" w14:textId="73F8D936" w:rsidR="00A345F4" w:rsidRDefault="005E2D4E">
            <w:pPr>
              <w:pStyle w:val="P68B1DB1-Normal74"/>
              <w:spacing w:after="0" w:line="259" w:lineRule="auto"/>
              <w:rPr>
                <w:noProof/>
              </w:rPr>
            </w:pPr>
            <w:r>
              <w:rPr>
                <w:noProof/>
                <w:color w:val="000000"/>
              </w:rPr>
              <w:t>Entrée en vigueur d’actes juridiques pour l’adoption de cadres de gestion des ressources humaines et de compétences fondés sur le mérite dans l’administration publique centrale</w:t>
            </w:r>
            <w:r>
              <w:rPr>
                <w:noProof/>
              </w:rPr>
              <w:t xml:space="preserve"> </w:t>
            </w:r>
          </w:p>
        </w:tc>
      </w:tr>
      <w:tr w:rsidR="00A345F4" w14:paraId="3E2ADC9D"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D7E7D59" w14:textId="77777777" w:rsidR="00A345F4" w:rsidRDefault="005E2D4E">
            <w:pPr>
              <w:pStyle w:val="P68B1DB1-Normal78"/>
              <w:spacing w:after="0" w:line="259" w:lineRule="auto"/>
              <w:rPr>
                <w:rFonts w:eastAsia="Times New Roman"/>
                <w:noProof/>
              </w:rPr>
            </w:pPr>
            <w:r>
              <w:rPr>
                <w:noProof/>
              </w:rPr>
              <w:t>RO-C[C14]-R[R4.0]-M[420]</w:t>
            </w:r>
          </w:p>
        </w:tc>
        <w:tc>
          <w:tcPr>
            <w:tcW w:w="3535" w:type="dxa"/>
            <w:tcBorders>
              <w:top w:val="single" w:sz="4" w:space="0" w:color="auto"/>
              <w:left w:val="nil"/>
              <w:bottom w:val="single" w:sz="4" w:space="0" w:color="auto"/>
              <w:right w:val="single" w:sz="4" w:space="0" w:color="auto"/>
            </w:tcBorders>
            <w:shd w:val="clear" w:color="auto" w:fill="C6EFCE"/>
            <w:noWrap/>
          </w:tcPr>
          <w:p w14:paraId="489B7CC6" w14:textId="77777777" w:rsidR="00A345F4" w:rsidRDefault="005E2D4E">
            <w:pPr>
              <w:pStyle w:val="P68B1DB1-Normal78"/>
              <w:spacing w:after="0" w:line="259" w:lineRule="auto"/>
              <w:rPr>
                <w:rFonts w:eastAsia="Times New Roman"/>
                <w:noProof/>
              </w:rPr>
            </w:pPr>
            <w:r>
              <w:rPr>
                <w:noProof/>
              </w:rPr>
              <w:t>Développement d'un système de rémunération unitaire équitable dans le secteur public</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00E8FAD" w14:textId="77777777" w:rsidR="00A345F4" w:rsidRDefault="005E2D4E">
            <w:pPr>
              <w:pStyle w:val="P68B1DB1-Normal73"/>
              <w:spacing w:after="0" w:line="259" w:lineRule="auto"/>
              <w:jc w:val="center"/>
              <w:rPr>
                <w:noProof/>
              </w:rPr>
            </w:pPr>
            <w:r>
              <w:rPr>
                <w:noProof/>
              </w:rPr>
              <w:t>M</w:t>
            </w:r>
          </w:p>
        </w:tc>
        <w:tc>
          <w:tcPr>
            <w:tcW w:w="3393" w:type="dxa"/>
            <w:tcBorders>
              <w:top w:val="single" w:sz="4" w:space="0" w:color="auto"/>
              <w:left w:val="nil"/>
              <w:bottom w:val="single" w:sz="4" w:space="0" w:color="auto"/>
              <w:right w:val="single" w:sz="4" w:space="0" w:color="auto"/>
            </w:tcBorders>
            <w:shd w:val="clear" w:color="auto" w:fill="C6EFCE"/>
            <w:noWrap/>
          </w:tcPr>
          <w:p w14:paraId="19AA87DD" w14:textId="6EBF1F8F" w:rsidR="00A345F4" w:rsidRDefault="005E2D4E">
            <w:pPr>
              <w:pStyle w:val="P68B1DB1-Normal75"/>
              <w:spacing w:after="0" w:line="240" w:lineRule="auto"/>
              <w:jc w:val="both"/>
              <w:rPr>
                <w:noProof/>
              </w:rPr>
            </w:pPr>
            <w:r>
              <w:rPr>
                <w:noProof/>
              </w:rPr>
              <w:t xml:space="preserve">Publication au Journal officiel des actes juridiques relatifs à la rémunération des agents du secteur public  </w:t>
            </w:r>
          </w:p>
        </w:tc>
      </w:tr>
      <w:tr w:rsidR="00A345F4" w14:paraId="63ECC375"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D5E36C6" w14:textId="77777777" w:rsidR="00A345F4" w:rsidRDefault="005E2D4E">
            <w:pPr>
              <w:pStyle w:val="P68B1DB1-Normal74"/>
              <w:spacing w:after="0" w:line="259" w:lineRule="auto"/>
              <w:rPr>
                <w:noProof/>
              </w:rPr>
            </w:pPr>
            <w:r>
              <w:rPr>
                <w:noProof/>
              </w:rPr>
              <w:t>RO-C[C14]-R[R7.0]-M[431]</w:t>
            </w:r>
          </w:p>
        </w:tc>
        <w:tc>
          <w:tcPr>
            <w:tcW w:w="3535" w:type="dxa"/>
            <w:tcBorders>
              <w:top w:val="single" w:sz="4" w:space="0" w:color="auto"/>
              <w:left w:val="nil"/>
              <w:bottom w:val="single" w:sz="4" w:space="0" w:color="auto"/>
              <w:right w:val="single" w:sz="4" w:space="0" w:color="auto"/>
            </w:tcBorders>
            <w:shd w:val="clear" w:color="auto" w:fill="C6EFCE"/>
            <w:noWrap/>
          </w:tcPr>
          <w:p w14:paraId="72680532" w14:textId="77777777" w:rsidR="00A345F4" w:rsidRDefault="005E2D4E">
            <w:pPr>
              <w:pStyle w:val="P68B1DB1-Normal74"/>
              <w:spacing w:after="0" w:line="259" w:lineRule="auto"/>
              <w:rPr>
                <w:noProof/>
              </w:rPr>
            </w:pPr>
            <w:r>
              <w:rPr>
                <w:noProof/>
                <w:color w:val="000000"/>
              </w:rPr>
              <w:t>Mise à jour du cadre juridique relatif à l'intégrité de la fonction publique</w:t>
            </w:r>
            <w:r>
              <w:rPr>
                <w:noProof/>
              </w:rPr>
              <w:t xml:space="preserve">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B9C4301" w14:textId="77777777" w:rsidR="00A345F4" w:rsidRDefault="005E2D4E">
            <w:pPr>
              <w:pStyle w:val="P68B1DB1-Normal73"/>
              <w:spacing w:after="0" w:line="259" w:lineRule="auto"/>
              <w:jc w:val="center"/>
              <w:rPr>
                <w:rFonts w:eastAsia="Times New Roman"/>
                <w:noProof/>
              </w:rPr>
            </w:pPr>
            <w:r>
              <w:rPr>
                <w:noProof/>
              </w:rPr>
              <w:t>M</w:t>
            </w:r>
          </w:p>
        </w:tc>
        <w:tc>
          <w:tcPr>
            <w:tcW w:w="3393" w:type="dxa"/>
            <w:tcBorders>
              <w:top w:val="single" w:sz="4" w:space="0" w:color="auto"/>
              <w:left w:val="nil"/>
              <w:bottom w:val="single" w:sz="4" w:space="0" w:color="auto"/>
              <w:right w:val="single" w:sz="4" w:space="0" w:color="auto"/>
            </w:tcBorders>
            <w:shd w:val="clear" w:color="auto" w:fill="C6EFCE"/>
            <w:noWrap/>
          </w:tcPr>
          <w:p w14:paraId="54C3504F" w14:textId="3E6B5E7D" w:rsidR="00A345F4" w:rsidRDefault="005E2D4E">
            <w:pPr>
              <w:pStyle w:val="P68B1DB1-Normal73"/>
              <w:spacing w:after="0" w:line="259" w:lineRule="auto"/>
              <w:rPr>
                <w:rFonts w:eastAsia="Times New Roman"/>
                <w:noProof/>
              </w:rPr>
            </w:pPr>
            <w:r>
              <w:rPr>
                <w:noProof/>
              </w:rPr>
              <w:t>Entrée en vigueur de l’acte juridique relatif à la mise à jour du cadre législatif en matière d’intégrité </w:t>
            </w:r>
          </w:p>
        </w:tc>
      </w:tr>
      <w:tr w:rsidR="00A345F4" w14:paraId="2C4FBE1D"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D135AC4" w14:textId="77777777" w:rsidR="00A345F4" w:rsidRDefault="005E2D4E">
            <w:pPr>
              <w:pStyle w:val="P68B1DB1-Normal74"/>
              <w:spacing w:after="0" w:line="259" w:lineRule="auto"/>
              <w:rPr>
                <w:noProof/>
              </w:rPr>
            </w:pPr>
            <w:r>
              <w:rPr>
                <w:noProof/>
              </w:rPr>
              <w:t>RO-C[C14]-R[R9.0]-T[442]</w:t>
            </w:r>
          </w:p>
        </w:tc>
        <w:tc>
          <w:tcPr>
            <w:tcW w:w="3535" w:type="dxa"/>
            <w:tcBorders>
              <w:top w:val="single" w:sz="4" w:space="0" w:color="auto"/>
              <w:left w:val="nil"/>
              <w:bottom w:val="single" w:sz="4" w:space="0" w:color="auto"/>
              <w:right w:val="single" w:sz="4" w:space="0" w:color="auto"/>
            </w:tcBorders>
            <w:shd w:val="clear" w:color="auto" w:fill="C6EFCE"/>
            <w:noWrap/>
          </w:tcPr>
          <w:p w14:paraId="3A8DBCF6" w14:textId="77777777" w:rsidR="00A345F4" w:rsidRDefault="005E2D4E">
            <w:pPr>
              <w:pStyle w:val="P68B1DB1-Normal74"/>
              <w:spacing w:after="0" w:line="259" w:lineRule="auto"/>
              <w:rPr>
                <w:noProof/>
              </w:rPr>
            </w:pPr>
            <w:r>
              <w:rPr>
                <w:noProof/>
              </w:rPr>
              <w:t>Améliorer le cadre procédural pour la mise en œuvre des principes de gouvernance d'entreprise dans les entreprises publiques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A970633" w14:textId="77777777" w:rsidR="00A345F4" w:rsidRDefault="005E2D4E">
            <w:pPr>
              <w:pStyle w:val="P68B1DB1-Normal73"/>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3ED5D4C1" w14:textId="3BE1781C" w:rsidR="00A345F4" w:rsidRDefault="005E2D4E">
            <w:pPr>
              <w:pStyle w:val="P68B1DB1-Normal75"/>
              <w:spacing w:after="0" w:line="240" w:lineRule="auto"/>
              <w:jc w:val="both"/>
              <w:rPr>
                <w:rFonts w:eastAsia="Aptos"/>
                <w:noProof/>
              </w:rPr>
            </w:pPr>
            <w:r>
              <w:rPr>
                <w:noProof/>
              </w:rPr>
              <w:t xml:space="preserve">Réduction du nombre de mandats intérimaires pour les entreprises publiques relevant de la compétence des autorités publiques au niveau central. Augmentation de la part des mandats permanents au sein des conseils d’administration et de surveillance des entreprises publiques relevant de la compétence des pouvoirs publics </w:t>
            </w:r>
          </w:p>
        </w:tc>
      </w:tr>
      <w:tr w:rsidR="00A345F4" w14:paraId="0443D0AE"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A3D3BC0" w14:textId="77777777" w:rsidR="00A345F4" w:rsidRDefault="005E2D4E">
            <w:pPr>
              <w:pStyle w:val="P68B1DB1-Normal78"/>
              <w:spacing w:after="0" w:line="259" w:lineRule="auto"/>
              <w:rPr>
                <w:rFonts w:eastAsia="Times New Roman"/>
                <w:noProof/>
              </w:rPr>
            </w:pPr>
            <w:r>
              <w:rPr>
                <w:noProof/>
              </w:rPr>
              <w:t>RO-C[C14]-R[R9.0]-T[443]</w:t>
            </w:r>
          </w:p>
        </w:tc>
        <w:tc>
          <w:tcPr>
            <w:tcW w:w="3535" w:type="dxa"/>
            <w:tcBorders>
              <w:top w:val="single" w:sz="4" w:space="0" w:color="auto"/>
              <w:left w:val="nil"/>
              <w:bottom w:val="single" w:sz="4" w:space="0" w:color="auto"/>
              <w:right w:val="single" w:sz="4" w:space="0" w:color="auto"/>
            </w:tcBorders>
            <w:shd w:val="clear" w:color="auto" w:fill="C6EFCE"/>
            <w:noWrap/>
          </w:tcPr>
          <w:p w14:paraId="6A29E6BA" w14:textId="77777777" w:rsidR="00A345F4" w:rsidRDefault="005E2D4E">
            <w:pPr>
              <w:pStyle w:val="P68B1DB1-Normal78"/>
              <w:spacing w:after="0" w:line="259" w:lineRule="auto"/>
              <w:rPr>
                <w:rFonts w:eastAsia="Times New Roman"/>
                <w:noProof/>
              </w:rPr>
            </w:pPr>
            <w:r>
              <w:rPr>
                <w:noProof/>
              </w:rPr>
              <w:t>Améliorer le cadre procédural pour la mise en œuvre des principes de gouvernance d'entreprise dans les entreprises publiques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4854D54"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68F46E99" w14:textId="53C998B2" w:rsidR="00A345F4" w:rsidRDefault="005E2D4E">
            <w:pPr>
              <w:spacing w:after="0" w:line="259" w:lineRule="auto"/>
              <w:rPr>
                <w:rFonts w:ascii="Times New Roman" w:eastAsia="Times New Roman" w:hAnsi="Times New Roman" w:cs="Times New Roman"/>
                <w:noProof/>
                <w:kern w:val="2"/>
                <w:sz w:val="22"/>
                <w:szCs w:val="22"/>
                <w14:ligatures w14:val="standardContextual"/>
              </w:rPr>
            </w:pPr>
            <w:r>
              <w:rPr>
                <w:rFonts w:ascii="Times New Roman" w:eastAsia="Aptos" w:hAnsi="Times New Roman" w:cs="Times New Roman"/>
                <w:noProof/>
                <w:color w:val="000000"/>
                <w:kern w:val="2"/>
                <w:sz w:val="22"/>
                <w:szCs w:val="22"/>
                <w14:ligatures w14:val="standardContextual"/>
              </w:rPr>
              <w:t>Entreprises d’État centrales cotées</w:t>
            </w:r>
            <w:r>
              <w:rPr>
                <w:noProof/>
              </w:rPr>
              <w:t xml:space="preserve"> </w:t>
            </w:r>
            <w:r>
              <w:rPr>
                <w:rFonts w:ascii="Times New Roman" w:eastAsia="Aptos" w:hAnsi="Times New Roman" w:cs="Times New Roman"/>
                <w:noProof/>
                <w:color w:val="000000"/>
                <w:kern w:val="2"/>
                <w:sz w:val="22"/>
                <w:szCs w:val="22"/>
                <w14:ligatures w14:val="standardContextual"/>
              </w:rPr>
              <w:t>ou restructurées relevant du ministère de l’énergie ou du ministère des transports </w:t>
            </w:r>
          </w:p>
        </w:tc>
      </w:tr>
      <w:tr w:rsidR="00A345F4" w14:paraId="693ECCF1"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8A968AC" w14:textId="77777777" w:rsidR="00A345F4" w:rsidRDefault="005E2D4E">
            <w:pPr>
              <w:pStyle w:val="P68B1DB1-Normal78"/>
              <w:spacing w:after="0" w:line="259" w:lineRule="auto"/>
              <w:rPr>
                <w:rFonts w:eastAsia="Times New Roman"/>
                <w:noProof/>
              </w:rPr>
            </w:pPr>
            <w:r>
              <w:rPr>
                <w:noProof/>
              </w:rPr>
              <w:t>RO-C[C15]-R[R2.0]-T[454]</w:t>
            </w:r>
          </w:p>
        </w:tc>
        <w:tc>
          <w:tcPr>
            <w:tcW w:w="3535" w:type="dxa"/>
            <w:tcBorders>
              <w:top w:val="single" w:sz="4" w:space="0" w:color="auto"/>
              <w:left w:val="nil"/>
              <w:bottom w:val="single" w:sz="4" w:space="0" w:color="auto"/>
              <w:right w:val="single" w:sz="4" w:space="0" w:color="auto"/>
            </w:tcBorders>
            <w:shd w:val="clear" w:color="auto" w:fill="C6EFCE"/>
            <w:noWrap/>
          </w:tcPr>
          <w:p w14:paraId="56215092" w14:textId="77F3CC49" w:rsidR="00A345F4" w:rsidRDefault="005E2D4E">
            <w:pPr>
              <w:pStyle w:val="P68B1DB1-Normal78"/>
              <w:spacing w:after="0" w:line="259" w:lineRule="auto"/>
              <w:rPr>
                <w:rFonts w:eastAsia="Times New Roman"/>
                <w:noProof/>
              </w:rPr>
            </w:pPr>
            <w:r>
              <w:rPr>
                <w:noProof/>
              </w:rPr>
              <w:t>Système d'éducation de la petite enfance unitaire, inclusif et de qualité</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71CD2D2"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07D09DB5" w14:textId="77777777" w:rsidR="00A345F4" w:rsidRDefault="005E2D4E">
            <w:pPr>
              <w:pStyle w:val="P68B1DB1-Normal78"/>
              <w:spacing w:after="0" w:line="259" w:lineRule="auto"/>
              <w:rPr>
                <w:rFonts w:eastAsia="Times New Roman"/>
                <w:noProof/>
              </w:rPr>
            </w:pPr>
            <w:r>
              <w:rPr>
                <w:noProof/>
              </w:rPr>
              <w:t>Nombre d ' enfants de 0 à 3 ans inscrits dans les services d ' éducation préscolaire</w:t>
            </w:r>
          </w:p>
        </w:tc>
      </w:tr>
      <w:tr w:rsidR="00A345F4" w14:paraId="6FE5DAB6"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29492F7D" w14:textId="77777777" w:rsidR="00A345F4" w:rsidRDefault="005E2D4E">
            <w:pPr>
              <w:pStyle w:val="P68B1DB1-Normal73"/>
              <w:spacing w:after="0" w:line="259" w:lineRule="auto"/>
              <w:rPr>
                <w:noProof/>
                <w:color w:val="000000"/>
              </w:rPr>
            </w:pPr>
            <w:r>
              <w:rPr>
                <w:noProof/>
              </w:rPr>
              <w:t>RO-C[C15]-I[I1.0]-T[457]</w:t>
            </w:r>
          </w:p>
        </w:tc>
        <w:tc>
          <w:tcPr>
            <w:tcW w:w="3535" w:type="dxa"/>
            <w:tcBorders>
              <w:top w:val="single" w:sz="4" w:space="0" w:color="auto"/>
              <w:left w:val="nil"/>
              <w:bottom w:val="single" w:sz="4" w:space="0" w:color="auto"/>
              <w:right w:val="single" w:sz="4" w:space="0" w:color="auto"/>
            </w:tcBorders>
            <w:shd w:val="clear" w:color="auto" w:fill="C6EFCE"/>
            <w:noWrap/>
          </w:tcPr>
          <w:p w14:paraId="77AFA480" w14:textId="77777777" w:rsidR="00A345F4" w:rsidRDefault="005E2D4E">
            <w:pPr>
              <w:pStyle w:val="P68B1DB1-Normal73"/>
              <w:spacing w:after="0" w:line="259" w:lineRule="auto"/>
              <w:rPr>
                <w:noProof/>
                <w:color w:val="000000"/>
              </w:rPr>
            </w:pPr>
            <w:r>
              <w:rPr>
                <w:noProof/>
              </w:rPr>
              <w:t>Construction et équipement de crèches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2846B764" w14:textId="77777777" w:rsidR="00A345F4" w:rsidRDefault="005E2D4E">
            <w:pPr>
              <w:pStyle w:val="P68B1DB1-Normal73"/>
              <w:spacing w:after="0" w:line="259" w:lineRule="auto"/>
              <w:jc w:val="center"/>
              <w:rPr>
                <w:noProof/>
                <w:color w:val="000000"/>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3BF63897" w14:textId="77777777" w:rsidR="00A345F4" w:rsidRDefault="005E2D4E">
            <w:pPr>
              <w:pStyle w:val="P68B1DB1-Normal73"/>
              <w:spacing w:after="0" w:line="259" w:lineRule="auto"/>
              <w:rPr>
                <w:noProof/>
                <w:color w:val="000000"/>
              </w:rPr>
            </w:pPr>
            <w:r>
              <w:rPr>
                <w:noProof/>
              </w:rPr>
              <w:t>Crèches construites et équipées</w:t>
            </w:r>
          </w:p>
        </w:tc>
      </w:tr>
      <w:tr w:rsidR="00A345F4" w14:paraId="68E1030F"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0045A7F" w14:textId="77777777" w:rsidR="00A345F4" w:rsidRDefault="005E2D4E">
            <w:pPr>
              <w:pStyle w:val="P68B1DB1-Normal78"/>
              <w:spacing w:after="0" w:line="259" w:lineRule="auto"/>
              <w:rPr>
                <w:noProof/>
              </w:rPr>
            </w:pPr>
            <w:r>
              <w:rPr>
                <w:noProof/>
              </w:rPr>
              <w:t>RO-C[C15]-I[I2.0]-T[459]</w:t>
            </w:r>
          </w:p>
        </w:tc>
        <w:tc>
          <w:tcPr>
            <w:tcW w:w="3535" w:type="dxa"/>
            <w:tcBorders>
              <w:top w:val="single" w:sz="4" w:space="0" w:color="auto"/>
              <w:left w:val="nil"/>
              <w:bottom w:val="single" w:sz="4" w:space="0" w:color="auto"/>
              <w:right w:val="single" w:sz="4" w:space="0" w:color="auto"/>
            </w:tcBorders>
            <w:shd w:val="clear" w:color="auto" w:fill="C6EFCE"/>
            <w:noWrap/>
          </w:tcPr>
          <w:p w14:paraId="2210A702" w14:textId="5EF114BD" w:rsidR="00A345F4" w:rsidRDefault="005E2D4E">
            <w:pPr>
              <w:pStyle w:val="P68B1DB1-Normal78"/>
              <w:spacing w:after="0" w:line="259" w:lineRule="auto"/>
              <w:rPr>
                <w:noProof/>
              </w:rPr>
            </w:pPr>
            <w:r>
              <w:rPr>
                <w:noProof/>
              </w:rPr>
              <w:t xml:space="preserve">Mise en place, équipement et approbation de services complémentaires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73E3CEA4" w14:textId="77777777" w:rsidR="00A345F4" w:rsidRDefault="005E2D4E">
            <w:pPr>
              <w:pStyle w:val="P68B1DB1-Normal78"/>
              <w:spacing w:after="0" w:line="259" w:lineRule="auto"/>
              <w:jc w:val="center"/>
              <w:rPr>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057B5E65" w14:textId="77777777" w:rsidR="00A345F4" w:rsidRDefault="005E2D4E">
            <w:pPr>
              <w:pStyle w:val="P68B1DB1-Normal73"/>
              <w:spacing w:after="0" w:line="259" w:lineRule="auto"/>
              <w:rPr>
                <w:noProof/>
                <w:color w:val="000000"/>
              </w:rPr>
            </w:pPr>
            <w:r>
              <w:rPr>
                <w:noProof/>
                <w:color w:val="000000"/>
              </w:rPr>
              <w:t xml:space="preserve">Services complémentaires mis en place, équipés et agréés </w:t>
            </w:r>
            <w:r>
              <w:rPr>
                <w:noProof/>
              </w:rPr>
              <w:t>par les inspections scolaires départementales</w:t>
            </w:r>
          </w:p>
        </w:tc>
      </w:tr>
      <w:tr w:rsidR="00A345F4" w14:paraId="03CF0836"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B3F4366" w14:textId="77777777" w:rsidR="00A345F4" w:rsidRDefault="005E2D4E">
            <w:pPr>
              <w:pStyle w:val="P68B1DB1-Normal73"/>
              <w:spacing w:after="0" w:line="259" w:lineRule="auto"/>
              <w:rPr>
                <w:rFonts w:eastAsia="Times New Roman"/>
                <w:noProof/>
              </w:rPr>
            </w:pPr>
            <w:r>
              <w:rPr>
                <w:noProof/>
              </w:rPr>
              <w:t>RO-C[C15]-I[I4.0]-T[466]</w:t>
            </w:r>
          </w:p>
        </w:tc>
        <w:tc>
          <w:tcPr>
            <w:tcW w:w="3535" w:type="dxa"/>
            <w:tcBorders>
              <w:top w:val="single" w:sz="4" w:space="0" w:color="auto"/>
              <w:left w:val="nil"/>
              <w:bottom w:val="single" w:sz="4" w:space="0" w:color="auto"/>
              <w:right w:val="single" w:sz="4" w:space="0" w:color="auto"/>
            </w:tcBorders>
            <w:shd w:val="clear" w:color="auto" w:fill="C6EFCE"/>
            <w:noWrap/>
          </w:tcPr>
          <w:p w14:paraId="65095793" w14:textId="77777777" w:rsidR="00A345F4" w:rsidRDefault="005E2D4E">
            <w:pPr>
              <w:pStyle w:val="P68B1DB1-Normal73"/>
              <w:spacing w:after="0" w:line="259" w:lineRule="auto"/>
              <w:rPr>
                <w:rFonts w:eastAsia="Times New Roman"/>
                <w:noProof/>
              </w:rPr>
            </w:pPr>
            <w:r>
              <w:rPr>
                <w:noProof/>
              </w:rPr>
              <w:t>Soutenir les établissements d’enseignement présentant un risque moyen et élevé d’abandon scolaire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2719318" w14:textId="77777777" w:rsidR="00A345F4" w:rsidRDefault="005E2D4E">
            <w:pPr>
              <w:pStyle w:val="P68B1DB1-Normal73"/>
              <w:spacing w:after="0" w:line="259" w:lineRule="auto"/>
              <w:jc w:val="center"/>
              <w:rPr>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4A24E0C0" w14:textId="77777777" w:rsidR="00A345F4" w:rsidRDefault="005E2D4E">
            <w:pPr>
              <w:pStyle w:val="P68B1DB1-Normal73"/>
              <w:spacing w:after="0" w:line="259" w:lineRule="auto"/>
              <w:rPr>
                <w:noProof/>
              </w:rPr>
            </w:pPr>
            <w:r>
              <w:rPr>
                <w:noProof/>
              </w:rPr>
              <w:t xml:space="preserve">Établissements d'enseignement supplémentaires subventionnés </w:t>
            </w:r>
          </w:p>
        </w:tc>
      </w:tr>
      <w:tr w:rsidR="00A345F4" w14:paraId="7D438609"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87AA6A8" w14:textId="77777777" w:rsidR="00A345F4" w:rsidRDefault="005E2D4E">
            <w:pPr>
              <w:pStyle w:val="P68B1DB1-Normal73"/>
              <w:spacing w:after="0" w:line="259" w:lineRule="auto"/>
              <w:rPr>
                <w:rFonts w:eastAsia="Times New Roman"/>
                <w:noProof/>
              </w:rPr>
            </w:pPr>
            <w:r>
              <w:rPr>
                <w:noProof/>
              </w:rPr>
              <w:t>RO-C[C15]-I[I4.0]-T[468]</w:t>
            </w:r>
          </w:p>
        </w:tc>
        <w:tc>
          <w:tcPr>
            <w:tcW w:w="3535" w:type="dxa"/>
            <w:tcBorders>
              <w:top w:val="single" w:sz="4" w:space="0" w:color="auto"/>
              <w:left w:val="nil"/>
              <w:bottom w:val="single" w:sz="4" w:space="0" w:color="auto"/>
              <w:right w:val="single" w:sz="4" w:space="0" w:color="auto"/>
            </w:tcBorders>
            <w:shd w:val="clear" w:color="auto" w:fill="C6EFCE"/>
            <w:noWrap/>
          </w:tcPr>
          <w:p w14:paraId="545846DC" w14:textId="77777777" w:rsidR="00A345F4" w:rsidRDefault="005E2D4E">
            <w:pPr>
              <w:pStyle w:val="P68B1DB1-Normal73"/>
              <w:spacing w:after="0" w:line="259" w:lineRule="auto"/>
              <w:rPr>
                <w:rFonts w:eastAsia="Times New Roman"/>
                <w:noProof/>
              </w:rPr>
            </w:pPr>
            <w:r>
              <w:rPr>
                <w:noProof/>
              </w:rPr>
              <w:t>Soutenir les établissements d’enseignement présentant un risque moyen et élevé d’abandon scolaire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9A338DE" w14:textId="77777777" w:rsidR="00A345F4" w:rsidRDefault="005E2D4E">
            <w:pPr>
              <w:pStyle w:val="P68B1DB1-Normal73"/>
              <w:spacing w:after="0" w:line="259" w:lineRule="auto"/>
              <w:jc w:val="center"/>
              <w:rPr>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65C97968" w14:textId="77777777" w:rsidR="00A345F4" w:rsidRDefault="005E2D4E">
            <w:pPr>
              <w:pStyle w:val="P68B1DB1-Normal73"/>
              <w:spacing w:after="0" w:line="259" w:lineRule="auto"/>
              <w:rPr>
                <w:noProof/>
              </w:rPr>
            </w:pPr>
            <w:r>
              <w:rPr>
                <w:noProof/>
              </w:rPr>
              <w:t>Réduction du nombre d'écoles présentant un risque moyen et élevé d'abandon scolaire</w:t>
            </w:r>
          </w:p>
        </w:tc>
      </w:tr>
      <w:tr w:rsidR="00A345F4" w14:paraId="37DF707A"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2279FFC2" w14:textId="77777777" w:rsidR="00A345F4" w:rsidRDefault="005E2D4E">
            <w:pPr>
              <w:pStyle w:val="P68B1DB1-Normal73"/>
              <w:spacing w:after="0" w:line="259" w:lineRule="auto"/>
              <w:rPr>
                <w:rFonts w:eastAsia="Times New Roman"/>
                <w:noProof/>
              </w:rPr>
            </w:pPr>
            <w:r>
              <w:rPr>
                <w:noProof/>
              </w:rPr>
              <w:t>RO-C[C15]-R[R4.0]-T[471]</w:t>
            </w:r>
          </w:p>
        </w:tc>
        <w:tc>
          <w:tcPr>
            <w:tcW w:w="3535" w:type="dxa"/>
            <w:tcBorders>
              <w:top w:val="single" w:sz="4" w:space="0" w:color="auto"/>
              <w:left w:val="nil"/>
              <w:bottom w:val="single" w:sz="4" w:space="0" w:color="auto"/>
              <w:right w:val="single" w:sz="4" w:space="0" w:color="auto"/>
            </w:tcBorders>
            <w:shd w:val="clear" w:color="auto" w:fill="C6EFCE"/>
            <w:noWrap/>
          </w:tcPr>
          <w:p w14:paraId="3D556BF3" w14:textId="77777777" w:rsidR="00A345F4" w:rsidRDefault="005E2D4E">
            <w:pPr>
              <w:pStyle w:val="P68B1DB1-Normal73"/>
              <w:spacing w:after="0" w:line="259" w:lineRule="auto"/>
              <w:rPr>
                <w:rFonts w:eastAsia="Times New Roman"/>
                <w:noProof/>
              </w:rPr>
            </w:pPr>
            <w:r>
              <w:rPr>
                <w:noProof/>
              </w:rPr>
              <w:t>Création d'un parcours professionnel complet pour l'enseignement technique supérieur</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11B2525" w14:textId="77777777" w:rsidR="00A345F4" w:rsidRDefault="005E2D4E">
            <w:pPr>
              <w:pStyle w:val="P68B1DB1-Normal73"/>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596CA414" w14:textId="77777777" w:rsidR="00A345F4" w:rsidRDefault="005E2D4E">
            <w:pPr>
              <w:pStyle w:val="P68B1DB1-Normal73"/>
              <w:spacing w:after="0" w:line="259" w:lineRule="auto"/>
              <w:rPr>
                <w:rFonts w:eastAsia="Times New Roman"/>
                <w:noProof/>
              </w:rPr>
            </w:pPr>
            <w:r>
              <w:rPr>
                <w:noProof/>
              </w:rPr>
              <w:t>Proportion d’élèves inscrits sur le parcours professionnel par rapport au nombre d’élèves du secondaire</w:t>
            </w:r>
          </w:p>
        </w:tc>
      </w:tr>
      <w:tr w:rsidR="00A345F4" w14:paraId="68AA6DA9"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1EAD0AA" w14:textId="77777777" w:rsidR="00A345F4" w:rsidRDefault="005E2D4E">
            <w:pPr>
              <w:pStyle w:val="P68B1DB1-Normal78"/>
              <w:spacing w:after="0" w:line="259" w:lineRule="auto"/>
              <w:rPr>
                <w:noProof/>
              </w:rPr>
            </w:pPr>
            <w:r>
              <w:rPr>
                <w:noProof/>
              </w:rPr>
              <w:t>RO-C[C15]-I[I6.0]-T[472]</w:t>
            </w:r>
          </w:p>
        </w:tc>
        <w:tc>
          <w:tcPr>
            <w:tcW w:w="3535" w:type="dxa"/>
            <w:tcBorders>
              <w:top w:val="single" w:sz="4" w:space="0" w:color="auto"/>
              <w:left w:val="nil"/>
              <w:bottom w:val="single" w:sz="4" w:space="0" w:color="auto"/>
              <w:right w:val="single" w:sz="4" w:space="0" w:color="auto"/>
            </w:tcBorders>
            <w:shd w:val="clear" w:color="auto" w:fill="C6EFCE"/>
            <w:noWrap/>
          </w:tcPr>
          <w:p w14:paraId="7853C326" w14:textId="77777777" w:rsidR="00A345F4" w:rsidRDefault="005E2D4E">
            <w:pPr>
              <w:pStyle w:val="P68B1DB1-Normal73"/>
              <w:spacing w:after="0" w:line="259" w:lineRule="auto"/>
              <w:rPr>
                <w:noProof/>
                <w:color w:val="000000"/>
              </w:rPr>
            </w:pPr>
            <w:r>
              <w:rPr>
                <w:noProof/>
              </w:rPr>
              <w:t>Construire et équiper des campus professionnels au sein de consortiums régionaux</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0728E41" w14:textId="77777777" w:rsidR="00A345F4" w:rsidRDefault="005E2D4E">
            <w:pPr>
              <w:pStyle w:val="P68B1DB1-Normal78"/>
              <w:spacing w:after="0" w:line="259" w:lineRule="auto"/>
              <w:jc w:val="center"/>
              <w:rPr>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05C81A6D" w14:textId="61B57930" w:rsidR="00A345F4" w:rsidRDefault="005E2D4E">
            <w:pPr>
              <w:pStyle w:val="P68B1DB1-Normal73"/>
              <w:spacing w:after="120" w:line="240" w:lineRule="auto"/>
              <w:jc w:val="both"/>
              <w:rPr>
                <w:noProof/>
              </w:rPr>
            </w:pPr>
            <w:r>
              <w:rPr>
                <w:noProof/>
                <w:color w:val="000000"/>
              </w:rPr>
              <w:t xml:space="preserve">Cinq campus professionnels intégrés construits </w:t>
            </w:r>
            <w:r>
              <w:rPr>
                <w:noProof/>
              </w:rPr>
              <w:t>et équipés au sein de cinq consortiums régionaux</w:t>
            </w:r>
          </w:p>
        </w:tc>
      </w:tr>
      <w:tr w:rsidR="00A345F4" w14:paraId="2C8AC4FF"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D3DD0B9" w14:textId="77777777" w:rsidR="00A345F4" w:rsidRDefault="005E2D4E">
            <w:pPr>
              <w:pStyle w:val="P68B1DB1-Normal74"/>
              <w:spacing w:after="0" w:line="259" w:lineRule="auto"/>
              <w:rPr>
                <w:rFonts w:eastAsia="Aptos"/>
                <w:noProof/>
                <w:color w:val="000000"/>
              </w:rPr>
            </w:pPr>
            <w:r>
              <w:rPr>
                <w:noProof/>
              </w:rPr>
              <w:t>RO-C[C15]-I[I10.0]-M[486]</w:t>
            </w:r>
          </w:p>
        </w:tc>
        <w:tc>
          <w:tcPr>
            <w:tcW w:w="3535" w:type="dxa"/>
            <w:tcBorders>
              <w:top w:val="single" w:sz="4" w:space="0" w:color="auto"/>
              <w:left w:val="nil"/>
              <w:bottom w:val="single" w:sz="4" w:space="0" w:color="auto"/>
              <w:right w:val="single" w:sz="4" w:space="0" w:color="auto"/>
            </w:tcBorders>
            <w:shd w:val="clear" w:color="auto" w:fill="C6EFCE"/>
            <w:noWrap/>
          </w:tcPr>
          <w:p w14:paraId="777D2B5C" w14:textId="77777777" w:rsidR="00A345F4" w:rsidRDefault="005E2D4E">
            <w:pPr>
              <w:pStyle w:val="P68B1DB1-Normal74"/>
              <w:spacing w:after="0" w:line="259" w:lineRule="auto"/>
              <w:rPr>
                <w:rFonts w:eastAsia="Aptos"/>
                <w:noProof/>
                <w:color w:val="000000"/>
              </w:rPr>
            </w:pPr>
            <w:r>
              <w:rPr>
                <w:noProof/>
              </w:rPr>
              <w:t>Développement d'un réseau d'écoles vertes et achat de minibus verts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7F566D4" w14:textId="77777777" w:rsidR="00A345F4" w:rsidRDefault="005E2D4E">
            <w:pPr>
              <w:pStyle w:val="P68B1DB1-Normal73"/>
              <w:spacing w:after="0" w:line="259" w:lineRule="auto"/>
              <w:jc w:val="center"/>
              <w:rPr>
                <w:noProof/>
                <w:color w:val="000000"/>
              </w:rPr>
            </w:pPr>
            <w:r>
              <w:rPr>
                <w:noProof/>
              </w:rPr>
              <w:t>M</w:t>
            </w:r>
          </w:p>
        </w:tc>
        <w:tc>
          <w:tcPr>
            <w:tcW w:w="3393" w:type="dxa"/>
            <w:tcBorders>
              <w:top w:val="single" w:sz="4" w:space="0" w:color="auto"/>
              <w:left w:val="nil"/>
              <w:bottom w:val="single" w:sz="4" w:space="0" w:color="auto"/>
              <w:right w:val="single" w:sz="4" w:space="0" w:color="auto"/>
            </w:tcBorders>
            <w:shd w:val="clear" w:color="auto" w:fill="C6EFCE"/>
            <w:noWrap/>
          </w:tcPr>
          <w:p w14:paraId="3C7696FA" w14:textId="77777777" w:rsidR="00A345F4" w:rsidRDefault="005E2D4E">
            <w:pPr>
              <w:pStyle w:val="P68B1DB1-Normal73"/>
              <w:spacing w:after="120" w:line="240" w:lineRule="auto"/>
              <w:jc w:val="both"/>
              <w:rPr>
                <w:noProof/>
              </w:rPr>
            </w:pPr>
            <w:r>
              <w:rPr>
                <w:noProof/>
              </w:rPr>
              <w:t xml:space="preserve">Livraison de minibus électriques </w:t>
            </w:r>
          </w:p>
        </w:tc>
      </w:tr>
      <w:tr w:rsidR="00A345F4" w14:paraId="6DF7AC87"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2B42BBF" w14:textId="77777777" w:rsidR="00A345F4" w:rsidRDefault="005E2D4E">
            <w:pPr>
              <w:pStyle w:val="P68B1DB1-Normal78"/>
              <w:spacing w:after="0" w:line="259" w:lineRule="auto"/>
              <w:rPr>
                <w:noProof/>
              </w:rPr>
            </w:pPr>
            <w:r>
              <w:rPr>
                <w:noProof/>
              </w:rPr>
              <w:t>RO-C[C15]-I[I10.0]-T[487]</w:t>
            </w:r>
          </w:p>
        </w:tc>
        <w:tc>
          <w:tcPr>
            <w:tcW w:w="3535" w:type="dxa"/>
            <w:tcBorders>
              <w:top w:val="single" w:sz="4" w:space="0" w:color="auto"/>
              <w:left w:val="nil"/>
              <w:bottom w:val="single" w:sz="4" w:space="0" w:color="auto"/>
              <w:right w:val="single" w:sz="4" w:space="0" w:color="auto"/>
            </w:tcBorders>
            <w:shd w:val="clear" w:color="auto" w:fill="C6EFCE"/>
            <w:noWrap/>
          </w:tcPr>
          <w:p w14:paraId="34FF38AC" w14:textId="77777777" w:rsidR="00A345F4" w:rsidRDefault="005E2D4E">
            <w:pPr>
              <w:pStyle w:val="P68B1DB1-Normal78"/>
              <w:spacing w:after="0" w:line="259" w:lineRule="auto"/>
              <w:rPr>
                <w:noProof/>
              </w:rPr>
            </w:pPr>
            <w:r>
              <w:rPr>
                <w:noProof/>
              </w:rPr>
              <w:t>Développement d'un réseau d'écoles vertes et achat de minibus verts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E2DE2BF" w14:textId="77777777" w:rsidR="00A345F4" w:rsidRDefault="005E2D4E">
            <w:pPr>
              <w:pStyle w:val="P68B1DB1-Normal78"/>
              <w:spacing w:after="0" w:line="259" w:lineRule="auto"/>
              <w:jc w:val="center"/>
              <w:rPr>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01607F13" w14:textId="77777777" w:rsidR="00A345F4" w:rsidRDefault="005E2D4E">
            <w:pPr>
              <w:pStyle w:val="P68B1DB1-Normal78"/>
              <w:spacing w:after="120" w:line="240" w:lineRule="auto"/>
              <w:jc w:val="both"/>
              <w:rPr>
                <w:noProof/>
              </w:rPr>
            </w:pPr>
            <w:r>
              <w:rPr>
                <w:noProof/>
              </w:rPr>
              <w:t>Zone scolaire pré-universitaire rénovée</w:t>
            </w:r>
          </w:p>
        </w:tc>
      </w:tr>
      <w:tr w:rsidR="00A345F4" w14:paraId="489401AD"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51A2B2D3" w14:textId="77777777" w:rsidR="00A345F4" w:rsidRDefault="005E2D4E">
            <w:pPr>
              <w:pStyle w:val="P68B1DB1-Normal78"/>
              <w:spacing w:after="0" w:line="259" w:lineRule="auto"/>
              <w:rPr>
                <w:rFonts w:eastAsia="Times New Roman"/>
                <w:noProof/>
              </w:rPr>
            </w:pPr>
            <w:r>
              <w:rPr>
                <w:noProof/>
              </w:rPr>
              <w:t>RO-C[C15]-R[R7.0]-M[495]</w:t>
            </w:r>
          </w:p>
        </w:tc>
        <w:tc>
          <w:tcPr>
            <w:tcW w:w="3535" w:type="dxa"/>
            <w:tcBorders>
              <w:top w:val="single" w:sz="4" w:space="0" w:color="auto"/>
              <w:left w:val="nil"/>
              <w:bottom w:val="single" w:sz="4" w:space="0" w:color="auto"/>
              <w:right w:val="single" w:sz="4" w:space="0" w:color="auto"/>
            </w:tcBorders>
            <w:shd w:val="clear" w:color="auto" w:fill="C6EFCE"/>
            <w:noWrap/>
          </w:tcPr>
          <w:p w14:paraId="69B330BA" w14:textId="77777777" w:rsidR="00A345F4" w:rsidRDefault="005E2D4E">
            <w:pPr>
              <w:pStyle w:val="P68B1DB1-Normal78"/>
              <w:spacing w:after="0" w:line="259" w:lineRule="auto"/>
              <w:rPr>
                <w:rFonts w:eastAsia="Times New Roman"/>
                <w:noProof/>
              </w:rPr>
            </w:pPr>
            <w:r>
              <w:rPr>
                <w:noProof/>
              </w:rPr>
              <w:t>Réforme de la gouvernance du système d'enseignement préuniversitaire et professionnalisation de la gestion</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A6134E0" w14:textId="77777777" w:rsidR="00A345F4" w:rsidRDefault="005E2D4E">
            <w:pPr>
              <w:pStyle w:val="P68B1DB1-Normal78"/>
              <w:spacing w:after="0" w:line="259" w:lineRule="auto"/>
              <w:jc w:val="center"/>
              <w:rPr>
                <w:rFonts w:eastAsia="Times New Roman"/>
                <w:noProof/>
              </w:rPr>
            </w:pPr>
            <w:r>
              <w:rPr>
                <w:noProof/>
              </w:rPr>
              <w:t>M</w:t>
            </w:r>
          </w:p>
        </w:tc>
        <w:tc>
          <w:tcPr>
            <w:tcW w:w="3393" w:type="dxa"/>
            <w:tcBorders>
              <w:top w:val="single" w:sz="4" w:space="0" w:color="auto"/>
              <w:left w:val="nil"/>
              <w:bottom w:val="single" w:sz="4" w:space="0" w:color="auto"/>
              <w:right w:val="single" w:sz="4" w:space="0" w:color="auto"/>
            </w:tcBorders>
            <w:shd w:val="clear" w:color="auto" w:fill="C6EFCE"/>
            <w:noWrap/>
          </w:tcPr>
          <w:p w14:paraId="1E363F08" w14:textId="3F7855D0" w:rsidR="00A345F4" w:rsidRDefault="005E2D4E">
            <w:pPr>
              <w:pStyle w:val="P68B1DB1-Normal73"/>
              <w:spacing w:after="120" w:line="240" w:lineRule="auto"/>
              <w:jc w:val="both"/>
              <w:rPr>
                <w:noProof/>
              </w:rPr>
            </w:pPr>
            <w:r>
              <w:rPr>
                <w:noProof/>
              </w:rPr>
              <w:t>Publication d'une analyse de la gouvernance du système d'enseignement préuniversitaire et d'un plan d'action</w:t>
            </w:r>
          </w:p>
          <w:p w14:paraId="221CDE97" w14:textId="77777777" w:rsidR="00A345F4" w:rsidRDefault="00A345F4">
            <w:pPr>
              <w:spacing w:after="0" w:line="259" w:lineRule="auto"/>
              <w:rPr>
                <w:rFonts w:ascii="Times New Roman" w:eastAsia="Times New Roman" w:hAnsi="Times New Roman" w:cs="Times New Roman"/>
                <w:noProof/>
                <w:kern w:val="2"/>
                <w:sz w:val="22"/>
                <w:szCs w:val="22"/>
                <w14:ligatures w14:val="standardContextual"/>
              </w:rPr>
            </w:pPr>
          </w:p>
        </w:tc>
      </w:tr>
      <w:tr w:rsidR="00A345F4" w14:paraId="1A632892"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113E0" w14:textId="77777777" w:rsidR="00A345F4" w:rsidRDefault="005E2D4E">
            <w:pPr>
              <w:pStyle w:val="P68B1DB1-Normal78"/>
              <w:spacing w:after="0" w:line="259" w:lineRule="auto"/>
              <w:rPr>
                <w:rFonts w:eastAsia="Times New Roman"/>
                <w:noProof/>
              </w:rPr>
            </w:pPr>
            <w:r>
              <w:rPr>
                <w:noProof/>
              </w:rPr>
              <w:t>RO-C[C15]-I[I18.0]-T[507]</w:t>
            </w:r>
          </w:p>
        </w:tc>
        <w:tc>
          <w:tcPr>
            <w:tcW w:w="3535" w:type="dxa"/>
            <w:tcBorders>
              <w:top w:val="single" w:sz="4" w:space="0" w:color="auto"/>
              <w:left w:val="nil"/>
              <w:bottom w:val="single" w:sz="4" w:space="0" w:color="auto"/>
              <w:right w:val="single" w:sz="4" w:space="0" w:color="auto"/>
            </w:tcBorders>
            <w:shd w:val="clear" w:color="auto" w:fill="C6EFCE"/>
            <w:noWrap/>
          </w:tcPr>
          <w:p w14:paraId="373463E6" w14:textId="09F7212C" w:rsidR="00A345F4" w:rsidRDefault="005E2D4E">
            <w:pPr>
              <w:pStyle w:val="P68B1DB1-Normal73"/>
              <w:spacing w:after="0" w:line="259" w:lineRule="auto"/>
              <w:rPr>
                <w:rFonts w:eastAsia="Times New Roman"/>
                <w:noProof/>
              </w:rPr>
            </w:pPr>
            <w:r>
              <w:rPr>
                <w:noProof/>
                <w:color w:val="000000"/>
              </w:rPr>
              <w:t xml:space="preserve">Formation et coaching pour le </w:t>
            </w:r>
            <w:r>
              <w:rPr>
                <w:noProof/>
              </w:rPr>
              <w:t>personnel de gestion de l'éducation</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FE93B34"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6191331F" w14:textId="77777777" w:rsidR="00A345F4" w:rsidRDefault="005E2D4E">
            <w:pPr>
              <w:pStyle w:val="P68B1DB1-Normal73"/>
              <w:spacing w:after="0" w:line="259" w:lineRule="auto"/>
              <w:rPr>
                <w:rFonts w:eastAsia="Times New Roman"/>
                <w:noProof/>
              </w:rPr>
            </w:pPr>
            <w:r>
              <w:rPr>
                <w:noProof/>
              </w:rPr>
              <w:t>Formation du personnel de gestion de l'éducation</w:t>
            </w:r>
          </w:p>
        </w:tc>
      </w:tr>
      <w:tr w:rsidR="00A345F4" w14:paraId="5AEFEC09"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91829A0" w14:textId="77777777" w:rsidR="00A345F4" w:rsidRDefault="005E2D4E">
            <w:pPr>
              <w:pStyle w:val="P68B1DB1-Normal78"/>
              <w:spacing w:after="0" w:line="259" w:lineRule="auto"/>
              <w:rPr>
                <w:rFonts w:eastAsia="Times New Roman"/>
                <w:noProof/>
              </w:rPr>
            </w:pPr>
            <w:r>
              <w:rPr>
                <w:noProof/>
              </w:rPr>
              <w:t>RO-C[C16]-I[I4.0]-T[516]</w:t>
            </w:r>
          </w:p>
        </w:tc>
        <w:tc>
          <w:tcPr>
            <w:tcW w:w="3535" w:type="dxa"/>
            <w:tcBorders>
              <w:top w:val="single" w:sz="4" w:space="0" w:color="auto"/>
              <w:left w:val="nil"/>
              <w:bottom w:val="single" w:sz="4" w:space="0" w:color="auto"/>
              <w:right w:val="single" w:sz="4" w:space="0" w:color="auto"/>
            </w:tcBorders>
            <w:shd w:val="clear" w:color="auto" w:fill="C6EFCE"/>
            <w:noWrap/>
          </w:tcPr>
          <w:p w14:paraId="5F01CEFE" w14:textId="68C05CB0" w:rsidR="00A345F4" w:rsidRDefault="005E2D4E">
            <w:pPr>
              <w:pStyle w:val="P68B1DB1-Normal78"/>
              <w:spacing w:after="0" w:line="259" w:lineRule="auto"/>
              <w:rPr>
                <w:rFonts w:eastAsia="Times New Roman"/>
                <w:noProof/>
              </w:rPr>
            </w:pPr>
            <w:r>
              <w:rPr>
                <w:noProof/>
              </w:rPr>
              <w:t>Octroi de bons pour accélérer le déploiement des énergies renouvelables par les ménages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36EC761"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2BE3BDAA" w14:textId="77777777" w:rsidR="00A345F4" w:rsidRDefault="005E2D4E">
            <w:pPr>
              <w:pStyle w:val="P68B1DB1-Normal74"/>
              <w:spacing w:after="0" w:line="259" w:lineRule="auto"/>
              <w:rPr>
                <w:noProof/>
              </w:rPr>
            </w:pPr>
            <w:r>
              <w:rPr>
                <w:noProof/>
              </w:rPr>
              <w:t>Installation de panneaux solaires et de systèmes de stockage d'électricité par les ménages</w:t>
            </w:r>
          </w:p>
        </w:tc>
      </w:tr>
      <w:tr w:rsidR="00A345F4" w14:paraId="53BF6853"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413F07D6" w14:textId="77777777" w:rsidR="00A345F4" w:rsidRDefault="005E2D4E">
            <w:pPr>
              <w:pStyle w:val="P68B1DB1-Normal78"/>
              <w:spacing w:after="0" w:line="259" w:lineRule="auto"/>
              <w:rPr>
                <w:rFonts w:eastAsia="Times New Roman"/>
                <w:noProof/>
              </w:rPr>
            </w:pPr>
            <w:r>
              <w:rPr>
                <w:noProof/>
              </w:rPr>
              <w:t>RO-C[C16]-I[I5.0]-T[518]</w:t>
            </w:r>
          </w:p>
        </w:tc>
        <w:tc>
          <w:tcPr>
            <w:tcW w:w="3535" w:type="dxa"/>
            <w:tcBorders>
              <w:top w:val="single" w:sz="4" w:space="0" w:color="auto"/>
              <w:left w:val="nil"/>
              <w:bottom w:val="single" w:sz="4" w:space="0" w:color="auto"/>
              <w:right w:val="single" w:sz="4" w:space="0" w:color="auto"/>
            </w:tcBorders>
            <w:shd w:val="clear" w:color="auto" w:fill="C6EFCE"/>
            <w:noWrap/>
          </w:tcPr>
          <w:p w14:paraId="2A1C6C2B" w14:textId="77777777" w:rsidR="00A345F4" w:rsidRDefault="005E2D4E">
            <w:pPr>
              <w:pStyle w:val="P68B1DB1-Normal79"/>
              <w:spacing w:after="0" w:line="259" w:lineRule="auto"/>
              <w:rPr>
                <w:rFonts w:ascii="Times New Roman" w:eastAsia="Times New Roman" w:hAnsi="Times New Roman" w:cs="Times New Roman"/>
                <w:noProof/>
              </w:rPr>
            </w:pPr>
            <w:r>
              <w:rPr>
                <w:rFonts w:ascii="Times New Roman" w:eastAsia="Aptos" w:hAnsi="Times New Roman" w:cs="Times New Roman"/>
                <w:noProof/>
                <w:color w:val="000000"/>
              </w:rPr>
              <w:t>Numérisation et modernisation du réseau national de transport d’électricité</w:t>
            </w:r>
            <w:r>
              <w:rPr>
                <w:rFonts w:ascii="Times New Roman" w:eastAsia="Times New Roman" w:hAnsi="Times New Roman" w:cs="Times New Roman"/>
                <w:noProof/>
              </w:rPr>
              <w:t xml:space="preserve">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F6E75C8"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6BA92A0F" w14:textId="77777777" w:rsidR="00A345F4" w:rsidRDefault="005E2D4E">
            <w:pPr>
              <w:pStyle w:val="P68B1DB1-Normal78"/>
              <w:spacing w:after="0" w:line="259" w:lineRule="auto"/>
              <w:rPr>
                <w:rFonts w:eastAsia="Times New Roman"/>
                <w:noProof/>
              </w:rPr>
            </w:pPr>
            <w:r>
              <w:rPr>
                <w:noProof/>
              </w:rPr>
              <w:t>Réduction de la consommation annuelle d'électricité</w:t>
            </w:r>
          </w:p>
        </w:tc>
      </w:tr>
      <w:tr w:rsidR="00A345F4" w14:paraId="7EFC2199"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22120" w14:textId="77777777" w:rsidR="00A345F4" w:rsidRDefault="005E2D4E">
            <w:pPr>
              <w:pStyle w:val="P68B1DB1-Normal78"/>
              <w:spacing w:after="0" w:line="259" w:lineRule="auto"/>
              <w:rPr>
                <w:rFonts w:eastAsia="Times New Roman"/>
                <w:noProof/>
              </w:rPr>
            </w:pPr>
            <w:r>
              <w:rPr>
                <w:noProof/>
              </w:rPr>
              <w:t>RO-C[C16]-I[I7]-T[529]</w:t>
            </w:r>
          </w:p>
        </w:tc>
        <w:tc>
          <w:tcPr>
            <w:tcW w:w="3535" w:type="dxa"/>
            <w:tcBorders>
              <w:top w:val="single" w:sz="4" w:space="0" w:color="auto"/>
              <w:left w:val="nil"/>
              <w:bottom w:val="single" w:sz="4" w:space="0" w:color="auto"/>
              <w:right w:val="single" w:sz="4" w:space="0" w:color="auto"/>
            </w:tcBorders>
            <w:shd w:val="clear" w:color="auto" w:fill="C6EFCE"/>
            <w:noWrap/>
          </w:tcPr>
          <w:p w14:paraId="5F8DB4D2" w14:textId="36B0C59F" w:rsidR="00A345F4" w:rsidRDefault="005E2D4E">
            <w:pPr>
              <w:pStyle w:val="P68B1DB1-Normal78"/>
              <w:spacing w:after="0" w:line="259" w:lineRule="auto"/>
              <w:rPr>
                <w:rFonts w:eastAsia="Times New Roman"/>
                <w:noProof/>
              </w:rPr>
            </w:pPr>
            <w:r>
              <w:rPr>
                <w:noProof/>
              </w:rPr>
              <w:t xml:space="preserve">Bons de subvention pour soutenir les améliorations de l’efficacité énergétique des ménages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A5EC137" w14:textId="77777777" w:rsidR="00A345F4" w:rsidRDefault="005E2D4E">
            <w:pPr>
              <w:pStyle w:val="P68B1DB1-Normal78"/>
              <w:spacing w:after="0" w:line="259" w:lineRule="auto"/>
              <w:jc w:val="center"/>
              <w:rPr>
                <w:rFonts w:eastAsia="Times New Roman"/>
                <w:noProof/>
              </w:rPr>
            </w:pPr>
            <w:r>
              <w:rPr>
                <w:noProof/>
              </w:rPr>
              <w:t>T</w:t>
            </w:r>
          </w:p>
        </w:tc>
        <w:tc>
          <w:tcPr>
            <w:tcW w:w="3393" w:type="dxa"/>
            <w:tcBorders>
              <w:top w:val="single" w:sz="4" w:space="0" w:color="auto"/>
              <w:left w:val="nil"/>
              <w:bottom w:val="single" w:sz="4" w:space="0" w:color="auto"/>
              <w:right w:val="single" w:sz="4" w:space="0" w:color="auto"/>
            </w:tcBorders>
            <w:shd w:val="clear" w:color="auto" w:fill="C6EFCE"/>
            <w:noWrap/>
          </w:tcPr>
          <w:p w14:paraId="00274E86" w14:textId="77777777" w:rsidR="00A345F4" w:rsidRDefault="005E2D4E">
            <w:pPr>
              <w:pStyle w:val="P68B1DB1-Normal78"/>
              <w:spacing w:after="0" w:line="259" w:lineRule="auto"/>
              <w:rPr>
                <w:rFonts w:eastAsia="Times New Roman"/>
                <w:noProof/>
              </w:rPr>
            </w:pPr>
            <w:r>
              <w:rPr>
                <w:noProof/>
              </w:rPr>
              <w:t>Rénovation énergétique des logements</w:t>
            </w:r>
          </w:p>
        </w:tc>
      </w:tr>
      <w:tr w:rsidR="00A345F4" w14:paraId="35B56CAA" w14:textId="77777777">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29A1F042"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535" w:type="dxa"/>
            <w:tcBorders>
              <w:top w:val="single" w:sz="4" w:space="0" w:color="auto"/>
              <w:left w:val="nil"/>
              <w:bottom w:val="single" w:sz="4" w:space="0" w:color="auto"/>
              <w:right w:val="single" w:sz="4" w:space="0" w:color="auto"/>
            </w:tcBorders>
            <w:shd w:val="clear" w:color="auto" w:fill="C6EFCE"/>
            <w:noWrap/>
          </w:tcPr>
          <w:p w14:paraId="448AD7A3" w14:textId="77777777" w:rsidR="00A345F4" w:rsidRDefault="00A345F4">
            <w:pPr>
              <w:spacing w:after="0" w:line="259" w:lineRule="auto"/>
              <w:jc w:val="both"/>
              <w:rPr>
                <w:rFonts w:ascii="Times New Roman" w:eastAsia="Times New Roman" w:hAnsi="Times New Roman" w:cs="Times New Roman"/>
                <w:noProof/>
                <w:kern w:val="2"/>
                <w:sz w:val="22"/>
                <w:szCs w:val="22"/>
                <w14:ligatures w14:val="standardContextual"/>
              </w:rPr>
            </w:pP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D7F62E1" w14:textId="77777777" w:rsidR="00A345F4" w:rsidRDefault="005E2D4E">
            <w:pPr>
              <w:pStyle w:val="P68B1DB1-Normal74"/>
              <w:spacing w:after="0" w:line="259" w:lineRule="auto"/>
              <w:jc w:val="center"/>
              <w:rPr>
                <w:noProof/>
              </w:rPr>
            </w:pPr>
            <w:r>
              <w:rPr>
                <w:noProof/>
              </w:rPr>
              <w:t>Montant des acomptes provisionnels</w:t>
            </w:r>
          </w:p>
        </w:tc>
        <w:tc>
          <w:tcPr>
            <w:tcW w:w="3393" w:type="dxa"/>
            <w:tcBorders>
              <w:top w:val="single" w:sz="4" w:space="0" w:color="auto"/>
              <w:left w:val="nil"/>
              <w:bottom w:val="single" w:sz="4" w:space="0" w:color="auto"/>
              <w:right w:val="single" w:sz="4" w:space="0" w:color="auto"/>
            </w:tcBorders>
            <w:shd w:val="clear" w:color="auto" w:fill="C6EFCE"/>
            <w:noWrap/>
            <w:vAlign w:val="center"/>
          </w:tcPr>
          <w:p w14:paraId="3B012356" w14:textId="77777777" w:rsidR="00A345F4" w:rsidRDefault="005E2D4E">
            <w:pPr>
              <w:pStyle w:val="P68B1DB1-Normal74"/>
              <w:spacing w:after="0" w:line="259" w:lineRule="auto"/>
              <w:jc w:val="right"/>
              <w:rPr>
                <w:noProof/>
              </w:rPr>
            </w:pPr>
            <w:r>
              <w:rPr>
                <w:noProof/>
              </w:rPr>
              <w:t>3 005 420 748 EUR</w:t>
            </w:r>
          </w:p>
        </w:tc>
      </w:tr>
    </w:tbl>
    <w:p w14:paraId="7154A567" w14:textId="77777777" w:rsidR="00A345F4" w:rsidRDefault="005E2D4E">
      <w:pPr>
        <w:pStyle w:val="P68B1DB1-Normal83"/>
        <w:rPr>
          <w:b/>
          <w:bCs/>
          <w:noProof/>
        </w:rPr>
      </w:pPr>
      <w:r>
        <w:rPr>
          <w:noProof/>
        </w:rPr>
        <w:br w:type="page"/>
      </w:r>
    </w:p>
    <w:p w14:paraId="0C16881C" w14:textId="03266C4E" w:rsidR="00A345F4" w:rsidRDefault="005E2D4E">
      <w:pPr>
        <w:pStyle w:val="P68B1DB1-Normal84"/>
        <w:keepNext/>
        <w:tabs>
          <w:tab w:val="num" w:pos="850"/>
        </w:tabs>
        <w:spacing w:before="120" w:after="120" w:line="240" w:lineRule="auto"/>
        <w:ind w:left="850" w:hanging="850"/>
        <w:jc w:val="both"/>
        <w:outlineLvl w:val="1"/>
        <w:rPr>
          <w:bCs/>
          <w:noProof/>
        </w:rPr>
      </w:pPr>
      <w:r>
        <w:rPr>
          <w:noProof/>
        </w:rPr>
        <w:t xml:space="preserve">2.2 Prêt </w:t>
      </w:r>
    </w:p>
    <w:p w14:paraId="57703F2F" w14:textId="77777777" w:rsidR="00A345F4" w:rsidRDefault="005E2D4E">
      <w:pPr>
        <w:pStyle w:val="P68B1DB1-Normal85"/>
        <w:spacing w:before="120" w:after="120" w:line="240" w:lineRule="auto"/>
        <w:ind w:left="850"/>
        <w:jc w:val="both"/>
        <w:rPr>
          <w:noProof/>
        </w:rPr>
      </w:pPr>
      <w:r>
        <w:rPr>
          <w:noProof/>
        </w:rPr>
        <w:t>Les tranches visées à l'article 3, paragraphe 2, sont organisées de la manière suivante:</w:t>
      </w:r>
    </w:p>
    <w:p w14:paraId="0834E3F1" w14:textId="77777777" w:rsidR="00A345F4" w:rsidRDefault="005E2D4E">
      <w:pPr>
        <w:pStyle w:val="P68B1DB1-Normal71"/>
        <w:keepNext/>
        <w:tabs>
          <w:tab w:val="num" w:pos="1417"/>
        </w:tabs>
        <w:spacing w:before="120" w:after="120" w:line="240" w:lineRule="auto"/>
        <w:ind w:left="1417" w:hanging="850"/>
        <w:jc w:val="both"/>
        <w:outlineLvl w:val="2"/>
        <w:rPr>
          <w:bCs/>
          <w:noProof/>
        </w:rPr>
      </w:pPr>
      <w:r>
        <w:rPr>
          <w:noProof/>
        </w:rPr>
        <w:t xml:space="preserve">2.2.1 Première tranche (soutien sous forme de prêt): </w:t>
      </w:r>
    </w:p>
    <w:tbl>
      <w:tblPr>
        <w:tblW w:w="9634" w:type="dxa"/>
        <w:tblInd w:w="113" w:type="dxa"/>
        <w:tblLook w:val="04A0" w:firstRow="1" w:lastRow="0" w:firstColumn="1" w:lastColumn="0" w:noHBand="0" w:noVBand="1"/>
      </w:tblPr>
      <w:tblGrid>
        <w:gridCol w:w="1413"/>
        <w:gridCol w:w="3544"/>
        <w:gridCol w:w="1402"/>
        <w:gridCol w:w="3402"/>
      </w:tblGrid>
      <w:tr w:rsidR="00A345F4" w14:paraId="0397B812" w14:textId="77777777">
        <w:trPr>
          <w:trHeight w:val="509"/>
          <w:tblHeader/>
        </w:trPr>
        <w:tc>
          <w:tcPr>
            <w:tcW w:w="141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0193D4F" w14:textId="77777777" w:rsidR="00A345F4" w:rsidRDefault="005E2D4E">
            <w:pPr>
              <w:pStyle w:val="P68B1DB1-Normal72"/>
              <w:spacing w:after="0" w:line="259" w:lineRule="auto"/>
              <w:jc w:val="center"/>
              <w:rPr>
                <w:noProof/>
              </w:rPr>
            </w:pPr>
            <w:r>
              <w:rPr>
                <w:noProof/>
              </w:rPr>
              <w:t>Numéro séquentiel</w:t>
            </w:r>
          </w:p>
        </w:tc>
        <w:tc>
          <w:tcPr>
            <w:tcW w:w="3544"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351F8B6" w14:textId="77777777" w:rsidR="00A345F4" w:rsidRDefault="005E2D4E">
            <w:pPr>
              <w:pStyle w:val="P68B1DB1-Normal72"/>
              <w:spacing w:after="0" w:line="259" w:lineRule="auto"/>
              <w:jc w:val="center"/>
              <w:rPr>
                <w:noProof/>
              </w:rPr>
            </w:pPr>
            <w:r>
              <w:rPr>
                <w:noProof/>
              </w:rPr>
              <w:t>Mesure connexe</w:t>
            </w:r>
          </w:p>
          <w:p w14:paraId="4ABF1F14" w14:textId="77777777" w:rsidR="00A345F4" w:rsidRDefault="005E2D4E">
            <w:pPr>
              <w:pStyle w:val="P68B1DB1-Normal72"/>
              <w:spacing w:after="0" w:line="259" w:lineRule="auto"/>
              <w:jc w:val="center"/>
              <w:rPr>
                <w:noProof/>
              </w:rPr>
            </w:pPr>
            <w:r>
              <w:rPr>
                <w:noProof/>
              </w:rPr>
              <w:t>(Réforme ou investissement)</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1182E9D" w14:textId="77777777" w:rsidR="00A345F4" w:rsidRDefault="005E2D4E">
            <w:pPr>
              <w:pStyle w:val="P68B1DB1-Normal72"/>
              <w:spacing w:after="0" w:line="259" w:lineRule="auto"/>
              <w:jc w:val="center"/>
              <w:rPr>
                <w:noProof/>
              </w:rPr>
            </w:pPr>
            <w:r>
              <w:rPr>
                <w:noProof/>
              </w:rPr>
              <w:t>Étape/cible</w:t>
            </w:r>
          </w:p>
        </w:tc>
        <w:tc>
          <w:tcPr>
            <w:tcW w:w="3402" w:type="dxa"/>
            <w:vMerge w:val="restart"/>
            <w:tcBorders>
              <w:top w:val="single" w:sz="4" w:space="0" w:color="auto"/>
              <w:left w:val="nil"/>
              <w:bottom w:val="single" w:sz="4" w:space="0" w:color="000000"/>
              <w:right w:val="single" w:sz="4" w:space="0" w:color="auto"/>
            </w:tcBorders>
            <w:shd w:val="clear" w:color="auto" w:fill="BDD7EE"/>
            <w:vAlign w:val="center"/>
            <w:hideMark/>
          </w:tcPr>
          <w:p w14:paraId="37C1098A" w14:textId="77777777" w:rsidR="00A345F4" w:rsidRDefault="005E2D4E">
            <w:pPr>
              <w:pStyle w:val="P68B1DB1-Normal72"/>
              <w:spacing w:after="0" w:line="259" w:lineRule="auto"/>
              <w:jc w:val="center"/>
              <w:rPr>
                <w:noProof/>
              </w:rPr>
            </w:pPr>
            <w:r>
              <w:rPr>
                <w:noProof/>
              </w:rPr>
              <w:t>Nom</w:t>
            </w:r>
          </w:p>
        </w:tc>
      </w:tr>
      <w:tr w:rsidR="00A345F4" w14:paraId="2AC37C69" w14:textId="77777777">
        <w:trPr>
          <w:trHeight w:val="509"/>
          <w:tblHeader/>
        </w:trPr>
        <w:tc>
          <w:tcPr>
            <w:tcW w:w="1413" w:type="dxa"/>
            <w:vMerge/>
            <w:tcBorders>
              <w:top w:val="single" w:sz="4" w:space="0" w:color="auto"/>
              <w:left w:val="single" w:sz="4" w:space="0" w:color="auto"/>
              <w:bottom w:val="single" w:sz="4" w:space="0" w:color="000000"/>
              <w:right w:val="single" w:sz="4" w:space="0" w:color="auto"/>
            </w:tcBorders>
            <w:vAlign w:val="center"/>
            <w:hideMark/>
          </w:tcPr>
          <w:p w14:paraId="6E7D4235" w14:textId="77777777" w:rsidR="00A345F4" w:rsidRDefault="00A345F4">
            <w:pPr>
              <w:spacing w:after="0" w:line="259" w:lineRule="auto"/>
              <w:rPr>
                <w:rFonts w:ascii="Times New Roman" w:eastAsia="Times New Roman" w:hAnsi="Times New Roman" w:cs="Times New Roman"/>
                <w:b/>
                <w:bCs/>
                <w:noProof/>
                <w:kern w:val="2"/>
                <w:sz w:val="22"/>
                <w14:ligatures w14:val="standardContextual"/>
              </w:rPr>
            </w:pPr>
          </w:p>
        </w:tc>
        <w:tc>
          <w:tcPr>
            <w:tcW w:w="3544" w:type="dxa"/>
            <w:vMerge/>
            <w:tcBorders>
              <w:top w:val="single" w:sz="4" w:space="0" w:color="auto"/>
              <w:left w:val="single" w:sz="4" w:space="0" w:color="auto"/>
              <w:bottom w:val="single" w:sz="4" w:space="0" w:color="000000"/>
              <w:right w:val="single" w:sz="4" w:space="0" w:color="auto"/>
            </w:tcBorders>
            <w:vAlign w:val="center"/>
            <w:hideMark/>
          </w:tcPr>
          <w:p w14:paraId="5661E9E2" w14:textId="77777777" w:rsidR="00A345F4" w:rsidRDefault="00A345F4">
            <w:pPr>
              <w:spacing w:after="0" w:line="259" w:lineRule="auto"/>
              <w:jc w:val="both"/>
              <w:rPr>
                <w:rFonts w:ascii="Times New Roman" w:eastAsia="Times New Roman" w:hAnsi="Times New Roman" w:cs="Times New Roman"/>
                <w:b/>
                <w:bCs/>
                <w:noProof/>
                <w:kern w:val="2"/>
                <w:sz w:val="22"/>
                <w14:ligatures w14:val="standardContextual"/>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05565C0C" w14:textId="77777777" w:rsidR="00A345F4" w:rsidRDefault="00A345F4">
            <w:pPr>
              <w:spacing w:after="0" w:line="259" w:lineRule="auto"/>
              <w:rPr>
                <w:rFonts w:ascii="Times New Roman" w:eastAsia="Times New Roman" w:hAnsi="Times New Roman" w:cs="Times New Roman"/>
                <w:b/>
                <w:bCs/>
                <w:noProof/>
                <w:kern w:val="2"/>
                <w:sz w:val="22"/>
                <w14:ligatures w14:val="standardContextual"/>
              </w:rPr>
            </w:pPr>
          </w:p>
        </w:tc>
        <w:tc>
          <w:tcPr>
            <w:tcW w:w="3402" w:type="dxa"/>
            <w:vMerge/>
            <w:tcBorders>
              <w:top w:val="single" w:sz="4" w:space="0" w:color="auto"/>
              <w:left w:val="nil"/>
              <w:bottom w:val="single" w:sz="4" w:space="0" w:color="000000"/>
              <w:right w:val="single" w:sz="4" w:space="0" w:color="auto"/>
            </w:tcBorders>
            <w:vAlign w:val="center"/>
            <w:hideMark/>
          </w:tcPr>
          <w:p w14:paraId="5D15DCC6" w14:textId="77777777" w:rsidR="00A345F4" w:rsidRDefault="00A345F4">
            <w:pPr>
              <w:spacing w:after="0" w:line="259" w:lineRule="auto"/>
              <w:rPr>
                <w:rFonts w:ascii="Times New Roman" w:eastAsia="Times New Roman" w:hAnsi="Times New Roman" w:cs="Times New Roman"/>
                <w:b/>
                <w:bCs/>
                <w:noProof/>
                <w:kern w:val="2"/>
                <w:sz w:val="22"/>
                <w14:ligatures w14:val="standardContextual"/>
              </w:rPr>
            </w:pPr>
          </w:p>
        </w:tc>
      </w:tr>
      <w:tr w:rsidR="00A345F4" w14:paraId="0234CA6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hideMark/>
          </w:tcPr>
          <w:p w14:paraId="288891E0" w14:textId="77777777" w:rsidR="00A345F4" w:rsidRDefault="005E2D4E">
            <w:pPr>
              <w:pStyle w:val="P68B1DB1-Normal74"/>
              <w:spacing w:after="0" w:line="259" w:lineRule="auto"/>
              <w:jc w:val="center"/>
              <w:rPr>
                <w:noProof/>
              </w:rPr>
            </w:pPr>
            <w:r>
              <w:rPr>
                <w:noProof/>
              </w:rPr>
              <w:t>78</w:t>
            </w:r>
          </w:p>
        </w:tc>
        <w:tc>
          <w:tcPr>
            <w:tcW w:w="3544" w:type="dxa"/>
            <w:tcBorders>
              <w:top w:val="nil"/>
              <w:left w:val="nil"/>
              <w:bottom w:val="single" w:sz="4" w:space="0" w:color="auto"/>
              <w:right w:val="single" w:sz="4" w:space="0" w:color="auto"/>
            </w:tcBorders>
            <w:shd w:val="clear" w:color="auto" w:fill="C6EFCE"/>
            <w:noWrap/>
            <w:hideMark/>
          </w:tcPr>
          <w:p w14:paraId="1A510E07" w14:textId="77777777" w:rsidR="00A345F4" w:rsidRDefault="005E2D4E">
            <w:pPr>
              <w:pStyle w:val="P68B1DB1-Normal74"/>
              <w:spacing w:after="0" w:line="259" w:lineRule="auto"/>
              <w:jc w:val="both"/>
              <w:rPr>
                <w:noProof/>
              </w:rPr>
            </w:pPr>
            <w:r>
              <w:rPr>
                <w:noProof/>
              </w:rPr>
              <w:t>C4.R2</w:t>
            </w:r>
          </w:p>
          <w:p w14:paraId="3293D93E" w14:textId="77777777" w:rsidR="00A345F4" w:rsidRDefault="005E2D4E">
            <w:pPr>
              <w:pStyle w:val="P68B1DB1-Normal73"/>
              <w:spacing w:after="0" w:line="259" w:lineRule="auto"/>
              <w:jc w:val="both"/>
              <w:rPr>
                <w:rFonts w:eastAsia="Times New Roman"/>
                <w:noProof/>
              </w:rPr>
            </w:pPr>
            <w:r>
              <w:rPr>
                <w:noProof/>
              </w:rPr>
              <w:t>Gestion de la qualité axée sur les résultats dans les transports - Amélioration des capacités institutionnelles et de la gouvernance d'entreprise</w:t>
            </w:r>
          </w:p>
        </w:tc>
        <w:tc>
          <w:tcPr>
            <w:tcW w:w="1275" w:type="dxa"/>
            <w:tcBorders>
              <w:top w:val="nil"/>
              <w:left w:val="nil"/>
              <w:bottom w:val="single" w:sz="4" w:space="0" w:color="auto"/>
              <w:right w:val="single" w:sz="4" w:space="0" w:color="auto"/>
            </w:tcBorders>
            <w:shd w:val="clear" w:color="auto" w:fill="C6EFCE"/>
            <w:noWrap/>
            <w:hideMark/>
          </w:tcPr>
          <w:p w14:paraId="6D01E9ED" w14:textId="77777777" w:rsidR="00A345F4" w:rsidRDefault="005E2D4E">
            <w:pPr>
              <w:pStyle w:val="P68B1DB1-Normal74"/>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vAlign w:val="center"/>
            <w:hideMark/>
          </w:tcPr>
          <w:p w14:paraId="7D781118" w14:textId="77777777" w:rsidR="00A345F4" w:rsidRDefault="005E2D4E">
            <w:pPr>
              <w:pStyle w:val="P68B1DB1-Normal73"/>
              <w:spacing w:after="0" w:line="259" w:lineRule="auto"/>
              <w:jc w:val="both"/>
              <w:rPr>
                <w:noProof/>
              </w:rPr>
            </w:pPr>
            <w:r>
              <w:rPr>
                <w:noProof/>
              </w:rPr>
              <w:t xml:space="preserve">Entrée en vigueur de la loi no 50/2021 pour l'approbation de l'ordonnance d'urgence no 55/2016 sur la réorganisation de la Société nationale des routes et des routes nationales en Roumanie - S.A. (C.N.A.I.R.) et la création de la Société nationale d'investissement routier - S.A. (C.N.I.R.) </w:t>
            </w:r>
          </w:p>
        </w:tc>
      </w:tr>
      <w:tr w:rsidR="00A345F4" w14:paraId="3D2DA23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hideMark/>
          </w:tcPr>
          <w:p w14:paraId="3E4638B9" w14:textId="77777777" w:rsidR="00A345F4" w:rsidRDefault="005E2D4E">
            <w:pPr>
              <w:pStyle w:val="P68B1DB1-Normal74"/>
              <w:spacing w:after="0" w:line="259" w:lineRule="auto"/>
              <w:jc w:val="center"/>
              <w:rPr>
                <w:noProof/>
              </w:rPr>
            </w:pPr>
            <w:r>
              <w:rPr>
                <w:noProof/>
              </w:rPr>
              <w:t>1</w:t>
            </w:r>
          </w:p>
        </w:tc>
        <w:tc>
          <w:tcPr>
            <w:tcW w:w="3544" w:type="dxa"/>
            <w:tcBorders>
              <w:top w:val="nil"/>
              <w:left w:val="nil"/>
              <w:bottom w:val="single" w:sz="4" w:space="0" w:color="auto"/>
              <w:right w:val="single" w:sz="4" w:space="0" w:color="auto"/>
            </w:tcBorders>
            <w:shd w:val="clear" w:color="auto" w:fill="C6EFCE"/>
            <w:noWrap/>
            <w:hideMark/>
          </w:tcPr>
          <w:p w14:paraId="26FAE07C" w14:textId="77777777" w:rsidR="00A345F4" w:rsidRDefault="005E2D4E">
            <w:pPr>
              <w:pStyle w:val="P68B1DB1-Normal74"/>
              <w:spacing w:after="0" w:line="259" w:lineRule="auto"/>
              <w:jc w:val="both"/>
              <w:rPr>
                <w:noProof/>
              </w:rPr>
            </w:pPr>
            <w:r>
              <w:rPr>
                <w:noProof/>
              </w:rPr>
              <w:t xml:space="preserve">C1.R1 </w:t>
            </w:r>
          </w:p>
          <w:p w14:paraId="0182C646" w14:textId="77777777" w:rsidR="00A345F4" w:rsidRDefault="005E2D4E">
            <w:pPr>
              <w:pStyle w:val="P68B1DB1-Normal73"/>
              <w:spacing w:after="0" w:line="259" w:lineRule="auto"/>
              <w:jc w:val="both"/>
              <w:rPr>
                <w:rFonts w:eastAsia="Times New Roman"/>
                <w:noProof/>
              </w:rPr>
            </w:pPr>
            <w:r>
              <w:rPr>
                <w:noProof/>
              </w:rPr>
              <w:t>Renforcer le cadre réglementaire pour la gestion durable du secteur de l’eau et des eaux usées et accélérer l’accès du public à des services de qualité au titre des directives européennes</w:t>
            </w:r>
          </w:p>
        </w:tc>
        <w:tc>
          <w:tcPr>
            <w:tcW w:w="1275" w:type="dxa"/>
            <w:tcBorders>
              <w:top w:val="nil"/>
              <w:left w:val="nil"/>
              <w:bottom w:val="single" w:sz="4" w:space="0" w:color="auto"/>
              <w:right w:val="single" w:sz="4" w:space="0" w:color="auto"/>
            </w:tcBorders>
            <w:shd w:val="clear" w:color="auto" w:fill="C6EFCE"/>
            <w:noWrap/>
            <w:hideMark/>
          </w:tcPr>
          <w:p w14:paraId="10FD1B03" w14:textId="77777777" w:rsidR="00A345F4" w:rsidRDefault="005E2D4E">
            <w:pPr>
              <w:pStyle w:val="P68B1DB1-Normal74"/>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hideMark/>
          </w:tcPr>
          <w:p w14:paraId="590202AE" w14:textId="77777777" w:rsidR="00A345F4" w:rsidRDefault="005E2D4E">
            <w:pPr>
              <w:pStyle w:val="P68B1DB1-Normal74"/>
              <w:spacing w:after="0" w:line="259" w:lineRule="auto"/>
              <w:jc w:val="both"/>
              <w:rPr>
                <w:noProof/>
              </w:rPr>
            </w:pPr>
            <w:r>
              <w:rPr>
                <w:noProof/>
              </w:rPr>
              <w:t>Entrée en vigueur des modifications apportées à la loi no 241/2006 sur l’approvisionnement en eau et l’assainissement</w:t>
            </w:r>
          </w:p>
        </w:tc>
      </w:tr>
      <w:tr w:rsidR="00A345F4" w14:paraId="043CA00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AB507C7" w14:textId="77777777" w:rsidR="00A345F4" w:rsidRDefault="005E2D4E">
            <w:pPr>
              <w:pStyle w:val="P68B1DB1-Normal74"/>
              <w:spacing w:after="0" w:line="259" w:lineRule="auto"/>
              <w:jc w:val="center"/>
              <w:rPr>
                <w:noProof/>
              </w:rPr>
            </w:pPr>
            <w:r>
              <w:rPr>
                <w:noProof/>
              </w:rPr>
              <w:t>247</w:t>
            </w:r>
          </w:p>
        </w:tc>
        <w:tc>
          <w:tcPr>
            <w:tcW w:w="3544" w:type="dxa"/>
            <w:tcBorders>
              <w:top w:val="nil"/>
              <w:left w:val="nil"/>
              <w:bottom w:val="single" w:sz="4" w:space="0" w:color="auto"/>
              <w:right w:val="single" w:sz="4" w:space="0" w:color="auto"/>
            </w:tcBorders>
            <w:shd w:val="clear" w:color="auto" w:fill="C6EFCE"/>
            <w:noWrap/>
          </w:tcPr>
          <w:p w14:paraId="2DF81112" w14:textId="77777777" w:rsidR="00A345F4" w:rsidRDefault="005E2D4E">
            <w:pPr>
              <w:pStyle w:val="P68B1DB1-Normal74"/>
              <w:spacing w:after="0" w:line="259" w:lineRule="auto"/>
              <w:jc w:val="both"/>
              <w:rPr>
                <w:noProof/>
              </w:rPr>
            </w:pPr>
            <w:r>
              <w:rPr>
                <w:noProof/>
              </w:rPr>
              <w:t xml:space="preserve">C9.I2.1 </w:t>
            </w:r>
          </w:p>
          <w:p w14:paraId="20B3A6B9" w14:textId="77777777" w:rsidR="00A345F4" w:rsidRDefault="005E2D4E">
            <w:pPr>
              <w:pStyle w:val="P68B1DB1-Normal74"/>
              <w:spacing w:after="0" w:line="259" w:lineRule="auto"/>
              <w:jc w:val="both"/>
              <w:rPr>
                <w:noProof/>
              </w:rPr>
            </w:pPr>
            <w:r>
              <w:rPr>
                <w:noProof/>
              </w:rPr>
              <w:t xml:space="preserve">Instruments financiers pour le secteur privé - Garantie de portefeuille pour la résilience </w:t>
            </w:r>
          </w:p>
        </w:tc>
        <w:tc>
          <w:tcPr>
            <w:tcW w:w="1275" w:type="dxa"/>
            <w:tcBorders>
              <w:top w:val="nil"/>
              <w:left w:val="nil"/>
              <w:bottom w:val="single" w:sz="4" w:space="0" w:color="auto"/>
              <w:right w:val="single" w:sz="4" w:space="0" w:color="auto"/>
            </w:tcBorders>
            <w:shd w:val="clear" w:color="auto" w:fill="C6EFCE"/>
            <w:noWrap/>
          </w:tcPr>
          <w:p w14:paraId="270FD01D" w14:textId="77777777" w:rsidR="00A345F4" w:rsidRDefault="005E2D4E">
            <w:pPr>
              <w:pStyle w:val="P68B1DB1-Normal74"/>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4AFB843" w14:textId="77777777" w:rsidR="00A345F4" w:rsidRDefault="005E2D4E">
            <w:pPr>
              <w:pStyle w:val="P68B1DB1-Normal74"/>
              <w:spacing w:after="0" w:line="259" w:lineRule="auto"/>
              <w:jc w:val="both"/>
              <w:rPr>
                <w:noProof/>
              </w:rPr>
            </w:pPr>
            <w:r>
              <w:rPr>
                <w:noProof/>
              </w:rPr>
              <w:t>Signature de la convention de contribution entre la Commission européenne et le gouvernement roumain</w:t>
            </w:r>
          </w:p>
        </w:tc>
      </w:tr>
      <w:tr w:rsidR="00A345F4" w14:paraId="14128EA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D33303" w14:textId="77777777" w:rsidR="00A345F4" w:rsidRDefault="005E2D4E">
            <w:pPr>
              <w:pStyle w:val="P68B1DB1-Normal74"/>
              <w:spacing w:after="0" w:line="259" w:lineRule="auto"/>
              <w:jc w:val="center"/>
              <w:rPr>
                <w:noProof/>
              </w:rPr>
            </w:pPr>
            <w:r>
              <w:rPr>
                <w:noProof/>
              </w:rPr>
              <w:t>250</w:t>
            </w:r>
          </w:p>
        </w:tc>
        <w:tc>
          <w:tcPr>
            <w:tcW w:w="3544" w:type="dxa"/>
            <w:tcBorders>
              <w:top w:val="nil"/>
              <w:left w:val="nil"/>
              <w:bottom w:val="single" w:sz="4" w:space="0" w:color="auto"/>
              <w:right w:val="single" w:sz="4" w:space="0" w:color="auto"/>
            </w:tcBorders>
            <w:shd w:val="clear" w:color="auto" w:fill="C6EFCE"/>
            <w:noWrap/>
          </w:tcPr>
          <w:p w14:paraId="5558BC1A" w14:textId="77777777" w:rsidR="00A345F4" w:rsidRDefault="005E2D4E">
            <w:pPr>
              <w:pStyle w:val="P68B1DB1-Normal74"/>
              <w:spacing w:after="0" w:line="259" w:lineRule="auto"/>
              <w:jc w:val="both"/>
              <w:rPr>
                <w:noProof/>
              </w:rPr>
            </w:pPr>
            <w:r>
              <w:rPr>
                <w:noProof/>
              </w:rPr>
              <w:t>C9.I2.2</w:t>
            </w:r>
          </w:p>
          <w:p w14:paraId="48350C42" w14:textId="77777777" w:rsidR="00A345F4" w:rsidRDefault="005E2D4E">
            <w:pPr>
              <w:pStyle w:val="P68B1DB1-Normal74"/>
              <w:spacing w:after="0" w:line="259" w:lineRule="auto"/>
              <w:jc w:val="both"/>
              <w:rPr>
                <w:noProof/>
              </w:rPr>
            </w:pPr>
            <w:r>
              <w:rPr>
                <w:noProof/>
              </w:rPr>
              <w:t>Instruments financiers pour le secteur privé - Garantie du portefeuille d'action pour le climat</w:t>
            </w:r>
          </w:p>
        </w:tc>
        <w:tc>
          <w:tcPr>
            <w:tcW w:w="1275" w:type="dxa"/>
            <w:tcBorders>
              <w:top w:val="nil"/>
              <w:left w:val="nil"/>
              <w:bottom w:val="single" w:sz="4" w:space="0" w:color="auto"/>
              <w:right w:val="single" w:sz="4" w:space="0" w:color="auto"/>
            </w:tcBorders>
            <w:shd w:val="clear" w:color="auto" w:fill="C6EFCE"/>
            <w:noWrap/>
          </w:tcPr>
          <w:p w14:paraId="36241F83" w14:textId="77777777" w:rsidR="00A345F4" w:rsidRDefault="005E2D4E">
            <w:pPr>
              <w:pStyle w:val="P68B1DB1-Normal74"/>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2D9AEC5" w14:textId="77777777" w:rsidR="00A345F4" w:rsidRDefault="005E2D4E">
            <w:pPr>
              <w:pStyle w:val="P68B1DB1-Normal74"/>
              <w:spacing w:after="0" w:line="259" w:lineRule="auto"/>
              <w:jc w:val="both"/>
              <w:rPr>
                <w:noProof/>
              </w:rPr>
            </w:pPr>
            <w:r>
              <w:rPr>
                <w:noProof/>
              </w:rPr>
              <w:t>Signature de la convention de contribution entre la Commission européenne et le gouvernement roumain</w:t>
            </w:r>
          </w:p>
        </w:tc>
      </w:tr>
      <w:tr w:rsidR="00A345F4" w14:paraId="74C4917F"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hideMark/>
          </w:tcPr>
          <w:p w14:paraId="26F7D418" w14:textId="77777777" w:rsidR="00A345F4" w:rsidRDefault="005E2D4E">
            <w:pPr>
              <w:pStyle w:val="P68B1DB1-Normal74"/>
              <w:spacing w:after="0" w:line="259" w:lineRule="auto"/>
              <w:jc w:val="center"/>
              <w:rPr>
                <w:noProof/>
              </w:rPr>
            </w:pPr>
            <w:r>
              <w:rPr>
                <w:noProof/>
              </w:rPr>
              <w:t>253</w:t>
            </w:r>
          </w:p>
        </w:tc>
        <w:tc>
          <w:tcPr>
            <w:tcW w:w="3544" w:type="dxa"/>
            <w:tcBorders>
              <w:top w:val="nil"/>
              <w:left w:val="nil"/>
              <w:bottom w:val="single" w:sz="4" w:space="0" w:color="auto"/>
              <w:right w:val="single" w:sz="4" w:space="0" w:color="auto"/>
            </w:tcBorders>
            <w:shd w:val="clear" w:color="auto" w:fill="C6EFCE"/>
            <w:noWrap/>
            <w:hideMark/>
          </w:tcPr>
          <w:p w14:paraId="0C906960" w14:textId="77777777" w:rsidR="00A345F4" w:rsidRDefault="005E2D4E">
            <w:pPr>
              <w:pStyle w:val="P68B1DB1-Normal74"/>
              <w:spacing w:after="0" w:line="259" w:lineRule="auto"/>
              <w:jc w:val="both"/>
              <w:rPr>
                <w:noProof/>
              </w:rPr>
            </w:pPr>
            <w:r>
              <w:rPr>
                <w:noProof/>
              </w:rPr>
              <w:t xml:space="preserve">C9.I2.3 </w:t>
            </w:r>
          </w:p>
          <w:p w14:paraId="1B273463" w14:textId="77777777" w:rsidR="00A345F4" w:rsidRDefault="005E2D4E">
            <w:pPr>
              <w:pStyle w:val="P68B1DB1-Normal74"/>
              <w:spacing w:after="0" w:line="259" w:lineRule="auto"/>
              <w:jc w:val="both"/>
              <w:rPr>
                <w:noProof/>
              </w:rPr>
            </w:pPr>
            <w:r>
              <w:rPr>
                <w:noProof/>
              </w:rPr>
              <w:t>Instruments financiers pour le secteur privé - Fonds de capital-risque pour la relance</w:t>
            </w:r>
          </w:p>
        </w:tc>
        <w:tc>
          <w:tcPr>
            <w:tcW w:w="1275" w:type="dxa"/>
            <w:tcBorders>
              <w:top w:val="nil"/>
              <w:left w:val="nil"/>
              <w:bottom w:val="single" w:sz="4" w:space="0" w:color="auto"/>
              <w:right w:val="single" w:sz="4" w:space="0" w:color="auto"/>
            </w:tcBorders>
            <w:shd w:val="clear" w:color="auto" w:fill="C6EFCE"/>
            <w:noWrap/>
            <w:hideMark/>
          </w:tcPr>
          <w:p w14:paraId="4A116965" w14:textId="77777777" w:rsidR="00A345F4" w:rsidRDefault="005E2D4E">
            <w:pPr>
              <w:pStyle w:val="P68B1DB1-Normal74"/>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hideMark/>
          </w:tcPr>
          <w:p w14:paraId="190520B5" w14:textId="77777777" w:rsidR="00A345F4" w:rsidRDefault="005E2D4E">
            <w:pPr>
              <w:pStyle w:val="P68B1DB1-Normal74"/>
              <w:spacing w:after="0" w:line="259" w:lineRule="auto"/>
              <w:jc w:val="both"/>
              <w:rPr>
                <w:noProof/>
              </w:rPr>
            </w:pPr>
            <w:r>
              <w:rPr>
                <w:noProof/>
              </w:rPr>
              <w:t>Signature de la convention de financement entre le Fonds européen d’investissement et le gouvernement roumain pour la création du Fonds de capital-risque pour la relance (ci-après le «Fonds») et adoption de la politique d’investissement du Fonds</w:t>
            </w:r>
          </w:p>
        </w:tc>
      </w:tr>
      <w:tr w:rsidR="00A345F4" w14:paraId="5C4A262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40EBBDC" w14:textId="77777777" w:rsidR="00A345F4" w:rsidRDefault="005E2D4E">
            <w:pPr>
              <w:pStyle w:val="P68B1DB1-Normal73"/>
              <w:spacing w:after="0" w:line="259" w:lineRule="auto"/>
              <w:jc w:val="center"/>
              <w:rPr>
                <w:rFonts w:eastAsia="Times New Roman"/>
                <w:noProof/>
              </w:rPr>
            </w:pPr>
            <w:r>
              <w:rPr>
                <w:noProof/>
              </w:rPr>
              <w:t>259</w:t>
            </w:r>
          </w:p>
        </w:tc>
        <w:tc>
          <w:tcPr>
            <w:tcW w:w="3544" w:type="dxa"/>
            <w:tcBorders>
              <w:top w:val="nil"/>
              <w:left w:val="nil"/>
              <w:bottom w:val="single" w:sz="4" w:space="0" w:color="auto"/>
              <w:right w:val="single" w:sz="4" w:space="0" w:color="auto"/>
            </w:tcBorders>
            <w:shd w:val="clear" w:color="auto" w:fill="C6EFCE"/>
            <w:noWrap/>
          </w:tcPr>
          <w:p w14:paraId="3449B12D" w14:textId="77777777" w:rsidR="00A345F4" w:rsidRDefault="005E2D4E">
            <w:pPr>
              <w:pStyle w:val="P68B1DB1-Normal73"/>
              <w:spacing w:after="0" w:line="259" w:lineRule="auto"/>
              <w:jc w:val="both"/>
              <w:rPr>
                <w:noProof/>
              </w:rPr>
            </w:pPr>
            <w:r>
              <w:rPr>
                <w:noProof/>
              </w:rPr>
              <w:t xml:space="preserve">C9.I2.5 </w:t>
            </w:r>
          </w:p>
          <w:p w14:paraId="0A1EE56A" w14:textId="77777777" w:rsidR="00A345F4" w:rsidRDefault="005E2D4E">
            <w:pPr>
              <w:pStyle w:val="P68B1DB1-Normal73"/>
              <w:spacing w:after="0" w:line="259" w:lineRule="auto"/>
              <w:jc w:val="both"/>
              <w:rPr>
                <w:rFonts w:eastAsia="Times New Roman"/>
                <w:noProof/>
              </w:rPr>
            </w:pPr>
            <w:r>
              <w:rPr>
                <w:noProof/>
              </w:rPr>
              <w:t xml:space="preserve">Instruments financiers pour le secteur privé - Investissements dans l'efficacité énergétique dans le secteur résidentiel et du bâtiment </w:t>
            </w:r>
          </w:p>
        </w:tc>
        <w:tc>
          <w:tcPr>
            <w:tcW w:w="1275" w:type="dxa"/>
            <w:tcBorders>
              <w:top w:val="nil"/>
              <w:left w:val="nil"/>
              <w:bottom w:val="single" w:sz="4" w:space="0" w:color="auto"/>
              <w:right w:val="single" w:sz="4" w:space="0" w:color="auto"/>
            </w:tcBorders>
            <w:shd w:val="clear" w:color="auto" w:fill="C6EFCE"/>
            <w:noWrap/>
          </w:tcPr>
          <w:p w14:paraId="5E53D3B8"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0EE2D3C" w14:textId="77777777" w:rsidR="00A345F4" w:rsidRDefault="005E2D4E">
            <w:pPr>
              <w:pStyle w:val="P68B1DB1-Normal73"/>
              <w:spacing w:after="0" w:line="259" w:lineRule="auto"/>
              <w:jc w:val="both"/>
              <w:rPr>
                <w:rFonts w:eastAsia="Times New Roman"/>
                <w:noProof/>
              </w:rPr>
            </w:pPr>
            <w:r>
              <w:rPr>
                <w:noProof/>
              </w:rPr>
              <w:t>Signature de la convention de contribution entre la Commission européenne et le gouvernement roumain</w:t>
            </w:r>
          </w:p>
        </w:tc>
      </w:tr>
      <w:tr w:rsidR="00A345F4" w14:paraId="4FEC228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3A640FF" w14:textId="77777777" w:rsidR="00A345F4" w:rsidRDefault="005E2D4E">
            <w:pPr>
              <w:pStyle w:val="P68B1DB1-Normal73"/>
              <w:spacing w:after="0" w:line="259" w:lineRule="auto"/>
              <w:jc w:val="center"/>
              <w:rPr>
                <w:noProof/>
              </w:rPr>
            </w:pPr>
            <w:r>
              <w:rPr>
                <w:noProof/>
              </w:rPr>
              <w:t>270</w:t>
            </w:r>
          </w:p>
        </w:tc>
        <w:tc>
          <w:tcPr>
            <w:tcW w:w="3544" w:type="dxa"/>
            <w:tcBorders>
              <w:top w:val="nil"/>
              <w:left w:val="nil"/>
              <w:bottom w:val="single" w:sz="4" w:space="0" w:color="auto"/>
              <w:right w:val="single" w:sz="4" w:space="0" w:color="auto"/>
            </w:tcBorders>
            <w:shd w:val="clear" w:color="auto" w:fill="C6EFCE"/>
            <w:noWrap/>
          </w:tcPr>
          <w:p w14:paraId="3C182B29" w14:textId="77777777" w:rsidR="00A345F4" w:rsidRDefault="005E2D4E">
            <w:pPr>
              <w:pStyle w:val="P68B1DB1-Normal73"/>
              <w:spacing w:after="0" w:line="259" w:lineRule="auto"/>
              <w:jc w:val="both"/>
              <w:rPr>
                <w:noProof/>
              </w:rPr>
            </w:pPr>
            <w:r>
              <w:rPr>
                <w:noProof/>
              </w:rPr>
              <w:t>C9.R2</w:t>
            </w:r>
          </w:p>
          <w:p w14:paraId="063CAA66" w14:textId="77777777" w:rsidR="00A345F4" w:rsidRDefault="005E2D4E">
            <w:pPr>
              <w:pStyle w:val="P68B1DB1-Normal73"/>
              <w:spacing w:after="0" w:line="259" w:lineRule="auto"/>
              <w:jc w:val="both"/>
              <w:rPr>
                <w:noProof/>
              </w:rPr>
            </w:pPr>
            <w:r>
              <w:rPr>
                <w:noProof/>
              </w:rPr>
              <w:t xml:space="preserve">Rationaliser la gouvernance de la recherche, du développement et de l'innovation </w:t>
            </w:r>
          </w:p>
        </w:tc>
        <w:tc>
          <w:tcPr>
            <w:tcW w:w="1275" w:type="dxa"/>
            <w:tcBorders>
              <w:top w:val="nil"/>
              <w:left w:val="nil"/>
              <w:bottom w:val="single" w:sz="4" w:space="0" w:color="auto"/>
              <w:right w:val="single" w:sz="4" w:space="0" w:color="auto"/>
            </w:tcBorders>
            <w:shd w:val="clear" w:color="auto" w:fill="C6EFCE"/>
            <w:noWrap/>
          </w:tcPr>
          <w:p w14:paraId="6061D11C"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3A01902" w14:textId="77777777" w:rsidR="00A345F4" w:rsidRDefault="005E2D4E">
            <w:pPr>
              <w:pStyle w:val="P68B1DB1-Normal73"/>
              <w:spacing w:after="0" w:line="259" w:lineRule="auto"/>
              <w:jc w:val="both"/>
              <w:rPr>
                <w:noProof/>
              </w:rPr>
            </w:pPr>
            <w:r>
              <w:rPr>
                <w:noProof/>
              </w:rPr>
              <w:t xml:space="preserve">Création et fonctionnement de l’unité de mise en œuvre de la réforme du mécanisme de soutien aux politiques </w:t>
            </w:r>
          </w:p>
        </w:tc>
      </w:tr>
      <w:tr w:rsidR="00A345F4" w14:paraId="2EF04B7E" w14:textId="77777777">
        <w:trPr>
          <w:trHeight w:val="283"/>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0F5E68B" w14:textId="77777777" w:rsidR="00A345F4" w:rsidRDefault="00A345F4">
            <w:pPr>
              <w:spacing w:after="0" w:line="259" w:lineRule="auto"/>
              <w:jc w:val="center"/>
              <w:rPr>
                <w:rFonts w:ascii="Times New Roman" w:eastAsia="Times New Roman" w:hAnsi="Times New Roman" w:cs="Times New Roman"/>
                <w:noProof/>
                <w:kern w:val="2"/>
                <w:sz w:val="22"/>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649A373D" w14:textId="77777777" w:rsidR="00A345F4" w:rsidRDefault="00A345F4">
            <w:pPr>
              <w:spacing w:after="0" w:line="259" w:lineRule="auto"/>
              <w:jc w:val="both"/>
              <w:rPr>
                <w:rFonts w:ascii="Times New Roman" w:eastAsia="Times New Roman" w:hAnsi="Times New Roman" w:cs="Times New Roman"/>
                <w:noProof/>
                <w:kern w:val="2"/>
                <w:sz w:val="22"/>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0B4609B6" w14:textId="77777777" w:rsidR="00A345F4" w:rsidRDefault="005E2D4E">
            <w:pPr>
              <w:pStyle w:val="P68B1DB1-Normal74"/>
              <w:spacing w:after="0" w:line="259" w:lineRule="auto"/>
              <w:jc w:val="center"/>
              <w:rPr>
                <w:noProof/>
              </w:rPr>
            </w:pPr>
            <w:r>
              <w:rPr>
                <w:noProof/>
              </w:rPr>
              <w:t>Montant des acomptes provisionnels</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8EF49D6" w14:textId="77777777" w:rsidR="00A345F4" w:rsidRDefault="005E2D4E">
            <w:pPr>
              <w:pStyle w:val="P68B1DB1-Normal74"/>
              <w:spacing w:after="0" w:line="259" w:lineRule="auto"/>
              <w:jc w:val="right"/>
              <w:rPr>
                <w:noProof/>
              </w:rPr>
            </w:pPr>
            <w:r>
              <w:rPr>
                <w:noProof/>
              </w:rPr>
              <w:t>907 669 494 EUR</w:t>
            </w:r>
          </w:p>
        </w:tc>
      </w:tr>
    </w:tbl>
    <w:p w14:paraId="538CF5D1" w14:textId="77777777" w:rsidR="00A345F4" w:rsidRDefault="005E2D4E">
      <w:pPr>
        <w:pStyle w:val="P68B1DB1-Normal71"/>
        <w:keepNext/>
        <w:tabs>
          <w:tab w:val="num" w:pos="1417"/>
        </w:tabs>
        <w:spacing w:before="120" w:after="120" w:line="240" w:lineRule="auto"/>
        <w:ind w:left="1417" w:hanging="850"/>
        <w:jc w:val="both"/>
        <w:outlineLvl w:val="2"/>
        <w:rPr>
          <w:bCs/>
          <w:noProof/>
        </w:rPr>
      </w:pPr>
      <w:r>
        <w:rPr>
          <w:noProof/>
        </w:rPr>
        <w:t xml:space="preserve">2.2.2 Deuxième tranche (soutien au prêt): </w:t>
      </w:r>
    </w:p>
    <w:tbl>
      <w:tblPr>
        <w:tblW w:w="9634" w:type="dxa"/>
        <w:tblInd w:w="113" w:type="dxa"/>
        <w:tblLook w:val="04A0" w:firstRow="1" w:lastRow="0" w:firstColumn="1" w:lastColumn="0" w:noHBand="0" w:noVBand="1"/>
      </w:tblPr>
      <w:tblGrid>
        <w:gridCol w:w="1413"/>
        <w:gridCol w:w="3544"/>
        <w:gridCol w:w="1402"/>
        <w:gridCol w:w="3402"/>
      </w:tblGrid>
      <w:tr w:rsidR="00A345F4" w14:paraId="6A9807B1" w14:textId="77777777">
        <w:trPr>
          <w:trHeight w:val="906"/>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BF32FB" w14:textId="77777777" w:rsidR="00A345F4" w:rsidRDefault="005E2D4E">
            <w:pPr>
              <w:pStyle w:val="P68B1DB1-Normal72"/>
              <w:spacing w:after="0" w:line="259" w:lineRule="auto"/>
              <w:jc w:val="center"/>
              <w:rPr>
                <w:noProof/>
              </w:rPr>
            </w:pPr>
            <w:r>
              <w:rPr>
                <w:noProof/>
              </w:rPr>
              <w:t>Numéro séquentiel</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13C223" w14:textId="77777777" w:rsidR="00A345F4" w:rsidRDefault="005E2D4E">
            <w:pPr>
              <w:pStyle w:val="P68B1DB1-Normal72"/>
              <w:spacing w:after="0" w:line="259" w:lineRule="auto"/>
              <w:jc w:val="center"/>
              <w:rPr>
                <w:noProof/>
              </w:rPr>
            </w:pPr>
            <w:r>
              <w:rPr>
                <w:noProof/>
              </w:rPr>
              <w:t>Mesure connexe</w:t>
            </w:r>
          </w:p>
          <w:p w14:paraId="340BBBB1" w14:textId="77777777" w:rsidR="00A345F4" w:rsidRDefault="005E2D4E">
            <w:pPr>
              <w:pStyle w:val="P68B1DB1-Normal72"/>
              <w:spacing w:after="0" w:line="259" w:lineRule="auto"/>
              <w:jc w:val="center"/>
              <w:rPr>
                <w:noProof/>
              </w:rPr>
            </w:pPr>
            <w:r>
              <w:rPr>
                <w:noProof/>
              </w:rPr>
              <w:t>(Réforme ou investissement)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2C3C42" w14:textId="77777777" w:rsidR="00A345F4" w:rsidRDefault="005E2D4E">
            <w:pPr>
              <w:pStyle w:val="P68B1DB1-Normal72"/>
              <w:spacing w:after="0" w:line="259" w:lineRule="auto"/>
              <w:jc w:val="center"/>
              <w:rPr>
                <w:noProof/>
              </w:rPr>
            </w:pPr>
            <w:r>
              <w:rPr>
                <w:noProof/>
              </w:rPr>
              <w:t>Étape/cible</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108A57" w14:textId="77777777" w:rsidR="00A345F4" w:rsidRDefault="005E2D4E">
            <w:pPr>
              <w:pStyle w:val="P68B1DB1-Normal72"/>
              <w:spacing w:after="0" w:line="259" w:lineRule="auto"/>
              <w:jc w:val="center"/>
              <w:rPr>
                <w:noProof/>
              </w:rPr>
            </w:pPr>
            <w:r>
              <w:rPr>
                <w:noProof/>
              </w:rPr>
              <w:t>Nom</w:t>
            </w:r>
          </w:p>
        </w:tc>
      </w:tr>
      <w:tr w:rsidR="00A345F4" w14:paraId="51964E7A" w14:textId="77777777">
        <w:trPr>
          <w:trHeight w:val="509"/>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56BF434"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9846619"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74DCCE8"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EBADBFD"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r>
      <w:tr w:rsidR="00A345F4" w14:paraId="5CDE5444"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hideMark/>
          </w:tcPr>
          <w:p w14:paraId="0E4D88CC" w14:textId="77777777" w:rsidR="00A345F4" w:rsidRDefault="005E2D4E">
            <w:pPr>
              <w:pStyle w:val="P68B1DB1-Normal74"/>
              <w:spacing w:after="0" w:line="259" w:lineRule="auto"/>
              <w:jc w:val="center"/>
              <w:rPr>
                <w:noProof/>
              </w:rPr>
            </w:pPr>
            <w:r>
              <w:rPr>
                <w:noProof/>
              </w:rPr>
              <w:t>2</w:t>
            </w:r>
          </w:p>
        </w:tc>
        <w:tc>
          <w:tcPr>
            <w:tcW w:w="3544" w:type="dxa"/>
            <w:tcBorders>
              <w:top w:val="single" w:sz="4" w:space="0" w:color="auto"/>
              <w:left w:val="nil"/>
              <w:bottom w:val="single" w:sz="4" w:space="0" w:color="auto"/>
              <w:right w:val="single" w:sz="4" w:space="0" w:color="auto"/>
            </w:tcBorders>
            <w:shd w:val="clear" w:color="auto" w:fill="C6EFCE"/>
            <w:noWrap/>
            <w:hideMark/>
          </w:tcPr>
          <w:p w14:paraId="4F85B1DB" w14:textId="77777777" w:rsidR="00A345F4" w:rsidRDefault="005E2D4E">
            <w:pPr>
              <w:pStyle w:val="P68B1DB1-Normal74"/>
              <w:spacing w:after="0" w:line="259" w:lineRule="auto"/>
              <w:jc w:val="both"/>
              <w:rPr>
                <w:noProof/>
              </w:rPr>
            </w:pPr>
            <w:r>
              <w:rPr>
                <w:noProof/>
              </w:rPr>
              <w:t xml:space="preserve">C1.R1 </w:t>
            </w:r>
          </w:p>
          <w:p w14:paraId="5704FDCB" w14:textId="77777777" w:rsidR="00A345F4" w:rsidRDefault="005E2D4E">
            <w:pPr>
              <w:pStyle w:val="P68B1DB1-Normal74"/>
              <w:spacing w:after="0" w:line="259" w:lineRule="auto"/>
              <w:jc w:val="both"/>
              <w:rPr>
                <w:noProof/>
              </w:rPr>
            </w:pPr>
            <w:r>
              <w:rPr>
                <w:noProof/>
              </w:rPr>
              <w:t>Renforcer le cadre réglementaire pour la gestion durable du secteur de l’eau et des eaux usées et accélérer l’accès des citoyens à des services de qualité au titre des directives européennes</w:t>
            </w:r>
          </w:p>
        </w:tc>
        <w:tc>
          <w:tcPr>
            <w:tcW w:w="1275" w:type="dxa"/>
            <w:tcBorders>
              <w:top w:val="single" w:sz="4" w:space="0" w:color="auto"/>
              <w:left w:val="nil"/>
              <w:bottom w:val="single" w:sz="4" w:space="0" w:color="auto"/>
              <w:right w:val="single" w:sz="4" w:space="0" w:color="auto"/>
            </w:tcBorders>
            <w:shd w:val="clear" w:color="auto" w:fill="C6EFCE"/>
            <w:noWrap/>
            <w:hideMark/>
          </w:tcPr>
          <w:p w14:paraId="7589296A" w14:textId="77777777" w:rsidR="00A345F4" w:rsidRDefault="005E2D4E">
            <w:pPr>
              <w:pStyle w:val="P68B1DB1-Normal74"/>
              <w:spacing w:after="0" w:line="259" w:lineRule="auto"/>
              <w:jc w:val="center"/>
              <w:rPr>
                <w:noProof/>
              </w:rPr>
            </w:pPr>
            <w:r>
              <w:rPr>
                <w:noProof/>
              </w:rPr>
              <w:t>M</w:t>
            </w:r>
          </w:p>
        </w:tc>
        <w:tc>
          <w:tcPr>
            <w:tcW w:w="3402" w:type="dxa"/>
            <w:tcBorders>
              <w:top w:val="single" w:sz="4" w:space="0" w:color="auto"/>
              <w:left w:val="nil"/>
              <w:bottom w:val="single" w:sz="4" w:space="0" w:color="auto"/>
              <w:right w:val="single" w:sz="4" w:space="0" w:color="auto"/>
            </w:tcBorders>
            <w:shd w:val="clear" w:color="auto" w:fill="C6EFCE"/>
            <w:noWrap/>
            <w:hideMark/>
          </w:tcPr>
          <w:p w14:paraId="2A06AB17" w14:textId="77777777" w:rsidR="00A345F4" w:rsidRDefault="005E2D4E">
            <w:pPr>
              <w:pStyle w:val="P68B1DB1-Normal74"/>
              <w:spacing w:after="0" w:line="259" w:lineRule="auto"/>
              <w:jc w:val="both"/>
              <w:rPr>
                <w:noProof/>
              </w:rPr>
            </w:pPr>
            <w:r>
              <w:rPr>
                <w:noProof/>
              </w:rPr>
              <w:t>Entrée en vigueur de la loi portant approbation du programme national «Premier raccordement à l’eau et à l’assainissement»</w:t>
            </w:r>
          </w:p>
        </w:tc>
      </w:tr>
      <w:tr w:rsidR="00A345F4" w14:paraId="5ED070D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8539669" w14:textId="77777777" w:rsidR="00A345F4" w:rsidRDefault="005E2D4E">
            <w:pPr>
              <w:pStyle w:val="P68B1DB1-Normal73"/>
              <w:spacing w:after="0" w:line="259" w:lineRule="auto"/>
              <w:jc w:val="center"/>
              <w:rPr>
                <w:rFonts w:eastAsia="Times New Roman"/>
                <w:noProof/>
              </w:rPr>
            </w:pPr>
            <w:r>
              <w:rPr>
                <w:noProof/>
              </w:rPr>
              <w:t>95</w:t>
            </w:r>
          </w:p>
        </w:tc>
        <w:tc>
          <w:tcPr>
            <w:tcW w:w="3544" w:type="dxa"/>
            <w:tcBorders>
              <w:top w:val="nil"/>
              <w:left w:val="nil"/>
              <w:bottom w:val="single" w:sz="4" w:space="0" w:color="auto"/>
              <w:right w:val="single" w:sz="4" w:space="0" w:color="auto"/>
            </w:tcBorders>
            <w:shd w:val="clear" w:color="auto" w:fill="C6EFCE"/>
            <w:noWrap/>
          </w:tcPr>
          <w:p w14:paraId="19BE0E97" w14:textId="77777777" w:rsidR="00A345F4" w:rsidRDefault="005E2D4E">
            <w:pPr>
              <w:pStyle w:val="P68B1DB1-Normal73"/>
              <w:spacing w:after="0" w:line="259" w:lineRule="auto"/>
              <w:jc w:val="both"/>
              <w:rPr>
                <w:noProof/>
              </w:rPr>
            </w:pPr>
            <w:r>
              <w:rPr>
                <w:noProof/>
              </w:rPr>
              <w:t>C5.I1</w:t>
            </w:r>
          </w:p>
          <w:p w14:paraId="2B428588" w14:textId="77777777" w:rsidR="00A345F4" w:rsidRDefault="005E2D4E">
            <w:pPr>
              <w:pStyle w:val="P68B1DB1-Normal73"/>
              <w:spacing w:after="0" w:line="259" w:lineRule="auto"/>
              <w:jc w:val="both"/>
              <w:rPr>
                <w:rFonts w:eastAsia="Times New Roman"/>
                <w:noProof/>
              </w:rPr>
            </w:pPr>
            <w:r>
              <w:rPr>
                <w:noProof/>
              </w:rPr>
              <w:t>Mise en place d’un fonds pour la vague de rénovations afin de financer des travaux visant à accroître l’efficacité énergétique du parc immobilier existant</w:t>
            </w:r>
          </w:p>
        </w:tc>
        <w:tc>
          <w:tcPr>
            <w:tcW w:w="1275" w:type="dxa"/>
            <w:tcBorders>
              <w:top w:val="nil"/>
              <w:left w:val="nil"/>
              <w:bottom w:val="single" w:sz="4" w:space="0" w:color="auto"/>
              <w:right w:val="single" w:sz="4" w:space="0" w:color="auto"/>
            </w:tcBorders>
            <w:shd w:val="clear" w:color="auto" w:fill="C6EFCE"/>
            <w:noWrap/>
          </w:tcPr>
          <w:p w14:paraId="3209819B"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1BDF0ED" w14:textId="77777777" w:rsidR="00A345F4" w:rsidRDefault="005E2D4E">
            <w:pPr>
              <w:pStyle w:val="P68B1DB1-Normal73"/>
              <w:spacing w:after="0" w:line="259" w:lineRule="auto"/>
              <w:jc w:val="both"/>
              <w:rPr>
                <w:rFonts w:eastAsia="Times New Roman"/>
                <w:noProof/>
              </w:rPr>
            </w:pPr>
            <w:r>
              <w:rPr>
                <w:noProof/>
              </w:rPr>
              <w:t>Mise en place d’un régime national d’aide à la rénovation énergétique et à la rénovation intégrée (consolidation sismique et efficacité énergétique) des bâtiments résidentiels multifamiliaux</w:t>
            </w:r>
          </w:p>
        </w:tc>
      </w:tr>
      <w:tr w:rsidR="00A345F4" w14:paraId="570CF8F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D86B409" w14:textId="77777777" w:rsidR="00A345F4" w:rsidRDefault="005E2D4E">
            <w:pPr>
              <w:pStyle w:val="P68B1DB1-Normal73"/>
              <w:spacing w:after="0" w:line="259" w:lineRule="auto"/>
              <w:jc w:val="center"/>
              <w:rPr>
                <w:rFonts w:eastAsia="Times New Roman"/>
                <w:noProof/>
              </w:rPr>
            </w:pPr>
            <w:r>
              <w:rPr>
                <w:noProof/>
              </w:rPr>
              <w:t>96</w:t>
            </w:r>
          </w:p>
        </w:tc>
        <w:tc>
          <w:tcPr>
            <w:tcW w:w="3544" w:type="dxa"/>
            <w:tcBorders>
              <w:top w:val="nil"/>
              <w:left w:val="nil"/>
              <w:bottom w:val="single" w:sz="4" w:space="0" w:color="auto"/>
              <w:right w:val="single" w:sz="4" w:space="0" w:color="auto"/>
            </w:tcBorders>
            <w:shd w:val="clear" w:color="auto" w:fill="C6EFCE"/>
            <w:noWrap/>
          </w:tcPr>
          <w:p w14:paraId="33B5B0BC" w14:textId="77777777" w:rsidR="00A345F4" w:rsidRDefault="005E2D4E">
            <w:pPr>
              <w:pStyle w:val="P68B1DB1-Normal73"/>
              <w:spacing w:after="0" w:line="259" w:lineRule="auto"/>
              <w:jc w:val="both"/>
              <w:rPr>
                <w:noProof/>
              </w:rPr>
            </w:pPr>
            <w:r>
              <w:rPr>
                <w:noProof/>
              </w:rPr>
              <w:t>C5.I1</w:t>
            </w:r>
          </w:p>
          <w:p w14:paraId="5C49F2B0" w14:textId="77777777" w:rsidR="00A345F4" w:rsidRDefault="005E2D4E">
            <w:pPr>
              <w:pStyle w:val="P68B1DB1-Normal73"/>
              <w:spacing w:after="0" w:line="259" w:lineRule="auto"/>
              <w:jc w:val="both"/>
              <w:rPr>
                <w:rFonts w:eastAsia="Times New Roman"/>
                <w:noProof/>
              </w:rPr>
            </w:pPr>
            <w:r>
              <w:rPr>
                <w:noProof/>
              </w:rPr>
              <w:t>Mise en place d’un fonds pour la vague de rénovations afin de financer des travaux visant à accroître l’efficacité énergétique du parc immobilier existant</w:t>
            </w:r>
          </w:p>
        </w:tc>
        <w:tc>
          <w:tcPr>
            <w:tcW w:w="1275" w:type="dxa"/>
            <w:tcBorders>
              <w:top w:val="nil"/>
              <w:left w:val="nil"/>
              <w:bottom w:val="single" w:sz="4" w:space="0" w:color="auto"/>
              <w:right w:val="single" w:sz="4" w:space="0" w:color="auto"/>
            </w:tcBorders>
            <w:shd w:val="clear" w:color="auto" w:fill="C6EFCE"/>
            <w:noWrap/>
          </w:tcPr>
          <w:p w14:paraId="1BF03457"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9149E62" w14:textId="77777777" w:rsidR="00A345F4" w:rsidRDefault="005E2D4E">
            <w:pPr>
              <w:pStyle w:val="P68B1DB1-Normal73"/>
              <w:spacing w:after="0" w:line="259" w:lineRule="auto"/>
              <w:jc w:val="both"/>
              <w:rPr>
                <w:rFonts w:eastAsia="Times New Roman"/>
                <w:noProof/>
              </w:rPr>
            </w:pPr>
            <w:r>
              <w:rPr>
                <w:noProof/>
              </w:rPr>
              <w:t>Mise en place d’un régime national d’aide à la rénovation axée sur l’efficacité énergétique et à la rénovation intégrée (consolidation sismique et efficacité énergétique) pour les bâtiments publics</w:t>
            </w:r>
          </w:p>
        </w:tc>
      </w:tr>
      <w:tr w:rsidR="00A345F4" w14:paraId="2FA84DB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7B7A34D" w14:textId="77777777" w:rsidR="00A345F4" w:rsidRDefault="005E2D4E">
            <w:pPr>
              <w:pStyle w:val="P68B1DB1-Normal73"/>
              <w:spacing w:after="0" w:line="259" w:lineRule="auto"/>
              <w:jc w:val="center"/>
              <w:rPr>
                <w:noProof/>
              </w:rPr>
            </w:pPr>
            <w:r>
              <w:rPr>
                <w:noProof/>
              </w:rPr>
              <w:t>189</w:t>
            </w:r>
          </w:p>
        </w:tc>
        <w:tc>
          <w:tcPr>
            <w:tcW w:w="3544" w:type="dxa"/>
            <w:tcBorders>
              <w:top w:val="nil"/>
              <w:left w:val="nil"/>
              <w:bottom w:val="single" w:sz="4" w:space="0" w:color="auto"/>
              <w:right w:val="single" w:sz="4" w:space="0" w:color="auto"/>
            </w:tcBorders>
            <w:shd w:val="clear" w:color="auto" w:fill="C6EFCE"/>
            <w:noWrap/>
          </w:tcPr>
          <w:p w14:paraId="4B0081B6" w14:textId="77777777" w:rsidR="00A345F4" w:rsidRDefault="005E2D4E">
            <w:pPr>
              <w:pStyle w:val="P68B1DB1-Normal73"/>
              <w:spacing w:after="0" w:line="259" w:lineRule="auto"/>
              <w:jc w:val="both"/>
              <w:rPr>
                <w:noProof/>
              </w:rPr>
            </w:pPr>
            <w:r>
              <w:rPr>
                <w:noProof/>
              </w:rPr>
              <w:t>C7.I19</w:t>
            </w:r>
          </w:p>
          <w:p w14:paraId="6D7CFA8E" w14:textId="77777777" w:rsidR="00A345F4" w:rsidRDefault="005E2D4E">
            <w:pPr>
              <w:pStyle w:val="P68B1DB1-Normal73"/>
              <w:spacing w:after="0" w:line="259" w:lineRule="auto"/>
              <w:jc w:val="both"/>
              <w:rPr>
                <w:noProof/>
              </w:rPr>
            </w:pPr>
            <w:r>
              <w:rPr>
                <w:noProof/>
              </w:rPr>
              <w:t>Programmes de perfectionnement/requalification des salariés dans les entreprises</w:t>
            </w:r>
          </w:p>
        </w:tc>
        <w:tc>
          <w:tcPr>
            <w:tcW w:w="1275" w:type="dxa"/>
            <w:tcBorders>
              <w:top w:val="nil"/>
              <w:left w:val="nil"/>
              <w:bottom w:val="single" w:sz="4" w:space="0" w:color="auto"/>
              <w:right w:val="single" w:sz="4" w:space="0" w:color="auto"/>
            </w:tcBorders>
            <w:shd w:val="clear" w:color="auto" w:fill="C6EFCE"/>
            <w:noWrap/>
          </w:tcPr>
          <w:p w14:paraId="6EA518D0"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EB5CDE3" w14:textId="77777777" w:rsidR="00A345F4" w:rsidRDefault="005E2D4E">
            <w:pPr>
              <w:pStyle w:val="P68B1DB1-Normal73"/>
              <w:spacing w:after="0" w:line="259" w:lineRule="auto"/>
              <w:jc w:val="both"/>
              <w:rPr>
                <w:noProof/>
              </w:rPr>
            </w:pPr>
            <w:r>
              <w:rPr>
                <w:noProof/>
              </w:rPr>
              <w:t>Lancement de l’appel à propositions «Soutien aux subventions en faveur des compétences numériques»</w:t>
            </w:r>
          </w:p>
        </w:tc>
      </w:tr>
      <w:tr w:rsidR="00A345F4" w14:paraId="1358DB1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6BA2D8F" w14:textId="77777777" w:rsidR="00A345F4" w:rsidRDefault="005E2D4E">
            <w:pPr>
              <w:pStyle w:val="P68B1DB1-Normal73"/>
              <w:spacing w:after="0" w:line="259" w:lineRule="auto"/>
              <w:jc w:val="center"/>
              <w:rPr>
                <w:rFonts w:eastAsia="Times New Roman"/>
                <w:noProof/>
              </w:rPr>
            </w:pPr>
            <w:r>
              <w:rPr>
                <w:noProof/>
              </w:rPr>
              <w:t>256</w:t>
            </w:r>
          </w:p>
        </w:tc>
        <w:tc>
          <w:tcPr>
            <w:tcW w:w="3544" w:type="dxa"/>
            <w:tcBorders>
              <w:top w:val="nil"/>
              <w:left w:val="nil"/>
              <w:bottom w:val="single" w:sz="4" w:space="0" w:color="auto"/>
              <w:right w:val="single" w:sz="4" w:space="0" w:color="auto"/>
            </w:tcBorders>
            <w:shd w:val="clear" w:color="auto" w:fill="C6EFCE"/>
            <w:noWrap/>
          </w:tcPr>
          <w:p w14:paraId="0F72BD1D" w14:textId="77777777" w:rsidR="00A345F4" w:rsidRDefault="005E2D4E">
            <w:pPr>
              <w:pStyle w:val="P68B1DB1-Normal73"/>
              <w:spacing w:after="0" w:line="259" w:lineRule="auto"/>
              <w:jc w:val="both"/>
              <w:rPr>
                <w:noProof/>
              </w:rPr>
            </w:pPr>
            <w:r>
              <w:rPr>
                <w:noProof/>
              </w:rPr>
              <w:t xml:space="preserve">C9.I2.4 </w:t>
            </w:r>
          </w:p>
          <w:p w14:paraId="3FCDC62B" w14:textId="77777777" w:rsidR="00A345F4" w:rsidRDefault="005E2D4E">
            <w:pPr>
              <w:pStyle w:val="P68B1DB1-Normal73"/>
              <w:spacing w:after="0" w:line="259" w:lineRule="auto"/>
              <w:jc w:val="both"/>
              <w:rPr>
                <w:rFonts w:eastAsia="Times New Roman"/>
                <w:noProof/>
              </w:rPr>
            </w:pPr>
            <w:r>
              <w:rPr>
                <w:noProof/>
              </w:rPr>
              <w:t xml:space="preserve">Instruments financiers pour le secteur privé - Fonds pour la numérisation, l'action pour le climat et d'autres domaines d'intérêt </w:t>
            </w:r>
          </w:p>
        </w:tc>
        <w:tc>
          <w:tcPr>
            <w:tcW w:w="1275" w:type="dxa"/>
            <w:tcBorders>
              <w:top w:val="nil"/>
              <w:left w:val="nil"/>
              <w:bottom w:val="single" w:sz="4" w:space="0" w:color="auto"/>
              <w:right w:val="single" w:sz="4" w:space="0" w:color="auto"/>
            </w:tcBorders>
            <w:shd w:val="clear" w:color="auto" w:fill="C6EFCE"/>
            <w:noWrap/>
          </w:tcPr>
          <w:p w14:paraId="54384825"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E349C32" w14:textId="77777777" w:rsidR="00A345F4" w:rsidRDefault="005E2D4E">
            <w:pPr>
              <w:pStyle w:val="P68B1DB1-Normal73"/>
              <w:spacing w:after="0" w:line="259" w:lineRule="auto"/>
              <w:jc w:val="both"/>
              <w:rPr>
                <w:rFonts w:eastAsia="Times New Roman"/>
                <w:noProof/>
              </w:rPr>
            </w:pPr>
            <w:r>
              <w:rPr>
                <w:noProof/>
              </w:rPr>
              <w:t>Établissement de l’instrument financier (ci-après le «Fonds») et adoption de la politique d’investissement du Fonds</w:t>
            </w:r>
          </w:p>
        </w:tc>
      </w:tr>
      <w:tr w:rsidR="00A345F4" w14:paraId="4108680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2D9F2A5" w14:textId="77777777" w:rsidR="00A345F4" w:rsidRDefault="005E2D4E">
            <w:pPr>
              <w:pStyle w:val="P68B1DB1-Normal73"/>
              <w:spacing w:after="0" w:line="259" w:lineRule="auto"/>
              <w:jc w:val="center"/>
              <w:rPr>
                <w:rFonts w:eastAsia="Times New Roman"/>
                <w:noProof/>
              </w:rPr>
            </w:pPr>
            <w:r>
              <w:rPr>
                <w:noProof/>
              </w:rPr>
              <w:t>262</w:t>
            </w:r>
          </w:p>
        </w:tc>
        <w:tc>
          <w:tcPr>
            <w:tcW w:w="3544" w:type="dxa"/>
            <w:tcBorders>
              <w:top w:val="nil"/>
              <w:left w:val="nil"/>
              <w:bottom w:val="single" w:sz="4" w:space="0" w:color="auto"/>
              <w:right w:val="single" w:sz="4" w:space="0" w:color="auto"/>
            </w:tcBorders>
            <w:shd w:val="clear" w:color="auto" w:fill="C6EFCE"/>
            <w:noWrap/>
          </w:tcPr>
          <w:p w14:paraId="0E3E965C" w14:textId="77777777" w:rsidR="00A345F4" w:rsidRDefault="005E2D4E">
            <w:pPr>
              <w:pStyle w:val="P68B1DB1-Normal73"/>
              <w:spacing w:after="0" w:line="259" w:lineRule="auto"/>
              <w:jc w:val="both"/>
              <w:rPr>
                <w:noProof/>
              </w:rPr>
            </w:pPr>
            <w:r>
              <w:rPr>
                <w:noProof/>
              </w:rPr>
              <w:t>C9.I3.1</w:t>
            </w:r>
          </w:p>
          <w:p w14:paraId="121B08EA" w14:textId="77777777" w:rsidR="00A345F4" w:rsidRDefault="005E2D4E">
            <w:pPr>
              <w:pStyle w:val="P68B1DB1-Normal73"/>
              <w:spacing w:after="0" w:line="259" w:lineRule="auto"/>
              <w:jc w:val="both"/>
              <w:rPr>
                <w:rFonts w:eastAsia="Times New Roman"/>
                <w:noProof/>
              </w:rPr>
            </w:pPr>
            <w:r>
              <w:rPr>
                <w:noProof/>
              </w:rPr>
              <w:t xml:space="preserve">Régimes d’aides au secteur privé – Régime d’aides à la numérisation des PME </w:t>
            </w:r>
          </w:p>
        </w:tc>
        <w:tc>
          <w:tcPr>
            <w:tcW w:w="1275" w:type="dxa"/>
            <w:tcBorders>
              <w:top w:val="nil"/>
              <w:left w:val="nil"/>
              <w:bottom w:val="single" w:sz="4" w:space="0" w:color="auto"/>
              <w:right w:val="single" w:sz="4" w:space="0" w:color="auto"/>
            </w:tcBorders>
            <w:shd w:val="clear" w:color="auto" w:fill="C6EFCE"/>
            <w:noWrap/>
          </w:tcPr>
          <w:p w14:paraId="3231A30B"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548B304" w14:textId="77777777" w:rsidR="00A345F4" w:rsidRDefault="005E2D4E">
            <w:pPr>
              <w:pStyle w:val="P68B1DB1-Normal73"/>
              <w:spacing w:after="0" w:line="259" w:lineRule="auto"/>
              <w:jc w:val="both"/>
              <w:rPr>
                <w:rFonts w:eastAsia="Times New Roman"/>
                <w:noProof/>
              </w:rPr>
            </w:pPr>
            <w:r>
              <w:rPr>
                <w:noProof/>
              </w:rPr>
              <w:t xml:space="preserve">Sélection de l'administrateur du régime </w:t>
            </w:r>
          </w:p>
        </w:tc>
      </w:tr>
      <w:tr w:rsidR="00A345F4" w14:paraId="6980141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A8B0078" w14:textId="77777777" w:rsidR="00A345F4" w:rsidRDefault="005E2D4E">
            <w:pPr>
              <w:pStyle w:val="P68B1DB1-Normal73"/>
              <w:spacing w:after="0" w:line="259" w:lineRule="auto"/>
              <w:jc w:val="center"/>
              <w:rPr>
                <w:rFonts w:eastAsia="Times New Roman"/>
                <w:noProof/>
                <w:vertAlign w:val="subscript"/>
              </w:rPr>
            </w:pPr>
            <w:r>
              <w:rPr>
                <w:noProof/>
              </w:rPr>
              <w:t>326</w:t>
            </w:r>
          </w:p>
        </w:tc>
        <w:tc>
          <w:tcPr>
            <w:tcW w:w="3544" w:type="dxa"/>
            <w:tcBorders>
              <w:top w:val="nil"/>
              <w:left w:val="nil"/>
              <w:bottom w:val="single" w:sz="4" w:space="0" w:color="auto"/>
              <w:right w:val="single" w:sz="4" w:space="0" w:color="auto"/>
            </w:tcBorders>
            <w:shd w:val="clear" w:color="auto" w:fill="C6EFCE"/>
            <w:noWrap/>
          </w:tcPr>
          <w:p w14:paraId="419E0370" w14:textId="77777777" w:rsidR="00A345F4" w:rsidRDefault="005E2D4E">
            <w:pPr>
              <w:pStyle w:val="P68B1DB1-Normal73"/>
              <w:spacing w:after="0" w:line="259" w:lineRule="auto"/>
              <w:jc w:val="both"/>
              <w:rPr>
                <w:noProof/>
              </w:rPr>
            </w:pPr>
            <w:r>
              <w:rPr>
                <w:noProof/>
              </w:rPr>
              <w:t>C11.R1</w:t>
            </w:r>
          </w:p>
          <w:p w14:paraId="65F6C5AA" w14:textId="77777777" w:rsidR="00A345F4" w:rsidRDefault="005E2D4E">
            <w:pPr>
              <w:pStyle w:val="P68B1DB1-Normal73"/>
              <w:spacing w:after="0" w:line="259" w:lineRule="auto"/>
              <w:jc w:val="both"/>
              <w:rPr>
                <w:rFonts w:eastAsia="Times New Roman"/>
                <w:noProof/>
              </w:rPr>
            </w:pPr>
            <w:r>
              <w:rPr>
                <w:noProof/>
              </w:rPr>
              <w:t xml:space="preserve">Opérationnalisation des organisations de gestion des destinations (OMD) </w:t>
            </w:r>
          </w:p>
        </w:tc>
        <w:tc>
          <w:tcPr>
            <w:tcW w:w="1275" w:type="dxa"/>
            <w:tcBorders>
              <w:top w:val="nil"/>
              <w:left w:val="nil"/>
              <w:bottom w:val="single" w:sz="4" w:space="0" w:color="auto"/>
              <w:right w:val="single" w:sz="4" w:space="0" w:color="auto"/>
            </w:tcBorders>
            <w:shd w:val="clear" w:color="auto" w:fill="C6EFCE"/>
            <w:noWrap/>
          </w:tcPr>
          <w:p w14:paraId="4709ECC4"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2CCE528" w14:textId="77777777" w:rsidR="00A345F4" w:rsidRDefault="005E2D4E">
            <w:pPr>
              <w:pStyle w:val="P68B1DB1-Normal73"/>
              <w:spacing w:after="0" w:line="259" w:lineRule="auto"/>
              <w:jc w:val="both"/>
              <w:rPr>
                <w:rFonts w:eastAsia="Times New Roman"/>
                <w:noProof/>
              </w:rPr>
            </w:pPr>
            <w:r>
              <w:rPr>
                <w:noProof/>
              </w:rPr>
              <w:t>Toutes les zones de destination optimales pour les organisations régionales de gestion des destinations (DMO) en Roumanie cartographiées</w:t>
            </w:r>
          </w:p>
        </w:tc>
      </w:tr>
      <w:tr w:rsidR="00A345F4" w14:paraId="35028E6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18F60B0" w14:textId="77777777" w:rsidR="00A345F4" w:rsidRDefault="005E2D4E">
            <w:pPr>
              <w:pStyle w:val="P68B1DB1-Normal73"/>
              <w:spacing w:after="0" w:line="259" w:lineRule="auto"/>
              <w:jc w:val="center"/>
              <w:rPr>
                <w:rFonts w:eastAsia="Times New Roman"/>
                <w:noProof/>
              </w:rPr>
            </w:pPr>
            <w:r>
              <w:rPr>
                <w:noProof/>
              </w:rPr>
              <w:t>327</w:t>
            </w:r>
          </w:p>
        </w:tc>
        <w:tc>
          <w:tcPr>
            <w:tcW w:w="3544" w:type="dxa"/>
            <w:tcBorders>
              <w:top w:val="nil"/>
              <w:left w:val="nil"/>
              <w:bottom w:val="single" w:sz="4" w:space="0" w:color="auto"/>
              <w:right w:val="single" w:sz="4" w:space="0" w:color="auto"/>
            </w:tcBorders>
            <w:shd w:val="clear" w:color="auto" w:fill="C6EFCE"/>
            <w:noWrap/>
          </w:tcPr>
          <w:p w14:paraId="247D31D5" w14:textId="77777777" w:rsidR="00A345F4" w:rsidRDefault="005E2D4E">
            <w:pPr>
              <w:pStyle w:val="P68B1DB1-Normal73"/>
              <w:spacing w:after="0" w:line="259" w:lineRule="auto"/>
              <w:jc w:val="both"/>
              <w:rPr>
                <w:noProof/>
              </w:rPr>
            </w:pPr>
            <w:r>
              <w:rPr>
                <w:noProof/>
              </w:rPr>
              <w:t>C11.R1</w:t>
            </w:r>
          </w:p>
          <w:p w14:paraId="71ED6F73" w14:textId="77777777" w:rsidR="00A345F4" w:rsidRDefault="005E2D4E">
            <w:pPr>
              <w:pStyle w:val="P68B1DB1-Normal73"/>
              <w:spacing w:after="0" w:line="259" w:lineRule="auto"/>
              <w:jc w:val="both"/>
              <w:rPr>
                <w:rFonts w:eastAsia="Times New Roman"/>
                <w:noProof/>
              </w:rPr>
            </w:pPr>
            <w:r>
              <w:rPr>
                <w:noProof/>
              </w:rPr>
              <w:t>Opérationnalisation des organisations de gestion des destinations (OMD)</w:t>
            </w:r>
          </w:p>
        </w:tc>
        <w:tc>
          <w:tcPr>
            <w:tcW w:w="1275" w:type="dxa"/>
            <w:tcBorders>
              <w:top w:val="nil"/>
              <w:left w:val="nil"/>
              <w:bottom w:val="single" w:sz="4" w:space="0" w:color="auto"/>
              <w:right w:val="single" w:sz="4" w:space="0" w:color="auto"/>
            </w:tcBorders>
            <w:shd w:val="clear" w:color="auto" w:fill="C6EFCE"/>
            <w:noWrap/>
          </w:tcPr>
          <w:p w14:paraId="3CD97C06"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E77C5B9" w14:textId="77777777" w:rsidR="00A345F4" w:rsidRDefault="005E2D4E">
            <w:pPr>
              <w:pStyle w:val="P68B1DB1-Normal73"/>
              <w:spacing w:after="0" w:line="259" w:lineRule="auto"/>
              <w:jc w:val="both"/>
              <w:rPr>
                <w:noProof/>
              </w:rPr>
            </w:pPr>
            <w:r>
              <w:rPr>
                <w:noProof/>
              </w:rPr>
              <w:t>Plan d'action pour l'utilisation du patrimoine culturel afin d'accroître la compétitivité du secteur touristique roumain</w:t>
            </w:r>
          </w:p>
          <w:p w14:paraId="53E9385A" w14:textId="77777777" w:rsidR="00A345F4" w:rsidRDefault="00A345F4">
            <w:pPr>
              <w:spacing w:after="0" w:line="259" w:lineRule="auto"/>
              <w:jc w:val="both"/>
              <w:rPr>
                <w:rFonts w:ascii="Times New Roman" w:eastAsia="Aptos" w:hAnsi="Times New Roman" w:cs="Times New Roman"/>
                <w:noProof/>
                <w:kern w:val="2"/>
                <w:sz w:val="22"/>
                <w:szCs w:val="22"/>
                <w14:ligatures w14:val="standardContextual"/>
              </w:rPr>
            </w:pPr>
          </w:p>
          <w:p w14:paraId="3523AF22" w14:textId="77777777" w:rsidR="00A345F4" w:rsidRDefault="00A345F4">
            <w:pPr>
              <w:spacing w:after="0" w:line="259" w:lineRule="auto"/>
              <w:jc w:val="both"/>
              <w:rPr>
                <w:rFonts w:ascii="Times New Roman" w:eastAsia="Times New Roman" w:hAnsi="Times New Roman" w:cs="Times New Roman"/>
                <w:noProof/>
                <w:kern w:val="2"/>
                <w:sz w:val="22"/>
                <w:szCs w:val="22"/>
                <w14:ligatures w14:val="standardContextual"/>
              </w:rPr>
            </w:pPr>
          </w:p>
        </w:tc>
      </w:tr>
      <w:tr w:rsidR="00A345F4" w14:paraId="46B73B7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1E0A91" w14:textId="77777777" w:rsidR="00A345F4" w:rsidRDefault="005E2D4E">
            <w:pPr>
              <w:pStyle w:val="P68B1DB1-Normal73"/>
              <w:spacing w:after="0" w:line="259" w:lineRule="auto"/>
              <w:jc w:val="center"/>
              <w:rPr>
                <w:rFonts w:eastAsia="Times New Roman"/>
                <w:noProof/>
              </w:rPr>
            </w:pPr>
            <w:r>
              <w:rPr>
                <w:noProof/>
              </w:rPr>
              <w:t>331</w:t>
            </w:r>
          </w:p>
        </w:tc>
        <w:tc>
          <w:tcPr>
            <w:tcW w:w="3544" w:type="dxa"/>
            <w:tcBorders>
              <w:top w:val="nil"/>
              <w:left w:val="nil"/>
              <w:bottom w:val="single" w:sz="4" w:space="0" w:color="auto"/>
              <w:right w:val="single" w:sz="4" w:space="0" w:color="auto"/>
            </w:tcBorders>
            <w:shd w:val="clear" w:color="auto" w:fill="C6EFCE"/>
            <w:noWrap/>
          </w:tcPr>
          <w:p w14:paraId="21882DE6" w14:textId="77777777" w:rsidR="00A345F4" w:rsidRDefault="005E2D4E">
            <w:pPr>
              <w:pStyle w:val="P68B1DB1-Normal73"/>
              <w:spacing w:after="0" w:line="259" w:lineRule="auto"/>
              <w:jc w:val="both"/>
              <w:rPr>
                <w:noProof/>
              </w:rPr>
            </w:pPr>
            <w:r>
              <w:rPr>
                <w:noProof/>
              </w:rPr>
              <w:t>C11.I1</w:t>
            </w:r>
          </w:p>
          <w:p w14:paraId="0055A680" w14:textId="77777777" w:rsidR="00A345F4" w:rsidRDefault="005E2D4E">
            <w:pPr>
              <w:pStyle w:val="P68B1DB1-Normal73"/>
              <w:spacing w:after="0" w:line="259" w:lineRule="auto"/>
              <w:jc w:val="both"/>
              <w:rPr>
                <w:rFonts w:eastAsia="Times New Roman"/>
                <w:noProof/>
              </w:rPr>
            </w:pPr>
            <w:r>
              <w:rPr>
                <w:noProof/>
              </w:rPr>
              <w:t xml:space="preserve">Promotion des 12 itinéraires touristiques/culturels </w:t>
            </w:r>
          </w:p>
        </w:tc>
        <w:tc>
          <w:tcPr>
            <w:tcW w:w="1275" w:type="dxa"/>
            <w:tcBorders>
              <w:top w:val="nil"/>
              <w:left w:val="nil"/>
              <w:bottom w:val="single" w:sz="4" w:space="0" w:color="auto"/>
              <w:right w:val="single" w:sz="4" w:space="0" w:color="auto"/>
            </w:tcBorders>
            <w:shd w:val="clear" w:color="auto" w:fill="C6EFCE"/>
            <w:noWrap/>
          </w:tcPr>
          <w:p w14:paraId="70E13D16" w14:textId="77777777" w:rsidR="00A345F4" w:rsidRDefault="005E2D4E">
            <w:pPr>
              <w:pStyle w:val="P68B1DB1-Normal73"/>
              <w:spacing w:after="0" w:line="259" w:lineRule="auto"/>
              <w:jc w:val="center"/>
              <w:rPr>
                <w:rFonts w:eastAsia="Times New Roman"/>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0BF164DD" w14:textId="77777777" w:rsidR="00A345F4" w:rsidRDefault="005E2D4E">
            <w:pPr>
              <w:pStyle w:val="P68B1DB1-Normal73"/>
              <w:spacing w:after="0" w:line="259" w:lineRule="auto"/>
              <w:jc w:val="both"/>
              <w:rPr>
                <w:rFonts w:eastAsia="Times New Roman"/>
                <w:noProof/>
              </w:rPr>
            </w:pPr>
            <w:r>
              <w:rPr>
                <w:noProof/>
              </w:rPr>
              <w:t>Sites à inclure dans les itinéraires culturels</w:t>
            </w:r>
          </w:p>
        </w:tc>
      </w:tr>
      <w:tr w:rsidR="00A345F4" w14:paraId="43C78F5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E721601" w14:textId="77777777" w:rsidR="00A345F4" w:rsidRDefault="005E2D4E">
            <w:pPr>
              <w:pStyle w:val="P68B1DB1-Normal73"/>
              <w:spacing w:after="0" w:line="259" w:lineRule="auto"/>
              <w:jc w:val="center"/>
              <w:rPr>
                <w:rFonts w:eastAsia="Times New Roman"/>
                <w:noProof/>
              </w:rPr>
            </w:pPr>
            <w:r>
              <w:rPr>
                <w:noProof/>
              </w:rPr>
              <w:t>338</w:t>
            </w:r>
          </w:p>
        </w:tc>
        <w:tc>
          <w:tcPr>
            <w:tcW w:w="3544" w:type="dxa"/>
            <w:tcBorders>
              <w:top w:val="nil"/>
              <w:left w:val="nil"/>
              <w:bottom w:val="single" w:sz="4" w:space="0" w:color="auto"/>
              <w:right w:val="single" w:sz="4" w:space="0" w:color="auto"/>
            </w:tcBorders>
            <w:shd w:val="clear" w:color="auto" w:fill="C6EFCE"/>
            <w:noWrap/>
          </w:tcPr>
          <w:p w14:paraId="79C31E45" w14:textId="77777777" w:rsidR="00A345F4" w:rsidRDefault="005E2D4E">
            <w:pPr>
              <w:pStyle w:val="P68B1DB1-Normal73"/>
              <w:spacing w:after="0" w:line="259" w:lineRule="auto"/>
              <w:jc w:val="both"/>
              <w:rPr>
                <w:noProof/>
              </w:rPr>
            </w:pPr>
            <w:r>
              <w:rPr>
                <w:noProof/>
              </w:rPr>
              <w:t>C11.R2</w:t>
            </w:r>
          </w:p>
          <w:p w14:paraId="4D6D2B49" w14:textId="77777777" w:rsidR="00A345F4" w:rsidRDefault="005E2D4E">
            <w:pPr>
              <w:pStyle w:val="P68B1DB1-Normal73"/>
              <w:spacing w:after="0" w:line="259" w:lineRule="auto"/>
              <w:jc w:val="both"/>
              <w:rPr>
                <w:rFonts w:eastAsia="Times New Roman"/>
                <w:noProof/>
              </w:rPr>
            </w:pPr>
            <w:r>
              <w:rPr>
                <w:noProof/>
              </w:rPr>
              <w:t xml:space="preserve">Cadre pour la mise en service des pistes cyclables au niveau national </w:t>
            </w:r>
          </w:p>
        </w:tc>
        <w:tc>
          <w:tcPr>
            <w:tcW w:w="1275" w:type="dxa"/>
            <w:tcBorders>
              <w:top w:val="nil"/>
              <w:left w:val="nil"/>
              <w:bottom w:val="single" w:sz="4" w:space="0" w:color="auto"/>
              <w:right w:val="single" w:sz="4" w:space="0" w:color="auto"/>
            </w:tcBorders>
            <w:shd w:val="clear" w:color="auto" w:fill="C6EFCE"/>
            <w:noWrap/>
          </w:tcPr>
          <w:p w14:paraId="702270D9"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4503329" w14:textId="77777777" w:rsidR="00A345F4" w:rsidRDefault="005E2D4E">
            <w:pPr>
              <w:pStyle w:val="P68B1DB1-Normal73"/>
              <w:spacing w:after="0" w:line="259" w:lineRule="auto"/>
              <w:jc w:val="both"/>
              <w:rPr>
                <w:rFonts w:eastAsia="Times New Roman"/>
                <w:noProof/>
              </w:rPr>
            </w:pPr>
            <w:r>
              <w:rPr>
                <w:noProof/>
              </w:rPr>
              <w:t xml:space="preserve">Entrée en vigueur du cadre réglementaire relatif au cyclotourisme </w:t>
            </w:r>
          </w:p>
        </w:tc>
      </w:tr>
      <w:tr w:rsidR="00A345F4" w14:paraId="72B0982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9D23E7D" w14:textId="77777777" w:rsidR="00A345F4" w:rsidRDefault="005E2D4E">
            <w:pPr>
              <w:pStyle w:val="P68B1DB1-Normal73"/>
              <w:spacing w:after="0" w:line="259" w:lineRule="auto"/>
              <w:jc w:val="center"/>
              <w:rPr>
                <w:rFonts w:eastAsia="Times New Roman"/>
                <w:noProof/>
              </w:rPr>
            </w:pPr>
            <w:r>
              <w:rPr>
                <w:noProof/>
              </w:rPr>
              <w:t>30</w:t>
            </w:r>
          </w:p>
        </w:tc>
        <w:tc>
          <w:tcPr>
            <w:tcW w:w="3544" w:type="dxa"/>
            <w:tcBorders>
              <w:top w:val="nil"/>
              <w:left w:val="nil"/>
              <w:bottom w:val="single" w:sz="4" w:space="0" w:color="auto"/>
              <w:right w:val="single" w:sz="4" w:space="0" w:color="auto"/>
            </w:tcBorders>
            <w:shd w:val="clear" w:color="auto" w:fill="C6EFCE"/>
            <w:noWrap/>
          </w:tcPr>
          <w:p w14:paraId="71B42B5B" w14:textId="77777777" w:rsidR="00A345F4" w:rsidRDefault="005E2D4E">
            <w:pPr>
              <w:pStyle w:val="P68B1DB1-Normal73"/>
              <w:spacing w:after="0" w:line="259" w:lineRule="auto"/>
              <w:jc w:val="both"/>
              <w:rPr>
                <w:noProof/>
              </w:rPr>
            </w:pPr>
            <w:r>
              <w:rPr>
                <w:noProof/>
              </w:rPr>
              <w:t>C2.R2</w:t>
            </w:r>
          </w:p>
          <w:p w14:paraId="27F03C1E" w14:textId="77777777" w:rsidR="00A345F4" w:rsidRDefault="005E2D4E">
            <w:pPr>
              <w:pStyle w:val="P68B1DB1-Normal73"/>
              <w:spacing w:after="0" w:line="259" w:lineRule="auto"/>
              <w:jc w:val="both"/>
              <w:rPr>
                <w:rFonts w:eastAsia="Times New Roman"/>
                <w:noProof/>
              </w:rPr>
            </w:pPr>
            <w:r>
              <w:rPr>
                <w:noProof/>
              </w:rPr>
              <w:t>Réforme du système de gestion des zones naturelles protégées pour la stratégie européenne en faveur de la biodiversité</w:t>
            </w:r>
          </w:p>
        </w:tc>
        <w:tc>
          <w:tcPr>
            <w:tcW w:w="1275" w:type="dxa"/>
            <w:tcBorders>
              <w:top w:val="nil"/>
              <w:left w:val="nil"/>
              <w:bottom w:val="single" w:sz="4" w:space="0" w:color="auto"/>
              <w:right w:val="single" w:sz="4" w:space="0" w:color="auto"/>
            </w:tcBorders>
            <w:shd w:val="clear" w:color="auto" w:fill="C6EFCE"/>
            <w:noWrap/>
          </w:tcPr>
          <w:p w14:paraId="463F20B1"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ED5FF50" w14:textId="77777777" w:rsidR="00A345F4" w:rsidRDefault="005E2D4E">
            <w:pPr>
              <w:pStyle w:val="P68B1DB1-Normal73"/>
              <w:spacing w:after="0" w:line="259" w:lineRule="auto"/>
              <w:jc w:val="both"/>
              <w:rPr>
                <w:rFonts w:eastAsia="Times New Roman"/>
                <w:noProof/>
              </w:rPr>
            </w:pPr>
            <w:r>
              <w:rPr>
                <w:noProof/>
              </w:rPr>
              <w:t xml:space="preserve">Entrée en vigueur de l’acte législatif instituant le comité interinstitutionnel chargé d’analyser le cadre juridique applicable aux secteurs ayant une incidence sur la biodiversité </w:t>
            </w:r>
          </w:p>
        </w:tc>
      </w:tr>
      <w:tr w:rsidR="00A345F4" w14:paraId="3A3048B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BCAB06A" w14:textId="77777777" w:rsidR="00A345F4" w:rsidRDefault="005E2D4E">
            <w:pPr>
              <w:pStyle w:val="P68B1DB1-Normal73"/>
              <w:spacing w:after="0" w:line="259" w:lineRule="auto"/>
              <w:jc w:val="center"/>
              <w:rPr>
                <w:noProof/>
              </w:rPr>
            </w:pPr>
            <w:r>
              <w:rPr>
                <w:noProof/>
              </w:rPr>
              <w:t>97</w:t>
            </w:r>
          </w:p>
        </w:tc>
        <w:tc>
          <w:tcPr>
            <w:tcW w:w="3544" w:type="dxa"/>
            <w:tcBorders>
              <w:top w:val="nil"/>
              <w:left w:val="nil"/>
              <w:bottom w:val="single" w:sz="4" w:space="0" w:color="auto"/>
              <w:right w:val="single" w:sz="4" w:space="0" w:color="auto"/>
            </w:tcBorders>
            <w:shd w:val="clear" w:color="auto" w:fill="C6EFCE"/>
            <w:noWrap/>
          </w:tcPr>
          <w:p w14:paraId="29DECA05" w14:textId="77777777" w:rsidR="00A345F4" w:rsidRDefault="005E2D4E">
            <w:pPr>
              <w:pStyle w:val="P68B1DB1-Normal73"/>
              <w:spacing w:after="0" w:line="259" w:lineRule="auto"/>
              <w:jc w:val="both"/>
              <w:rPr>
                <w:noProof/>
              </w:rPr>
            </w:pPr>
            <w:r>
              <w:rPr>
                <w:noProof/>
              </w:rPr>
              <w:t>C5.I1</w:t>
            </w:r>
          </w:p>
          <w:p w14:paraId="62F8F0DD" w14:textId="77777777" w:rsidR="00A345F4" w:rsidRDefault="005E2D4E">
            <w:pPr>
              <w:pStyle w:val="P68B1DB1-Normal73"/>
              <w:spacing w:after="0" w:line="259" w:lineRule="auto"/>
              <w:jc w:val="both"/>
              <w:rPr>
                <w:noProof/>
              </w:rPr>
            </w:pPr>
            <w:r>
              <w:rPr>
                <w:noProof/>
              </w:rPr>
              <w:t>Mise en place d’un fonds pour la vague de rénovations afin de financer des travaux visant à accroître l’efficacité énergétique du parc immobilier existant</w:t>
            </w:r>
          </w:p>
        </w:tc>
        <w:tc>
          <w:tcPr>
            <w:tcW w:w="1275" w:type="dxa"/>
            <w:tcBorders>
              <w:top w:val="nil"/>
              <w:left w:val="nil"/>
              <w:bottom w:val="single" w:sz="4" w:space="0" w:color="auto"/>
              <w:right w:val="single" w:sz="4" w:space="0" w:color="auto"/>
            </w:tcBorders>
            <w:shd w:val="clear" w:color="auto" w:fill="C6EFCE"/>
            <w:noWrap/>
          </w:tcPr>
          <w:p w14:paraId="033D4054"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FD99B86" w14:textId="77777777" w:rsidR="00A345F4" w:rsidRDefault="005E2D4E">
            <w:pPr>
              <w:pStyle w:val="P68B1DB1-Normal73"/>
              <w:spacing w:after="0" w:line="259" w:lineRule="auto"/>
              <w:jc w:val="both"/>
              <w:rPr>
                <w:noProof/>
              </w:rPr>
            </w:pPr>
            <w:r>
              <w:rPr>
                <w:noProof/>
              </w:rPr>
              <w:t>Appels à propositions pour la rénovation énergétique et la rénovation intégrée (consolidation sismique et efficacité énergétique) des bâtiments résidentiels</w:t>
            </w:r>
          </w:p>
        </w:tc>
      </w:tr>
      <w:tr w:rsidR="00A345F4" w14:paraId="74542D8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9614CB8" w14:textId="77777777" w:rsidR="00A345F4" w:rsidRDefault="005E2D4E">
            <w:pPr>
              <w:pStyle w:val="P68B1DB1-Normal73"/>
              <w:spacing w:after="0" w:line="259" w:lineRule="auto"/>
              <w:jc w:val="center"/>
              <w:rPr>
                <w:noProof/>
              </w:rPr>
            </w:pPr>
            <w:r>
              <w:rPr>
                <w:noProof/>
              </w:rPr>
              <w:t>98</w:t>
            </w:r>
          </w:p>
        </w:tc>
        <w:tc>
          <w:tcPr>
            <w:tcW w:w="3544" w:type="dxa"/>
            <w:tcBorders>
              <w:top w:val="nil"/>
              <w:left w:val="nil"/>
              <w:bottom w:val="single" w:sz="4" w:space="0" w:color="auto"/>
              <w:right w:val="single" w:sz="4" w:space="0" w:color="auto"/>
            </w:tcBorders>
            <w:shd w:val="clear" w:color="auto" w:fill="C6EFCE"/>
            <w:noWrap/>
          </w:tcPr>
          <w:p w14:paraId="54C9254E" w14:textId="77777777" w:rsidR="00A345F4" w:rsidRDefault="005E2D4E">
            <w:pPr>
              <w:pStyle w:val="P68B1DB1-Normal73"/>
              <w:spacing w:after="0" w:line="259" w:lineRule="auto"/>
              <w:jc w:val="both"/>
              <w:rPr>
                <w:noProof/>
              </w:rPr>
            </w:pPr>
            <w:r>
              <w:rPr>
                <w:noProof/>
              </w:rPr>
              <w:t>C5.I1</w:t>
            </w:r>
          </w:p>
          <w:p w14:paraId="43A901D8" w14:textId="77777777" w:rsidR="00A345F4" w:rsidRDefault="005E2D4E">
            <w:pPr>
              <w:pStyle w:val="P68B1DB1-Normal73"/>
              <w:spacing w:after="0" w:line="259" w:lineRule="auto"/>
              <w:jc w:val="both"/>
              <w:rPr>
                <w:noProof/>
              </w:rPr>
            </w:pPr>
            <w:r>
              <w:rPr>
                <w:noProof/>
              </w:rPr>
              <w:t>Mise en place d’un fonds pour la vague de rénovations afin de financer des travaux visant à accroître l’efficacité énergétique du parc immobilier existant</w:t>
            </w:r>
          </w:p>
        </w:tc>
        <w:tc>
          <w:tcPr>
            <w:tcW w:w="1275" w:type="dxa"/>
            <w:tcBorders>
              <w:top w:val="nil"/>
              <w:left w:val="nil"/>
              <w:bottom w:val="single" w:sz="4" w:space="0" w:color="auto"/>
              <w:right w:val="single" w:sz="4" w:space="0" w:color="auto"/>
            </w:tcBorders>
            <w:shd w:val="clear" w:color="auto" w:fill="C6EFCE"/>
            <w:noWrap/>
          </w:tcPr>
          <w:p w14:paraId="45B89382"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4FFCC79" w14:textId="77777777" w:rsidR="00A345F4" w:rsidRDefault="005E2D4E">
            <w:pPr>
              <w:pStyle w:val="P68B1DB1-Normal73"/>
              <w:spacing w:after="0" w:line="259" w:lineRule="auto"/>
              <w:jc w:val="both"/>
              <w:rPr>
                <w:noProof/>
              </w:rPr>
            </w:pPr>
            <w:r>
              <w:rPr>
                <w:noProof/>
              </w:rPr>
              <w:t>Appel à propositions pour la rénovation énergétique et la rénovation intégrée (consolidation sismique et efficacité énergétique) (bâtiments publics)</w:t>
            </w:r>
          </w:p>
        </w:tc>
      </w:tr>
      <w:tr w:rsidR="00A345F4" w14:paraId="35DCC7F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C635946" w14:textId="77777777" w:rsidR="00A345F4" w:rsidRDefault="005E2D4E">
            <w:pPr>
              <w:pStyle w:val="P68B1DB1-Normal73"/>
              <w:spacing w:after="0" w:line="259" w:lineRule="auto"/>
              <w:jc w:val="center"/>
              <w:rPr>
                <w:noProof/>
              </w:rPr>
            </w:pPr>
            <w:r>
              <w:rPr>
                <w:noProof/>
              </w:rPr>
              <w:t>129</w:t>
            </w:r>
          </w:p>
        </w:tc>
        <w:tc>
          <w:tcPr>
            <w:tcW w:w="3544" w:type="dxa"/>
            <w:tcBorders>
              <w:top w:val="nil"/>
              <w:left w:val="nil"/>
              <w:bottom w:val="single" w:sz="4" w:space="0" w:color="auto"/>
              <w:right w:val="single" w:sz="4" w:space="0" w:color="auto"/>
            </w:tcBorders>
            <w:shd w:val="clear" w:color="auto" w:fill="C6EFCE"/>
            <w:noWrap/>
          </w:tcPr>
          <w:p w14:paraId="6A64CC56" w14:textId="77777777" w:rsidR="00A345F4" w:rsidRDefault="005E2D4E">
            <w:pPr>
              <w:pStyle w:val="P68B1DB1-Normal73"/>
              <w:spacing w:after="0" w:line="259" w:lineRule="auto"/>
              <w:jc w:val="both"/>
              <w:rPr>
                <w:noProof/>
              </w:rPr>
            </w:pPr>
            <w:r>
              <w:rPr>
                <w:noProof/>
              </w:rPr>
              <w:t>C6.I2</w:t>
            </w:r>
          </w:p>
          <w:p w14:paraId="37FFED63" w14:textId="77777777" w:rsidR="00A345F4" w:rsidRDefault="005E2D4E">
            <w:pPr>
              <w:pStyle w:val="P68B1DB1-Normal74"/>
              <w:spacing w:after="0" w:line="259" w:lineRule="auto"/>
              <w:jc w:val="both"/>
              <w:rPr>
                <w:noProof/>
              </w:rPr>
            </w:pPr>
            <w:r>
              <w:rPr>
                <w:noProof/>
              </w:rPr>
              <w:t xml:space="preserve"> Capacités de production d’hydrogène vert destinées au stockage de l’électricité et/ou à la décarbonation de l’industrie</w:t>
            </w:r>
          </w:p>
        </w:tc>
        <w:tc>
          <w:tcPr>
            <w:tcW w:w="1275" w:type="dxa"/>
            <w:tcBorders>
              <w:top w:val="nil"/>
              <w:left w:val="nil"/>
              <w:bottom w:val="single" w:sz="4" w:space="0" w:color="auto"/>
              <w:right w:val="single" w:sz="4" w:space="0" w:color="auto"/>
            </w:tcBorders>
            <w:shd w:val="clear" w:color="auto" w:fill="C6EFCE"/>
            <w:noWrap/>
          </w:tcPr>
          <w:p w14:paraId="7042C940"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D2F97BB" w14:textId="1BA91CDB" w:rsidR="00A345F4" w:rsidRDefault="005E2D4E">
            <w:pPr>
              <w:pStyle w:val="P68B1DB1-Normal79"/>
              <w:spacing w:after="0" w:line="259" w:lineRule="auto"/>
              <w:jc w:val="both"/>
              <w:rPr>
                <w:rFonts w:ascii="Times New Roman" w:eastAsia="Aptos" w:hAnsi="Times New Roman" w:cs="Times New Roman"/>
                <w:noProof/>
              </w:rPr>
            </w:pPr>
            <w:r>
              <w:rPr>
                <w:rFonts w:ascii="Times New Roman" w:hAnsi="Times New Roman" w:cs="Times New Roman"/>
                <w:noProof/>
              </w:rPr>
              <w:t>Signature de contrats pour la construction d'au moins 60 MW</w:t>
            </w:r>
            <w:r>
              <w:rPr>
                <w:rFonts w:ascii="Times New Roman" w:eastAsia="Times New Roman" w:hAnsi="Times New Roman" w:cs="Times New Roman"/>
                <w:noProof/>
                <w:vertAlign w:val="subscript"/>
              </w:rPr>
              <w:t xml:space="preserve"> H2</w:t>
            </w:r>
            <w:r>
              <w:rPr>
                <w:rFonts w:ascii="Times New Roman" w:eastAsia="Aptos" w:hAnsi="Times New Roman" w:cs="Times New Roman"/>
                <w:noProof/>
              </w:rPr>
              <w:t xml:space="preserve"> de nouvelle capacité d'électrolyseurs</w:t>
            </w:r>
          </w:p>
        </w:tc>
      </w:tr>
      <w:tr w:rsidR="00A345F4" w14:paraId="389090F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1EFF8D6" w14:textId="77777777" w:rsidR="00A345F4" w:rsidRDefault="005E2D4E">
            <w:pPr>
              <w:pStyle w:val="P68B1DB1-Normal73"/>
              <w:spacing w:after="0" w:line="259" w:lineRule="auto"/>
              <w:jc w:val="center"/>
              <w:rPr>
                <w:noProof/>
              </w:rPr>
            </w:pPr>
            <w:r>
              <w:rPr>
                <w:noProof/>
              </w:rPr>
              <w:t>133</w:t>
            </w:r>
          </w:p>
        </w:tc>
        <w:tc>
          <w:tcPr>
            <w:tcW w:w="3544" w:type="dxa"/>
            <w:tcBorders>
              <w:top w:val="nil"/>
              <w:left w:val="nil"/>
              <w:bottom w:val="single" w:sz="4" w:space="0" w:color="auto"/>
              <w:right w:val="single" w:sz="4" w:space="0" w:color="auto"/>
            </w:tcBorders>
            <w:shd w:val="clear" w:color="auto" w:fill="C6EFCE"/>
            <w:noWrap/>
          </w:tcPr>
          <w:p w14:paraId="1E2A2D18" w14:textId="77777777" w:rsidR="00A345F4" w:rsidRDefault="005E2D4E">
            <w:pPr>
              <w:pStyle w:val="P68B1DB1-Normal73"/>
              <w:spacing w:after="0" w:line="259" w:lineRule="auto"/>
              <w:jc w:val="both"/>
              <w:rPr>
                <w:noProof/>
              </w:rPr>
            </w:pPr>
            <w:r>
              <w:rPr>
                <w:noProof/>
              </w:rPr>
              <w:t>C6.I3</w:t>
            </w:r>
          </w:p>
          <w:p w14:paraId="5310B53A" w14:textId="77777777" w:rsidR="00A345F4" w:rsidRDefault="005E2D4E">
            <w:pPr>
              <w:pStyle w:val="P68B1DB1-Normal73"/>
              <w:spacing w:after="0" w:line="259" w:lineRule="auto"/>
              <w:jc w:val="both"/>
              <w:rPr>
                <w:noProof/>
              </w:rPr>
            </w:pPr>
            <w:r>
              <w:rPr>
                <w:noProof/>
              </w:rPr>
              <w:t>Construction de systèmes de production combinée de chaleur et d'électricité (PCCE) flexibles et à haut rendement au gaz pour le chauffage urbain</w:t>
            </w:r>
          </w:p>
        </w:tc>
        <w:tc>
          <w:tcPr>
            <w:tcW w:w="1275" w:type="dxa"/>
            <w:tcBorders>
              <w:top w:val="nil"/>
              <w:left w:val="nil"/>
              <w:bottom w:val="single" w:sz="4" w:space="0" w:color="auto"/>
              <w:right w:val="single" w:sz="4" w:space="0" w:color="auto"/>
            </w:tcBorders>
            <w:shd w:val="clear" w:color="auto" w:fill="C6EFCE"/>
            <w:noWrap/>
          </w:tcPr>
          <w:p w14:paraId="43056529"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106AFBC" w14:textId="77777777" w:rsidR="00A345F4" w:rsidRDefault="005E2D4E">
            <w:pPr>
              <w:pStyle w:val="P68B1DB1-Normal73"/>
              <w:spacing w:after="0" w:line="259" w:lineRule="auto"/>
              <w:jc w:val="both"/>
              <w:rPr>
                <w:noProof/>
              </w:rPr>
            </w:pPr>
            <w:r>
              <w:rPr>
                <w:noProof/>
              </w:rPr>
              <w:t>Signature de contrats pour des projets de cogénération au gaz et de chauffage urbain à haut rendement</w:t>
            </w:r>
          </w:p>
        </w:tc>
      </w:tr>
      <w:tr w:rsidR="00A345F4" w14:paraId="27FE05B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D16537C" w14:textId="77777777" w:rsidR="00A345F4" w:rsidRDefault="005E2D4E">
            <w:pPr>
              <w:pStyle w:val="P68B1DB1-Normal73"/>
              <w:spacing w:after="0" w:line="259" w:lineRule="auto"/>
              <w:jc w:val="center"/>
              <w:rPr>
                <w:noProof/>
              </w:rPr>
            </w:pPr>
            <w:r>
              <w:rPr>
                <w:noProof/>
              </w:rPr>
              <w:t>140</w:t>
            </w:r>
          </w:p>
        </w:tc>
        <w:tc>
          <w:tcPr>
            <w:tcW w:w="3544" w:type="dxa"/>
            <w:tcBorders>
              <w:top w:val="nil"/>
              <w:left w:val="nil"/>
              <w:bottom w:val="single" w:sz="4" w:space="0" w:color="auto"/>
              <w:right w:val="single" w:sz="4" w:space="0" w:color="auto"/>
            </w:tcBorders>
            <w:shd w:val="clear" w:color="auto" w:fill="C6EFCE"/>
            <w:noWrap/>
          </w:tcPr>
          <w:p w14:paraId="7C8D8A45" w14:textId="77777777" w:rsidR="00A345F4" w:rsidRDefault="005E2D4E">
            <w:pPr>
              <w:pStyle w:val="P68B1DB1-Normal73"/>
              <w:spacing w:after="0" w:line="259" w:lineRule="auto"/>
              <w:jc w:val="both"/>
              <w:rPr>
                <w:noProof/>
              </w:rPr>
            </w:pPr>
            <w:r>
              <w:rPr>
                <w:noProof/>
              </w:rPr>
              <w:t>C6.I5</w:t>
            </w:r>
          </w:p>
          <w:p w14:paraId="5CFE6B2E" w14:textId="77777777" w:rsidR="00A345F4" w:rsidRDefault="005E2D4E">
            <w:pPr>
              <w:pStyle w:val="P68B1DB1-Normal73"/>
              <w:spacing w:after="0" w:line="259" w:lineRule="auto"/>
              <w:jc w:val="both"/>
              <w:rPr>
                <w:noProof/>
              </w:rPr>
            </w:pPr>
            <w:r>
              <w:rPr>
                <w:noProof/>
              </w:rPr>
              <w:t>Assurer l'efficacité énergétique dans le secteur industriel</w:t>
            </w:r>
          </w:p>
        </w:tc>
        <w:tc>
          <w:tcPr>
            <w:tcW w:w="1275" w:type="dxa"/>
            <w:tcBorders>
              <w:top w:val="nil"/>
              <w:left w:val="nil"/>
              <w:bottom w:val="single" w:sz="4" w:space="0" w:color="auto"/>
              <w:right w:val="single" w:sz="4" w:space="0" w:color="auto"/>
            </w:tcBorders>
            <w:shd w:val="clear" w:color="auto" w:fill="C6EFCE"/>
            <w:noWrap/>
          </w:tcPr>
          <w:p w14:paraId="2762B621"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0F1D17B" w14:textId="77777777" w:rsidR="00A345F4" w:rsidRDefault="005E2D4E">
            <w:pPr>
              <w:pStyle w:val="P68B1DB1-Normal73"/>
              <w:spacing w:after="0" w:line="259" w:lineRule="auto"/>
              <w:jc w:val="both"/>
              <w:rPr>
                <w:noProof/>
              </w:rPr>
            </w:pPr>
            <w:r>
              <w:rPr>
                <w:noProof/>
              </w:rPr>
              <w:t xml:space="preserve">Ouverture d'un appel d'offres pour des investissements dans l'efficacité énergétique de l'industrie </w:t>
            </w:r>
          </w:p>
        </w:tc>
      </w:tr>
      <w:tr w:rsidR="00A345F4" w14:paraId="780A3FC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72E39DC" w14:textId="77777777" w:rsidR="00A345F4" w:rsidRDefault="005E2D4E">
            <w:pPr>
              <w:pStyle w:val="P68B1DB1-Normal73"/>
              <w:spacing w:after="0" w:line="259" w:lineRule="auto"/>
              <w:jc w:val="center"/>
              <w:rPr>
                <w:noProof/>
              </w:rPr>
            </w:pPr>
            <w:r>
              <w:rPr>
                <w:noProof/>
              </w:rPr>
              <w:t>266</w:t>
            </w:r>
          </w:p>
        </w:tc>
        <w:tc>
          <w:tcPr>
            <w:tcW w:w="3544" w:type="dxa"/>
            <w:tcBorders>
              <w:top w:val="nil"/>
              <w:left w:val="nil"/>
              <w:bottom w:val="single" w:sz="4" w:space="0" w:color="auto"/>
              <w:right w:val="single" w:sz="4" w:space="0" w:color="auto"/>
            </w:tcBorders>
            <w:shd w:val="clear" w:color="auto" w:fill="C6EFCE"/>
            <w:noWrap/>
          </w:tcPr>
          <w:p w14:paraId="236E9AD8" w14:textId="77777777" w:rsidR="00A345F4" w:rsidRDefault="005E2D4E">
            <w:pPr>
              <w:pStyle w:val="P68B1DB1-Normal73"/>
              <w:spacing w:after="0" w:line="259" w:lineRule="auto"/>
              <w:jc w:val="both"/>
              <w:rPr>
                <w:noProof/>
              </w:rPr>
            </w:pPr>
            <w:r>
              <w:rPr>
                <w:noProof/>
              </w:rPr>
              <w:t>C9.I4</w:t>
            </w:r>
          </w:p>
          <w:p w14:paraId="653715DA" w14:textId="77777777" w:rsidR="00A345F4" w:rsidRDefault="005E2D4E">
            <w:pPr>
              <w:pStyle w:val="P68B1DB1-Normal73"/>
              <w:spacing w:after="0" w:line="259" w:lineRule="auto"/>
              <w:jc w:val="both"/>
              <w:rPr>
                <w:noProof/>
              </w:rPr>
            </w:pPr>
            <w:r>
              <w:rPr>
                <w:noProof/>
              </w:rPr>
              <w:t>Projets transfrontaliers et multinationaux – Processeurs de faible puissance</w:t>
            </w:r>
            <w:r>
              <w:rPr>
                <w:noProof/>
              </w:rPr>
              <w:br/>
              <w:t xml:space="preserve">et semi-conducteurs </w:t>
            </w:r>
          </w:p>
        </w:tc>
        <w:tc>
          <w:tcPr>
            <w:tcW w:w="1275" w:type="dxa"/>
            <w:tcBorders>
              <w:top w:val="nil"/>
              <w:left w:val="nil"/>
              <w:bottom w:val="single" w:sz="4" w:space="0" w:color="auto"/>
              <w:right w:val="single" w:sz="4" w:space="0" w:color="auto"/>
            </w:tcBorders>
            <w:shd w:val="clear" w:color="auto" w:fill="C6EFCE"/>
            <w:noWrap/>
          </w:tcPr>
          <w:p w14:paraId="0D4E2DAE"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B3B2BC1" w14:textId="77777777" w:rsidR="00A345F4" w:rsidRDefault="005E2D4E">
            <w:pPr>
              <w:pStyle w:val="P68B1DB1-Normal73"/>
              <w:spacing w:after="0" w:line="259" w:lineRule="auto"/>
              <w:jc w:val="both"/>
              <w:rPr>
                <w:noProof/>
              </w:rPr>
            </w:pPr>
            <w:r>
              <w:rPr>
                <w:noProof/>
              </w:rPr>
              <w:t>Entrée en vigueur de la décision du gouvernement allouant le financement nécessaire de 500 millions d'euros pour soutenir le renforcement des capacités nationales jusqu'au premier développement industriel et la participation à un projet multinational</w:t>
            </w:r>
          </w:p>
        </w:tc>
      </w:tr>
      <w:tr w:rsidR="00A345F4" w14:paraId="4EAE863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C3DF675" w14:textId="77777777" w:rsidR="00A345F4" w:rsidRDefault="005E2D4E">
            <w:pPr>
              <w:pStyle w:val="P68B1DB1-Normal73"/>
              <w:spacing w:after="0" w:line="259" w:lineRule="auto"/>
              <w:jc w:val="center"/>
              <w:rPr>
                <w:noProof/>
              </w:rPr>
            </w:pPr>
            <w:r>
              <w:rPr>
                <w:noProof/>
              </w:rPr>
              <w:t>307</w:t>
            </w:r>
          </w:p>
        </w:tc>
        <w:tc>
          <w:tcPr>
            <w:tcW w:w="3544" w:type="dxa"/>
            <w:tcBorders>
              <w:top w:val="nil"/>
              <w:left w:val="nil"/>
              <w:bottom w:val="single" w:sz="4" w:space="0" w:color="auto"/>
              <w:right w:val="single" w:sz="4" w:space="0" w:color="auto"/>
            </w:tcBorders>
            <w:shd w:val="clear" w:color="auto" w:fill="C6EFCE"/>
            <w:noWrap/>
          </w:tcPr>
          <w:p w14:paraId="3024CAD6" w14:textId="77777777" w:rsidR="00A345F4" w:rsidRDefault="005E2D4E">
            <w:pPr>
              <w:pStyle w:val="P68B1DB1-Normal73"/>
              <w:spacing w:after="0" w:line="259" w:lineRule="auto"/>
              <w:jc w:val="both"/>
              <w:rPr>
                <w:noProof/>
              </w:rPr>
            </w:pPr>
            <w:r>
              <w:rPr>
                <w:noProof/>
              </w:rPr>
              <w:t xml:space="preserve">C10.R2 </w:t>
            </w:r>
          </w:p>
          <w:p w14:paraId="0E862F8A" w14:textId="77777777" w:rsidR="00A345F4" w:rsidRDefault="005E2D4E">
            <w:pPr>
              <w:pStyle w:val="P68B1DB1-Normal73"/>
              <w:spacing w:after="0" w:line="259" w:lineRule="auto"/>
              <w:jc w:val="both"/>
              <w:rPr>
                <w:noProof/>
              </w:rPr>
            </w:pPr>
            <w:r>
              <w:rPr>
                <w:noProof/>
              </w:rPr>
              <w:t xml:space="preserve">Créer le cadre politique pour une transformation urbaine durable — La politique urbaine de la Roumanie </w:t>
            </w:r>
          </w:p>
        </w:tc>
        <w:tc>
          <w:tcPr>
            <w:tcW w:w="1275" w:type="dxa"/>
            <w:tcBorders>
              <w:top w:val="nil"/>
              <w:left w:val="nil"/>
              <w:bottom w:val="single" w:sz="4" w:space="0" w:color="auto"/>
              <w:right w:val="single" w:sz="4" w:space="0" w:color="auto"/>
            </w:tcBorders>
            <w:shd w:val="clear" w:color="auto" w:fill="C6EFCE"/>
            <w:noWrap/>
          </w:tcPr>
          <w:p w14:paraId="4CDA72A9"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36D99B4" w14:textId="77777777" w:rsidR="00A345F4" w:rsidRDefault="005E2D4E">
            <w:pPr>
              <w:pStyle w:val="P68B1DB1-Normal73"/>
              <w:spacing w:after="0" w:line="259" w:lineRule="auto"/>
              <w:jc w:val="both"/>
              <w:rPr>
                <w:noProof/>
              </w:rPr>
            </w:pPr>
            <w:r>
              <w:rPr>
                <w:noProof/>
              </w:rPr>
              <w:t>Entrée en vigueur de la loi sur les zones métropolitaines</w:t>
            </w:r>
          </w:p>
        </w:tc>
      </w:tr>
      <w:tr w:rsidR="00A345F4" w14:paraId="5304A6B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85F3D74" w14:textId="77777777" w:rsidR="00A345F4" w:rsidRDefault="005E2D4E">
            <w:pPr>
              <w:pStyle w:val="P68B1DB1-Normal73"/>
              <w:spacing w:after="0" w:line="259" w:lineRule="auto"/>
              <w:jc w:val="center"/>
              <w:rPr>
                <w:noProof/>
              </w:rPr>
            </w:pPr>
            <w:r>
              <w:rPr>
                <w:noProof/>
              </w:rPr>
              <w:t>312</w:t>
            </w:r>
          </w:p>
        </w:tc>
        <w:tc>
          <w:tcPr>
            <w:tcW w:w="3544" w:type="dxa"/>
            <w:tcBorders>
              <w:top w:val="nil"/>
              <w:left w:val="nil"/>
              <w:bottom w:val="single" w:sz="4" w:space="0" w:color="auto"/>
              <w:right w:val="single" w:sz="4" w:space="0" w:color="auto"/>
            </w:tcBorders>
            <w:shd w:val="clear" w:color="auto" w:fill="C6EFCE"/>
            <w:noWrap/>
          </w:tcPr>
          <w:p w14:paraId="18C54656" w14:textId="77777777" w:rsidR="00A345F4" w:rsidRDefault="005E2D4E">
            <w:pPr>
              <w:pStyle w:val="P68B1DB1-Normal73"/>
              <w:spacing w:after="0" w:line="259" w:lineRule="auto"/>
              <w:jc w:val="both"/>
              <w:rPr>
                <w:noProof/>
              </w:rPr>
            </w:pPr>
            <w:r>
              <w:rPr>
                <w:noProof/>
              </w:rPr>
              <w:t xml:space="preserve">C10.R4 </w:t>
            </w:r>
          </w:p>
          <w:p w14:paraId="632817BF" w14:textId="77777777" w:rsidR="00A345F4" w:rsidRDefault="005E2D4E">
            <w:pPr>
              <w:pStyle w:val="P68B1DB1-Normal73"/>
              <w:spacing w:after="0" w:line="259" w:lineRule="auto"/>
              <w:jc w:val="both"/>
              <w:rPr>
                <w:noProof/>
              </w:rPr>
            </w:pPr>
            <w:r>
              <w:rPr>
                <w:noProof/>
              </w:rPr>
              <w:t xml:space="preserve">Améliorer la qualité des logements </w:t>
            </w:r>
          </w:p>
        </w:tc>
        <w:tc>
          <w:tcPr>
            <w:tcW w:w="1275" w:type="dxa"/>
            <w:tcBorders>
              <w:top w:val="nil"/>
              <w:left w:val="nil"/>
              <w:bottom w:val="single" w:sz="4" w:space="0" w:color="auto"/>
              <w:right w:val="single" w:sz="4" w:space="0" w:color="auto"/>
            </w:tcBorders>
            <w:shd w:val="clear" w:color="auto" w:fill="C6EFCE"/>
            <w:noWrap/>
          </w:tcPr>
          <w:p w14:paraId="1423F7AB"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2E12992" w14:textId="77777777" w:rsidR="00A345F4" w:rsidRDefault="005E2D4E">
            <w:pPr>
              <w:pStyle w:val="P68B1DB1-Normal73"/>
              <w:spacing w:after="0" w:line="259" w:lineRule="auto"/>
              <w:jc w:val="both"/>
              <w:rPr>
                <w:noProof/>
              </w:rPr>
            </w:pPr>
            <w:r>
              <w:rPr>
                <w:noProof/>
              </w:rPr>
              <w:t>Entrée en vigueur de la loi relative à la mise en œuvre de la stratégie et du plan d’action nationaux en matière de logement visant à réduire la privation grave de logement</w:t>
            </w:r>
          </w:p>
        </w:tc>
      </w:tr>
      <w:tr w:rsidR="00A345F4" w14:paraId="2572C34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47BE0A3" w14:textId="77777777" w:rsidR="00A345F4" w:rsidRDefault="005E2D4E">
            <w:pPr>
              <w:pStyle w:val="P68B1DB1-Normal73"/>
              <w:spacing w:after="0" w:line="259" w:lineRule="auto"/>
              <w:jc w:val="center"/>
              <w:rPr>
                <w:noProof/>
              </w:rPr>
            </w:pPr>
            <w:r>
              <w:rPr>
                <w:noProof/>
              </w:rPr>
              <w:t>339</w:t>
            </w:r>
          </w:p>
        </w:tc>
        <w:tc>
          <w:tcPr>
            <w:tcW w:w="3544" w:type="dxa"/>
            <w:tcBorders>
              <w:top w:val="nil"/>
              <w:left w:val="nil"/>
              <w:bottom w:val="single" w:sz="4" w:space="0" w:color="auto"/>
              <w:right w:val="single" w:sz="4" w:space="0" w:color="auto"/>
            </w:tcBorders>
            <w:shd w:val="clear" w:color="auto" w:fill="C6EFCE"/>
            <w:noWrap/>
          </w:tcPr>
          <w:p w14:paraId="4F65D595" w14:textId="77777777" w:rsidR="00A345F4" w:rsidRDefault="005E2D4E">
            <w:pPr>
              <w:pStyle w:val="P68B1DB1-Normal73"/>
              <w:spacing w:after="0" w:line="259" w:lineRule="auto"/>
              <w:jc w:val="both"/>
              <w:rPr>
                <w:noProof/>
              </w:rPr>
            </w:pPr>
            <w:r>
              <w:rPr>
                <w:noProof/>
              </w:rPr>
              <w:t>C11.R2</w:t>
            </w:r>
          </w:p>
          <w:p w14:paraId="10BFA573" w14:textId="77777777" w:rsidR="00A345F4" w:rsidRDefault="005E2D4E">
            <w:pPr>
              <w:pStyle w:val="P68B1DB1-Normal73"/>
              <w:spacing w:after="0" w:line="259" w:lineRule="auto"/>
              <w:jc w:val="both"/>
              <w:rPr>
                <w:noProof/>
              </w:rPr>
            </w:pPr>
            <w:r>
              <w:rPr>
                <w:noProof/>
              </w:rPr>
              <w:t xml:space="preserve">Cadre pour la mise en service des pistes cyclables au niveau national </w:t>
            </w:r>
          </w:p>
        </w:tc>
        <w:tc>
          <w:tcPr>
            <w:tcW w:w="1275" w:type="dxa"/>
            <w:tcBorders>
              <w:top w:val="nil"/>
              <w:left w:val="nil"/>
              <w:bottom w:val="single" w:sz="4" w:space="0" w:color="auto"/>
              <w:right w:val="single" w:sz="4" w:space="0" w:color="auto"/>
            </w:tcBorders>
            <w:shd w:val="clear" w:color="auto" w:fill="C6EFCE"/>
            <w:noWrap/>
          </w:tcPr>
          <w:p w14:paraId="233AEAF8"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654FCCB" w14:textId="77777777" w:rsidR="00A345F4" w:rsidRDefault="005E2D4E">
            <w:pPr>
              <w:pStyle w:val="P68B1DB1-Normal73"/>
              <w:spacing w:after="0" w:line="259" w:lineRule="auto"/>
              <w:jc w:val="both"/>
              <w:rPr>
                <w:noProof/>
              </w:rPr>
            </w:pPr>
            <w:r>
              <w:rPr>
                <w:noProof/>
              </w:rPr>
              <w:t xml:space="preserve">Mise en place et fonctionnement du Centre national de coordination Velo Routes </w:t>
            </w:r>
          </w:p>
        </w:tc>
      </w:tr>
      <w:tr w:rsidR="00A345F4" w14:paraId="34C6026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BA31DE" w14:textId="77777777" w:rsidR="00A345F4" w:rsidRDefault="005E2D4E">
            <w:pPr>
              <w:pStyle w:val="P68B1DB1-Normal73"/>
              <w:spacing w:after="0" w:line="259" w:lineRule="auto"/>
              <w:jc w:val="center"/>
              <w:rPr>
                <w:noProof/>
              </w:rPr>
            </w:pPr>
            <w:r>
              <w:rPr>
                <w:noProof/>
              </w:rPr>
              <w:t>398</w:t>
            </w:r>
          </w:p>
        </w:tc>
        <w:tc>
          <w:tcPr>
            <w:tcW w:w="3544" w:type="dxa"/>
            <w:tcBorders>
              <w:top w:val="nil"/>
              <w:left w:val="nil"/>
              <w:bottom w:val="single" w:sz="4" w:space="0" w:color="auto"/>
              <w:right w:val="single" w:sz="4" w:space="0" w:color="auto"/>
            </w:tcBorders>
            <w:shd w:val="clear" w:color="auto" w:fill="C6EFCE"/>
            <w:noWrap/>
          </w:tcPr>
          <w:p w14:paraId="0817D889" w14:textId="77777777" w:rsidR="00A345F4" w:rsidRDefault="005E2D4E">
            <w:pPr>
              <w:pStyle w:val="P68B1DB1-Normal73"/>
              <w:spacing w:after="0" w:line="259" w:lineRule="auto"/>
              <w:jc w:val="both"/>
              <w:rPr>
                <w:noProof/>
              </w:rPr>
            </w:pPr>
            <w:r>
              <w:rPr>
                <w:noProof/>
              </w:rPr>
              <w:t>C13.R6</w:t>
            </w:r>
          </w:p>
          <w:p w14:paraId="15DAACCE" w14:textId="77777777" w:rsidR="00A345F4" w:rsidRDefault="005E2D4E">
            <w:pPr>
              <w:pStyle w:val="P68B1DB1-Normal73"/>
              <w:spacing w:after="0" w:line="259" w:lineRule="auto"/>
              <w:jc w:val="both"/>
              <w:rPr>
                <w:noProof/>
              </w:rPr>
            </w:pPr>
            <w:r>
              <w:rPr>
                <w:noProof/>
              </w:rPr>
              <w:t xml:space="preserve">Amélioration de la législation relative à l’économie sociale </w:t>
            </w:r>
          </w:p>
        </w:tc>
        <w:tc>
          <w:tcPr>
            <w:tcW w:w="1275" w:type="dxa"/>
            <w:tcBorders>
              <w:top w:val="nil"/>
              <w:left w:val="nil"/>
              <w:bottom w:val="single" w:sz="4" w:space="0" w:color="auto"/>
              <w:right w:val="single" w:sz="4" w:space="0" w:color="auto"/>
            </w:tcBorders>
            <w:shd w:val="clear" w:color="auto" w:fill="C6EFCE"/>
            <w:noWrap/>
          </w:tcPr>
          <w:p w14:paraId="012414AF"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03A39BD" w14:textId="77777777" w:rsidR="00A345F4" w:rsidRDefault="005E2D4E">
            <w:pPr>
              <w:pStyle w:val="P68B1DB1-Normal73"/>
              <w:spacing w:after="0" w:line="259" w:lineRule="auto"/>
              <w:jc w:val="both"/>
              <w:rPr>
                <w:noProof/>
              </w:rPr>
            </w:pPr>
            <w:r>
              <w:rPr>
                <w:noProof/>
              </w:rPr>
              <w:t>Entrée en vigueur de la modification de la loi n° 219/2015 relative à l'économie sociale et de ses modalités d'application</w:t>
            </w:r>
          </w:p>
        </w:tc>
      </w:tr>
      <w:tr w:rsidR="00A345F4" w14:paraId="17918E3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B56AFDD" w14:textId="77777777" w:rsidR="00A345F4" w:rsidRDefault="005E2D4E">
            <w:pPr>
              <w:pStyle w:val="P68B1DB1-Normal73"/>
              <w:spacing w:after="0" w:line="259" w:lineRule="auto"/>
              <w:jc w:val="center"/>
              <w:rPr>
                <w:noProof/>
              </w:rPr>
            </w:pPr>
            <w:r>
              <w:rPr>
                <w:noProof/>
              </w:rPr>
              <w:t>500</w:t>
            </w:r>
          </w:p>
        </w:tc>
        <w:tc>
          <w:tcPr>
            <w:tcW w:w="3544" w:type="dxa"/>
            <w:tcBorders>
              <w:top w:val="nil"/>
              <w:left w:val="nil"/>
              <w:bottom w:val="single" w:sz="4" w:space="0" w:color="auto"/>
              <w:right w:val="single" w:sz="4" w:space="0" w:color="auto"/>
            </w:tcBorders>
            <w:shd w:val="clear" w:color="auto" w:fill="C6EFCE"/>
            <w:noWrap/>
          </w:tcPr>
          <w:p w14:paraId="37A57C97" w14:textId="77777777" w:rsidR="00A345F4" w:rsidRDefault="005E2D4E">
            <w:pPr>
              <w:pStyle w:val="P68B1DB1-Normal73"/>
              <w:spacing w:after="0" w:line="259" w:lineRule="auto"/>
              <w:jc w:val="both"/>
              <w:rPr>
                <w:noProof/>
              </w:rPr>
            </w:pPr>
            <w:r>
              <w:rPr>
                <w:noProof/>
              </w:rPr>
              <w:t xml:space="preserve">C15.I16. </w:t>
            </w:r>
          </w:p>
          <w:p w14:paraId="62A97562" w14:textId="77777777" w:rsidR="00A345F4" w:rsidRDefault="005E2D4E">
            <w:pPr>
              <w:pStyle w:val="P68B1DB1-Normal73"/>
              <w:spacing w:after="0" w:line="259" w:lineRule="auto"/>
              <w:jc w:val="both"/>
              <w:rPr>
                <w:noProof/>
              </w:rPr>
            </w:pPr>
            <w:r>
              <w:rPr>
                <w:noProof/>
              </w:rPr>
              <w:t>Numérisation des universités et préparation aux métiers du numérique du futur</w:t>
            </w:r>
          </w:p>
        </w:tc>
        <w:tc>
          <w:tcPr>
            <w:tcW w:w="1275" w:type="dxa"/>
            <w:tcBorders>
              <w:top w:val="nil"/>
              <w:left w:val="nil"/>
              <w:bottom w:val="single" w:sz="4" w:space="0" w:color="auto"/>
              <w:right w:val="single" w:sz="4" w:space="0" w:color="auto"/>
            </w:tcBorders>
            <w:shd w:val="clear" w:color="auto" w:fill="C6EFCE"/>
            <w:noWrap/>
          </w:tcPr>
          <w:p w14:paraId="1A092A36"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CA52BE3" w14:textId="77777777" w:rsidR="00A345F4" w:rsidRDefault="005E2D4E">
            <w:pPr>
              <w:pStyle w:val="P68B1DB1-Normal73"/>
              <w:spacing w:after="0" w:line="259" w:lineRule="auto"/>
              <w:jc w:val="both"/>
              <w:rPr>
                <w:noProof/>
              </w:rPr>
            </w:pPr>
            <w:r>
              <w:rPr>
                <w:noProof/>
              </w:rPr>
              <w:t>Signature de contrats de subventions pour des centres de technologie innovante dans les universités</w:t>
            </w:r>
          </w:p>
        </w:tc>
      </w:tr>
      <w:tr w:rsidR="00A345F4" w14:paraId="70FE2670"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460A8DDB"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1DF0E047" w14:textId="77777777" w:rsidR="00A345F4" w:rsidRDefault="00A345F4">
            <w:pPr>
              <w:spacing w:after="0" w:line="259" w:lineRule="auto"/>
              <w:jc w:val="both"/>
              <w:rPr>
                <w:rFonts w:ascii="Times New Roman" w:eastAsia="Times New Roman" w:hAnsi="Times New Roman" w:cs="Times New Roman"/>
                <w:noProof/>
                <w:kern w:val="2"/>
                <w:sz w:val="22"/>
                <w:szCs w:val="22"/>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3CD8D5D7" w14:textId="77777777" w:rsidR="00A345F4" w:rsidRDefault="005E2D4E">
            <w:pPr>
              <w:pStyle w:val="P68B1DB1-Normal74"/>
              <w:spacing w:after="0" w:line="259" w:lineRule="auto"/>
              <w:jc w:val="center"/>
              <w:rPr>
                <w:noProof/>
              </w:rPr>
            </w:pPr>
            <w:r>
              <w:rPr>
                <w:noProof/>
              </w:rPr>
              <w:t>Montant des acomptes provisionnels</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5906EF9" w14:textId="77777777" w:rsidR="00A345F4" w:rsidRDefault="005E2D4E">
            <w:pPr>
              <w:pStyle w:val="P68B1DB1-Normal74"/>
              <w:spacing w:after="0" w:line="259" w:lineRule="auto"/>
              <w:jc w:val="right"/>
              <w:rPr>
                <w:noProof/>
              </w:rPr>
            </w:pPr>
            <w:r>
              <w:rPr>
                <w:noProof/>
              </w:rPr>
              <w:t>1 080 198 230 EUR</w:t>
            </w:r>
          </w:p>
        </w:tc>
      </w:tr>
    </w:tbl>
    <w:p w14:paraId="61158AAD" w14:textId="77777777" w:rsidR="00A345F4" w:rsidRDefault="00A345F4">
      <w:pPr>
        <w:spacing w:line="259" w:lineRule="auto"/>
        <w:rPr>
          <w:rFonts w:ascii="Aptos" w:eastAsia="Aptos" w:hAnsi="Aptos" w:cs="Times New Roman"/>
          <w:noProof/>
          <w:kern w:val="2"/>
          <w:sz w:val="22"/>
          <w:vertAlign w:val="subscript"/>
          <w14:ligatures w14:val="standardContextual"/>
        </w:rPr>
      </w:pPr>
    </w:p>
    <w:p w14:paraId="1275EF95" w14:textId="77777777" w:rsidR="00A345F4" w:rsidRDefault="005E2D4E">
      <w:pPr>
        <w:pStyle w:val="P68B1DB1-Normal71"/>
        <w:keepNext/>
        <w:tabs>
          <w:tab w:val="num" w:pos="1417"/>
        </w:tabs>
        <w:spacing w:before="120" w:after="120" w:line="240" w:lineRule="auto"/>
        <w:ind w:left="1417" w:hanging="850"/>
        <w:jc w:val="both"/>
        <w:outlineLvl w:val="2"/>
        <w:rPr>
          <w:bCs/>
          <w:noProof/>
        </w:rPr>
      </w:pPr>
      <w:r>
        <w:rPr>
          <w:noProof/>
        </w:rPr>
        <w:t xml:space="preserve">2.2.3 Troisième tranche (soutien sous forme de prêt): </w:t>
      </w:r>
    </w:p>
    <w:tbl>
      <w:tblPr>
        <w:tblW w:w="9806" w:type="dxa"/>
        <w:tblInd w:w="113" w:type="dxa"/>
        <w:tblLook w:val="04A0" w:firstRow="1" w:lastRow="0" w:firstColumn="1" w:lastColumn="0" w:noHBand="0" w:noVBand="1"/>
      </w:tblPr>
      <w:tblGrid>
        <w:gridCol w:w="1585"/>
        <w:gridCol w:w="3544"/>
        <w:gridCol w:w="1402"/>
        <w:gridCol w:w="3402"/>
      </w:tblGrid>
      <w:tr w:rsidR="00A345F4" w14:paraId="254ACFCC" w14:textId="77777777">
        <w:trPr>
          <w:trHeight w:val="906"/>
          <w:tblHeader/>
        </w:trPr>
        <w:tc>
          <w:tcPr>
            <w:tcW w:w="15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74EDB6" w14:textId="77777777" w:rsidR="00A345F4" w:rsidRDefault="005E2D4E">
            <w:pPr>
              <w:pStyle w:val="P68B1DB1-Normal72"/>
              <w:spacing w:after="0" w:line="259" w:lineRule="auto"/>
              <w:jc w:val="center"/>
              <w:rPr>
                <w:noProof/>
              </w:rPr>
            </w:pPr>
            <w:r>
              <w:rPr>
                <w:noProof/>
              </w:rPr>
              <w:t>Numéro séquentiel</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D03D01" w14:textId="77777777" w:rsidR="00A345F4" w:rsidRDefault="005E2D4E">
            <w:pPr>
              <w:pStyle w:val="P68B1DB1-Normal72"/>
              <w:spacing w:after="0" w:line="259" w:lineRule="auto"/>
              <w:jc w:val="center"/>
              <w:rPr>
                <w:noProof/>
              </w:rPr>
            </w:pPr>
            <w:r>
              <w:rPr>
                <w:noProof/>
              </w:rPr>
              <w:t>Mesure connexe</w:t>
            </w:r>
          </w:p>
          <w:p w14:paraId="08C119B2" w14:textId="77777777" w:rsidR="00A345F4" w:rsidRDefault="005E2D4E">
            <w:pPr>
              <w:pStyle w:val="P68B1DB1-Normal72"/>
              <w:spacing w:after="0" w:line="259" w:lineRule="auto"/>
              <w:jc w:val="center"/>
              <w:rPr>
                <w:noProof/>
              </w:rPr>
            </w:pPr>
            <w:r>
              <w:rPr>
                <w:noProof/>
              </w:rPr>
              <w:t>(Réforme ou investissement)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037C55" w14:textId="77777777" w:rsidR="00A345F4" w:rsidRDefault="005E2D4E">
            <w:pPr>
              <w:pStyle w:val="P68B1DB1-Normal72"/>
              <w:spacing w:after="0" w:line="259" w:lineRule="auto"/>
              <w:jc w:val="center"/>
              <w:rPr>
                <w:noProof/>
              </w:rPr>
            </w:pPr>
            <w:r>
              <w:rPr>
                <w:noProof/>
              </w:rPr>
              <w:t>Étape/cible</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C5AB55" w14:textId="77777777" w:rsidR="00A345F4" w:rsidRDefault="005E2D4E">
            <w:pPr>
              <w:pStyle w:val="P68B1DB1-Normal72"/>
              <w:spacing w:after="0" w:line="259" w:lineRule="auto"/>
              <w:jc w:val="center"/>
              <w:rPr>
                <w:noProof/>
              </w:rPr>
            </w:pPr>
            <w:r>
              <w:rPr>
                <w:noProof/>
              </w:rPr>
              <w:t>Nom</w:t>
            </w:r>
          </w:p>
        </w:tc>
      </w:tr>
      <w:tr w:rsidR="00A345F4" w14:paraId="670C43CA" w14:textId="77777777">
        <w:trPr>
          <w:trHeight w:val="509"/>
          <w:tblHeader/>
        </w:trPr>
        <w:tc>
          <w:tcPr>
            <w:tcW w:w="1585" w:type="dxa"/>
            <w:vMerge/>
            <w:tcBorders>
              <w:top w:val="single" w:sz="4" w:space="0" w:color="auto"/>
              <w:left w:val="single" w:sz="4" w:space="0" w:color="auto"/>
              <w:bottom w:val="single" w:sz="4" w:space="0" w:color="auto"/>
              <w:right w:val="single" w:sz="4" w:space="0" w:color="auto"/>
            </w:tcBorders>
            <w:vAlign w:val="center"/>
            <w:hideMark/>
          </w:tcPr>
          <w:p w14:paraId="42127883"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9A6044B"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0FF8EC2" w14:textId="77777777" w:rsidR="00A345F4" w:rsidRDefault="00A345F4">
            <w:pPr>
              <w:spacing w:after="0" w:line="259" w:lineRule="auto"/>
              <w:jc w:val="center"/>
              <w:rPr>
                <w:rFonts w:ascii="Times New Roman" w:eastAsia="Times New Roman" w:hAnsi="Times New Roman" w:cs="Times New Roman"/>
                <w:b/>
                <w:bCs/>
                <w:noProof/>
                <w:kern w:val="2"/>
                <w:sz w:val="22"/>
                <w:szCs w:val="22"/>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7147653"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r>
      <w:tr w:rsidR="00A345F4" w14:paraId="3B564F2B" w14:textId="77777777">
        <w:trPr>
          <w:trHeight w:val="302"/>
        </w:trPr>
        <w:tc>
          <w:tcPr>
            <w:tcW w:w="1585" w:type="dxa"/>
            <w:tcBorders>
              <w:top w:val="single" w:sz="4" w:space="0" w:color="auto"/>
              <w:left w:val="single" w:sz="4" w:space="0" w:color="auto"/>
              <w:bottom w:val="single" w:sz="4" w:space="0" w:color="auto"/>
              <w:right w:val="single" w:sz="4" w:space="0" w:color="auto"/>
            </w:tcBorders>
            <w:shd w:val="clear" w:color="auto" w:fill="C6EFCE"/>
            <w:noWrap/>
            <w:hideMark/>
          </w:tcPr>
          <w:p w14:paraId="5C917D1D" w14:textId="77777777" w:rsidR="00A345F4" w:rsidRDefault="005E2D4E">
            <w:pPr>
              <w:pStyle w:val="P68B1DB1-Normal73"/>
              <w:spacing w:after="0" w:line="259" w:lineRule="auto"/>
              <w:jc w:val="center"/>
              <w:rPr>
                <w:rFonts w:eastAsia="Times New Roman"/>
                <w:noProof/>
              </w:rPr>
            </w:pPr>
            <w:r>
              <w:rPr>
                <w:noProof/>
              </w:rPr>
              <w:t>43</w:t>
            </w:r>
          </w:p>
        </w:tc>
        <w:tc>
          <w:tcPr>
            <w:tcW w:w="3544" w:type="dxa"/>
            <w:tcBorders>
              <w:top w:val="single" w:sz="4" w:space="0" w:color="auto"/>
              <w:left w:val="nil"/>
              <w:bottom w:val="single" w:sz="4" w:space="0" w:color="auto"/>
              <w:right w:val="single" w:sz="4" w:space="0" w:color="auto"/>
            </w:tcBorders>
            <w:shd w:val="clear" w:color="auto" w:fill="C6EFCE"/>
            <w:noWrap/>
            <w:hideMark/>
          </w:tcPr>
          <w:p w14:paraId="5479AE7B" w14:textId="77777777" w:rsidR="00A345F4" w:rsidRDefault="005E2D4E">
            <w:pPr>
              <w:pStyle w:val="P68B1DB1-Normal73"/>
              <w:spacing w:after="0" w:line="259" w:lineRule="auto"/>
              <w:jc w:val="both"/>
              <w:rPr>
                <w:noProof/>
              </w:rPr>
            </w:pPr>
            <w:r>
              <w:rPr>
                <w:noProof/>
              </w:rPr>
              <w:t>C3.R1</w:t>
            </w:r>
          </w:p>
          <w:p w14:paraId="5B278291" w14:textId="77777777" w:rsidR="00A345F4" w:rsidRDefault="005E2D4E">
            <w:pPr>
              <w:pStyle w:val="P68B1DB1-Normal73"/>
              <w:spacing w:after="0" w:line="259" w:lineRule="auto"/>
              <w:jc w:val="both"/>
              <w:rPr>
                <w:rFonts w:eastAsia="Times New Roman"/>
                <w:noProof/>
              </w:rPr>
            </w:pPr>
            <w:r>
              <w:rPr>
                <w:noProof/>
              </w:rPr>
              <w:t xml:space="preserve">Améliorer la gouvernance de la gestion des déchets pour accélérer la transition vers l’économie circulaire </w:t>
            </w:r>
          </w:p>
        </w:tc>
        <w:tc>
          <w:tcPr>
            <w:tcW w:w="1275" w:type="dxa"/>
            <w:tcBorders>
              <w:top w:val="single" w:sz="4" w:space="0" w:color="auto"/>
              <w:left w:val="nil"/>
              <w:bottom w:val="single" w:sz="4" w:space="0" w:color="auto"/>
              <w:right w:val="single" w:sz="4" w:space="0" w:color="auto"/>
            </w:tcBorders>
            <w:shd w:val="clear" w:color="auto" w:fill="C6EFCE"/>
            <w:noWrap/>
            <w:hideMark/>
          </w:tcPr>
          <w:p w14:paraId="15C8E55F" w14:textId="77777777" w:rsidR="00A345F4" w:rsidRDefault="005E2D4E">
            <w:pPr>
              <w:pStyle w:val="P68B1DB1-Normal73"/>
              <w:spacing w:after="0" w:line="259" w:lineRule="auto"/>
              <w:jc w:val="center"/>
              <w:rPr>
                <w:rFonts w:eastAsia="Times New Roman"/>
                <w:noProof/>
              </w:rPr>
            </w:pPr>
            <w:r>
              <w:rPr>
                <w:noProof/>
              </w:rPr>
              <w:t>M</w:t>
            </w:r>
          </w:p>
        </w:tc>
        <w:tc>
          <w:tcPr>
            <w:tcW w:w="3402" w:type="dxa"/>
            <w:tcBorders>
              <w:top w:val="single" w:sz="4" w:space="0" w:color="auto"/>
              <w:left w:val="nil"/>
              <w:bottom w:val="single" w:sz="4" w:space="0" w:color="auto"/>
              <w:right w:val="single" w:sz="4" w:space="0" w:color="auto"/>
            </w:tcBorders>
            <w:shd w:val="clear" w:color="auto" w:fill="C6EFCE"/>
            <w:noWrap/>
            <w:hideMark/>
          </w:tcPr>
          <w:p w14:paraId="5714282E" w14:textId="77777777" w:rsidR="00A345F4" w:rsidRDefault="005E2D4E">
            <w:pPr>
              <w:pStyle w:val="P68B1DB1-Normal73"/>
              <w:spacing w:after="0" w:line="259" w:lineRule="auto"/>
              <w:jc w:val="both"/>
              <w:rPr>
                <w:rFonts w:eastAsia="Times New Roman"/>
                <w:noProof/>
              </w:rPr>
            </w:pPr>
            <w:r>
              <w:rPr>
                <w:noProof/>
              </w:rPr>
              <w:t>L’adoption de la stratégie nationale en faveur de l’économie circulaire</w:t>
            </w:r>
          </w:p>
        </w:tc>
      </w:tr>
      <w:tr w:rsidR="00A345F4" w14:paraId="5E25CDC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927F205" w14:textId="77777777" w:rsidR="00A345F4" w:rsidRDefault="005E2D4E">
            <w:pPr>
              <w:pStyle w:val="P68B1DB1-Normal73"/>
              <w:spacing w:after="0" w:line="259" w:lineRule="auto"/>
              <w:jc w:val="center"/>
              <w:rPr>
                <w:noProof/>
              </w:rPr>
            </w:pPr>
            <w:r>
              <w:rPr>
                <w:noProof/>
              </w:rPr>
              <w:t>46</w:t>
            </w:r>
          </w:p>
        </w:tc>
        <w:tc>
          <w:tcPr>
            <w:tcW w:w="3544" w:type="dxa"/>
            <w:tcBorders>
              <w:top w:val="nil"/>
              <w:left w:val="nil"/>
              <w:bottom w:val="single" w:sz="4" w:space="0" w:color="auto"/>
              <w:right w:val="single" w:sz="4" w:space="0" w:color="auto"/>
            </w:tcBorders>
            <w:shd w:val="clear" w:color="auto" w:fill="C6EFCE"/>
            <w:noWrap/>
          </w:tcPr>
          <w:p w14:paraId="0C7C9C03" w14:textId="77777777" w:rsidR="00A345F4" w:rsidRDefault="005E2D4E">
            <w:pPr>
              <w:pStyle w:val="P68B1DB1-Normal73"/>
              <w:spacing w:after="0" w:line="259" w:lineRule="auto"/>
              <w:jc w:val="both"/>
              <w:rPr>
                <w:noProof/>
              </w:rPr>
            </w:pPr>
            <w:r>
              <w:rPr>
                <w:noProof/>
              </w:rPr>
              <w:t>C3.R1</w:t>
            </w:r>
          </w:p>
          <w:p w14:paraId="2379CBAD" w14:textId="77777777" w:rsidR="00A345F4" w:rsidRDefault="005E2D4E">
            <w:pPr>
              <w:pStyle w:val="P68B1DB1-Normal73"/>
              <w:spacing w:after="0" w:line="259" w:lineRule="auto"/>
              <w:jc w:val="both"/>
              <w:rPr>
                <w:noProof/>
              </w:rPr>
            </w:pPr>
            <w:r>
              <w:rPr>
                <w:noProof/>
              </w:rPr>
              <w:t xml:space="preserve">Améliorer la gouvernance de la gestion des déchets pour accélérer la transition vers l’économie circulaire </w:t>
            </w:r>
          </w:p>
        </w:tc>
        <w:tc>
          <w:tcPr>
            <w:tcW w:w="1275" w:type="dxa"/>
            <w:tcBorders>
              <w:top w:val="nil"/>
              <w:left w:val="nil"/>
              <w:bottom w:val="single" w:sz="4" w:space="0" w:color="auto"/>
              <w:right w:val="single" w:sz="4" w:space="0" w:color="auto"/>
            </w:tcBorders>
            <w:shd w:val="clear" w:color="auto" w:fill="C6EFCE"/>
            <w:noWrap/>
          </w:tcPr>
          <w:p w14:paraId="12876240"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ED0DFC7" w14:textId="77777777" w:rsidR="00A345F4" w:rsidRDefault="005E2D4E">
            <w:pPr>
              <w:pStyle w:val="P68B1DB1-Normal73"/>
              <w:spacing w:after="0" w:line="259" w:lineRule="auto"/>
              <w:jc w:val="both"/>
              <w:rPr>
                <w:noProof/>
              </w:rPr>
            </w:pPr>
            <w:r>
              <w:rPr>
                <w:noProof/>
              </w:rPr>
              <w:t>Entrée en vigueur des actes législatifs nécessaires à la mise en œuvre d’une gestion unitaire des déchets conformément au plan national de gestion des déchets</w:t>
            </w:r>
          </w:p>
        </w:tc>
      </w:tr>
      <w:tr w:rsidR="00A345F4" w14:paraId="3B366225"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B542820" w14:textId="77777777" w:rsidR="00A345F4" w:rsidRDefault="005E2D4E">
            <w:pPr>
              <w:pStyle w:val="P68B1DB1-Normal73"/>
              <w:spacing w:after="0" w:line="259" w:lineRule="auto"/>
              <w:jc w:val="center"/>
              <w:rPr>
                <w:noProof/>
              </w:rPr>
            </w:pPr>
            <w:r>
              <w:rPr>
                <w:noProof/>
              </w:rPr>
              <w:t>127</w:t>
            </w:r>
          </w:p>
        </w:tc>
        <w:tc>
          <w:tcPr>
            <w:tcW w:w="3544" w:type="dxa"/>
            <w:tcBorders>
              <w:top w:val="nil"/>
              <w:left w:val="nil"/>
              <w:bottom w:val="single" w:sz="4" w:space="0" w:color="auto"/>
              <w:right w:val="single" w:sz="4" w:space="0" w:color="auto"/>
            </w:tcBorders>
            <w:shd w:val="clear" w:color="auto" w:fill="C6EFCE"/>
            <w:noWrap/>
          </w:tcPr>
          <w:p w14:paraId="169455DA" w14:textId="77777777" w:rsidR="00A345F4" w:rsidRDefault="005E2D4E">
            <w:pPr>
              <w:pStyle w:val="P68B1DB1-Normal73"/>
              <w:spacing w:after="0" w:line="259" w:lineRule="auto"/>
              <w:jc w:val="both"/>
              <w:rPr>
                <w:noProof/>
              </w:rPr>
            </w:pPr>
            <w:r>
              <w:rPr>
                <w:noProof/>
              </w:rPr>
              <w:t>C6.R5</w:t>
            </w:r>
          </w:p>
          <w:p w14:paraId="53AE5A58" w14:textId="77777777" w:rsidR="00A345F4" w:rsidRDefault="005E2D4E">
            <w:pPr>
              <w:pStyle w:val="P68B1DB1-Normal73"/>
              <w:spacing w:after="0" w:line="259" w:lineRule="auto"/>
              <w:jc w:val="both"/>
              <w:rPr>
                <w:noProof/>
              </w:rPr>
            </w:pPr>
            <w:r>
              <w:rPr>
                <w:noProof/>
              </w:rPr>
              <w:t xml:space="preserve">Réduire l'intensité énergétique de l'économie en établissant un mécanisme durable pour stimuler l'efficacité énergétique dans l'industrie </w:t>
            </w:r>
          </w:p>
        </w:tc>
        <w:tc>
          <w:tcPr>
            <w:tcW w:w="1275" w:type="dxa"/>
            <w:tcBorders>
              <w:top w:val="nil"/>
              <w:left w:val="nil"/>
              <w:bottom w:val="single" w:sz="4" w:space="0" w:color="auto"/>
              <w:right w:val="single" w:sz="4" w:space="0" w:color="auto"/>
            </w:tcBorders>
            <w:shd w:val="clear" w:color="auto" w:fill="C6EFCE"/>
            <w:noWrap/>
          </w:tcPr>
          <w:p w14:paraId="62CCCD1D"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5E5C7FF" w14:textId="77777777" w:rsidR="00A345F4" w:rsidRDefault="005E2D4E">
            <w:pPr>
              <w:pStyle w:val="P68B1DB1-Normal73"/>
              <w:spacing w:after="0" w:line="259" w:lineRule="auto"/>
              <w:jc w:val="both"/>
              <w:rPr>
                <w:noProof/>
              </w:rPr>
            </w:pPr>
            <w:r>
              <w:rPr>
                <w:noProof/>
              </w:rPr>
              <w:t>Entrée en vigueur du cadre législatif introduisant des mesures visant à faciliter les investissements dans l'efficacité énergétique dans l'industrie</w:t>
            </w:r>
          </w:p>
        </w:tc>
      </w:tr>
      <w:tr w:rsidR="00A345F4" w14:paraId="15544ECD"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05FFD7C" w14:textId="77777777" w:rsidR="00A345F4" w:rsidRDefault="005E2D4E">
            <w:pPr>
              <w:pStyle w:val="P68B1DB1-Normal73"/>
              <w:spacing w:after="0" w:line="259" w:lineRule="auto"/>
              <w:jc w:val="center"/>
              <w:rPr>
                <w:noProof/>
              </w:rPr>
            </w:pPr>
            <w:r>
              <w:rPr>
                <w:noProof/>
              </w:rPr>
              <w:t>241</w:t>
            </w:r>
          </w:p>
        </w:tc>
        <w:tc>
          <w:tcPr>
            <w:tcW w:w="3544" w:type="dxa"/>
            <w:tcBorders>
              <w:top w:val="nil"/>
              <w:left w:val="nil"/>
              <w:bottom w:val="single" w:sz="4" w:space="0" w:color="auto"/>
              <w:right w:val="single" w:sz="4" w:space="0" w:color="auto"/>
            </w:tcBorders>
            <w:shd w:val="clear" w:color="auto" w:fill="C6EFCE"/>
            <w:noWrap/>
          </w:tcPr>
          <w:p w14:paraId="6D8C41EE" w14:textId="77777777" w:rsidR="00A345F4" w:rsidRDefault="005E2D4E">
            <w:pPr>
              <w:pStyle w:val="P68B1DB1-Normal73"/>
              <w:spacing w:after="0" w:line="259" w:lineRule="auto"/>
              <w:jc w:val="both"/>
              <w:rPr>
                <w:noProof/>
              </w:rPr>
            </w:pPr>
            <w:r>
              <w:rPr>
                <w:noProof/>
              </w:rPr>
              <w:t>C9.R1</w:t>
            </w:r>
          </w:p>
          <w:p w14:paraId="38CA3708" w14:textId="77777777" w:rsidR="00A345F4" w:rsidRDefault="005E2D4E">
            <w:pPr>
              <w:pStyle w:val="P68B1DB1-Normal73"/>
              <w:spacing w:after="0" w:line="259" w:lineRule="auto"/>
              <w:jc w:val="both"/>
              <w:rPr>
                <w:noProof/>
              </w:rPr>
            </w:pPr>
            <w:r>
              <w:rPr>
                <w:noProof/>
              </w:rPr>
              <w:t xml:space="preserve">Transparence législative, débureaucratisation et simplification des procédures pour les entreprises </w:t>
            </w:r>
          </w:p>
        </w:tc>
        <w:tc>
          <w:tcPr>
            <w:tcW w:w="1275" w:type="dxa"/>
            <w:tcBorders>
              <w:top w:val="nil"/>
              <w:left w:val="nil"/>
              <w:bottom w:val="single" w:sz="4" w:space="0" w:color="auto"/>
              <w:right w:val="single" w:sz="4" w:space="0" w:color="auto"/>
            </w:tcBorders>
            <w:shd w:val="clear" w:color="auto" w:fill="C6EFCE"/>
            <w:noWrap/>
          </w:tcPr>
          <w:p w14:paraId="40ADF337"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C585F7E" w14:textId="77777777" w:rsidR="00A345F4" w:rsidRDefault="005E2D4E">
            <w:pPr>
              <w:pStyle w:val="P68B1DB1-Normal73"/>
              <w:spacing w:after="0" w:line="259" w:lineRule="auto"/>
              <w:jc w:val="both"/>
              <w:rPr>
                <w:noProof/>
              </w:rPr>
            </w:pPr>
            <w:r>
              <w:rPr>
                <w:noProof/>
              </w:rPr>
              <w:t xml:space="preserve">Entrée en vigueur des modifications législatives visant à rationaliser, simplifier et numériser entièrement les procédures liées aux entreprises </w:t>
            </w:r>
          </w:p>
        </w:tc>
      </w:tr>
      <w:tr w:rsidR="00A345F4" w14:paraId="796619D8"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5E5FC2D9" w14:textId="77777777" w:rsidR="00A345F4" w:rsidRDefault="005E2D4E">
            <w:pPr>
              <w:pStyle w:val="P68B1DB1-Normal73"/>
              <w:spacing w:after="0" w:line="259" w:lineRule="auto"/>
              <w:jc w:val="center"/>
              <w:rPr>
                <w:noProof/>
              </w:rPr>
            </w:pPr>
            <w:r>
              <w:rPr>
                <w:noProof/>
              </w:rPr>
              <w:t>242</w:t>
            </w:r>
          </w:p>
        </w:tc>
        <w:tc>
          <w:tcPr>
            <w:tcW w:w="3544" w:type="dxa"/>
            <w:tcBorders>
              <w:top w:val="nil"/>
              <w:left w:val="nil"/>
              <w:bottom w:val="single" w:sz="4" w:space="0" w:color="auto"/>
              <w:right w:val="single" w:sz="4" w:space="0" w:color="auto"/>
            </w:tcBorders>
            <w:shd w:val="clear" w:color="auto" w:fill="C6EFCE"/>
            <w:noWrap/>
          </w:tcPr>
          <w:p w14:paraId="1AC2D766" w14:textId="77777777" w:rsidR="00A345F4" w:rsidRDefault="005E2D4E">
            <w:pPr>
              <w:pStyle w:val="P68B1DB1-Normal73"/>
              <w:spacing w:after="0" w:line="259" w:lineRule="auto"/>
              <w:jc w:val="both"/>
              <w:rPr>
                <w:noProof/>
              </w:rPr>
            </w:pPr>
            <w:r>
              <w:rPr>
                <w:noProof/>
              </w:rPr>
              <w:t>C9.R1</w:t>
            </w:r>
          </w:p>
          <w:p w14:paraId="3FCE325B" w14:textId="77777777" w:rsidR="00A345F4" w:rsidRDefault="005E2D4E">
            <w:pPr>
              <w:pStyle w:val="P68B1DB1-Normal73"/>
              <w:spacing w:after="0" w:line="259" w:lineRule="auto"/>
              <w:jc w:val="both"/>
              <w:rPr>
                <w:noProof/>
              </w:rPr>
            </w:pPr>
            <w:r>
              <w:rPr>
                <w:noProof/>
              </w:rPr>
              <w:t xml:space="preserve">Transparence législative, débureaucratisation et simplification des procédures pour les entreprises </w:t>
            </w:r>
          </w:p>
        </w:tc>
        <w:tc>
          <w:tcPr>
            <w:tcW w:w="1275" w:type="dxa"/>
            <w:tcBorders>
              <w:top w:val="nil"/>
              <w:left w:val="nil"/>
              <w:bottom w:val="single" w:sz="4" w:space="0" w:color="auto"/>
              <w:right w:val="single" w:sz="4" w:space="0" w:color="auto"/>
            </w:tcBorders>
            <w:shd w:val="clear" w:color="auto" w:fill="C6EFCE"/>
            <w:noWrap/>
          </w:tcPr>
          <w:p w14:paraId="646E9FC7"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2F48384" w14:textId="77777777" w:rsidR="00A345F4" w:rsidRDefault="005E2D4E">
            <w:pPr>
              <w:pStyle w:val="P68B1DB1-Normal73"/>
              <w:spacing w:after="0" w:line="259" w:lineRule="auto"/>
              <w:jc w:val="both"/>
              <w:rPr>
                <w:noProof/>
              </w:rPr>
            </w:pPr>
            <w:r>
              <w:rPr>
                <w:noProof/>
              </w:rPr>
              <w:t>Entrée en vigueur des modifications législatives visant à simplifier et à rendre transparente et applicable la réalisation du test PME</w:t>
            </w:r>
          </w:p>
        </w:tc>
      </w:tr>
      <w:tr w:rsidR="00A345F4" w14:paraId="3CD2CA90"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5CFA6AD5" w14:textId="77777777" w:rsidR="00A345F4" w:rsidRDefault="005E2D4E">
            <w:pPr>
              <w:pStyle w:val="P68B1DB1-Normal73"/>
              <w:spacing w:after="0" w:line="259" w:lineRule="auto"/>
              <w:jc w:val="center"/>
              <w:rPr>
                <w:noProof/>
              </w:rPr>
            </w:pPr>
            <w:r>
              <w:rPr>
                <w:noProof/>
              </w:rPr>
              <w:t>328</w:t>
            </w:r>
          </w:p>
        </w:tc>
        <w:tc>
          <w:tcPr>
            <w:tcW w:w="3544" w:type="dxa"/>
            <w:tcBorders>
              <w:top w:val="nil"/>
              <w:left w:val="nil"/>
              <w:bottom w:val="single" w:sz="4" w:space="0" w:color="auto"/>
              <w:right w:val="single" w:sz="4" w:space="0" w:color="auto"/>
            </w:tcBorders>
            <w:shd w:val="clear" w:color="auto" w:fill="C6EFCE"/>
            <w:noWrap/>
          </w:tcPr>
          <w:p w14:paraId="0DE1456C" w14:textId="77777777" w:rsidR="00A345F4" w:rsidRDefault="005E2D4E">
            <w:pPr>
              <w:pStyle w:val="P68B1DB1-Normal73"/>
              <w:spacing w:after="0" w:line="259" w:lineRule="auto"/>
              <w:jc w:val="both"/>
              <w:rPr>
                <w:noProof/>
              </w:rPr>
            </w:pPr>
            <w:r>
              <w:rPr>
                <w:noProof/>
              </w:rPr>
              <w:t>C11.R1</w:t>
            </w:r>
          </w:p>
          <w:p w14:paraId="1631041F" w14:textId="77777777" w:rsidR="00A345F4" w:rsidRDefault="005E2D4E">
            <w:pPr>
              <w:pStyle w:val="P68B1DB1-Normal73"/>
              <w:spacing w:after="0" w:line="259" w:lineRule="auto"/>
              <w:jc w:val="both"/>
              <w:rPr>
                <w:noProof/>
              </w:rPr>
            </w:pPr>
            <w:r>
              <w:rPr>
                <w:noProof/>
              </w:rPr>
              <w:t>Opérationnalisation des organisations de gestion des destinations (OMD)</w:t>
            </w:r>
          </w:p>
        </w:tc>
        <w:tc>
          <w:tcPr>
            <w:tcW w:w="1275" w:type="dxa"/>
            <w:tcBorders>
              <w:top w:val="nil"/>
              <w:left w:val="nil"/>
              <w:bottom w:val="single" w:sz="4" w:space="0" w:color="auto"/>
              <w:right w:val="single" w:sz="4" w:space="0" w:color="auto"/>
            </w:tcBorders>
            <w:shd w:val="clear" w:color="auto" w:fill="C6EFCE"/>
            <w:noWrap/>
          </w:tcPr>
          <w:p w14:paraId="7177E277"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F37DAD4" w14:textId="77777777" w:rsidR="00A345F4" w:rsidRDefault="005E2D4E">
            <w:pPr>
              <w:pStyle w:val="P68B1DB1-Normal73"/>
              <w:spacing w:after="0" w:line="259" w:lineRule="auto"/>
              <w:jc w:val="both"/>
              <w:rPr>
                <w:noProof/>
              </w:rPr>
            </w:pPr>
            <w:r>
              <w:rPr>
                <w:noProof/>
              </w:rPr>
              <w:t>Entrée en vigueur du cadre législatif par décision du gouvernement, qui comprend une description claire du mécanisme de financement destiné à soutenir le développement du réseau des OGD et un modèle de gouvernance clair</w:t>
            </w:r>
          </w:p>
        </w:tc>
      </w:tr>
      <w:tr w:rsidR="00A345F4" w14:paraId="0C5FA0F0"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DB1BE17" w14:textId="77777777" w:rsidR="00A345F4" w:rsidRDefault="005E2D4E">
            <w:pPr>
              <w:pStyle w:val="P68B1DB1-Normal73"/>
              <w:spacing w:after="0" w:line="259" w:lineRule="auto"/>
              <w:jc w:val="center"/>
              <w:rPr>
                <w:noProof/>
              </w:rPr>
            </w:pPr>
            <w:r>
              <w:rPr>
                <w:noProof/>
              </w:rPr>
              <w:t>332</w:t>
            </w:r>
          </w:p>
        </w:tc>
        <w:tc>
          <w:tcPr>
            <w:tcW w:w="3544" w:type="dxa"/>
            <w:tcBorders>
              <w:top w:val="nil"/>
              <w:left w:val="nil"/>
              <w:bottom w:val="single" w:sz="4" w:space="0" w:color="auto"/>
              <w:right w:val="single" w:sz="4" w:space="0" w:color="auto"/>
            </w:tcBorders>
            <w:shd w:val="clear" w:color="auto" w:fill="C6EFCE"/>
            <w:noWrap/>
          </w:tcPr>
          <w:p w14:paraId="26D67902" w14:textId="77777777" w:rsidR="00A345F4" w:rsidRDefault="005E2D4E">
            <w:pPr>
              <w:pStyle w:val="P68B1DB1-Normal73"/>
              <w:spacing w:after="0" w:line="259" w:lineRule="auto"/>
              <w:jc w:val="both"/>
              <w:rPr>
                <w:noProof/>
              </w:rPr>
            </w:pPr>
            <w:r>
              <w:rPr>
                <w:noProof/>
              </w:rPr>
              <w:t>C11.I1</w:t>
            </w:r>
          </w:p>
          <w:p w14:paraId="0CED16EC" w14:textId="77777777" w:rsidR="00A345F4" w:rsidRDefault="005E2D4E">
            <w:pPr>
              <w:pStyle w:val="P68B1DB1-Normal73"/>
              <w:spacing w:after="0" w:line="259" w:lineRule="auto"/>
              <w:jc w:val="both"/>
              <w:rPr>
                <w:noProof/>
              </w:rPr>
            </w:pPr>
            <w:r>
              <w:rPr>
                <w:noProof/>
              </w:rPr>
              <w:t xml:space="preserve">Promotion des 12 itinéraires touristiques/culturels </w:t>
            </w:r>
          </w:p>
        </w:tc>
        <w:tc>
          <w:tcPr>
            <w:tcW w:w="1275" w:type="dxa"/>
            <w:tcBorders>
              <w:top w:val="nil"/>
              <w:left w:val="nil"/>
              <w:bottom w:val="single" w:sz="4" w:space="0" w:color="auto"/>
              <w:right w:val="single" w:sz="4" w:space="0" w:color="auto"/>
            </w:tcBorders>
            <w:shd w:val="clear" w:color="auto" w:fill="C6EFCE"/>
            <w:noWrap/>
          </w:tcPr>
          <w:p w14:paraId="7E95235D"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A7A9980" w14:textId="77777777" w:rsidR="00A345F4" w:rsidRDefault="005E2D4E">
            <w:pPr>
              <w:pStyle w:val="P68B1DB1-Normal73"/>
              <w:spacing w:after="0" w:line="259" w:lineRule="auto"/>
              <w:jc w:val="both"/>
              <w:rPr>
                <w:noProof/>
              </w:rPr>
            </w:pPr>
            <w:r>
              <w:rPr>
                <w:noProof/>
              </w:rPr>
              <w:t xml:space="preserve">Signature des contrats pour la promotion des 12 itinéraires </w:t>
            </w:r>
          </w:p>
        </w:tc>
      </w:tr>
      <w:tr w:rsidR="00A345F4" w14:paraId="37171D4E"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4BADDE12" w14:textId="77777777" w:rsidR="00A345F4" w:rsidRDefault="005E2D4E">
            <w:pPr>
              <w:pStyle w:val="P68B1DB1-Normal73"/>
              <w:spacing w:after="0" w:line="259" w:lineRule="auto"/>
              <w:jc w:val="center"/>
              <w:rPr>
                <w:noProof/>
              </w:rPr>
            </w:pPr>
            <w:r>
              <w:rPr>
                <w:noProof/>
              </w:rPr>
              <w:t>340</w:t>
            </w:r>
          </w:p>
        </w:tc>
        <w:tc>
          <w:tcPr>
            <w:tcW w:w="3544" w:type="dxa"/>
            <w:tcBorders>
              <w:top w:val="nil"/>
              <w:left w:val="nil"/>
              <w:bottom w:val="single" w:sz="4" w:space="0" w:color="auto"/>
              <w:right w:val="single" w:sz="4" w:space="0" w:color="auto"/>
            </w:tcBorders>
            <w:shd w:val="clear" w:color="auto" w:fill="C6EFCE"/>
            <w:noWrap/>
          </w:tcPr>
          <w:p w14:paraId="682D2BEF" w14:textId="77777777" w:rsidR="00A345F4" w:rsidRDefault="005E2D4E">
            <w:pPr>
              <w:pStyle w:val="P68B1DB1-Normal73"/>
              <w:spacing w:after="0" w:line="259" w:lineRule="auto"/>
              <w:jc w:val="both"/>
              <w:rPr>
                <w:noProof/>
              </w:rPr>
            </w:pPr>
            <w:r>
              <w:rPr>
                <w:noProof/>
              </w:rPr>
              <w:t>C11.R2</w:t>
            </w:r>
          </w:p>
          <w:p w14:paraId="27FB5009" w14:textId="77777777" w:rsidR="00A345F4" w:rsidRDefault="005E2D4E">
            <w:pPr>
              <w:pStyle w:val="P68B1DB1-Normal73"/>
              <w:spacing w:after="0" w:line="259" w:lineRule="auto"/>
              <w:jc w:val="both"/>
              <w:rPr>
                <w:noProof/>
              </w:rPr>
            </w:pPr>
            <w:r>
              <w:rPr>
                <w:noProof/>
              </w:rPr>
              <w:t xml:space="preserve">Cadre pour la mise en service des pistes cyclables au niveau national </w:t>
            </w:r>
          </w:p>
        </w:tc>
        <w:tc>
          <w:tcPr>
            <w:tcW w:w="1275" w:type="dxa"/>
            <w:tcBorders>
              <w:top w:val="nil"/>
              <w:left w:val="nil"/>
              <w:bottom w:val="single" w:sz="4" w:space="0" w:color="auto"/>
              <w:right w:val="single" w:sz="4" w:space="0" w:color="auto"/>
            </w:tcBorders>
            <w:shd w:val="clear" w:color="auto" w:fill="C6EFCE"/>
            <w:noWrap/>
          </w:tcPr>
          <w:p w14:paraId="6F3A256F"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4BB0E0F" w14:textId="77777777" w:rsidR="00A345F4" w:rsidRDefault="005E2D4E">
            <w:pPr>
              <w:pStyle w:val="P68B1DB1-Normal73"/>
              <w:spacing w:after="0" w:line="259" w:lineRule="auto"/>
              <w:jc w:val="both"/>
              <w:rPr>
                <w:noProof/>
              </w:rPr>
            </w:pPr>
            <w:r>
              <w:rPr>
                <w:noProof/>
              </w:rPr>
              <w:t>Étude approfondie sur la répartition territoriale des pistes cyclables nationales</w:t>
            </w:r>
          </w:p>
        </w:tc>
      </w:tr>
      <w:tr w:rsidR="00A345F4" w14:paraId="0980A168"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CCC1A99" w14:textId="77777777" w:rsidR="00A345F4" w:rsidRDefault="005E2D4E">
            <w:pPr>
              <w:pStyle w:val="P68B1DB1-Normal73"/>
              <w:spacing w:after="0" w:line="259" w:lineRule="auto"/>
              <w:jc w:val="center"/>
              <w:rPr>
                <w:noProof/>
              </w:rPr>
            </w:pPr>
            <w:r>
              <w:rPr>
                <w:noProof/>
              </w:rPr>
              <w:t>341</w:t>
            </w:r>
          </w:p>
        </w:tc>
        <w:tc>
          <w:tcPr>
            <w:tcW w:w="3544" w:type="dxa"/>
            <w:tcBorders>
              <w:top w:val="nil"/>
              <w:left w:val="nil"/>
              <w:bottom w:val="single" w:sz="4" w:space="0" w:color="auto"/>
              <w:right w:val="single" w:sz="4" w:space="0" w:color="auto"/>
            </w:tcBorders>
            <w:shd w:val="clear" w:color="auto" w:fill="C6EFCE"/>
            <w:noWrap/>
          </w:tcPr>
          <w:p w14:paraId="0D250A38" w14:textId="77777777" w:rsidR="00A345F4" w:rsidRDefault="005E2D4E">
            <w:pPr>
              <w:pStyle w:val="P68B1DB1-Normal73"/>
              <w:spacing w:after="0" w:line="259" w:lineRule="auto"/>
              <w:jc w:val="both"/>
              <w:rPr>
                <w:noProof/>
              </w:rPr>
            </w:pPr>
            <w:r>
              <w:rPr>
                <w:noProof/>
              </w:rPr>
              <w:t>C11.I3</w:t>
            </w:r>
          </w:p>
          <w:p w14:paraId="6105C761" w14:textId="77777777" w:rsidR="00A345F4" w:rsidRDefault="005E2D4E">
            <w:pPr>
              <w:pStyle w:val="P68B1DB1-Normal73"/>
              <w:spacing w:after="0" w:line="259" w:lineRule="auto"/>
              <w:jc w:val="both"/>
              <w:rPr>
                <w:noProof/>
              </w:rPr>
            </w:pPr>
            <w:r>
              <w:rPr>
                <w:noProof/>
              </w:rPr>
              <w:t xml:space="preserve">Création et mise en service du centre national de coordination de Velo </w:t>
            </w:r>
          </w:p>
        </w:tc>
        <w:tc>
          <w:tcPr>
            <w:tcW w:w="1275" w:type="dxa"/>
            <w:tcBorders>
              <w:top w:val="nil"/>
              <w:left w:val="nil"/>
              <w:bottom w:val="single" w:sz="4" w:space="0" w:color="auto"/>
              <w:right w:val="single" w:sz="4" w:space="0" w:color="auto"/>
            </w:tcBorders>
            <w:shd w:val="clear" w:color="auto" w:fill="C6EFCE"/>
            <w:noWrap/>
          </w:tcPr>
          <w:p w14:paraId="35BEC78E"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72FA5AF7" w14:textId="77777777" w:rsidR="00A345F4" w:rsidRDefault="005E2D4E">
            <w:pPr>
              <w:pStyle w:val="P68B1DB1-Normal73"/>
              <w:spacing w:after="0" w:line="259" w:lineRule="auto"/>
              <w:jc w:val="both"/>
              <w:rPr>
                <w:noProof/>
              </w:rPr>
            </w:pPr>
            <w:r>
              <w:rPr>
                <w:noProof/>
              </w:rPr>
              <w:t>Plateforme nationale eVelo intégrée et application pour smartphone</w:t>
            </w:r>
          </w:p>
        </w:tc>
      </w:tr>
      <w:tr w:rsidR="00A345F4" w14:paraId="3292952C"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26BCC702" w14:textId="77777777" w:rsidR="00A345F4" w:rsidRDefault="005E2D4E">
            <w:pPr>
              <w:pStyle w:val="P68B1DB1-Normal73"/>
              <w:spacing w:after="0" w:line="259" w:lineRule="auto"/>
              <w:jc w:val="center"/>
              <w:rPr>
                <w:noProof/>
              </w:rPr>
            </w:pPr>
            <w:r>
              <w:rPr>
                <w:noProof/>
              </w:rPr>
              <w:t>344</w:t>
            </w:r>
          </w:p>
        </w:tc>
        <w:tc>
          <w:tcPr>
            <w:tcW w:w="3544" w:type="dxa"/>
            <w:tcBorders>
              <w:top w:val="nil"/>
              <w:left w:val="nil"/>
              <w:bottom w:val="single" w:sz="4" w:space="0" w:color="auto"/>
              <w:right w:val="single" w:sz="4" w:space="0" w:color="auto"/>
            </w:tcBorders>
            <w:shd w:val="clear" w:color="auto" w:fill="C6EFCE"/>
            <w:noWrap/>
          </w:tcPr>
          <w:p w14:paraId="332B625B" w14:textId="77777777" w:rsidR="00A345F4" w:rsidRDefault="005E2D4E">
            <w:pPr>
              <w:pStyle w:val="P68B1DB1-Normal73"/>
              <w:spacing w:after="0" w:line="259" w:lineRule="auto"/>
              <w:jc w:val="both"/>
              <w:rPr>
                <w:noProof/>
              </w:rPr>
            </w:pPr>
            <w:r>
              <w:rPr>
                <w:noProof/>
              </w:rPr>
              <w:t>C11.R3</w:t>
            </w:r>
          </w:p>
          <w:p w14:paraId="2269139A" w14:textId="369F6034" w:rsidR="00A345F4" w:rsidRDefault="005E2D4E">
            <w:pPr>
              <w:pStyle w:val="P68B1DB1-Normal73"/>
              <w:spacing w:after="0" w:line="259" w:lineRule="auto"/>
              <w:jc w:val="both"/>
              <w:rPr>
                <w:noProof/>
              </w:rPr>
            </w:pPr>
            <w:r>
              <w:rPr>
                <w:noProof/>
              </w:rPr>
              <w:t xml:space="preserve">Réforme du système de financement du secteur culturel </w:t>
            </w:r>
          </w:p>
        </w:tc>
        <w:tc>
          <w:tcPr>
            <w:tcW w:w="1275" w:type="dxa"/>
            <w:tcBorders>
              <w:top w:val="nil"/>
              <w:left w:val="nil"/>
              <w:bottom w:val="single" w:sz="4" w:space="0" w:color="auto"/>
              <w:right w:val="single" w:sz="4" w:space="0" w:color="auto"/>
            </w:tcBorders>
            <w:shd w:val="clear" w:color="auto" w:fill="C6EFCE"/>
            <w:noWrap/>
          </w:tcPr>
          <w:p w14:paraId="3421CCEB"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FBF2246" w14:textId="77777777" w:rsidR="00A345F4" w:rsidRDefault="005E2D4E">
            <w:pPr>
              <w:pStyle w:val="P68B1DB1-Normal73"/>
              <w:spacing w:after="0" w:line="259" w:lineRule="auto"/>
              <w:jc w:val="both"/>
              <w:rPr>
                <w:noProof/>
              </w:rPr>
            </w:pPr>
            <w:r>
              <w:rPr>
                <w:noProof/>
              </w:rPr>
              <w:t>Entrée en vigueur de la loi sur le système de financement du secteur culturel</w:t>
            </w:r>
          </w:p>
        </w:tc>
      </w:tr>
      <w:tr w:rsidR="00A345F4" w14:paraId="15A1EE24"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C71863C" w14:textId="77777777" w:rsidR="00A345F4" w:rsidRDefault="005E2D4E">
            <w:pPr>
              <w:pStyle w:val="P68B1DB1-Normal73"/>
              <w:spacing w:after="0" w:line="259" w:lineRule="auto"/>
              <w:jc w:val="center"/>
              <w:rPr>
                <w:noProof/>
              </w:rPr>
            </w:pPr>
            <w:r>
              <w:rPr>
                <w:noProof/>
              </w:rPr>
              <w:t>3</w:t>
            </w:r>
          </w:p>
        </w:tc>
        <w:tc>
          <w:tcPr>
            <w:tcW w:w="3544" w:type="dxa"/>
            <w:tcBorders>
              <w:top w:val="nil"/>
              <w:left w:val="nil"/>
              <w:bottom w:val="single" w:sz="4" w:space="0" w:color="auto"/>
              <w:right w:val="single" w:sz="4" w:space="0" w:color="auto"/>
            </w:tcBorders>
            <w:shd w:val="clear" w:color="auto" w:fill="C6EFCE"/>
            <w:noWrap/>
          </w:tcPr>
          <w:p w14:paraId="6A37900C" w14:textId="77777777" w:rsidR="00A345F4" w:rsidRDefault="005E2D4E">
            <w:pPr>
              <w:pStyle w:val="P68B1DB1-Normal73"/>
              <w:spacing w:after="0" w:line="259" w:lineRule="auto"/>
              <w:jc w:val="both"/>
              <w:rPr>
                <w:noProof/>
              </w:rPr>
            </w:pPr>
            <w:r>
              <w:rPr>
                <w:noProof/>
              </w:rPr>
              <w:t>C1.R1</w:t>
            </w:r>
          </w:p>
          <w:p w14:paraId="709E1DE8" w14:textId="77777777" w:rsidR="00A345F4" w:rsidRDefault="005E2D4E">
            <w:pPr>
              <w:pStyle w:val="P68B1DB1-Normal73"/>
              <w:spacing w:after="0" w:line="259" w:lineRule="auto"/>
              <w:jc w:val="both"/>
              <w:rPr>
                <w:noProof/>
              </w:rPr>
            </w:pPr>
            <w:r>
              <w:rPr>
                <w:noProof/>
              </w:rPr>
              <w:t>Renforcer le cadre réglementaire pour la gestion durable du secteur de l’eau et des eaux usées et accélérer l’accès des citoyens à des services de qualité au titre des directives européennes</w:t>
            </w:r>
          </w:p>
        </w:tc>
        <w:tc>
          <w:tcPr>
            <w:tcW w:w="1275" w:type="dxa"/>
            <w:tcBorders>
              <w:top w:val="nil"/>
              <w:left w:val="nil"/>
              <w:bottom w:val="single" w:sz="4" w:space="0" w:color="auto"/>
              <w:right w:val="single" w:sz="4" w:space="0" w:color="auto"/>
            </w:tcBorders>
            <w:shd w:val="clear" w:color="auto" w:fill="C6EFCE"/>
            <w:noWrap/>
          </w:tcPr>
          <w:p w14:paraId="7CEE4FA7"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D72BBF8" w14:textId="77777777" w:rsidR="00A345F4" w:rsidRDefault="005E2D4E">
            <w:pPr>
              <w:pStyle w:val="P68B1DB1-Normal73"/>
              <w:spacing w:after="0" w:line="259" w:lineRule="auto"/>
              <w:jc w:val="both"/>
              <w:rPr>
                <w:noProof/>
              </w:rPr>
            </w:pPr>
            <w:r>
              <w:rPr>
                <w:noProof/>
              </w:rPr>
              <w:t>Accords de mise en œuvre signés avec les autorités locales participant au programme First Connection to Water and Sanitation</w:t>
            </w:r>
          </w:p>
        </w:tc>
      </w:tr>
      <w:tr w:rsidR="00A345F4" w14:paraId="77D052B4"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03994C7" w14:textId="77777777" w:rsidR="00A345F4" w:rsidRDefault="005E2D4E">
            <w:pPr>
              <w:pStyle w:val="P68B1DB1-Normal73"/>
              <w:spacing w:after="0" w:line="259" w:lineRule="auto"/>
              <w:jc w:val="center"/>
              <w:rPr>
                <w:noProof/>
              </w:rPr>
            </w:pPr>
            <w:r>
              <w:rPr>
                <w:noProof/>
              </w:rPr>
              <w:t>79</w:t>
            </w:r>
          </w:p>
        </w:tc>
        <w:tc>
          <w:tcPr>
            <w:tcW w:w="3544" w:type="dxa"/>
            <w:tcBorders>
              <w:top w:val="nil"/>
              <w:left w:val="nil"/>
              <w:bottom w:val="single" w:sz="4" w:space="0" w:color="auto"/>
              <w:right w:val="single" w:sz="4" w:space="0" w:color="auto"/>
            </w:tcBorders>
            <w:shd w:val="clear" w:color="auto" w:fill="C6EFCE"/>
            <w:noWrap/>
          </w:tcPr>
          <w:p w14:paraId="3C0D4486" w14:textId="77777777" w:rsidR="00A345F4" w:rsidRDefault="005E2D4E">
            <w:pPr>
              <w:pStyle w:val="P68B1DB1-Normal73"/>
              <w:spacing w:after="0" w:line="259" w:lineRule="auto"/>
              <w:jc w:val="both"/>
              <w:rPr>
                <w:noProof/>
              </w:rPr>
            </w:pPr>
            <w:r>
              <w:rPr>
                <w:noProof/>
              </w:rPr>
              <w:t>C4.R2</w:t>
            </w:r>
          </w:p>
          <w:p w14:paraId="640AA54A" w14:textId="77777777" w:rsidR="00A345F4" w:rsidRDefault="005E2D4E">
            <w:pPr>
              <w:pStyle w:val="P68B1DB1-Normal73"/>
              <w:spacing w:after="0" w:line="259" w:lineRule="auto"/>
              <w:jc w:val="both"/>
              <w:rPr>
                <w:noProof/>
              </w:rPr>
            </w:pPr>
            <w:r>
              <w:rPr>
                <w:noProof/>
              </w:rPr>
              <w:t xml:space="preserve">Gestion de la qualité axée sur les résultats dans les transports - Amélioration des capacités institutionnelles et de la gouvernance d'entreprise </w:t>
            </w:r>
          </w:p>
        </w:tc>
        <w:tc>
          <w:tcPr>
            <w:tcW w:w="1275" w:type="dxa"/>
            <w:tcBorders>
              <w:top w:val="nil"/>
              <w:left w:val="nil"/>
              <w:bottom w:val="single" w:sz="4" w:space="0" w:color="auto"/>
              <w:right w:val="single" w:sz="4" w:space="0" w:color="auto"/>
            </w:tcBorders>
            <w:shd w:val="clear" w:color="auto" w:fill="C6EFCE"/>
            <w:noWrap/>
          </w:tcPr>
          <w:p w14:paraId="07740398"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08BA8D6D" w14:textId="77777777" w:rsidR="00A345F4" w:rsidRDefault="005E2D4E">
            <w:pPr>
              <w:pStyle w:val="P68B1DB1-Normal73"/>
              <w:spacing w:after="0" w:line="259" w:lineRule="auto"/>
              <w:jc w:val="both"/>
              <w:rPr>
                <w:noProof/>
              </w:rPr>
            </w:pPr>
            <w:r>
              <w:rPr>
                <w:noProof/>
              </w:rPr>
              <w:t>Sélection et nomination des membres du conseil d'administration de C.N.A.I.R., C.N.I.R., C.F.R., Metrorex, C.F.R. Călători.</w:t>
            </w:r>
          </w:p>
        </w:tc>
      </w:tr>
      <w:tr w:rsidR="00A345F4" w14:paraId="2543622C"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E01C7DE" w14:textId="77777777" w:rsidR="00A345F4" w:rsidRDefault="005E2D4E">
            <w:pPr>
              <w:pStyle w:val="P68B1DB1-Normal73"/>
              <w:spacing w:after="0" w:line="259" w:lineRule="auto"/>
              <w:jc w:val="center"/>
              <w:rPr>
                <w:noProof/>
              </w:rPr>
            </w:pPr>
            <w:r>
              <w:rPr>
                <w:noProof/>
              </w:rPr>
              <w:t>90</w:t>
            </w:r>
          </w:p>
        </w:tc>
        <w:tc>
          <w:tcPr>
            <w:tcW w:w="3544" w:type="dxa"/>
            <w:tcBorders>
              <w:top w:val="nil"/>
              <w:left w:val="nil"/>
              <w:bottom w:val="single" w:sz="4" w:space="0" w:color="auto"/>
              <w:right w:val="single" w:sz="4" w:space="0" w:color="auto"/>
            </w:tcBorders>
            <w:shd w:val="clear" w:color="auto" w:fill="C6EFCE"/>
            <w:noWrap/>
          </w:tcPr>
          <w:p w14:paraId="755D4884" w14:textId="77777777" w:rsidR="00A345F4" w:rsidRDefault="005E2D4E">
            <w:pPr>
              <w:pStyle w:val="P68B1DB1-Normal73"/>
              <w:spacing w:after="0" w:line="259" w:lineRule="auto"/>
              <w:jc w:val="both"/>
              <w:rPr>
                <w:noProof/>
              </w:rPr>
            </w:pPr>
            <w:r>
              <w:rPr>
                <w:noProof/>
              </w:rPr>
              <w:t>C5.R1</w:t>
            </w:r>
          </w:p>
          <w:p w14:paraId="16B3EAFD" w14:textId="77777777" w:rsidR="00A345F4" w:rsidRDefault="005E2D4E">
            <w:pPr>
              <w:pStyle w:val="P68B1DB1-Normal73"/>
              <w:spacing w:after="0" w:line="259" w:lineRule="auto"/>
              <w:jc w:val="both"/>
              <w:rPr>
                <w:noProof/>
              </w:rPr>
            </w:pPr>
            <w:r>
              <w:rPr>
                <w:noProof/>
              </w:rPr>
              <w:t xml:space="preserve">Cadre juridique et réglementaire simplifié et actualisé pour soutenir les rénovations des bâtiments en matière d’efficacité énergétique </w:t>
            </w:r>
          </w:p>
        </w:tc>
        <w:tc>
          <w:tcPr>
            <w:tcW w:w="1275" w:type="dxa"/>
            <w:tcBorders>
              <w:top w:val="nil"/>
              <w:left w:val="nil"/>
              <w:bottom w:val="single" w:sz="4" w:space="0" w:color="auto"/>
              <w:right w:val="single" w:sz="4" w:space="0" w:color="auto"/>
            </w:tcBorders>
            <w:shd w:val="clear" w:color="auto" w:fill="C6EFCE"/>
            <w:noWrap/>
          </w:tcPr>
          <w:p w14:paraId="0F4AA948"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E4CD991" w14:textId="77777777" w:rsidR="00A345F4" w:rsidRDefault="005E2D4E">
            <w:pPr>
              <w:pStyle w:val="P68B1DB1-Normal73"/>
              <w:spacing w:after="0" w:line="259" w:lineRule="auto"/>
              <w:jc w:val="both"/>
              <w:rPr>
                <w:noProof/>
              </w:rPr>
            </w:pPr>
            <w:r>
              <w:rPr>
                <w:noProof/>
              </w:rPr>
              <w:t xml:space="preserve">Entrée en vigueur des modifications du cadre législatif existant concernant le programme national pluriannuel pour l’amélioration de la performance énergétique des bâtiments résidentiels (ordonnance gouvernementale d’urgence no 18/2009) </w:t>
            </w:r>
          </w:p>
        </w:tc>
      </w:tr>
      <w:tr w:rsidR="00A345F4" w14:paraId="5552DAEE"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251A0B4D" w14:textId="77777777" w:rsidR="00A345F4" w:rsidRDefault="005E2D4E">
            <w:pPr>
              <w:pStyle w:val="P68B1DB1-Normal73"/>
              <w:spacing w:after="0" w:line="259" w:lineRule="auto"/>
              <w:jc w:val="center"/>
              <w:rPr>
                <w:noProof/>
              </w:rPr>
            </w:pPr>
            <w:r>
              <w:rPr>
                <w:noProof/>
              </w:rPr>
              <w:t>91</w:t>
            </w:r>
          </w:p>
        </w:tc>
        <w:tc>
          <w:tcPr>
            <w:tcW w:w="3544" w:type="dxa"/>
            <w:tcBorders>
              <w:top w:val="nil"/>
              <w:left w:val="nil"/>
              <w:bottom w:val="single" w:sz="4" w:space="0" w:color="auto"/>
              <w:right w:val="single" w:sz="4" w:space="0" w:color="auto"/>
            </w:tcBorders>
            <w:shd w:val="clear" w:color="auto" w:fill="C6EFCE"/>
            <w:noWrap/>
          </w:tcPr>
          <w:p w14:paraId="7330503A" w14:textId="77777777" w:rsidR="00A345F4" w:rsidRDefault="005E2D4E">
            <w:pPr>
              <w:pStyle w:val="P68B1DB1-Normal73"/>
              <w:spacing w:after="0" w:line="259" w:lineRule="auto"/>
              <w:jc w:val="both"/>
              <w:rPr>
                <w:noProof/>
              </w:rPr>
            </w:pPr>
            <w:r>
              <w:rPr>
                <w:noProof/>
              </w:rPr>
              <w:t>C5.R1</w:t>
            </w:r>
          </w:p>
          <w:p w14:paraId="1F82B74F" w14:textId="77777777" w:rsidR="00A345F4" w:rsidRDefault="005E2D4E">
            <w:pPr>
              <w:pStyle w:val="P68B1DB1-Normal73"/>
              <w:spacing w:after="0" w:line="259" w:lineRule="auto"/>
              <w:jc w:val="both"/>
              <w:rPr>
                <w:noProof/>
              </w:rPr>
            </w:pPr>
            <w:r>
              <w:rPr>
                <w:noProof/>
              </w:rPr>
              <w:t xml:space="preserve">Cadre juridique et réglementaire simplifié et actualisé pour soutenir les rénovations des bâtiments en matière d’efficacité énergétique </w:t>
            </w:r>
          </w:p>
        </w:tc>
        <w:tc>
          <w:tcPr>
            <w:tcW w:w="1275" w:type="dxa"/>
            <w:tcBorders>
              <w:top w:val="nil"/>
              <w:left w:val="nil"/>
              <w:bottom w:val="single" w:sz="4" w:space="0" w:color="auto"/>
              <w:right w:val="single" w:sz="4" w:space="0" w:color="auto"/>
            </w:tcBorders>
            <w:shd w:val="clear" w:color="auto" w:fill="C6EFCE"/>
            <w:noWrap/>
          </w:tcPr>
          <w:p w14:paraId="74BF1D73"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2D9B71E" w14:textId="77777777" w:rsidR="00A345F4" w:rsidRDefault="005E2D4E">
            <w:pPr>
              <w:pStyle w:val="P68B1DB1-Normal73"/>
              <w:spacing w:after="0" w:line="259" w:lineRule="auto"/>
              <w:jc w:val="both"/>
              <w:rPr>
                <w:noProof/>
              </w:rPr>
            </w:pPr>
            <w:r>
              <w:rPr>
                <w:noProof/>
              </w:rPr>
              <w:t>Le cadre réglementaire technique relatif aux investissements en faveur de la transition vers des bâtiments écologiques et numériques est opérationnel</w:t>
            </w:r>
          </w:p>
        </w:tc>
      </w:tr>
      <w:tr w:rsidR="00A345F4" w14:paraId="11EC5489"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6A5BEEA" w14:textId="77777777" w:rsidR="00A345F4" w:rsidRDefault="005E2D4E">
            <w:pPr>
              <w:pStyle w:val="P68B1DB1-Normal73"/>
              <w:spacing w:after="0" w:line="259" w:lineRule="auto"/>
              <w:jc w:val="center"/>
              <w:rPr>
                <w:noProof/>
              </w:rPr>
            </w:pPr>
            <w:r>
              <w:rPr>
                <w:noProof/>
              </w:rPr>
              <w:t>93</w:t>
            </w:r>
          </w:p>
        </w:tc>
        <w:tc>
          <w:tcPr>
            <w:tcW w:w="3544" w:type="dxa"/>
            <w:tcBorders>
              <w:top w:val="nil"/>
              <w:left w:val="nil"/>
              <w:bottom w:val="single" w:sz="4" w:space="0" w:color="auto"/>
              <w:right w:val="single" w:sz="4" w:space="0" w:color="auto"/>
            </w:tcBorders>
            <w:shd w:val="clear" w:color="auto" w:fill="C6EFCE"/>
            <w:noWrap/>
          </w:tcPr>
          <w:p w14:paraId="7F9A0AC5" w14:textId="77777777" w:rsidR="00A345F4" w:rsidRDefault="005E2D4E">
            <w:pPr>
              <w:pStyle w:val="P68B1DB1-Normal73"/>
              <w:spacing w:after="0" w:line="259" w:lineRule="auto"/>
              <w:jc w:val="both"/>
              <w:rPr>
                <w:noProof/>
              </w:rPr>
            </w:pPr>
            <w:r>
              <w:rPr>
                <w:noProof/>
              </w:rPr>
              <w:t>C5.R2</w:t>
            </w:r>
          </w:p>
          <w:p w14:paraId="539C19C2" w14:textId="77777777" w:rsidR="00A345F4" w:rsidRDefault="005E2D4E">
            <w:pPr>
              <w:pStyle w:val="P68B1DB1-Normal73"/>
              <w:spacing w:after="0" w:line="259" w:lineRule="auto"/>
              <w:jc w:val="both"/>
              <w:rPr>
                <w:noProof/>
              </w:rPr>
            </w:pPr>
            <w:r>
              <w:rPr>
                <w:noProof/>
              </w:rPr>
              <w:t>Cadre stratégique, législatif et procédural pour soutenir la résilience sismique du parc immobilier</w:t>
            </w:r>
          </w:p>
        </w:tc>
        <w:tc>
          <w:tcPr>
            <w:tcW w:w="1275" w:type="dxa"/>
            <w:tcBorders>
              <w:top w:val="nil"/>
              <w:left w:val="nil"/>
              <w:bottom w:val="single" w:sz="4" w:space="0" w:color="auto"/>
              <w:right w:val="single" w:sz="4" w:space="0" w:color="auto"/>
            </w:tcBorders>
            <w:shd w:val="clear" w:color="auto" w:fill="C6EFCE"/>
            <w:noWrap/>
          </w:tcPr>
          <w:p w14:paraId="2694FA6D"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3C57DDFF" w14:textId="77777777" w:rsidR="00A345F4" w:rsidRDefault="005E2D4E">
            <w:pPr>
              <w:pStyle w:val="P68B1DB1-Normal73"/>
              <w:spacing w:after="0" w:line="259" w:lineRule="auto"/>
              <w:jc w:val="both"/>
              <w:rPr>
                <w:noProof/>
              </w:rPr>
            </w:pPr>
            <w:r>
              <w:rPr>
                <w:noProof/>
              </w:rPr>
              <w:t>Adoption et mise en œuvre de la stratégie nationale de réduction des risques sismiques pour la modernisation sismique du parc immobilier existant</w:t>
            </w:r>
          </w:p>
        </w:tc>
      </w:tr>
      <w:tr w:rsidR="00A345F4" w14:paraId="6DA63AD6"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273B787" w14:textId="77777777" w:rsidR="00A345F4" w:rsidRDefault="005E2D4E">
            <w:pPr>
              <w:pStyle w:val="P68B1DB1-Normal73"/>
              <w:spacing w:after="0" w:line="259" w:lineRule="auto"/>
              <w:jc w:val="center"/>
              <w:rPr>
                <w:noProof/>
              </w:rPr>
            </w:pPr>
            <w:r>
              <w:rPr>
                <w:noProof/>
              </w:rPr>
              <w:t>94</w:t>
            </w:r>
          </w:p>
        </w:tc>
        <w:tc>
          <w:tcPr>
            <w:tcW w:w="3544" w:type="dxa"/>
            <w:tcBorders>
              <w:top w:val="nil"/>
              <w:left w:val="nil"/>
              <w:bottom w:val="single" w:sz="4" w:space="0" w:color="auto"/>
              <w:right w:val="single" w:sz="4" w:space="0" w:color="auto"/>
            </w:tcBorders>
            <w:shd w:val="clear" w:color="auto" w:fill="C6EFCE"/>
            <w:noWrap/>
          </w:tcPr>
          <w:p w14:paraId="1C5492E2" w14:textId="77777777" w:rsidR="00A345F4" w:rsidRDefault="005E2D4E">
            <w:pPr>
              <w:pStyle w:val="P68B1DB1-Normal73"/>
              <w:spacing w:after="0" w:line="259" w:lineRule="auto"/>
              <w:jc w:val="both"/>
              <w:rPr>
                <w:noProof/>
              </w:rPr>
            </w:pPr>
            <w:r>
              <w:rPr>
                <w:noProof/>
              </w:rPr>
              <w:t>C5.R2</w:t>
            </w:r>
          </w:p>
          <w:p w14:paraId="73939D99" w14:textId="77777777" w:rsidR="00A345F4" w:rsidRDefault="005E2D4E">
            <w:pPr>
              <w:pStyle w:val="P68B1DB1-Normal73"/>
              <w:spacing w:after="0" w:line="259" w:lineRule="auto"/>
              <w:jc w:val="both"/>
              <w:rPr>
                <w:noProof/>
              </w:rPr>
            </w:pPr>
            <w:r>
              <w:rPr>
                <w:noProof/>
              </w:rPr>
              <w:t>Cadre stratégique, législatif et procédural pour soutenir la résilience sismique du parc immobilier</w:t>
            </w:r>
          </w:p>
        </w:tc>
        <w:tc>
          <w:tcPr>
            <w:tcW w:w="1275" w:type="dxa"/>
            <w:tcBorders>
              <w:top w:val="nil"/>
              <w:left w:val="nil"/>
              <w:bottom w:val="single" w:sz="4" w:space="0" w:color="auto"/>
              <w:right w:val="single" w:sz="4" w:space="0" w:color="auto"/>
            </w:tcBorders>
            <w:shd w:val="clear" w:color="auto" w:fill="C6EFCE"/>
            <w:noWrap/>
          </w:tcPr>
          <w:p w14:paraId="0111EAF3"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76F2334" w14:textId="77777777" w:rsidR="00A345F4" w:rsidRDefault="005E2D4E">
            <w:pPr>
              <w:pStyle w:val="P68B1DB1-Normal73"/>
              <w:spacing w:after="0" w:line="259" w:lineRule="auto"/>
              <w:jc w:val="both"/>
              <w:rPr>
                <w:noProof/>
              </w:rPr>
            </w:pPr>
            <w:r>
              <w:rPr>
                <w:noProof/>
              </w:rPr>
              <w:t>Entrée en vigueur de la nouvelle loi sur la réduction des risques sismiques des bâtiments</w:t>
            </w:r>
          </w:p>
        </w:tc>
      </w:tr>
      <w:tr w:rsidR="00A345F4" w14:paraId="010D7BA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1D2C0AE2" w14:textId="77777777" w:rsidR="00A345F4" w:rsidRDefault="005E2D4E">
            <w:pPr>
              <w:pStyle w:val="P68B1DB1-Normal73"/>
              <w:spacing w:after="0" w:line="259" w:lineRule="auto"/>
              <w:jc w:val="center"/>
              <w:rPr>
                <w:noProof/>
              </w:rPr>
            </w:pPr>
            <w:r>
              <w:rPr>
                <w:noProof/>
              </w:rPr>
              <w:t>99</w:t>
            </w:r>
          </w:p>
          <w:p w14:paraId="3DAA47F5" w14:textId="77777777" w:rsidR="00A345F4" w:rsidRDefault="00A345F4">
            <w:pPr>
              <w:spacing w:after="0" w:line="259" w:lineRule="auto"/>
              <w:jc w:val="center"/>
              <w:rPr>
                <w:rFonts w:ascii="Times New Roman" w:eastAsia="Aptos" w:hAnsi="Times New Roman" w:cs="Times New Roman"/>
                <w:noProof/>
                <w:kern w:val="2"/>
                <w:sz w:val="22"/>
                <w:szCs w:val="22"/>
                <w14:ligatures w14:val="standardContextual"/>
              </w:rPr>
            </w:pPr>
          </w:p>
        </w:tc>
        <w:tc>
          <w:tcPr>
            <w:tcW w:w="3544" w:type="dxa"/>
            <w:tcBorders>
              <w:top w:val="nil"/>
              <w:left w:val="nil"/>
              <w:bottom w:val="single" w:sz="4" w:space="0" w:color="auto"/>
              <w:right w:val="single" w:sz="4" w:space="0" w:color="auto"/>
            </w:tcBorders>
            <w:shd w:val="clear" w:color="auto" w:fill="C6EFCE"/>
            <w:noWrap/>
          </w:tcPr>
          <w:p w14:paraId="48976343" w14:textId="77777777" w:rsidR="00A345F4" w:rsidRDefault="005E2D4E">
            <w:pPr>
              <w:pStyle w:val="P68B1DB1-Normal73"/>
              <w:spacing w:after="0" w:line="259" w:lineRule="auto"/>
              <w:jc w:val="both"/>
              <w:rPr>
                <w:noProof/>
              </w:rPr>
            </w:pPr>
            <w:r>
              <w:rPr>
                <w:noProof/>
              </w:rPr>
              <w:t>C5.I1</w:t>
            </w:r>
          </w:p>
          <w:p w14:paraId="72C7D256" w14:textId="77777777" w:rsidR="00A345F4" w:rsidRDefault="005E2D4E">
            <w:pPr>
              <w:pStyle w:val="P68B1DB1-Normal73"/>
              <w:spacing w:after="0" w:line="259" w:lineRule="auto"/>
              <w:jc w:val="both"/>
              <w:rPr>
                <w:noProof/>
              </w:rPr>
            </w:pPr>
            <w:r>
              <w:rPr>
                <w:noProof/>
              </w:rPr>
              <w:t>Mise en place d’un fonds pour la vague de rénovations afin de financer des travaux visant à accroître l’efficacité énergétique du parc immobilier existant</w:t>
            </w:r>
          </w:p>
        </w:tc>
        <w:tc>
          <w:tcPr>
            <w:tcW w:w="1275" w:type="dxa"/>
            <w:tcBorders>
              <w:top w:val="nil"/>
              <w:left w:val="nil"/>
              <w:bottom w:val="single" w:sz="4" w:space="0" w:color="auto"/>
              <w:right w:val="single" w:sz="4" w:space="0" w:color="auto"/>
            </w:tcBorders>
            <w:shd w:val="clear" w:color="auto" w:fill="C6EFCE"/>
            <w:noWrap/>
          </w:tcPr>
          <w:p w14:paraId="76DD14A4"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A6DCAE5" w14:textId="77777777" w:rsidR="00A345F4" w:rsidRDefault="005E2D4E">
            <w:pPr>
              <w:pStyle w:val="P68B1DB1-Normal73"/>
              <w:spacing w:after="0" w:line="259" w:lineRule="auto"/>
              <w:jc w:val="both"/>
              <w:rPr>
                <w:noProof/>
              </w:rPr>
            </w:pPr>
            <w:r>
              <w:rPr>
                <w:noProof/>
              </w:rPr>
              <w:t>Signature de contrats pour la rénovation énergétique et la rénovation intégrée (consolidation sismique et efficacité énergétique) des bâtiments résidentiels</w:t>
            </w:r>
          </w:p>
        </w:tc>
      </w:tr>
      <w:tr w:rsidR="00A345F4" w14:paraId="624AB99F"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D4D5B94" w14:textId="77777777" w:rsidR="00A345F4" w:rsidRDefault="005E2D4E">
            <w:pPr>
              <w:pStyle w:val="P68B1DB1-Normal73"/>
              <w:spacing w:after="0" w:line="259" w:lineRule="auto"/>
              <w:jc w:val="center"/>
              <w:rPr>
                <w:noProof/>
              </w:rPr>
            </w:pPr>
            <w:r>
              <w:rPr>
                <w:noProof/>
              </w:rPr>
              <w:t>100</w:t>
            </w:r>
          </w:p>
        </w:tc>
        <w:tc>
          <w:tcPr>
            <w:tcW w:w="3544" w:type="dxa"/>
            <w:tcBorders>
              <w:top w:val="nil"/>
              <w:left w:val="nil"/>
              <w:bottom w:val="single" w:sz="4" w:space="0" w:color="auto"/>
              <w:right w:val="single" w:sz="4" w:space="0" w:color="auto"/>
            </w:tcBorders>
            <w:shd w:val="clear" w:color="auto" w:fill="C6EFCE"/>
            <w:noWrap/>
          </w:tcPr>
          <w:p w14:paraId="1BBF3986" w14:textId="77777777" w:rsidR="00A345F4" w:rsidRDefault="005E2D4E">
            <w:pPr>
              <w:pStyle w:val="P68B1DB1-Normal73"/>
              <w:spacing w:after="0" w:line="259" w:lineRule="auto"/>
              <w:jc w:val="both"/>
              <w:rPr>
                <w:noProof/>
              </w:rPr>
            </w:pPr>
            <w:r>
              <w:rPr>
                <w:noProof/>
              </w:rPr>
              <w:t>C5.I1</w:t>
            </w:r>
          </w:p>
          <w:p w14:paraId="120E9955" w14:textId="77777777" w:rsidR="00A345F4" w:rsidRDefault="005E2D4E">
            <w:pPr>
              <w:pStyle w:val="P68B1DB1-Normal73"/>
              <w:spacing w:after="0" w:line="259" w:lineRule="auto"/>
              <w:jc w:val="both"/>
              <w:rPr>
                <w:noProof/>
              </w:rPr>
            </w:pPr>
            <w:r>
              <w:rPr>
                <w:noProof/>
              </w:rPr>
              <w:t>Mise en place d’un fonds pour la vague de rénovations afin de financer des travaux visant à accroître l’efficacité énergétique du parc immobilier existant</w:t>
            </w:r>
          </w:p>
        </w:tc>
        <w:tc>
          <w:tcPr>
            <w:tcW w:w="1275" w:type="dxa"/>
            <w:tcBorders>
              <w:top w:val="nil"/>
              <w:left w:val="nil"/>
              <w:bottom w:val="single" w:sz="4" w:space="0" w:color="auto"/>
              <w:right w:val="single" w:sz="4" w:space="0" w:color="auto"/>
            </w:tcBorders>
            <w:shd w:val="clear" w:color="auto" w:fill="C6EFCE"/>
            <w:noWrap/>
          </w:tcPr>
          <w:p w14:paraId="551D0893"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5DEE02B" w14:textId="77777777" w:rsidR="00A345F4" w:rsidRDefault="005E2D4E">
            <w:pPr>
              <w:pStyle w:val="P68B1DB1-Normal73"/>
              <w:spacing w:after="0" w:line="259" w:lineRule="auto"/>
              <w:jc w:val="both"/>
              <w:rPr>
                <w:noProof/>
              </w:rPr>
            </w:pPr>
            <w:r>
              <w:rPr>
                <w:noProof/>
              </w:rPr>
              <w:t>Signature de contrats pour la rénovation énergétique et la rénovation intégrée (consolidation sismique et efficacité énergétique) des bâtiments publics</w:t>
            </w:r>
          </w:p>
        </w:tc>
      </w:tr>
      <w:tr w:rsidR="00A345F4" w14:paraId="6B0D83F6"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7BFE718" w14:textId="77777777" w:rsidR="00A345F4" w:rsidRDefault="005E2D4E">
            <w:pPr>
              <w:pStyle w:val="P68B1DB1-Normal73"/>
              <w:spacing w:after="0" w:line="259" w:lineRule="auto"/>
              <w:jc w:val="center"/>
              <w:rPr>
                <w:noProof/>
              </w:rPr>
            </w:pPr>
            <w:r>
              <w:rPr>
                <w:noProof/>
              </w:rPr>
              <w:t>243</w:t>
            </w:r>
          </w:p>
        </w:tc>
        <w:tc>
          <w:tcPr>
            <w:tcW w:w="3544" w:type="dxa"/>
            <w:tcBorders>
              <w:top w:val="nil"/>
              <w:left w:val="nil"/>
              <w:bottom w:val="single" w:sz="4" w:space="0" w:color="auto"/>
              <w:right w:val="single" w:sz="4" w:space="0" w:color="auto"/>
            </w:tcBorders>
            <w:shd w:val="clear" w:color="auto" w:fill="C6EFCE"/>
            <w:noWrap/>
          </w:tcPr>
          <w:p w14:paraId="481177DC" w14:textId="77777777" w:rsidR="00A345F4" w:rsidRDefault="005E2D4E">
            <w:pPr>
              <w:pStyle w:val="P68B1DB1-Normal73"/>
              <w:spacing w:after="0" w:line="259" w:lineRule="auto"/>
              <w:jc w:val="both"/>
              <w:rPr>
                <w:noProof/>
              </w:rPr>
            </w:pPr>
            <w:r>
              <w:rPr>
                <w:noProof/>
              </w:rPr>
              <w:t>C9.R1</w:t>
            </w:r>
          </w:p>
          <w:p w14:paraId="612FFB3A" w14:textId="77777777" w:rsidR="00A345F4" w:rsidRDefault="005E2D4E">
            <w:pPr>
              <w:pStyle w:val="P68B1DB1-Normal73"/>
              <w:spacing w:after="0" w:line="259" w:lineRule="auto"/>
              <w:jc w:val="both"/>
              <w:rPr>
                <w:noProof/>
              </w:rPr>
            </w:pPr>
            <w:r>
              <w:rPr>
                <w:noProof/>
              </w:rPr>
              <w:t xml:space="preserve">Transparence législative, débureaucratisation et simplification des procédures pour les entreprises </w:t>
            </w:r>
          </w:p>
        </w:tc>
        <w:tc>
          <w:tcPr>
            <w:tcW w:w="1275" w:type="dxa"/>
            <w:tcBorders>
              <w:top w:val="nil"/>
              <w:left w:val="nil"/>
              <w:bottom w:val="single" w:sz="4" w:space="0" w:color="auto"/>
              <w:right w:val="single" w:sz="4" w:space="0" w:color="auto"/>
            </w:tcBorders>
            <w:shd w:val="clear" w:color="auto" w:fill="C6EFCE"/>
            <w:noWrap/>
          </w:tcPr>
          <w:p w14:paraId="08C5C4C7"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261ABE91" w14:textId="77777777" w:rsidR="00A345F4" w:rsidRDefault="005E2D4E">
            <w:pPr>
              <w:pStyle w:val="P68B1DB1-Normal73"/>
              <w:spacing w:after="0" w:line="259" w:lineRule="auto"/>
              <w:jc w:val="both"/>
              <w:rPr>
                <w:noProof/>
              </w:rPr>
            </w:pPr>
            <w:r>
              <w:rPr>
                <w:noProof/>
              </w:rPr>
              <w:t xml:space="preserve">Entrée en vigueur de la loi «licence industrielle unique» </w:t>
            </w:r>
          </w:p>
        </w:tc>
      </w:tr>
      <w:tr w:rsidR="00A345F4" w14:paraId="12BB362B"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08C528E" w14:textId="77777777" w:rsidR="00A345F4" w:rsidRDefault="005E2D4E">
            <w:pPr>
              <w:pStyle w:val="P68B1DB1-Normal73"/>
              <w:spacing w:after="0" w:line="259" w:lineRule="auto"/>
              <w:jc w:val="center"/>
              <w:rPr>
                <w:noProof/>
              </w:rPr>
            </w:pPr>
            <w:r>
              <w:rPr>
                <w:noProof/>
              </w:rPr>
              <w:t>264</w:t>
            </w:r>
          </w:p>
        </w:tc>
        <w:tc>
          <w:tcPr>
            <w:tcW w:w="3544" w:type="dxa"/>
            <w:tcBorders>
              <w:top w:val="nil"/>
              <w:left w:val="nil"/>
              <w:bottom w:val="single" w:sz="4" w:space="0" w:color="auto"/>
              <w:right w:val="single" w:sz="4" w:space="0" w:color="auto"/>
            </w:tcBorders>
            <w:shd w:val="clear" w:color="auto" w:fill="C6EFCE"/>
            <w:noWrap/>
          </w:tcPr>
          <w:p w14:paraId="2247D180" w14:textId="77777777" w:rsidR="00A345F4" w:rsidRDefault="005E2D4E">
            <w:pPr>
              <w:pStyle w:val="P68B1DB1-Normal73"/>
              <w:spacing w:after="0" w:line="259" w:lineRule="auto"/>
              <w:jc w:val="both"/>
              <w:rPr>
                <w:noProof/>
              </w:rPr>
            </w:pPr>
            <w:r>
              <w:rPr>
                <w:noProof/>
              </w:rPr>
              <w:t xml:space="preserve">C9.I3.2 </w:t>
            </w:r>
          </w:p>
          <w:p w14:paraId="383CF305" w14:textId="77777777" w:rsidR="00A345F4" w:rsidRDefault="005E2D4E">
            <w:pPr>
              <w:pStyle w:val="P68B1DB1-Normal73"/>
              <w:spacing w:after="0" w:line="259" w:lineRule="auto"/>
              <w:jc w:val="both"/>
              <w:rPr>
                <w:noProof/>
              </w:rPr>
            </w:pPr>
            <w:r>
              <w:rPr>
                <w:noProof/>
              </w:rPr>
              <w:t xml:space="preserve">Régimes d'aides au secteur privé - Régime de minimis destiné à aider les entreprises roumaines à être cotées en bourse </w:t>
            </w:r>
          </w:p>
        </w:tc>
        <w:tc>
          <w:tcPr>
            <w:tcW w:w="1275" w:type="dxa"/>
            <w:tcBorders>
              <w:top w:val="nil"/>
              <w:left w:val="nil"/>
              <w:bottom w:val="single" w:sz="4" w:space="0" w:color="auto"/>
              <w:right w:val="single" w:sz="4" w:space="0" w:color="auto"/>
            </w:tcBorders>
            <w:shd w:val="clear" w:color="auto" w:fill="C6EFCE"/>
            <w:noWrap/>
          </w:tcPr>
          <w:p w14:paraId="1543CBCA"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4EDD2C2" w14:textId="77777777" w:rsidR="00A345F4" w:rsidRDefault="005E2D4E">
            <w:pPr>
              <w:pStyle w:val="P68B1DB1-Normal73"/>
              <w:spacing w:after="0" w:line="259" w:lineRule="auto"/>
              <w:jc w:val="both"/>
              <w:rPr>
                <w:noProof/>
              </w:rPr>
            </w:pPr>
            <w:r>
              <w:rPr>
                <w:noProof/>
              </w:rPr>
              <w:t>Sélection de l'administrateur du régime</w:t>
            </w:r>
          </w:p>
        </w:tc>
      </w:tr>
      <w:tr w:rsidR="00A345F4" w14:paraId="6BE1CB0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319D35B" w14:textId="77777777" w:rsidR="00A345F4" w:rsidRDefault="005E2D4E">
            <w:pPr>
              <w:pStyle w:val="P68B1DB1-Normal73"/>
              <w:spacing w:after="0" w:line="259" w:lineRule="auto"/>
              <w:jc w:val="center"/>
              <w:rPr>
                <w:noProof/>
              </w:rPr>
            </w:pPr>
            <w:r>
              <w:rPr>
                <w:noProof/>
              </w:rPr>
              <w:t>268</w:t>
            </w:r>
          </w:p>
        </w:tc>
        <w:tc>
          <w:tcPr>
            <w:tcW w:w="3544" w:type="dxa"/>
            <w:tcBorders>
              <w:top w:val="nil"/>
              <w:left w:val="nil"/>
              <w:bottom w:val="single" w:sz="4" w:space="0" w:color="auto"/>
              <w:right w:val="single" w:sz="4" w:space="0" w:color="auto"/>
            </w:tcBorders>
            <w:shd w:val="clear" w:color="auto" w:fill="C6EFCE"/>
            <w:noWrap/>
          </w:tcPr>
          <w:p w14:paraId="00CE2BB2" w14:textId="77777777" w:rsidR="00A345F4" w:rsidRDefault="005E2D4E">
            <w:pPr>
              <w:pStyle w:val="P68B1DB1-Normal73"/>
              <w:spacing w:after="0" w:line="259" w:lineRule="auto"/>
              <w:jc w:val="both"/>
              <w:rPr>
                <w:noProof/>
              </w:rPr>
            </w:pPr>
            <w:r>
              <w:rPr>
                <w:noProof/>
              </w:rPr>
              <w:t>C9.I4</w:t>
            </w:r>
          </w:p>
          <w:p w14:paraId="006EF2C8" w14:textId="77777777" w:rsidR="00A345F4" w:rsidRDefault="005E2D4E">
            <w:pPr>
              <w:pStyle w:val="P68B1DB1-Normal73"/>
              <w:spacing w:after="0" w:line="259" w:lineRule="auto"/>
              <w:jc w:val="both"/>
              <w:rPr>
                <w:noProof/>
              </w:rPr>
            </w:pPr>
            <w:r>
              <w:rPr>
                <w:noProof/>
              </w:rPr>
              <w:t>Projets transfrontaliers et multinationaux – Processeurs de faible puissance</w:t>
            </w:r>
            <w:r>
              <w:rPr>
                <w:noProof/>
              </w:rPr>
              <w:br/>
              <w:t xml:space="preserve">et semi-conducteurs </w:t>
            </w:r>
          </w:p>
        </w:tc>
        <w:tc>
          <w:tcPr>
            <w:tcW w:w="1275" w:type="dxa"/>
            <w:tcBorders>
              <w:top w:val="nil"/>
              <w:left w:val="nil"/>
              <w:bottom w:val="single" w:sz="4" w:space="0" w:color="auto"/>
              <w:right w:val="single" w:sz="4" w:space="0" w:color="auto"/>
            </w:tcBorders>
            <w:shd w:val="clear" w:color="auto" w:fill="C6EFCE"/>
            <w:noWrap/>
          </w:tcPr>
          <w:p w14:paraId="3B648F17" w14:textId="77777777" w:rsidR="00A345F4" w:rsidRDefault="005E2D4E">
            <w:pPr>
              <w:pStyle w:val="P68B1DB1-Normal73"/>
              <w:spacing w:after="0" w:line="259" w:lineRule="auto"/>
              <w:jc w:val="center"/>
              <w:rPr>
                <w:noProof/>
              </w:rPr>
            </w:pPr>
            <w:r>
              <w:rPr>
                <w:noProof/>
              </w:rPr>
              <w:t>T</w:t>
            </w:r>
          </w:p>
        </w:tc>
        <w:tc>
          <w:tcPr>
            <w:tcW w:w="3402" w:type="dxa"/>
            <w:tcBorders>
              <w:top w:val="nil"/>
              <w:left w:val="nil"/>
              <w:bottom w:val="single" w:sz="4" w:space="0" w:color="auto"/>
              <w:right w:val="single" w:sz="4" w:space="0" w:color="auto"/>
            </w:tcBorders>
            <w:shd w:val="clear" w:color="auto" w:fill="C6EFCE"/>
            <w:noWrap/>
          </w:tcPr>
          <w:p w14:paraId="1BD23FAF" w14:textId="77777777" w:rsidR="00A345F4" w:rsidRDefault="005E2D4E">
            <w:pPr>
              <w:pStyle w:val="P68B1DB1-Normal73"/>
              <w:spacing w:after="0" w:line="259" w:lineRule="auto"/>
              <w:jc w:val="both"/>
              <w:rPr>
                <w:noProof/>
              </w:rPr>
            </w:pPr>
            <w:r>
              <w:rPr>
                <w:noProof/>
              </w:rPr>
              <w:t>Entités faisant partie de consortiums participant à des appels à projets lancés par l’entreprise commune «Technologies numériques essentielles» (EC KDT)</w:t>
            </w:r>
          </w:p>
        </w:tc>
      </w:tr>
      <w:tr w:rsidR="00A345F4" w14:paraId="70DE7689"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5036BD0F" w14:textId="77777777" w:rsidR="00A345F4" w:rsidRDefault="005E2D4E">
            <w:pPr>
              <w:pStyle w:val="P68B1DB1-Normal73"/>
              <w:spacing w:after="0" w:line="259" w:lineRule="auto"/>
              <w:jc w:val="center"/>
              <w:rPr>
                <w:noProof/>
              </w:rPr>
            </w:pPr>
            <w:r>
              <w:rPr>
                <w:noProof/>
              </w:rPr>
              <w:t>278</w:t>
            </w:r>
          </w:p>
        </w:tc>
        <w:tc>
          <w:tcPr>
            <w:tcW w:w="3544" w:type="dxa"/>
            <w:tcBorders>
              <w:top w:val="nil"/>
              <w:left w:val="nil"/>
              <w:bottom w:val="single" w:sz="4" w:space="0" w:color="auto"/>
              <w:right w:val="single" w:sz="4" w:space="0" w:color="auto"/>
            </w:tcBorders>
            <w:shd w:val="clear" w:color="auto" w:fill="C6EFCE"/>
            <w:noWrap/>
          </w:tcPr>
          <w:p w14:paraId="5EFFC97B" w14:textId="77777777" w:rsidR="00A345F4" w:rsidRDefault="005E2D4E">
            <w:pPr>
              <w:pStyle w:val="P68B1DB1-Normal73"/>
              <w:spacing w:after="0" w:line="259" w:lineRule="auto"/>
              <w:jc w:val="both"/>
              <w:rPr>
                <w:noProof/>
              </w:rPr>
            </w:pPr>
            <w:r>
              <w:rPr>
                <w:noProof/>
              </w:rPr>
              <w:t xml:space="preserve">C9.R5 </w:t>
            </w:r>
          </w:p>
          <w:p w14:paraId="15E15624" w14:textId="77777777" w:rsidR="00A345F4" w:rsidRDefault="005E2D4E">
            <w:pPr>
              <w:pStyle w:val="P68B1DB1-Normal73"/>
              <w:spacing w:after="0" w:line="259" w:lineRule="auto"/>
              <w:jc w:val="both"/>
              <w:rPr>
                <w:noProof/>
              </w:rPr>
            </w:pPr>
            <w:r>
              <w:rPr>
                <w:noProof/>
              </w:rPr>
              <w:t>Soutien à l'intégration des organisations de recherche, de développement et d'innovation en Roumanie dans l'Espace européen de la recherche</w:t>
            </w:r>
          </w:p>
        </w:tc>
        <w:tc>
          <w:tcPr>
            <w:tcW w:w="1275" w:type="dxa"/>
            <w:tcBorders>
              <w:top w:val="nil"/>
              <w:left w:val="nil"/>
              <w:bottom w:val="single" w:sz="4" w:space="0" w:color="auto"/>
              <w:right w:val="single" w:sz="4" w:space="0" w:color="auto"/>
            </w:tcBorders>
            <w:shd w:val="clear" w:color="auto" w:fill="C6EFCE"/>
            <w:noWrap/>
          </w:tcPr>
          <w:p w14:paraId="00B2707C"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891EA83" w14:textId="77777777" w:rsidR="00A345F4" w:rsidRDefault="005E2D4E">
            <w:pPr>
              <w:pStyle w:val="P68B1DB1-Normal73"/>
              <w:spacing w:after="0" w:line="259" w:lineRule="auto"/>
              <w:jc w:val="both"/>
              <w:rPr>
                <w:noProof/>
              </w:rPr>
            </w:pPr>
            <w:r>
              <w:rPr>
                <w:noProof/>
              </w:rPr>
              <w:t>Entrée en vigueur d'une loi qui encourage, facilite et réglemente l'intégration volontaire et fonctionnelle et la fusion des instituts de recherche en Roumanie</w:t>
            </w:r>
          </w:p>
        </w:tc>
      </w:tr>
      <w:tr w:rsidR="00A345F4" w14:paraId="59E66DD5"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21764DFF" w14:textId="77777777" w:rsidR="00A345F4" w:rsidRDefault="005E2D4E">
            <w:pPr>
              <w:pStyle w:val="P68B1DB1-Normal73"/>
              <w:spacing w:after="0" w:line="259" w:lineRule="auto"/>
              <w:jc w:val="center"/>
              <w:rPr>
                <w:noProof/>
              </w:rPr>
            </w:pPr>
            <w:r>
              <w:rPr>
                <w:noProof/>
              </w:rPr>
              <w:t>280</w:t>
            </w:r>
          </w:p>
        </w:tc>
        <w:tc>
          <w:tcPr>
            <w:tcW w:w="3544" w:type="dxa"/>
            <w:tcBorders>
              <w:top w:val="nil"/>
              <w:left w:val="nil"/>
              <w:bottom w:val="single" w:sz="4" w:space="0" w:color="auto"/>
              <w:right w:val="single" w:sz="4" w:space="0" w:color="auto"/>
            </w:tcBorders>
            <w:shd w:val="clear" w:color="auto" w:fill="C6EFCE"/>
            <w:noWrap/>
          </w:tcPr>
          <w:p w14:paraId="529AFC96" w14:textId="77777777" w:rsidR="00A345F4" w:rsidRDefault="005E2D4E">
            <w:pPr>
              <w:pStyle w:val="P68B1DB1-Normal73"/>
              <w:spacing w:after="0" w:line="259" w:lineRule="auto"/>
              <w:jc w:val="both"/>
              <w:rPr>
                <w:noProof/>
              </w:rPr>
            </w:pPr>
            <w:r>
              <w:rPr>
                <w:noProof/>
              </w:rPr>
              <w:t>C9.I5</w:t>
            </w:r>
          </w:p>
          <w:p w14:paraId="1ED8F53D" w14:textId="77777777" w:rsidR="00A345F4" w:rsidRDefault="005E2D4E">
            <w:pPr>
              <w:pStyle w:val="P68B1DB1-Normal73"/>
              <w:spacing w:after="0" w:line="259" w:lineRule="auto"/>
              <w:jc w:val="both"/>
              <w:rPr>
                <w:noProof/>
              </w:rPr>
            </w:pPr>
            <w:r>
              <w:rPr>
                <w:noProof/>
              </w:rPr>
              <w:t xml:space="preserve">Création et mise en service de centres de compétences </w:t>
            </w:r>
          </w:p>
        </w:tc>
        <w:tc>
          <w:tcPr>
            <w:tcW w:w="1275" w:type="dxa"/>
            <w:tcBorders>
              <w:top w:val="nil"/>
              <w:left w:val="nil"/>
              <w:bottom w:val="single" w:sz="4" w:space="0" w:color="auto"/>
              <w:right w:val="single" w:sz="4" w:space="0" w:color="auto"/>
            </w:tcBorders>
            <w:shd w:val="clear" w:color="auto" w:fill="C6EFCE"/>
            <w:noWrap/>
          </w:tcPr>
          <w:p w14:paraId="0444EA79"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2E3D81B" w14:textId="77777777" w:rsidR="00A345F4" w:rsidRDefault="005E2D4E">
            <w:pPr>
              <w:pStyle w:val="P68B1DB1-Normal73"/>
              <w:spacing w:after="0" w:line="259" w:lineRule="auto"/>
              <w:jc w:val="both"/>
              <w:rPr>
                <w:noProof/>
              </w:rPr>
            </w:pPr>
            <w:r>
              <w:rPr>
                <w:noProof/>
              </w:rPr>
              <w:t>Création de 5 centres de compétences</w:t>
            </w:r>
          </w:p>
        </w:tc>
      </w:tr>
      <w:tr w:rsidR="00A345F4" w14:paraId="6B757F05"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8105F0A" w14:textId="77777777" w:rsidR="00A345F4" w:rsidRDefault="005E2D4E">
            <w:pPr>
              <w:pStyle w:val="P68B1DB1-Normal73"/>
              <w:spacing w:after="0" w:line="259" w:lineRule="auto"/>
              <w:jc w:val="center"/>
              <w:rPr>
                <w:noProof/>
              </w:rPr>
            </w:pPr>
            <w:r>
              <w:rPr>
                <w:noProof/>
              </w:rPr>
              <w:t>308</w:t>
            </w:r>
          </w:p>
        </w:tc>
        <w:tc>
          <w:tcPr>
            <w:tcW w:w="3544" w:type="dxa"/>
            <w:tcBorders>
              <w:top w:val="nil"/>
              <w:left w:val="nil"/>
              <w:bottom w:val="single" w:sz="4" w:space="0" w:color="auto"/>
              <w:right w:val="single" w:sz="4" w:space="0" w:color="auto"/>
            </w:tcBorders>
            <w:shd w:val="clear" w:color="auto" w:fill="C6EFCE"/>
            <w:noWrap/>
          </w:tcPr>
          <w:p w14:paraId="271AFA98" w14:textId="77777777" w:rsidR="00A345F4" w:rsidRDefault="005E2D4E">
            <w:pPr>
              <w:pStyle w:val="P68B1DB1-Normal73"/>
              <w:spacing w:after="0" w:line="259" w:lineRule="auto"/>
              <w:jc w:val="both"/>
              <w:rPr>
                <w:noProof/>
              </w:rPr>
            </w:pPr>
            <w:r>
              <w:rPr>
                <w:noProof/>
              </w:rPr>
              <w:t>C10.R2</w:t>
            </w:r>
          </w:p>
          <w:p w14:paraId="510C6BB7" w14:textId="77777777" w:rsidR="00A345F4" w:rsidRDefault="005E2D4E">
            <w:pPr>
              <w:pStyle w:val="P68B1DB1-Normal73"/>
              <w:spacing w:after="0" w:line="259" w:lineRule="auto"/>
              <w:jc w:val="both"/>
              <w:rPr>
                <w:noProof/>
              </w:rPr>
            </w:pPr>
            <w:r>
              <w:rPr>
                <w:noProof/>
              </w:rPr>
              <w:t>Créer le cadre politique pour une transformation urbaine durable</w:t>
            </w:r>
          </w:p>
        </w:tc>
        <w:tc>
          <w:tcPr>
            <w:tcW w:w="1275" w:type="dxa"/>
            <w:tcBorders>
              <w:top w:val="nil"/>
              <w:left w:val="nil"/>
              <w:bottom w:val="single" w:sz="4" w:space="0" w:color="auto"/>
              <w:right w:val="single" w:sz="4" w:space="0" w:color="auto"/>
            </w:tcBorders>
            <w:shd w:val="clear" w:color="auto" w:fill="C6EFCE"/>
            <w:noWrap/>
          </w:tcPr>
          <w:p w14:paraId="648D24CB"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15C96D5E" w14:textId="77777777" w:rsidR="00A345F4" w:rsidRDefault="005E2D4E">
            <w:pPr>
              <w:pStyle w:val="P68B1DB1-Normal73"/>
              <w:spacing w:after="0" w:line="259" w:lineRule="auto"/>
              <w:jc w:val="both"/>
              <w:rPr>
                <w:noProof/>
              </w:rPr>
            </w:pPr>
            <w:r>
              <w:rPr>
                <w:noProof/>
              </w:rPr>
              <w:t>Entrée en vigueur de la décision du gouvernement établissant le cadre de la politique urbaine roumaine</w:t>
            </w:r>
          </w:p>
        </w:tc>
      </w:tr>
      <w:tr w:rsidR="00A345F4" w14:paraId="05E4FBEF"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1596D4C9" w14:textId="77777777" w:rsidR="00A345F4" w:rsidRDefault="005E2D4E">
            <w:pPr>
              <w:pStyle w:val="P68B1DB1-Normal73"/>
              <w:spacing w:after="0" w:line="259" w:lineRule="auto"/>
              <w:jc w:val="center"/>
              <w:rPr>
                <w:noProof/>
              </w:rPr>
            </w:pPr>
            <w:r>
              <w:rPr>
                <w:noProof/>
              </w:rPr>
              <w:t>310</w:t>
            </w:r>
          </w:p>
        </w:tc>
        <w:tc>
          <w:tcPr>
            <w:tcW w:w="3544" w:type="dxa"/>
            <w:tcBorders>
              <w:top w:val="nil"/>
              <w:left w:val="nil"/>
              <w:bottom w:val="single" w:sz="4" w:space="0" w:color="auto"/>
              <w:right w:val="single" w:sz="4" w:space="0" w:color="auto"/>
            </w:tcBorders>
            <w:shd w:val="clear" w:color="auto" w:fill="C6EFCE"/>
            <w:noWrap/>
          </w:tcPr>
          <w:p w14:paraId="566DE122" w14:textId="77777777" w:rsidR="00A345F4" w:rsidRDefault="005E2D4E">
            <w:pPr>
              <w:pStyle w:val="P68B1DB1-Normal73"/>
              <w:spacing w:after="0" w:line="259" w:lineRule="auto"/>
              <w:jc w:val="both"/>
              <w:rPr>
                <w:noProof/>
              </w:rPr>
            </w:pPr>
            <w:r>
              <w:rPr>
                <w:noProof/>
              </w:rPr>
              <w:t xml:space="preserve">C10.R3 </w:t>
            </w:r>
          </w:p>
          <w:p w14:paraId="5062C572" w14:textId="77777777" w:rsidR="00A345F4" w:rsidRDefault="005E2D4E">
            <w:pPr>
              <w:pStyle w:val="P68B1DB1-Normal73"/>
              <w:spacing w:after="0" w:line="259" w:lineRule="auto"/>
              <w:jc w:val="both"/>
              <w:rPr>
                <w:noProof/>
              </w:rPr>
            </w:pPr>
            <w:r>
              <w:rPr>
                <w:noProof/>
              </w:rPr>
              <w:t xml:space="preserve">Créer le cadre politique pour une transformation rurale durable: la création de consortiums administratifs dans les zones rurales fonctionnelles; </w:t>
            </w:r>
          </w:p>
        </w:tc>
        <w:tc>
          <w:tcPr>
            <w:tcW w:w="1275" w:type="dxa"/>
            <w:tcBorders>
              <w:top w:val="nil"/>
              <w:left w:val="nil"/>
              <w:bottom w:val="single" w:sz="4" w:space="0" w:color="auto"/>
              <w:right w:val="single" w:sz="4" w:space="0" w:color="auto"/>
            </w:tcBorders>
            <w:shd w:val="clear" w:color="auto" w:fill="C6EFCE"/>
            <w:noWrap/>
          </w:tcPr>
          <w:p w14:paraId="783D760F"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8E720DF" w14:textId="77777777" w:rsidR="00A345F4" w:rsidRDefault="005E2D4E">
            <w:pPr>
              <w:pStyle w:val="P68B1DB1-Normal73"/>
              <w:spacing w:after="0" w:line="259" w:lineRule="auto"/>
              <w:jc w:val="both"/>
              <w:rPr>
                <w:noProof/>
              </w:rPr>
            </w:pPr>
            <w:r>
              <w:rPr>
                <w:noProof/>
              </w:rPr>
              <w:t>Entrée en vigueur de l’acte législatif modifiant le code administratif et établissant des consortiums administratifs dans les unités territoriales administratives rurales ou à prédominance rurale voisines, existantes en tant que zones rurales fonctionnelles</w:t>
            </w:r>
          </w:p>
        </w:tc>
      </w:tr>
      <w:tr w:rsidR="00A345F4" w14:paraId="6B57B141"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CA1A909" w14:textId="77777777" w:rsidR="00A345F4" w:rsidRDefault="005E2D4E">
            <w:pPr>
              <w:pStyle w:val="P68B1DB1-Normal73"/>
              <w:spacing w:after="0" w:line="259" w:lineRule="auto"/>
              <w:jc w:val="center"/>
              <w:rPr>
                <w:noProof/>
              </w:rPr>
            </w:pPr>
            <w:r>
              <w:rPr>
                <w:noProof/>
              </w:rPr>
              <w:t>317</w:t>
            </w:r>
          </w:p>
        </w:tc>
        <w:tc>
          <w:tcPr>
            <w:tcW w:w="3544" w:type="dxa"/>
            <w:tcBorders>
              <w:top w:val="nil"/>
              <w:left w:val="nil"/>
              <w:bottom w:val="single" w:sz="4" w:space="0" w:color="auto"/>
              <w:right w:val="single" w:sz="4" w:space="0" w:color="auto"/>
            </w:tcBorders>
            <w:shd w:val="clear" w:color="auto" w:fill="C6EFCE"/>
            <w:noWrap/>
          </w:tcPr>
          <w:p w14:paraId="20DE945D" w14:textId="77777777" w:rsidR="00A345F4" w:rsidRDefault="005E2D4E">
            <w:pPr>
              <w:pStyle w:val="P68B1DB1-Normal73"/>
              <w:spacing w:after="0" w:line="259" w:lineRule="auto"/>
              <w:jc w:val="both"/>
              <w:rPr>
                <w:noProof/>
              </w:rPr>
            </w:pPr>
            <w:r>
              <w:rPr>
                <w:noProof/>
              </w:rPr>
              <w:t xml:space="preserve">C10.I2 </w:t>
            </w:r>
          </w:p>
          <w:p w14:paraId="15EE8250" w14:textId="77777777" w:rsidR="00A345F4" w:rsidRDefault="005E2D4E">
            <w:pPr>
              <w:pStyle w:val="P68B1DB1-Normal73"/>
              <w:spacing w:after="0" w:line="259" w:lineRule="auto"/>
              <w:jc w:val="both"/>
              <w:rPr>
                <w:noProof/>
              </w:rPr>
            </w:pPr>
            <w:r>
              <w:rPr>
                <w:noProof/>
              </w:rPr>
              <w:t>Construction de logements pour les jeunes et pour les professionnels de la santé et de l'éducation</w:t>
            </w:r>
          </w:p>
        </w:tc>
        <w:tc>
          <w:tcPr>
            <w:tcW w:w="1275" w:type="dxa"/>
            <w:tcBorders>
              <w:top w:val="nil"/>
              <w:left w:val="nil"/>
              <w:bottom w:val="single" w:sz="4" w:space="0" w:color="auto"/>
              <w:right w:val="single" w:sz="4" w:space="0" w:color="auto"/>
            </w:tcBorders>
            <w:shd w:val="clear" w:color="auto" w:fill="C6EFCE"/>
            <w:noWrap/>
          </w:tcPr>
          <w:p w14:paraId="7A09F852"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6B886A02" w14:textId="77777777" w:rsidR="00A345F4" w:rsidRDefault="005E2D4E">
            <w:pPr>
              <w:pStyle w:val="P68B1DB1-Normal73"/>
              <w:spacing w:after="0" w:line="259" w:lineRule="auto"/>
              <w:jc w:val="both"/>
              <w:rPr>
                <w:noProof/>
              </w:rPr>
            </w:pPr>
            <w:r>
              <w:rPr>
                <w:noProof/>
              </w:rPr>
              <w:t xml:space="preserve">Signature de tous les contrats publics pour la construction de logements pour les jeunes issus de communautés et de groupes vulnérables, de logements d'urgence et pour les professionnels de la santé et de l'éducation dans les zones urbaines ou rurales </w:t>
            </w:r>
          </w:p>
        </w:tc>
      </w:tr>
      <w:tr w:rsidR="00A345F4" w14:paraId="141B7A9A"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1E38056C" w14:textId="77777777" w:rsidR="00A345F4" w:rsidRDefault="005E2D4E">
            <w:pPr>
              <w:pStyle w:val="P68B1DB1-Normal73"/>
              <w:spacing w:after="0" w:line="259" w:lineRule="auto"/>
              <w:jc w:val="center"/>
              <w:rPr>
                <w:noProof/>
              </w:rPr>
            </w:pPr>
            <w:r>
              <w:rPr>
                <w:noProof/>
              </w:rPr>
              <w:t>320</w:t>
            </w:r>
          </w:p>
        </w:tc>
        <w:tc>
          <w:tcPr>
            <w:tcW w:w="3544" w:type="dxa"/>
            <w:tcBorders>
              <w:top w:val="nil"/>
              <w:left w:val="nil"/>
              <w:bottom w:val="single" w:sz="4" w:space="0" w:color="auto"/>
              <w:right w:val="single" w:sz="4" w:space="0" w:color="auto"/>
            </w:tcBorders>
            <w:shd w:val="clear" w:color="auto" w:fill="C6EFCE"/>
            <w:noWrap/>
          </w:tcPr>
          <w:p w14:paraId="6634CEFB" w14:textId="77777777" w:rsidR="00A345F4" w:rsidRDefault="005E2D4E">
            <w:pPr>
              <w:pStyle w:val="P68B1DB1-Normal73"/>
              <w:spacing w:after="0" w:line="259" w:lineRule="auto"/>
              <w:jc w:val="both"/>
              <w:rPr>
                <w:noProof/>
              </w:rPr>
            </w:pPr>
            <w:r>
              <w:rPr>
                <w:noProof/>
              </w:rPr>
              <w:t xml:space="preserve">C10.I3 </w:t>
            </w:r>
          </w:p>
          <w:p w14:paraId="12F56FB8" w14:textId="77777777" w:rsidR="00A345F4" w:rsidRDefault="005E2D4E">
            <w:pPr>
              <w:pStyle w:val="P68B1DB1-Normal73"/>
              <w:spacing w:after="0" w:line="259" w:lineRule="auto"/>
              <w:jc w:val="both"/>
              <w:rPr>
                <w:noProof/>
              </w:rPr>
            </w:pPr>
            <w:r>
              <w:rPr>
                <w:noProof/>
              </w:rPr>
              <w:t xml:space="preserve">Réhabilitation modérée des bâtiments publics pour améliorer la prestation des services publics par les unités administratives territoriales </w:t>
            </w:r>
          </w:p>
        </w:tc>
        <w:tc>
          <w:tcPr>
            <w:tcW w:w="1275" w:type="dxa"/>
            <w:tcBorders>
              <w:top w:val="nil"/>
              <w:left w:val="nil"/>
              <w:bottom w:val="single" w:sz="4" w:space="0" w:color="auto"/>
              <w:right w:val="single" w:sz="4" w:space="0" w:color="auto"/>
            </w:tcBorders>
            <w:shd w:val="clear" w:color="auto" w:fill="C6EFCE"/>
            <w:noWrap/>
          </w:tcPr>
          <w:p w14:paraId="6CCB94F9"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91EF7F6" w14:textId="77777777" w:rsidR="00A345F4" w:rsidRDefault="005E2D4E">
            <w:pPr>
              <w:pStyle w:val="P68B1DB1-Normal73"/>
              <w:spacing w:after="0" w:line="259" w:lineRule="auto"/>
              <w:jc w:val="both"/>
              <w:rPr>
                <w:noProof/>
              </w:rPr>
            </w:pPr>
            <w:r>
              <w:rPr>
                <w:noProof/>
              </w:rPr>
              <w:t>Signature des contrats</w:t>
            </w:r>
            <w:r>
              <w:rPr>
                <w:noProof/>
              </w:rPr>
              <w:br/>
              <w:t>pour la rénovation modérée des bâtiments publics</w:t>
            </w:r>
          </w:p>
        </w:tc>
      </w:tr>
      <w:tr w:rsidR="00A345F4" w14:paraId="5D35A0EC"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D3B1E70" w14:textId="77777777" w:rsidR="00A345F4" w:rsidRDefault="005E2D4E">
            <w:pPr>
              <w:pStyle w:val="P68B1DB1-Normal73"/>
              <w:spacing w:after="0" w:line="259" w:lineRule="auto"/>
              <w:jc w:val="center"/>
              <w:rPr>
                <w:noProof/>
              </w:rPr>
            </w:pPr>
            <w:r>
              <w:rPr>
                <w:noProof/>
              </w:rPr>
              <w:t>323</w:t>
            </w:r>
          </w:p>
        </w:tc>
        <w:tc>
          <w:tcPr>
            <w:tcW w:w="3544" w:type="dxa"/>
            <w:tcBorders>
              <w:top w:val="nil"/>
              <w:left w:val="nil"/>
              <w:bottom w:val="single" w:sz="4" w:space="0" w:color="auto"/>
              <w:right w:val="single" w:sz="4" w:space="0" w:color="auto"/>
            </w:tcBorders>
            <w:shd w:val="clear" w:color="auto" w:fill="C6EFCE"/>
            <w:noWrap/>
          </w:tcPr>
          <w:p w14:paraId="600BAD3D" w14:textId="77777777" w:rsidR="00A345F4" w:rsidRDefault="005E2D4E">
            <w:pPr>
              <w:pStyle w:val="P68B1DB1-Normal73"/>
              <w:spacing w:after="0" w:line="259" w:lineRule="auto"/>
              <w:jc w:val="both"/>
              <w:rPr>
                <w:noProof/>
              </w:rPr>
            </w:pPr>
            <w:r>
              <w:rPr>
                <w:noProof/>
              </w:rPr>
              <w:t>C10.I4</w:t>
            </w:r>
          </w:p>
          <w:p w14:paraId="3B01F56C" w14:textId="77777777" w:rsidR="00A345F4" w:rsidRDefault="005E2D4E">
            <w:pPr>
              <w:pStyle w:val="P68B1DB1-Normal73"/>
              <w:spacing w:after="0" w:line="259" w:lineRule="auto"/>
              <w:jc w:val="both"/>
              <w:rPr>
                <w:noProof/>
              </w:rPr>
            </w:pPr>
            <w:r>
              <w:rPr>
                <w:noProof/>
              </w:rPr>
              <w:t xml:space="preserve">Développement/mise à jour en format SIG des documents d'aménagement du territoire et d'urbanisme </w:t>
            </w:r>
          </w:p>
        </w:tc>
        <w:tc>
          <w:tcPr>
            <w:tcW w:w="1275" w:type="dxa"/>
            <w:tcBorders>
              <w:top w:val="nil"/>
              <w:left w:val="nil"/>
              <w:bottom w:val="single" w:sz="4" w:space="0" w:color="auto"/>
              <w:right w:val="single" w:sz="4" w:space="0" w:color="auto"/>
            </w:tcBorders>
            <w:shd w:val="clear" w:color="auto" w:fill="C6EFCE"/>
            <w:noWrap/>
          </w:tcPr>
          <w:p w14:paraId="5530F82A"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52AD4B7B" w14:textId="77777777" w:rsidR="00A345F4" w:rsidRDefault="005E2D4E">
            <w:pPr>
              <w:pStyle w:val="P68B1DB1-Normal73"/>
              <w:spacing w:after="0" w:line="259" w:lineRule="auto"/>
              <w:jc w:val="both"/>
              <w:rPr>
                <w:noProof/>
              </w:rPr>
            </w:pPr>
            <w:r>
              <w:rPr>
                <w:noProof/>
              </w:rPr>
              <w:t>Signature de contrats pour l'élaboration/mise à jour de plans d'aménagement du territoire, d'urbanisme et de mobilité urbaine durable</w:t>
            </w:r>
          </w:p>
        </w:tc>
      </w:tr>
      <w:tr w:rsidR="00A345F4" w14:paraId="79EF6D5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D6B6582" w14:textId="77777777" w:rsidR="00A345F4" w:rsidRDefault="005E2D4E">
            <w:pPr>
              <w:pStyle w:val="P68B1DB1-Normal73"/>
              <w:spacing w:after="0" w:line="259" w:lineRule="auto"/>
              <w:jc w:val="center"/>
              <w:rPr>
                <w:noProof/>
              </w:rPr>
            </w:pPr>
            <w:r>
              <w:rPr>
                <w:noProof/>
              </w:rPr>
              <w:t>342</w:t>
            </w:r>
          </w:p>
        </w:tc>
        <w:tc>
          <w:tcPr>
            <w:tcW w:w="3544" w:type="dxa"/>
            <w:tcBorders>
              <w:top w:val="nil"/>
              <w:left w:val="nil"/>
              <w:bottom w:val="single" w:sz="4" w:space="0" w:color="auto"/>
              <w:right w:val="single" w:sz="4" w:space="0" w:color="auto"/>
            </w:tcBorders>
            <w:shd w:val="clear" w:color="auto" w:fill="C6EFCE"/>
            <w:noWrap/>
          </w:tcPr>
          <w:p w14:paraId="4C221C05" w14:textId="77777777" w:rsidR="00A345F4" w:rsidRDefault="005E2D4E">
            <w:pPr>
              <w:pStyle w:val="P68B1DB1-Normal79"/>
              <w:spacing w:after="0" w:line="259" w:lineRule="auto"/>
              <w:jc w:val="both"/>
              <w:rPr>
                <w:rFonts w:ascii="Times New Roman" w:eastAsia="Aptos" w:hAnsi="Times New Roman" w:cs="Times New Roman"/>
                <w:noProof/>
              </w:rPr>
            </w:pPr>
            <w:r>
              <w:rPr>
                <w:rFonts w:ascii="Times New Roman" w:eastAsia="Aptos" w:hAnsi="Times New Roman" w:cs="Times New Roman"/>
                <w:noProof/>
              </w:rPr>
              <w:t>C11.I4</w:t>
            </w:r>
            <w:r>
              <w:rPr>
                <w:rFonts w:ascii="Aptos" w:eastAsia="Aptos" w:hAnsi="Aptos" w:cs="Times New Roman"/>
                <w:noProof/>
              </w:rPr>
              <w:br/>
            </w:r>
            <w:r>
              <w:rPr>
                <w:rFonts w:ascii="Times New Roman" w:eastAsia="Aptos" w:hAnsi="Times New Roman" w:cs="Times New Roman"/>
                <w:noProof/>
              </w:rPr>
              <w:t>Construction de 236,05 km de pistes cyclables</w:t>
            </w:r>
          </w:p>
        </w:tc>
        <w:tc>
          <w:tcPr>
            <w:tcW w:w="1275" w:type="dxa"/>
            <w:tcBorders>
              <w:top w:val="nil"/>
              <w:left w:val="nil"/>
              <w:bottom w:val="single" w:sz="4" w:space="0" w:color="auto"/>
              <w:right w:val="single" w:sz="4" w:space="0" w:color="auto"/>
            </w:tcBorders>
            <w:shd w:val="clear" w:color="auto" w:fill="C6EFCE"/>
            <w:noWrap/>
          </w:tcPr>
          <w:p w14:paraId="5399C5F4"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tcPr>
          <w:p w14:paraId="4D4C0F2F" w14:textId="77777777" w:rsidR="00A345F4" w:rsidRDefault="005E2D4E">
            <w:pPr>
              <w:pStyle w:val="P68B1DB1-Normal73"/>
              <w:spacing w:after="0" w:line="259" w:lineRule="auto"/>
              <w:jc w:val="both"/>
              <w:rPr>
                <w:noProof/>
              </w:rPr>
            </w:pPr>
            <w:r>
              <w:rPr>
                <w:noProof/>
              </w:rPr>
              <w:t xml:space="preserve">Signature des contrats pour les pistes cyclables </w:t>
            </w:r>
          </w:p>
        </w:tc>
      </w:tr>
      <w:tr w:rsidR="00A345F4" w14:paraId="34ADBA7A" w14:textId="77777777">
        <w:trPr>
          <w:trHeight w:val="1201"/>
        </w:trPr>
        <w:tc>
          <w:tcPr>
            <w:tcW w:w="1585" w:type="dxa"/>
            <w:tcBorders>
              <w:top w:val="nil"/>
              <w:left w:val="single" w:sz="4" w:space="0" w:color="auto"/>
              <w:bottom w:val="single" w:sz="4" w:space="0" w:color="auto"/>
              <w:right w:val="single" w:sz="4" w:space="0" w:color="auto"/>
            </w:tcBorders>
            <w:shd w:val="clear" w:color="auto" w:fill="C6EFCE"/>
            <w:noWrap/>
          </w:tcPr>
          <w:p w14:paraId="714298B1" w14:textId="77777777" w:rsidR="00A345F4" w:rsidRDefault="005E2D4E">
            <w:pPr>
              <w:pStyle w:val="P68B1DB1-Normal73"/>
              <w:spacing w:after="0" w:line="259" w:lineRule="auto"/>
              <w:jc w:val="center"/>
              <w:rPr>
                <w:noProof/>
              </w:rPr>
            </w:pPr>
            <w:r>
              <w:rPr>
                <w:noProof/>
              </w:rPr>
              <w:t>399</w:t>
            </w:r>
          </w:p>
        </w:tc>
        <w:tc>
          <w:tcPr>
            <w:tcW w:w="3544" w:type="dxa"/>
            <w:tcBorders>
              <w:top w:val="nil"/>
              <w:left w:val="nil"/>
              <w:bottom w:val="single" w:sz="4" w:space="0" w:color="auto"/>
              <w:right w:val="single" w:sz="4" w:space="0" w:color="auto"/>
            </w:tcBorders>
            <w:shd w:val="clear" w:color="auto" w:fill="C6EFCE"/>
            <w:noWrap/>
          </w:tcPr>
          <w:p w14:paraId="22E8A255" w14:textId="77777777" w:rsidR="00A345F4" w:rsidRDefault="005E2D4E">
            <w:pPr>
              <w:pStyle w:val="P68B1DB1-Normal73"/>
              <w:spacing w:after="0" w:line="259" w:lineRule="auto"/>
              <w:jc w:val="both"/>
              <w:rPr>
                <w:noProof/>
              </w:rPr>
            </w:pPr>
            <w:r>
              <w:rPr>
                <w:noProof/>
              </w:rPr>
              <w:t>C13.R7</w:t>
            </w:r>
          </w:p>
          <w:p w14:paraId="51A85D3C" w14:textId="77777777" w:rsidR="00A345F4" w:rsidRDefault="005E2D4E">
            <w:pPr>
              <w:pStyle w:val="P68B1DB1-Normal73"/>
              <w:spacing w:after="0" w:line="259" w:lineRule="auto"/>
              <w:jc w:val="both"/>
              <w:rPr>
                <w:noProof/>
              </w:rPr>
            </w:pPr>
            <w:r>
              <w:rPr>
                <w:noProof/>
              </w:rPr>
              <w:t>Réforme des services de soins de longue durée pour les personnes âgées</w:t>
            </w:r>
          </w:p>
        </w:tc>
        <w:tc>
          <w:tcPr>
            <w:tcW w:w="1275" w:type="dxa"/>
            <w:tcBorders>
              <w:top w:val="nil"/>
              <w:left w:val="nil"/>
              <w:bottom w:val="single" w:sz="4" w:space="0" w:color="auto"/>
              <w:right w:val="single" w:sz="4" w:space="0" w:color="auto"/>
            </w:tcBorders>
            <w:shd w:val="clear" w:color="auto" w:fill="C6EFCE"/>
            <w:noWrap/>
          </w:tcPr>
          <w:p w14:paraId="430DB624" w14:textId="77777777" w:rsidR="00A345F4" w:rsidRDefault="005E2D4E">
            <w:pPr>
              <w:pStyle w:val="P68B1DB1-Normal73"/>
              <w:spacing w:after="0" w:line="259" w:lineRule="auto"/>
              <w:jc w:val="center"/>
              <w:rPr>
                <w:noProof/>
              </w:rPr>
            </w:pPr>
            <w:r>
              <w:rPr>
                <w:noProof/>
              </w:rPr>
              <w:t>M</w:t>
            </w:r>
          </w:p>
        </w:tc>
        <w:tc>
          <w:tcPr>
            <w:tcW w:w="3402" w:type="dxa"/>
            <w:tcBorders>
              <w:top w:val="nil"/>
              <w:left w:val="nil"/>
              <w:bottom w:val="single" w:sz="4" w:space="0" w:color="auto"/>
              <w:right w:val="single" w:sz="4" w:space="0" w:color="auto"/>
            </w:tcBorders>
            <w:shd w:val="clear" w:color="auto" w:fill="C6EFCE"/>
            <w:noWrap/>
            <w:vAlign w:val="center"/>
          </w:tcPr>
          <w:p w14:paraId="001159C6" w14:textId="77777777" w:rsidR="00A345F4" w:rsidRDefault="005E2D4E">
            <w:pPr>
              <w:pStyle w:val="P68B1DB1-Normal73"/>
              <w:spacing w:after="0" w:line="259" w:lineRule="auto"/>
              <w:jc w:val="both"/>
              <w:rPr>
                <w:noProof/>
              </w:rPr>
            </w:pPr>
            <w:r>
              <w:rPr>
                <w:noProof/>
              </w:rPr>
              <w:t>Entrée en vigueur d'une loi pour l'adoption et la mise en œuvre de la Stratégie nationale de soins de longue durée</w:t>
            </w:r>
          </w:p>
        </w:tc>
      </w:tr>
      <w:tr w:rsidR="00A345F4" w14:paraId="79F7697B" w14:textId="77777777">
        <w:trPr>
          <w:trHeight w:val="302"/>
        </w:trPr>
        <w:tc>
          <w:tcPr>
            <w:tcW w:w="1585" w:type="dxa"/>
            <w:tcBorders>
              <w:top w:val="single" w:sz="4" w:space="0" w:color="auto"/>
              <w:left w:val="single" w:sz="4" w:space="0" w:color="auto"/>
              <w:bottom w:val="single" w:sz="4" w:space="0" w:color="auto"/>
              <w:right w:val="single" w:sz="4" w:space="0" w:color="auto"/>
            </w:tcBorders>
            <w:shd w:val="clear" w:color="auto" w:fill="C6EFCE"/>
            <w:noWrap/>
          </w:tcPr>
          <w:p w14:paraId="07D7A0FC"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7647894F" w14:textId="77777777" w:rsidR="00A345F4" w:rsidRDefault="00A345F4">
            <w:pPr>
              <w:spacing w:after="0" w:line="259" w:lineRule="auto"/>
              <w:jc w:val="both"/>
              <w:rPr>
                <w:rFonts w:ascii="Times New Roman" w:eastAsia="Times New Roman" w:hAnsi="Times New Roman" w:cs="Times New Roman"/>
                <w:noProof/>
                <w:kern w:val="2"/>
                <w:sz w:val="22"/>
                <w:szCs w:val="22"/>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316B8A85" w14:textId="77777777" w:rsidR="00A345F4" w:rsidRDefault="005E2D4E">
            <w:pPr>
              <w:pStyle w:val="P68B1DB1-Normal74"/>
              <w:spacing w:after="0" w:line="259" w:lineRule="auto"/>
              <w:jc w:val="center"/>
              <w:rPr>
                <w:noProof/>
              </w:rPr>
            </w:pPr>
            <w:r>
              <w:rPr>
                <w:noProof/>
              </w:rPr>
              <w:t>Montant des acomptes provisionnels</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5ADDCAC" w14:textId="77777777" w:rsidR="00A345F4" w:rsidRDefault="005E2D4E">
            <w:pPr>
              <w:pStyle w:val="P68B1DB1-Normal74"/>
              <w:spacing w:after="0" w:line="259" w:lineRule="auto"/>
              <w:jc w:val="right"/>
              <w:rPr>
                <w:noProof/>
              </w:rPr>
            </w:pPr>
            <w:r>
              <w:rPr>
                <w:noProof/>
              </w:rPr>
              <w:t>775 449 927 EUR </w:t>
            </w:r>
          </w:p>
        </w:tc>
      </w:tr>
    </w:tbl>
    <w:p w14:paraId="239679F6" w14:textId="77777777" w:rsidR="00A345F4" w:rsidRDefault="005E2D4E">
      <w:pPr>
        <w:pStyle w:val="P68B1DB1-Normal71"/>
        <w:keepNext/>
        <w:tabs>
          <w:tab w:val="num" w:pos="1417"/>
        </w:tabs>
        <w:spacing w:before="120" w:after="120" w:line="240" w:lineRule="auto"/>
        <w:ind w:left="1417" w:hanging="850"/>
        <w:jc w:val="both"/>
        <w:outlineLvl w:val="2"/>
        <w:rPr>
          <w:bCs/>
          <w:noProof/>
        </w:rPr>
      </w:pPr>
      <w:r>
        <w:rPr>
          <w:noProof/>
        </w:rPr>
        <w:t xml:space="preserve">2.2.4 Quatrième tranche (soutien sous forme de prêt): </w:t>
      </w:r>
    </w:p>
    <w:tbl>
      <w:tblPr>
        <w:tblW w:w="9634" w:type="dxa"/>
        <w:tblInd w:w="113" w:type="dxa"/>
        <w:tblLook w:val="04A0" w:firstRow="1" w:lastRow="0" w:firstColumn="1" w:lastColumn="0" w:noHBand="0" w:noVBand="1"/>
      </w:tblPr>
      <w:tblGrid>
        <w:gridCol w:w="1413"/>
        <w:gridCol w:w="3544"/>
        <w:gridCol w:w="1402"/>
        <w:gridCol w:w="3447"/>
      </w:tblGrid>
      <w:tr w:rsidR="00A345F4" w14:paraId="24F976E1" w14:textId="77777777">
        <w:trPr>
          <w:trHeight w:val="906"/>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D1A9F5" w14:textId="77777777" w:rsidR="00A345F4" w:rsidRDefault="005E2D4E">
            <w:pPr>
              <w:pStyle w:val="P68B1DB1-Normal72"/>
              <w:spacing w:after="0" w:line="259" w:lineRule="auto"/>
              <w:jc w:val="center"/>
              <w:rPr>
                <w:noProof/>
              </w:rPr>
            </w:pPr>
            <w:r>
              <w:rPr>
                <w:noProof/>
              </w:rPr>
              <w:t>Numéro séquentiel</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7202CF" w14:textId="77777777" w:rsidR="00A345F4" w:rsidRDefault="005E2D4E">
            <w:pPr>
              <w:pStyle w:val="P68B1DB1-Normal72"/>
              <w:spacing w:after="0" w:line="259" w:lineRule="auto"/>
              <w:jc w:val="center"/>
              <w:rPr>
                <w:noProof/>
              </w:rPr>
            </w:pPr>
            <w:r>
              <w:rPr>
                <w:noProof/>
              </w:rPr>
              <w:t xml:space="preserve">Mesure connexe </w:t>
            </w:r>
          </w:p>
          <w:p w14:paraId="2CE27AC5" w14:textId="77777777" w:rsidR="00A345F4" w:rsidRDefault="005E2D4E">
            <w:pPr>
              <w:pStyle w:val="P68B1DB1-Normal72"/>
              <w:spacing w:after="0" w:line="259" w:lineRule="auto"/>
              <w:jc w:val="center"/>
              <w:rPr>
                <w:noProof/>
              </w:rPr>
            </w:pPr>
            <w:r>
              <w:rPr>
                <w:noProof/>
              </w:rPr>
              <w:t>(Réforme ou investissement)</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78C9A8E" w14:textId="77777777" w:rsidR="00A345F4" w:rsidRDefault="005E2D4E">
            <w:pPr>
              <w:pStyle w:val="P68B1DB1-Normal72"/>
              <w:spacing w:after="0" w:line="259" w:lineRule="auto"/>
              <w:jc w:val="center"/>
              <w:rPr>
                <w:noProof/>
              </w:rPr>
            </w:pPr>
            <w:r>
              <w:rPr>
                <w:noProof/>
              </w:rPr>
              <w:t>Étape/cible</w:t>
            </w:r>
          </w:p>
        </w:tc>
        <w:tc>
          <w:tcPr>
            <w:tcW w:w="34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11FBE6" w14:textId="77777777" w:rsidR="00A345F4" w:rsidRDefault="005E2D4E">
            <w:pPr>
              <w:pStyle w:val="P68B1DB1-Normal72"/>
              <w:spacing w:after="0" w:line="259" w:lineRule="auto"/>
              <w:jc w:val="center"/>
              <w:rPr>
                <w:noProof/>
              </w:rPr>
            </w:pPr>
            <w:r>
              <w:rPr>
                <w:noProof/>
              </w:rPr>
              <w:t>Nom</w:t>
            </w:r>
          </w:p>
        </w:tc>
      </w:tr>
      <w:tr w:rsidR="00A345F4" w14:paraId="518CCD64" w14:textId="77777777">
        <w:trPr>
          <w:trHeight w:val="509"/>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115264CA"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0F16510"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67BEDBD2"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447" w:type="dxa"/>
            <w:vMerge/>
            <w:tcBorders>
              <w:top w:val="single" w:sz="4" w:space="0" w:color="auto"/>
              <w:left w:val="single" w:sz="4" w:space="0" w:color="auto"/>
              <w:bottom w:val="single" w:sz="4" w:space="0" w:color="auto"/>
              <w:right w:val="single" w:sz="4" w:space="0" w:color="auto"/>
            </w:tcBorders>
            <w:vAlign w:val="center"/>
            <w:hideMark/>
          </w:tcPr>
          <w:p w14:paraId="2003EC4B"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r>
      <w:tr w:rsidR="00A345F4" w14:paraId="365D5987"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1B04E7F" w14:textId="77777777" w:rsidR="00A345F4" w:rsidRDefault="005E2D4E">
            <w:pPr>
              <w:pStyle w:val="P68B1DB1-Normal78"/>
              <w:spacing w:after="0" w:line="259" w:lineRule="auto"/>
              <w:rPr>
                <w:noProof/>
              </w:rPr>
            </w:pPr>
            <w:r>
              <w:rPr>
                <w:noProof/>
              </w:rPr>
              <w:t>RO-C[C1]-R[R2.0]-M[4]</w:t>
            </w:r>
          </w:p>
        </w:tc>
        <w:tc>
          <w:tcPr>
            <w:tcW w:w="3544" w:type="dxa"/>
            <w:tcBorders>
              <w:top w:val="single" w:sz="4" w:space="0" w:color="auto"/>
              <w:left w:val="nil"/>
              <w:bottom w:val="single" w:sz="4" w:space="0" w:color="auto"/>
              <w:right w:val="single" w:sz="4" w:space="0" w:color="auto"/>
            </w:tcBorders>
            <w:shd w:val="clear" w:color="auto" w:fill="C6EFCE"/>
            <w:noWrap/>
          </w:tcPr>
          <w:p w14:paraId="03C01776" w14:textId="56496CA7" w:rsidR="00A345F4" w:rsidRDefault="005E2D4E">
            <w:pPr>
              <w:pStyle w:val="P68B1DB1-Normal78"/>
              <w:spacing w:after="0" w:line="259" w:lineRule="auto"/>
              <w:rPr>
                <w:noProof/>
              </w:rPr>
            </w:pPr>
            <w:r>
              <w:rPr>
                <w:noProof/>
              </w:rPr>
              <w:t xml:space="preserve">Reconfiguration du mécanisme économique actuel de l’ANAR pour assurer la modernisation et la maintenance du système national de gestion de l’eau </w:t>
            </w:r>
          </w:p>
        </w:tc>
        <w:tc>
          <w:tcPr>
            <w:tcW w:w="1230" w:type="dxa"/>
            <w:tcBorders>
              <w:top w:val="single" w:sz="4" w:space="0" w:color="auto"/>
              <w:left w:val="nil"/>
              <w:bottom w:val="single" w:sz="4" w:space="0" w:color="auto"/>
              <w:right w:val="single" w:sz="4" w:space="0" w:color="auto"/>
            </w:tcBorders>
            <w:shd w:val="clear" w:color="auto" w:fill="C6EFCE"/>
            <w:noWrap/>
          </w:tcPr>
          <w:p w14:paraId="7B50BB9E" w14:textId="77777777" w:rsidR="00A345F4" w:rsidRDefault="005E2D4E">
            <w:pPr>
              <w:pStyle w:val="P68B1DB1-Normal78"/>
              <w:spacing w:after="0" w:line="259" w:lineRule="auto"/>
              <w:jc w:val="center"/>
              <w:rPr>
                <w:noProof/>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633A8D9D" w14:textId="1EA442FD" w:rsidR="00A345F4" w:rsidRDefault="005E2D4E">
            <w:pPr>
              <w:pStyle w:val="P68B1DB1-Normal79"/>
              <w:spacing w:after="0" w:line="259" w:lineRule="auto"/>
              <w:rPr>
                <w:rFonts w:ascii="Times New Roman" w:eastAsia="Times New Roman" w:hAnsi="Times New Roman" w:cs="Times New Roman"/>
                <w:noProof/>
              </w:rPr>
            </w:pPr>
            <w:r>
              <w:rPr>
                <w:rFonts w:ascii="Times New Roman" w:eastAsia="Aptos" w:hAnsi="Times New Roman" w:cs="Times New Roman"/>
                <w:noProof/>
                <w:color w:val="000000"/>
              </w:rPr>
              <w:t>Entrée en vigueur de la loi introduisant des modifications visant à</w:t>
            </w:r>
            <w:r>
              <w:rPr>
                <w:rFonts w:ascii="Times New Roman" w:eastAsia="Times New Roman" w:hAnsi="Times New Roman" w:cs="Times New Roman"/>
                <w:noProof/>
              </w:rPr>
              <w:t xml:space="preserve"> réglementer le nouveau mécanisme économique pour les ressources en eau en Roumanie</w:t>
            </w:r>
          </w:p>
          <w:p w14:paraId="5857AB8E" w14:textId="77777777" w:rsidR="00A345F4" w:rsidRDefault="00A345F4">
            <w:pPr>
              <w:spacing w:after="0" w:line="259" w:lineRule="auto"/>
              <w:rPr>
                <w:rFonts w:ascii="Times New Roman" w:eastAsia="Times New Roman" w:hAnsi="Times New Roman" w:cs="Times New Roman"/>
                <w:noProof/>
                <w:kern w:val="2"/>
                <w14:ligatures w14:val="standardContextual"/>
              </w:rPr>
            </w:pPr>
          </w:p>
        </w:tc>
      </w:tr>
      <w:tr w:rsidR="00A345F4" w14:paraId="61E8339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6405BF2" w14:textId="77777777" w:rsidR="00A345F4" w:rsidRDefault="005E2D4E">
            <w:pPr>
              <w:pStyle w:val="P68B1DB1-Normal78"/>
              <w:spacing w:after="0" w:line="259" w:lineRule="auto"/>
              <w:rPr>
                <w:noProof/>
              </w:rPr>
            </w:pPr>
            <w:r>
              <w:rPr>
                <w:noProof/>
              </w:rPr>
              <w:t>RO-C[C1]-I[I5.0]-T[18]</w:t>
            </w:r>
          </w:p>
        </w:tc>
        <w:tc>
          <w:tcPr>
            <w:tcW w:w="3544" w:type="dxa"/>
            <w:tcBorders>
              <w:top w:val="nil"/>
              <w:left w:val="nil"/>
              <w:bottom w:val="single" w:sz="4" w:space="0" w:color="auto"/>
              <w:right w:val="single" w:sz="4" w:space="0" w:color="auto"/>
            </w:tcBorders>
            <w:shd w:val="clear" w:color="auto" w:fill="C6EFCE"/>
            <w:noWrap/>
          </w:tcPr>
          <w:p w14:paraId="5E142CD4" w14:textId="77777777" w:rsidR="00A345F4" w:rsidRDefault="005E2D4E">
            <w:pPr>
              <w:pStyle w:val="P68B1DB1-Normal78"/>
              <w:spacing w:after="0" w:line="259" w:lineRule="auto"/>
              <w:rPr>
                <w:noProof/>
              </w:rPr>
            </w:pPr>
            <w:r>
              <w:rPr>
                <w:noProof/>
              </w:rPr>
              <w:t>Dotation appropriée des administrations des bassins hydrographiques pour la surveillance, la prévention et l'intervention d'urgence en cas d'inondation</w:t>
            </w:r>
          </w:p>
        </w:tc>
        <w:tc>
          <w:tcPr>
            <w:tcW w:w="1230" w:type="dxa"/>
            <w:tcBorders>
              <w:top w:val="nil"/>
              <w:left w:val="nil"/>
              <w:bottom w:val="single" w:sz="4" w:space="0" w:color="auto"/>
              <w:right w:val="single" w:sz="4" w:space="0" w:color="auto"/>
            </w:tcBorders>
            <w:shd w:val="clear" w:color="auto" w:fill="C6EFCE"/>
            <w:noWrap/>
          </w:tcPr>
          <w:p w14:paraId="470899A8"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2FFB974D" w14:textId="33BF1B04" w:rsidR="00A345F4" w:rsidRDefault="005E2D4E">
            <w:pPr>
              <w:pStyle w:val="P68B1DB1-Normal78"/>
              <w:spacing w:after="0" w:line="259" w:lineRule="auto"/>
              <w:rPr>
                <w:noProof/>
              </w:rPr>
            </w:pPr>
            <w:r>
              <w:rPr>
                <w:noProof/>
              </w:rPr>
              <w:t xml:space="preserve">Administrations de bassins fluviaux équipées </w:t>
            </w:r>
          </w:p>
        </w:tc>
      </w:tr>
      <w:tr w:rsidR="00A345F4" w14:paraId="24F9675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0F56A3" w14:textId="77777777" w:rsidR="00A345F4" w:rsidRDefault="005E2D4E">
            <w:pPr>
              <w:pStyle w:val="P68B1DB1-Normal78"/>
              <w:spacing w:after="0" w:line="259" w:lineRule="auto"/>
              <w:rPr>
                <w:rFonts w:eastAsia="Times New Roman"/>
                <w:noProof/>
              </w:rPr>
            </w:pPr>
            <w:r>
              <w:rPr>
                <w:noProof/>
              </w:rPr>
              <w:t>RO-C[C2]-R[R2.0]-M[31]</w:t>
            </w:r>
          </w:p>
        </w:tc>
        <w:tc>
          <w:tcPr>
            <w:tcW w:w="3544" w:type="dxa"/>
            <w:tcBorders>
              <w:top w:val="nil"/>
              <w:left w:val="nil"/>
              <w:bottom w:val="single" w:sz="4" w:space="0" w:color="auto"/>
              <w:right w:val="single" w:sz="4" w:space="0" w:color="auto"/>
            </w:tcBorders>
            <w:shd w:val="clear" w:color="auto" w:fill="C6EFCE"/>
            <w:noWrap/>
          </w:tcPr>
          <w:p w14:paraId="7B7B6295" w14:textId="46989C00" w:rsidR="00A345F4" w:rsidRDefault="005E2D4E">
            <w:pPr>
              <w:pStyle w:val="P68B1DB1-Normal78"/>
              <w:spacing w:after="0" w:line="259" w:lineRule="auto"/>
              <w:rPr>
                <w:rFonts w:eastAsia="Times New Roman"/>
                <w:noProof/>
              </w:rPr>
            </w:pPr>
            <w:r>
              <w:rPr>
                <w:noProof/>
              </w:rPr>
              <w:t>Réforme du système de gestion des zones naturelles protégées pour la stratégie européenne en faveur de la biodiversité</w:t>
            </w:r>
          </w:p>
        </w:tc>
        <w:tc>
          <w:tcPr>
            <w:tcW w:w="1230" w:type="dxa"/>
            <w:tcBorders>
              <w:top w:val="nil"/>
              <w:left w:val="nil"/>
              <w:bottom w:val="single" w:sz="4" w:space="0" w:color="auto"/>
              <w:right w:val="single" w:sz="4" w:space="0" w:color="auto"/>
            </w:tcBorders>
            <w:shd w:val="clear" w:color="auto" w:fill="C6EFCE"/>
            <w:noWrap/>
          </w:tcPr>
          <w:p w14:paraId="4781F73F" w14:textId="77777777" w:rsidR="00A345F4" w:rsidRDefault="005E2D4E">
            <w:pPr>
              <w:pStyle w:val="P68B1DB1-Normal73"/>
              <w:spacing w:after="0" w:line="259" w:lineRule="auto"/>
              <w:jc w:val="center"/>
              <w:rPr>
                <w:rFonts w:eastAsia="Times New Roman"/>
                <w:noProof/>
              </w:rPr>
            </w:pPr>
            <w:r>
              <w:rPr>
                <w:noProof/>
              </w:rPr>
              <w:t>M</w:t>
            </w:r>
          </w:p>
        </w:tc>
        <w:tc>
          <w:tcPr>
            <w:tcW w:w="3447" w:type="dxa"/>
            <w:tcBorders>
              <w:top w:val="nil"/>
              <w:left w:val="nil"/>
              <w:bottom w:val="single" w:sz="4" w:space="0" w:color="auto"/>
              <w:right w:val="single" w:sz="4" w:space="0" w:color="auto"/>
            </w:tcBorders>
            <w:shd w:val="clear" w:color="auto" w:fill="C6EFCE"/>
            <w:noWrap/>
          </w:tcPr>
          <w:p w14:paraId="5FF7154F" w14:textId="1EAAA57A" w:rsidR="00A345F4" w:rsidRDefault="005E2D4E">
            <w:pPr>
              <w:pStyle w:val="P68B1DB1-Normal78"/>
              <w:spacing w:after="0" w:line="259" w:lineRule="auto"/>
              <w:rPr>
                <w:rFonts w:eastAsia="Times New Roman"/>
                <w:noProof/>
              </w:rPr>
            </w:pPr>
            <w:r>
              <w:rPr>
                <w:noProof/>
              </w:rPr>
              <w:t>Entrée en vigueur du ou des actes juridiques applicables aux secteurs ayant une incidence sur la biodiversité</w:t>
            </w:r>
          </w:p>
        </w:tc>
      </w:tr>
      <w:tr w:rsidR="00A345F4" w14:paraId="7217D78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EFE672D" w14:textId="77777777" w:rsidR="00A345F4" w:rsidRDefault="005E2D4E">
            <w:pPr>
              <w:pStyle w:val="P68B1DB1-Normal78"/>
              <w:spacing w:after="0" w:line="259" w:lineRule="auto"/>
              <w:rPr>
                <w:noProof/>
              </w:rPr>
            </w:pPr>
            <w:r>
              <w:rPr>
                <w:noProof/>
              </w:rPr>
              <w:t>RO-C[C3]-R[R1.0]-M[45]</w:t>
            </w:r>
          </w:p>
        </w:tc>
        <w:tc>
          <w:tcPr>
            <w:tcW w:w="3544" w:type="dxa"/>
            <w:tcBorders>
              <w:top w:val="nil"/>
              <w:left w:val="nil"/>
              <w:bottom w:val="single" w:sz="4" w:space="0" w:color="auto"/>
              <w:right w:val="single" w:sz="4" w:space="0" w:color="auto"/>
            </w:tcBorders>
            <w:shd w:val="clear" w:color="auto" w:fill="C6EFCE"/>
            <w:noWrap/>
          </w:tcPr>
          <w:p w14:paraId="50C8D268" w14:textId="77777777" w:rsidR="00A345F4" w:rsidRDefault="005E2D4E">
            <w:pPr>
              <w:pStyle w:val="P68B1DB1-Normal78"/>
              <w:spacing w:after="0" w:line="259" w:lineRule="auto"/>
              <w:rPr>
                <w:noProof/>
              </w:rPr>
            </w:pPr>
            <w:r>
              <w:rPr>
                <w:noProof/>
              </w:rPr>
              <w:t>Soutien à la gouvernance de la gestion des déchets pour accélérer la transition vers l’économie circulaire</w:t>
            </w:r>
          </w:p>
        </w:tc>
        <w:tc>
          <w:tcPr>
            <w:tcW w:w="1230" w:type="dxa"/>
            <w:tcBorders>
              <w:top w:val="nil"/>
              <w:left w:val="nil"/>
              <w:bottom w:val="single" w:sz="4" w:space="0" w:color="auto"/>
              <w:right w:val="single" w:sz="4" w:space="0" w:color="auto"/>
            </w:tcBorders>
            <w:shd w:val="clear" w:color="auto" w:fill="C6EFCE"/>
            <w:noWrap/>
          </w:tcPr>
          <w:p w14:paraId="433CCE4D" w14:textId="77777777" w:rsidR="00A345F4" w:rsidRDefault="005E2D4E">
            <w:pPr>
              <w:pStyle w:val="P68B1DB1-Normal73"/>
              <w:spacing w:after="0" w:line="259" w:lineRule="auto"/>
              <w:jc w:val="center"/>
              <w:rPr>
                <w:noProof/>
              </w:rPr>
            </w:pPr>
            <w:r>
              <w:rPr>
                <w:noProof/>
              </w:rPr>
              <w:t>M</w:t>
            </w:r>
          </w:p>
        </w:tc>
        <w:tc>
          <w:tcPr>
            <w:tcW w:w="3447" w:type="dxa"/>
            <w:tcBorders>
              <w:top w:val="nil"/>
              <w:left w:val="nil"/>
              <w:bottom w:val="single" w:sz="4" w:space="0" w:color="auto"/>
              <w:right w:val="single" w:sz="4" w:space="0" w:color="auto"/>
            </w:tcBorders>
            <w:shd w:val="clear" w:color="auto" w:fill="C6EFCE"/>
            <w:noWrap/>
          </w:tcPr>
          <w:p w14:paraId="0EC336BE" w14:textId="77777777" w:rsidR="00A345F4" w:rsidRDefault="005E2D4E">
            <w:pPr>
              <w:pStyle w:val="P68B1DB1-Normal78"/>
              <w:spacing w:after="0" w:line="259" w:lineRule="auto"/>
              <w:rPr>
                <w:noProof/>
              </w:rPr>
            </w:pPr>
            <w:r>
              <w:rPr>
                <w:noProof/>
              </w:rPr>
              <w:t>Approbation du plan d’action pour la stratégie nationale en faveur de l’économie circulaire et exécution des actions spécifiques qui y figurent.</w:t>
            </w:r>
          </w:p>
        </w:tc>
      </w:tr>
      <w:tr w:rsidR="00A345F4" w14:paraId="4E99E73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7B48BAC" w14:textId="77777777" w:rsidR="00A345F4" w:rsidRDefault="005E2D4E">
            <w:pPr>
              <w:pStyle w:val="P68B1DB1-Normal78"/>
              <w:spacing w:after="0" w:line="259" w:lineRule="auto"/>
              <w:rPr>
                <w:noProof/>
              </w:rPr>
            </w:pPr>
            <w:r>
              <w:rPr>
                <w:noProof/>
              </w:rPr>
              <w:t>RO-C[C3]-I[I1b.0]-T[51]</w:t>
            </w:r>
          </w:p>
        </w:tc>
        <w:tc>
          <w:tcPr>
            <w:tcW w:w="3544" w:type="dxa"/>
            <w:tcBorders>
              <w:top w:val="nil"/>
              <w:left w:val="nil"/>
              <w:bottom w:val="single" w:sz="4" w:space="0" w:color="auto"/>
              <w:right w:val="single" w:sz="4" w:space="0" w:color="auto"/>
            </w:tcBorders>
            <w:shd w:val="clear" w:color="auto" w:fill="C6EFCE"/>
            <w:noWrap/>
          </w:tcPr>
          <w:p w14:paraId="045F045A" w14:textId="391C440D" w:rsidR="00A345F4" w:rsidRDefault="005E2D4E">
            <w:pPr>
              <w:pStyle w:val="P68B1DB1-Normal78"/>
              <w:spacing w:after="0" w:line="259" w:lineRule="auto"/>
              <w:rPr>
                <w:noProof/>
              </w:rPr>
            </w:pPr>
            <w:r>
              <w:rPr>
                <w:noProof/>
              </w:rPr>
              <w:t>Livraison d'éco-îles numérisées pour la collecte séparée des déchets</w:t>
            </w:r>
          </w:p>
        </w:tc>
        <w:tc>
          <w:tcPr>
            <w:tcW w:w="1230" w:type="dxa"/>
            <w:tcBorders>
              <w:top w:val="nil"/>
              <w:left w:val="nil"/>
              <w:bottom w:val="single" w:sz="4" w:space="0" w:color="auto"/>
              <w:right w:val="single" w:sz="4" w:space="0" w:color="auto"/>
            </w:tcBorders>
            <w:shd w:val="clear" w:color="auto" w:fill="C6EFCE"/>
            <w:noWrap/>
          </w:tcPr>
          <w:p w14:paraId="4C36B362"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698C8367" w14:textId="0C6B6EA8" w:rsidR="00A345F4" w:rsidRDefault="005E2D4E">
            <w:pPr>
              <w:pStyle w:val="P68B1DB1-Normal78"/>
              <w:spacing w:after="0" w:line="259" w:lineRule="auto"/>
              <w:rPr>
                <w:noProof/>
              </w:rPr>
            </w:pPr>
            <w:r>
              <w:rPr>
                <w:noProof/>
              </w:rPr>
              <w:t>Certificats d'acceptation pour la livraison d'éco-îles numérisées</w:t>
            </w:r>
          </w:p>
        </w:tc>
      </w:tr>
      <w:tr w:rsidR="00A345F4" w14:paraId="203B249F"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14869A0" w14:textId="77777777" w:rsidR="00A345F4" w:rsidRDefault="005E2D4E">
            <w:pPr>
              <w:pStyle w:val="P68B1DB1-Normal78"/>
              <w:spacing w:after="0" w:line="259" w:lineRule="auto"/>
              <w:rPr>
                <w:noProof/>
              </w:rPr>
            </w:pPr>
            <w:r>
              <w:rPr>
                <w:noProof/>
              </w:rPr>
              <w:t>RO-C[C3]-I[I1c.0]-T[53]</w:t>
            </w:r>
          </w:p>
        </w:tc>
        <w:tc>
          <w:tcPr>
            <w:tcW w:w="3544" w:type="dxa"/>
            <w:tcBorders>
              <w:top w:val="nil"/>
              <w:left w:val="nil"/>
              <w:bottom w:val="single" w:sz="4" w:space="0" w:color="auto"/>
              <w:right w:val="single" w:sz="4" w:space="0" w:color="auto"/>
            </w:tcBorders>
            <w:shd w:val="clear" w:color="auto" w:fill="C6EFCE"/>
            <w:noWrap/>
          </w:tcPr>
          <w:p w14:paraId="5208D286" w14:textId="3BD9F212" w:rsidR="00A345F4" w:rsidRDefault="005E2D4E">
            <w:pPr>
              <w:pStyle w:val="P68B1DB1-Normal78"/>
              <w:spacing w:after="0" w:line="259" w:lineRule="auto"/>
              <w:rPr>
                <w:noProof/>
              </w:rPr>
            </w:pPr>
            <w:r>
              <w:rPr>
                <w:noProof/>
              </w:rPr>
              <w:t>Construction de centres intégrés de collecte séparée</w:t>
            </w:r>
          </w:p>
        </w:tc>
        <w:tc>
          <w:tcPr>
            <w:tcW w:w="1230" w:type="dxa"/>
            <w:tcBorders>
              <w:top w:val="nil"/>
              <w:left w:val="nil"/>
              <w:bottom w:val="single" w:sz="4" w:space="0" w:color="auto"/>
              <w:right w:val="single" w:sz="4" w:space="0" w:color="auto"/>
            </w:tcBorders>
            <w:shd w:val="clear" w:color="auto" w:fill="C6EFCE"/>
            <w:noWrap/>
          </w:tcPr>
          <w:p w14:paraId="37814FC0"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76DD3B5C" w14:textId="77777777" w:rsidR="00A345F4" w:rsidRDefault="005E2D4E">
            <w:pPr>
              <w:pStyle w:val="P68B1DB1-Normal78"/>
              <w:spacing w:after="0" w:line="259" w:lineRule="auto"/>
              <w:rPr>
                <w:noProof/>
              </w:rPr>
            </w:pPr>
            <w:r>
              <w:rPr>
                <w:noProof/>
              </w:rPr>
              <w:t>Construction de centres intégrés de collecte des déchets</w:t>
            </w:r>
          </w:p>
        </w:tc>
      </w:tr>
      <w:tr w:rsidR="00A345F4" w14:paraId="4BDD191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7F8A654" w14:textId="77777777" w:rsidR="00A345F4" w:rsidRDefault="005E2D4E">
            <w:pPr>
              <w:pStyle w:val="P68B1DB1-Normal78"/>
              <w:spacing w:after="0" w:line="259" w:lineRule="auto"/>
              <w:rPr>
                <w:noProof/>
              </w:rPr>
            </w:pPr>
            <w:r>
              <w:rPr>
                <w:noProof/>
              </w:rPr>
              <w:t>RO-C[C6]-R[R4.0]-M[126]</w:t>
            </w:r>
          </w:p>
        </w:tc>
        <w:tc>
          <w:tcPr>
            <w:tcW w:w="3544" w:type="dxa"/>
            <w:tcBorders>
              <w:top w:val="nil"/>
              <w:left w:val="nil"/>
              <w:bottom w:val="single" w:sz="4" w:space="0" w:color="auto"/>
              <w:right w:val="single" w:sz="4" w:space="0" w:color="auto"/>
            </w:tcBorders>
            <w:shd w:val="clear" w:color="auto" w:fill="C6EFCE"/>
            <w:noWrap/>
          </w:tcPr>
          <w:p w14:paraId="3911B1B1" w14:textId="77777777" w:rsidR="00A345F4" w:rsidRDefault="005E2D4E">
            <w:pPr>
              <w:pStyle w:val="P68B1DB1-Normal78"/>
              <w:spacing w:after="0" w:line="259" w:lineRule="auto"/>
              <w:rPr>
                <w:noProof/>
              </w:rPr>
            </w:pPr>
            <w:r>
              <w:rPr>
                <w:noProof/>
              </w:rPr>
              <w:t>Établir un cadre législatif et réglementaire favorable à l’hydrogène renouvelable</w:t>
            </w:r>
          </w:p>
        </w:tc>
        <w:tc>
          <w:tcPr>
            <w:tcW w:w="1230" w:type="dxa"/>
            <w:tcBorders>
              <w:top w:val="nil"/>
              <w:left w:val="nil"/>
              <w:bottom w:val="single" w:sz="4" w:space="0" w:color="auto"/>
              <w:right w:val="single" w:sz="4" w:space="0" w:color="auto"/>
            </w:tcBorders>
            <w:shd w:val="clear" w:color="auto" w:fill="C6EFCE"/>
            <w:noWrap/>
          </w:tcPr>
          <w:p w14:paraId="76DAB095" w14:textId="77777777" w:rsidR="00A345F4" w:rsidRDefault="005E2D4E">
            <w:pPr>
              <w:pStyle w:val="P68B1DB1-Normal73"/>
              <w:spacing w:after="0" w:line="259" w:lineRule="auto"/>
              <w:jc w:val="center"/>
              <w:rPr>
                <w:noProof/>
              </w:rPr>
            </w:pPr>
            <w:r>
              <w:rPr>
                <w:noProof/>
              </w:rPr>
              <w:t>M</w:t>
            </w:r>
          </w:p>
        </w:tc>
        <w:tc>
          <w:tcPr>
            <w:tcW w:w="3447" w:type="dxa"/>
            <w:tcBorders>
              <w:top w:val="nil"/>
              <w:left w:val="nil"/>
              <w:bottom w:val="single" w:sz="4" w:space="0" w:color="auto"/>
              <w:right w:val="single" w:sz="4" w:space="0" w:color="auto"/>
            </w:tcBorders>
            <w:shd w:val="clear" w:color="auto" w:fill="C6EFCE"/>
            <w:noWrap/>
          </w:tcPr>
          <w:p w14:paraId="3EB549CD" w14:textId="33285DF4" w:rsidR="00A345F4" w:rsidRDefault="005E2D4E">
            <w:pPr>
              <w:pStyle w:val="P68B1DB1-Normal78"/>
              <w:spacing w:after="0" w:line="259" w:lineRule="auto"/>
              <w:rPr>
                <w:noProof/>
              </w:rPr>
            </w:pPr>
            <w:r>
              <w:rPr>
                <w:noProof/>
              </w:rPr>
              <w:t>Entrée en vigueur des modifications du cadre législatif</w:t>
            </w:r>
          </w:p>
        </w:tc>
      </w:tr>
      <w:tr w:rsidR="00A345F4" w14:paraId="20200EA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0C53FBC" w14:textId="77777777" w:rsidR="00A345F4" w:rsidRDefault="005E2D4E">
            <w:pPr>
              <w:pStyle w:val="P68B1DB1-Normal78"/>
              <w:spacing w:after="0" w:line="259" w:lineRule="auto"/>
              <w:rPr>
                <w:noProof/>
              </w:rPr>
            </w:pPr>
            <w:r>
              <w:rPr>
                <w:noProof/>
              </w:rPr>
              <w:t>RO-C[C7]-I[I18.0]-T[188]</w:t>
            </w:r>
          </w:p>
        </w:tc>
        <w:tc>
          <w:tcPr>
            <w:tcW w:w="3544" w:type="dxa"/>
            <w:tcBorders>
              <w:top w:val="nil"/>
              <w:left w:val="nil"/>
              <w:bottom w:val="single" w:sz="4" w:space="0" w:color="auto"/>
              <w:right w:val="single" w:sz="4" w:space="0" w:color="auto"/>
            </w:tcBorders>
            <w:shd w:val="clear" w:color="auto" w:fill="C6EFCE"/>
            <w:noWrap/>
          </w:tcPr>
          <w:p w14:paraId="3A2AE82A" w14:textId="77777777" w:rsidR="00A345F4" w:rsidRDefault="005E2D4E">
            <w:pPr>
              <w:pStyle w:val="P68B1DB1-Normal78"/>
              <w:spacing w:after="0" w:line="259" w:lineRule="auto"/>
              <w:rPr>
                <w:noProof/>
              </w:rPr>
            </w:pPr>
            <w:r>
              <w:rPr>
                <w:noProof/>
              </w:rPr>
              <w:t>Transformation numérique et automatisation robotique des processus dans l'administration publique</w:t>
            </w:r>
          </w:p>
        </w:tc>
        <w:tc>
          <w:tcPr>
            <w:tcW w:w="1230" w:type="dxa"/>
            <w:tcBorders>
              <w:top w:val="nil"/>
              <w:left w:val="nil"/>
              <w:bottom w:val="single" w:sz="4" w:space="0" w:color="auto"/>
              <w:right w:val="single" w:sz="4" w:space="0" w:color="auto"/>
            </w:tcBorders>
            <w:shd w:val="clear" w:color="auto" w:fill="C6EFCE"/>
            <w:noWrap/>
          </w:tcPr>
          <w:p w14:paraId="1B195712"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362E0FC7" w14:textId="77777777" w:rsidR="00A345F4" w:rsidRDefault="005E2D4E">
            <w:pPr>
              <w:pStyle w:val="P68B1DB1-Normal78"/>
              <w:spacing w:after="0" w:line="259" w:lineRule="auto"/>
              <w:rPr>
                <w:noProof/>
              </w:rPr>
            </w:pPr>
            <w:r>
              <w:rPr>
                <w:noProof/>
              </w:rPr>
              <w:t>Automatisation robotique des processus (RPA) et promotion de l'intelligence artificielle (IA) dans l'administration publique</w:t>
            </w:r>
          </w:p>
        </w:tc>
      </w:tr>
      <w:tr w:rsidR="00A345F4" w14:paraId="1790ADA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2CC979E" w14:textId="77777777" w:rsidR="00A345F4" w:rsidRDefault="005E2D4E">
            <w:pPr>
              <w:pStyle w:val="P68B1DB1-Normal78"/>
              <w:spacing w:after="0" w:line="259" w:lineRule="auto"/>
              <w:rPr>
                <w:noProof/>
              </w:rPr>
            </w:pPr>
            <w:r>
              <w:rPr>
                <w:noProof/>
              </w:rPr>
              <w:t>RO-C[C9]-R[R1.0]-T[244]</w:t>
            </w:r>
          </w:p>
        </w:tc>
        <w:tc>
          <w:tcPr>
            <w:tcW w:w="3544" w:type="dxa"/>
            <w:tcBorders>
              <w:top w:val="nil"/>
              <w:left w:val="nil"/>
              <w:bottom w:val="single" w:sz="4" w:space="0" w:color="auto"/>
              <w:right w:val="single" w:sz="4" w:space="0" w:color="auto"/>
            </w:tcBorders>
            <w:shd w:val="clear" w:color="auto" w:fill="C6EFCE"/>
            <w:noWrap/>
          </w:tcPr>
          <w:p w14:paraId="5DE17F62" w14:textId="77777777" w:rsidR="00A345F4" w:rsidRDefault="005E2D4E">
            <w:pPr>
              <w:pStyle w:val="P68B1DB1-Normal78"/>
              <w:spacing w:after="0" w:line="259" w:lineRule="auto"/>
              <w:rPr>
                <w:noProof/>
              </w:rPr>
            </w:pPr>
            <w:r>
              <w:rPr>
                <w:noProof/>
              </w:rPr>
              <w:t xml:space="preserve">Transparence législative, débureaucratisation et simplification des procédures pour les entreprises </w:t>
            </w:r>
          </w:p>
        </w:tc>
        <w:tc>
          <w:tcPr>
            <w:tcW w:w="1230" w:type="dxa"/>
            <w:tcBorders>
              <w:top w:val="nil"/>
              <w:left w:val="nil"/>
              <w:bottom w:val="single" w:sz="4" w:space="0" w:color="auto"/>
              <w:right w:val="single" w:sz="4" w:space="0" w:color="auto"/>
            </w:tcBorders>
            <w:shd w:val="clear" w:color="auto" w:fill="C6EFCE"/>
            <w:noWrap/>
          </w:tcPr>
          <w:p w14:paraId="2EE0BD87"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7ED39F3C" w14:textId="2EA92312" w:rsidR="00A345F4" w:rsidRDefault="005E2D4E">
            <w:pPr>
              <w:pStyle w:val="P68B1DB1-Normal78"/>
              <w:spacing w:after="0" w:line="259" w:lineRule="auto"/>
              <w:rPr>
                <w:noProof/>
              </w:rPr>
            </w:pPr>
            <w:r>
              <w:rPr>
                <w:noProof/>
              </w:rPr>
              <w:t>Réduire le temps de démarrage d'une entreprise</w:t>
            </w:r>
          </w:p>
        </w:tc>
      </w:tr>
      <w:tr w:rsidR="00A345F4" w14:paraId="18427C4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63501D" w14:textId="77777777" w:rsidR="00A345F4" w:rsidRDefault="005E2D4E">
            <w:pPr>
              <w:pStyle w:val="P68B1DB1-Normal78"/>
              <w:spacing w:after="0" w:line="259" w:lineRule="auto"/>
              <w:rPr>
                <w:noProof/>
              </w:rPr>
            </w:pPr>
            <w:r>
              <w:rPr>
                <w:noProof/>
              </w:rPr>
              <w:t>RO-C[C9]-R[R1.0]-T[245]</w:t>
            </w:r>
          </w:p>
        </w:tc>
        <w:tc>
          <w:tcPr>
            <w:tcW w:w="3544" w:type="dxa"/>
            <w:tcBorders>
              <w:top w:val="nil"/>
              <w:left w:val="nil"/>
              <w:bottom w:val="single" w:sz="4" w:space="0" w:color="auto"/>
              <w:right w:val="single" w:sz="4" w:space="0" w:color="auto"/>
            </w:tcBorders>
            <w:shd w:val="clear" w:color="auto" w:fill="C6EFCE"/>
            <w:noWrap/>
          </w:tcPr>
          <w:p w14:paraId="11053DF5" w14:textId="77777777" w:rsidR="00A345F4" w:rsidRDefault="005E2D4E">
            <w:pPr>
              <w:pStyle w:val="P68B1DB1-Normal78"/>
              <w:spacing w:after="0" w:line="259" w:lineRule="auto"/>
              <w:rPr>
                <w:noProof/>
              </w:rPr>
            </w:pPr>
            <w:r>
              <w:rPr>
                <w:noProof/>
              </w:rPr>
              <w:t xml:space="preserve">Transparence législative, débureaucratisation et simplification des procédures pour les entreprises </w:t>
            </w:r>
          </w:p>
        </w:tc>
        <w:tc>
          <w:tcPr>
            <w:tcW w:w="1230" w:type="dxa"/>
            <w:tcBorders>
              <w:top w:val="nil"/>
              <w:left w:val="nil"/>
              <w:bottom w:val="single" w:sz="4" w:space="0" w:color="auto"/>
              <w:right w:val="single" w:sz="4" w:space="0" w:color="auto"/>
            </w:tcBorders>
            <w:shd w:val="clear" w:color="auto" w:fill="C6EFCE"/>
            <w:noWrap/>
          </w:tcPr>
          <w:p w14:paraId="1126962E"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105C22B4" w14:textId="77777777" w:rsidR="00A345F4" w:rsidRDefault="005E2D4E">
            <w:pPr>
              <w:pStyle w:val="P68B1DB1-Normal74"/>
              <w:spacing w:after="0" w:line="259" w:lineRule="auto"/>
              <w:rPr>
                <w:noProof/>
              </w:rPr>
            </w:pPr>
            <w:r>
              <w:rPr>
                <w:noProof/>
              </w:rPr>
              <w:t>Actes législatifs/modifications concernant les PME pour lesquelles le test a été appliqué</w:t>
            </w:r>
          </w:p>
          <w:p w14:paraId="39AC0B83" w14:textId="77777777" w:rsidR="00A345F4" w:rsidRDefault="00A345F4">
            <w:pPr>
              <w:spacing w:after="0" w:line="259" w:lineRule="auto"/>
              <w:rPr>
                <w:rFonts w:ascii="Times New Roman" w:eastAsia="Aptos" w:hAnsi="Times New Roman" w:cs="Times New Roman"/>
                <w:noProof/>
                <w:kern w:val="2"/>
                <w:sz w:val="22"/>
                <w:szCs w:val="22"/>
                <w14:ligatures w14:val="standardContextual"/>
              </w:rPr>
            </w:pPr>
          </w:p>
        </w:tc>
      </w:tr>
      <w:tr w:rsidR="00A345F4" w14:paraId="5B909D8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9A77C66" w14:textId="77777777" w:rsidR="00A345F4" w:rsidRDefault="005E2D4E">
            <w:pPr>
              <w:pStyle w:val="P68B1DB1-Normal78"/>
              <w:spacing w:after="0" w:line="259" w:lineRule="auto"/>
              <w:rPr>
                <w:noProof/>
              </w:rPr>
            </w:pPr>
            <w:r>
              <w:rPr>
                <w:noProof/>
              </w:rPr>
              <w:t>RO-C[C9]-I[I2.3]-T[255]</w:t>
            </w:r>
          </w:p>
        </w:tc>
        <w:tc>
          <w:tcPr>
            <w:tcW w:w="3544" w:type="dxa"/>
            <w:tcBorders>
              <w:top w:val="nil"/>
              <w:left w:val="nil"/>
              <w:bottom w:val="single" w:sz="4" w:space="0" w:color="auto"/>
              <w:right w:val="single" w:sz="4" w:space="0" w:color="auto"/>
            </w:tcBorders>
            <w:shd w:val="clear" w:color="auto" w:fill="C6EFCE"/>
            <w:noWrap/>
          </w:tcPr>
          <w:p w14:paraId="395C3A82" w14:textId="77777777" w:rsidR="00A345F4" w:rsidRDefault="005E2D4E">
            <w:pPr>
              <w:pStyle w:val="P68B1DB1-Normal78"/>
              <w:spacing w:after="0" w:line="259" w:lineRule="auto"/>
              <w:rPr>
                <w:noProof/>
              </w:rPr>
            </w:pPr>
            <w:r>
              <w:rPr>
                <w:noProof/>
              </w:rPr>
              <w:t>Instruments financiers pour le secteur privé - Fonds de capital-risque pour la relance</w:t>
            </w:r>
          </w:p>
        </w:tc>
        <w:tc>
          <w:tcPr>
            <w:tcW w:w="1230" w:type="dxa"/>
            <w:tcBorders>
              <w:top w:val="nil"/>
              <w:left w:val="nil"/>
              <w:bottom w:val="single" w:sz="4" w:space="0" w:color="auto"/>
              <w:right w:val="single" w:sz="4" w:space="0" w:color="auto"/>
            </w:tcBorders>
            <w:shd w:val="clear" w:color="auto" w:fill="C6EFCE"/>
            <w:noWrap/>
          </w:tcPr>
          <w:p w14:paraId="223D64D2"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28518CBB" w14:textId="77777777" w:rsidR="00A345F4" w:rsidRDefault="005E2D4E">
            <w:pPr>
              <w:pStyle w:val="P68B1DB1-Normal78"/>
              <w:spacing w:after="0" w:line="259" w:lineRule="auto"/>
              <w:rPr>
                <w:noProof/>
              </w:rPr>
            </w:pPr>
            <w:r>
              <w:rPr>
                <w:noProof/>
              </w:rPr>
              <w:t>Opérations de financement ou d’investissement représentant 100 % du montant total des financements ou investissements ciblés approuvés par le comité d’investissement</w:t>
            </w:r>
          </w:p>
        </w:tc>
      </w:tr>
      <w:tr w:rsidR="00A345F4" w14:paraId="11719D1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5F720D9" w14:textId="77777777" w:rsidR="00A345F4" w:rsidRDefault="005E2D4E">
            <w:pPr>
              <w:pStyle w:val="P68B1DB1-Normal78"/>
              <w:spacing w:after="0" w:line="259" w:lineRule="auto"/>
              <w:rPr>
                <w:noProof/>
              </w:rPr>
            </w:pPr>
            <w:r>
              <w:rPr>
                <w:noProof/>
              </w:rPr>
              <w:t>RO-C[C9]-I[I2.4]-T[258]</w:t>
            </w:r>
          </w:p>
        </w:tc>
        <w:tc>
          <w:tcPr>
            <w:tcW w:w="3544" w:type="dxa"/>
            <w:tcBorders>
              <w:top w:val="nil"/>
              <w:left w:val="nil"/>
              <w:bottom w:val="single" w:sz="4" w:space="0" w:color="auto"/>
              <w:right w:val="single" w:sz="4" w:space="0" w:color="auto"/>
            </w:tcBorders>
            <w:shd w:val="clear" w:color="auto" w:fill="C6EFCE"/>
            <w:noWrap/>
          </w:tcPr>
          <w:p w14:paraId="04B40D83" w14:textId="29B343AE" w:rsidR="00A345F4" w:rsidRDefault="005E2D4E">
            <w:pPr>
              <w:pStyle w:val="P68B1DB1-Normal78"/>
              <w:spacing w:after="0" w:line="259" w:lineRule="auto"/>
              <w:rPr>
                <w:noProof/>
              </w:rPr>
            </w:pPr>
            <w:r>
              <w:rPr>
                <w:noProof/>
              </w:rPr>
              <w:t>Instruments financiers pour le secteur privé - Fonds pour la numérisation, l'action pour le climat et d'autres domaines d'intérêt</w:t>
            </w:r>
          </w:p>
        </w:tc>
        <w:tc>
          <w:tcPr>
            <w:tcW w:w="1230" w:type="dxa"/>
            <w:tcBorders>
              <w:top w:val="nil"/>
              <w:left w:val="nil"/>
              <w:bottom w:val="single" w:sz="4" w:space="0" w:color="auto"/>
              <w:right w:val="single" w:sz="4" w:space="0" w:color="auto"/>
            </w:tcBorders>
            <w:shd w:val="clear" w:color="auto" w:fill="C6EFCE"/>
            <w:noWrap/>
          </w:tcPr>
          <w:p w14:paraId="0A77048E"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12F66446" w14:textId="77777777" w:rsidR="00A345F4" w:rsidRDefault="005E2D4E">
            <w:pPr>
              <w:pStyle w:val="P68B1DB1-Normal78"/>
              <w:spacing w:after="0" w:line="259" w:lineRule="auto"/>
              <w:rPr>
                <w:noProof/>
              </w:rPr>
            </w:pPr>
            <w:r>
              <w:rPr>
                <w:noProof/>
              </w:rPr>
              <w:t>100 % des bénéficiaires ciblés bénéficiant d’un soutien</w:t>
            </w:r>
          </w:p>
        </w:tc>
      </w:tr>
      <w:tr w:rsidR="00A345F4" w14:paraId="77C4CAB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EA5002E" w14:textId="77777777" w:rsidR="00A345F4" w:rsidRDefault="005E2D4E">
            <w:pPr>
              <w:pStyle w:val="P68B1DB1-Normal78"/>
              <w:spacing w:after="0" w:line="259" w:lineRule="auto"/>
              <w:rPr>
                <w:noProof/>
              </w:rPr>
            </w:pPr>
            <w:r>
              <w:rPr>
                <w:noProof/>
              </w:rPr>
              <w:t>RO-C[C9]-I[I2.5]-T[261]</w:t>
            </w:r>
          </w:p>
        </w:tc>
        <w:tc>
          <w:tcPr>
            <w:tcW w:w="3544" w:type="dxa"/>
            <w:tcBorders>
              <w:top w:val="nil"/>
              <w:left w:val="nil"/>
              <w:bottom w:val="single" w:sz="4" w:space="0" w:color="auto"/>
              <w:right w:val="single" w:sz="4" w:space="0" w:color="auto"/>
            </w:tcBorders>
            <w:shd w:val="clear" w:color="auto" w:fill="C6EFCE"/>
            <w:noWrap/>
          </w:tcPr>
          <w:p w14:paraId="2B04C9B7" w14:textId="77777777" w:rsidR="00A345F4" w:rsidRDefault="005E2D4E">
            <w:pPr>
              <w:pStyle w:val="P68B1DB1-Normal78"/>
              <w:spacing w:after="0" w:line="259" w:lineRule="auto"/>
              <w:rPr>
                <w:noProof/>
              </w:rPr>
            </w:pPr>
            <w:r>
              <w:rPr>
                <w:noProof/>
              </w:rPr>
              <w:t>Instruments financiers pour le secteur privé - Investissements dans l'efficacité énergétique dans le secteur résidentiel et du bâtiment</w:t>
            </w:r>
          </w:p>
        </w:tc>
        <w:tc>
          <w:tcPr>
            <w:tcW w:w="1230" w:type="dxa"/>
            <w:tcBorders>
              <w:top w:val="nil"/>
              <w:left w:val="nil"/>
              <w:bottom w:val="single" w:sz="4" w:space="0" w:color="auto"/>
              <w:right w:val="single" w:sz="4" w:space="0" w:color="auto"/>
            </w:tcBorders>
            <w:shd w:val="clear" w:color="auto" w:fill="C6EFCE"/>
            <w:noWrap/>
          </w:tcPr>
          <w:p w14:paraId="71BB459F"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386AE44A" w14:textId="77777777" w:rsidR="00A345F4" w:rsidRDefault="005E2D4E">
            <w:pPr>
              <w:pStyle w:val="P68B1DB1-Normal78"/>
              <w:spacing w:after="0" w:line="259" w:lineRule="auto"/>
              <w:rPr>
                <w:noProof/>
              </w:rPr>
            </w:pPr>
            <w:r>
              <w:rPr>
                <w:noProof/>
              </w:rPr>
              <w:t>Opérations de financement ou d’investissement représentant 100 % du montant total des financements ou investissements ciblés, approuvées par le comité d’investissement InvestEU.</w:t>
            </w:r>
          </w:p>
        </w:tc>
      </w:tr>
      <w:tr w:rsidR="00A345F4" w14:paraId="144F38F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3A1B488" w14:textId="77777777" w:rsidR="00A345F4" w:rsidRDefault="005E2D4E">
            <w:pPr>
              <w:pStyle w:val="P68B1DB1-Normal78"/>
              <w:spacing w:after="0" w:line="259" w:lineRule="auto"/>
              <w:rPr>
                <w:noProof/>
              </w:rPr>
            </w:pPr>
            <w:r>
              <w:rPr>
                <w:noProof/>
              </w:rPr>
              <w:t>RO-C[C9]-I[I4.0]-T[267]</w:t>
            </w:r>
          </w:p>
        </w:tc>
        <w:tc>
          <w:tcPr>
            <w:tcW w:w="3544" w:type="dxa"/>
            <w:tcBorders>
              <w:top w:val="nil"/>
              <w:left w:val="nil"/>
              <w:bottom w:val="single" w:sz="4" w:space="0" w:color="auto"/>
              <w:right w:val="single" w:sz="4" w:space="0" w:color="auto"/>
            </w:tcBorders>
            <w:shd w:val="clear" w:color="auto" w:fill="C6EFCE"/>
            <w:noWrap/>
          </w:tcPr>
          <w:p w14:paraId="7D97AE87" w14:textId="77777777" w:rsidR="00A345F4" w:rsidRDefault="005E2D4E">
            <w:pPr>
              <w:pStyle w:val="P68B1DB1-Normal78"/>
              <w:spacing w:after="0" w:line="259" w:lineRule="auto"/>
              <w:rPr>
                <w:noProof/>
              </w:rPr>
            </w:pPr>
            <w:r>
              <w:rPr>
                <w:noProof/>
              </w:rPr>
              <w:t>Projets transfrontaliers et multinationaux - Processeurs de faible puissance et semi-conducteurs</w:t>
            </w:r>
          </w:p>
        </w:tc>
        <w:tc>
          <w:tcPr>
            <w:tcW w:w="1230" w:type="dxa"/>
            <w:tcBorders>
              <w:top w:val="nil"/>
              <w:left w:val="nil"/>
              <w:bottom w:val="single" w:sz="4" w:space="0" w:color="auto"/>
              <w:right w:val="single" w:sz="4" w:space="0" w:color="auto"/>
            </w:tcBorders>
            <w:shd w:val="clear" w:color="auto" w:fill="C6EFCE"/>
            <w:noWrap/>
          </w:tcPr>
          <w:p w14:paraId="3F0F6B2D"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4D8F7A2F" w14:textId="77777777" w:rsidR="00A345F4" w:rsidRDefault="005E2D4E">
            <w:pPr>
              <w:pStyle w:val="P68B1DB1-Normal78"/>
              <w:spacing w:after="0" w:line="259" w:lineRule="auto"/>
              <w:rPr>
                <w:noProof/>
              </w:rPr>
            </w:pPr>
            <w:r>
              <w:rPr>
                <w:noProof/>
              </w:rPr>
              <w:t>Entités sélectionnées pour participer ou s'associer au projet</w:t>
            </w:r>
          </w:p>
        </w:tc>
      </w:tr>
      <w:tr w:rsidR="00A345F4" w14:paraId="36DD91F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481D30" w14:textId="77777777" w:rsidR="00A345F4" w:rsidRDefault="005E2D4E">
            <w:pPr>
              <w:pStyle w:val="P68B1DB1-Normal78"/>
              <w:spacing w:after="0" w:line="259" w:lineRule="auto"/>
              <w:rPr>
                <w:noProof/>
              </w:rPr>
            </w:pPr>
            <w:r>
              <w:rPr>
                <w:noProof/>
              </w:rPr>
              <w:t>RO-C[C9]-R[R4.0]-M[276]</w:t>
            </w:r>
          </w:p>
        </w:tc>
        <w:tc>
          <w:tcPr>
            <w:tcW w:w="3544" w:type="dxa"/>
            <w:tcBorders>
              <w:top w:val="nil"/>
              <w:left w:val="nil"/>
              <w:bottom w:val="single" w:sz="4" w:space="0" w:color="auto"/>
              <w:right w:val="single" w:sz="4" w:space="0" w:color="auto"/>
            </w:tcBorders>
            <w:shd w:val="clear" w:color="auto" w:fill="C6EFCE"/>
            <w:noWrap/>
          </w:tcPr>
          <w:p w14:paraId="6F9497A5" w14:textId="77777777" w:rsidR="00A345F4" w:rsidRDefault="005E2D4E">
            <w:pPr>
              <w:pStyle w:val="P68B1DB1-Normal78"/>
              <w:spacing w:after="0" w:line="259" w:lineRule="auto"/>
              <w:rPr>
                <w:noProof/>
              </w:rPr>
            </w:pPr>
            <w:r>
              <w:rPr>
                <w:noProof/>
              </w:rPr>
              <w:t>Renforcement de la coopération entre les entreprises et la recherche</w:t>
            </w:r>
          </w:p>
        </w:tc>
        <w:tc>
          <w:tcPr>
            <w:tcW w:w="1230" w:type="dxa"/>
            <w:tcBorders>
              <w:top w:val="nil"/>
              <w:left w:val="nil"/>
              <w:bottom w:val="single" w:sz="4" w:space="0" w:color="auto"/>
              <w:right w:val="single" w:sz="4" w:space="0" w:color="auto"/>
            </w:tcBorders>
            <w:shd w:val="clear" w:color="auto" w:fill="C6EFCE"/>
            <w:noWrap/>
          </w:tcPr>
          <w:p w14:paraId="328A93A5" w14:textId="77777777" w:rsidR="00A345F4" w:rsidRDefault="005E2D4E">
            <w:pPr>
              <w:pStyle w:val="P68B1DB1-Normal78"/>
              <w:spacing w:after="0" w:line="259" w:lineRule="auto"/>
              <w:jc w:val="center"/>
              <w:rPr>
                <w:noProof/>
              </w:rPr>
            </w:pPr>
            <w:r>
              <w:rPr>
                <w:noProof/>
              </w:rPr>
              <w:t>M</w:t>
            </w:r>
          </w:p>
        </w:tc>
        <w:tc>
          <w:tcPr>
            <w:tcW w:w="3447" w:type="dxa"/>
            <w:tcBorders>
              <w:top w:val="nil"/>
              <w:left w:val="nil"/>
              <w:bottom w:val="single" w:sz="4" w:space="0" w:color="auto"/>
              <w:right w:val="single" w:sz="4" w:space="0" w:color="auto"/>
            </w:tcBorders>
            <w:shd w:val="clear" w:color="auto" w:fill="C6EFCE"/>
            <w:noWrap/>
          </w:tcPr>
          <w:p w14:paraId="094F00C7" w14:textId="77777777" w:rsidR="00A345F4" w:rsidRDefault="005E2D4E">
            <w:pPr>
              <w:pStyle w:val="P68B1DB1-Normal78"/>
              <w:spacing w:after="0" w:line="259" w:lineRule="auto"/>
              <w:rPr>
                <w:noProof/>
              </w:rPr>
            </w:pPr>
            <w:r>
              <w:rPr>
                <w:noProof/>
              </w:rPr>
              <w:t>Entrée en vigueur d'un ou de plusieurs actes juridiques pour un environnement favorable aux investissements publics et privés dans la recherche, le développement et l'innovation</w:t>
            </w:r>
          </w:p>
        </w:tc>
      </w:tr>
      <w:tr w:rsidR="00A345F4" w14:paraId="60B0122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D363328" w14:textId="77777777" w:rsidR="00A345F4" w:rsidRDefault="005E2D4E">
            <w:pPr>
              <w:pStyle w:val="P68B1DB1-Normal78"/>
              <w:spacing w:after="0" w:line="259" w:lineRule="auto"/>
              <w:rPr>
                <w:noProof/>
              </w:rPr>
            </w:pPr>
            <w:r>
              <w:rPr>
                <w:noProof/>
              </w:rPr>
              <w:t>RO-C[C9]-R[R4.0]-T[277]</w:t>
            </w:r>
          </w:p>
        </w:tc>
        <w:tc>
          <w:tcPr>
            <w:tcW w:w="3544" w:type="dxa"/>
            <w:tcBorders>
              <w:top w:val="nil"/>
              <w:left w:val="nil"/>
              <w:bottom w:val="single" w:sz="4" w:space="0" w:color="auto"/>
              <w:right w:val="single" w:sz="4" w:space="0" w:color="auto"/>
            </w:tcBorders>
            <w:shd w:val="clear" w:color="auto" w:fill="C6EFCE"/>
            <w:noWrap/>
          </w:tcPr>
          <w:p w14:paraId="535571BA" w14:textId="77777777" w:rsidR="00A345F4" w:rsidRDefault="005E2D4E">
            <w:pPr>
              <w:pStyle w:val="P68B1DB1-Normal78"/>
              <w:spacing w:after="0" w:line="259" w:lineRule="auto"/>
              <w:rPr>
                <w:noProof/>
              </w:rPr>
            </w:pPr>
            <w:r>
              <w:rPr>
                <w:noProof/>
              </w:rPr>
              <w:t>Renforcement de la coopération entre les entreprises et la recherche</w:t>
            </w:r>
          </w:p>
        </w:tc>
        <w:tc>
          <w:tcPr>
            <w:tcW w:w="1230" w:type="dxa"/>
            <w:tcBorders>
              <w:top w:val="nil"/>
              <w:left w:val="nil"/>
              <w:bottom w:val="single" w:sz="4" w:space="0" w:color="auto"/>
              <w:right w:val="single" w:sz="4" w:space="0" w:color="auto"/>
            </w:tcBorders>
            <w:shd w:val="clear" w:color="auto" w:fill="C6EFCE"/>
            <w:noWrap/>
          </w:tcPr>
          <w:p w14:paraId="0FF8D181" w14:textId="77777777" w:rsidR="00A345F4" w:rsidRDefault="005E2D4E">
            <w:pPr>
              <w:pStyle w:val="P68B1DB1-Normal78"/>
              <w:spacing w:after="0" w:line="259" w:lineRule="auto"/>
              <w:jc w:val="center"/>
              <w:rPr>
                <w:noProof/>
              </w:rPr>
            </w:pPr>
            <w:r>
              <w:rPr>
                <w:noProof/>
              </w:rPr>
              <w:t>T</w:t>
            </w:r>
          </w:p>
        </w:tc>
        <w:tc>
          <w:tcPr>
            <w:tcW w:w="3447" w:type="dxa"/>
            <w:tcBorders>
              <w:top w:val="nil"/>
              <w:left w:val="nil"/>
              <w:bottom w:val="single" w:sz="4" w:space="0" w:color="auto"/>
              <w:right w:val="single" w:sz="4" w:space="0" w:color="auto"/>
            </w:tcBorders>
            <w:shd w:val="clear" w:color="auto" w:fill="C6EFCE"/>
            <w:noWrap/>
          </w:tcPr>
          <w:p w14:paraId="5789E8AD" w14:textId="77777777" w:rsidR="00A345F4" w:rsidRDefault="005E2D4E">
            <w:pPr>
              <w:pStyle w:val="P68B1DB1-Normal78"/>
              <w:spacing w:after="0" w:line="259" w:lineRule="auto"/>
              <w:rPr>
                <w:noProof/>
              </w:rPr>
            </w:pPr>
            <w:r>
              <w:rPr>
                <w:noProof/>
              </w:rPr>
              <w:t>27 % des projets de RDI financés par des fonds publics ont au moins une entité commerciale impliquée en tant que partenaire</w:t>
            </w:r>
          </w:p>
        </w:tc>
      </w:tr>
      <w:tr w:rsidR="00A345F4" w14:paraId="59289361"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DB481A9" w14:textId="77777777" w:rsidR="00A345F4" w:rsidRDefault="005E2D4E">
            <w:pPr>
              <w:pStyle w:val="P68B1DB1-Normal73"/>
              <w:spacing w:after="0" w:line="259" w:lineRule="auto"/>
              <w:rPr>
                <w:noProof/>
              </w:rPr>
            </w:pPr>
            <w:r>
              <w:rPr>
                <w:noProof/>
              </w:rPr>
              <w:t>RO-C[C10]-R[R5.0]-M[316]</w:t>
            </w:r>
          </w:p>
        </w:tc>
        <w:tc>
          <w:tcPr>
            <w:tcW w:w="3544" w:type="dxa"/>
            <w:tcBorders>
              <w:top w:val="nil"/>
              <w:left w:val="nil"/>
              <w:bottom w:val="single" w:sz="4" w:space="0" w:color="auto"/>
              <w:right w:val="single" w:sz="4" w:space="0" w:color="auto"/>
            </w:tcBorders>
            <w:shd w:val="clear" w:color="auto" w:fill="C6EFCE"/>
            <w:noWrap/>
          </w:tcPr>
          <w:p w14:paraId="70DF0C07" w14:textId="77777777" w:rsidR="00A345F4" w:rsidRDefault="005E2D4E">
            <w:pPr>
              <w:pStyle w:val="P68B1DB1-Normal73"/>
              <w:spacing w:after="0" w:line="259" w:lineRule="auto"/>
              <w:rPr>
                <w:noProof/>
              </w:rPr>
            </w:pPr>
            <w:r>
              <w:rPr>
                <w:noProof/>
              </w:rPr>
              <w:t>Développement du système d'aménagement du territoire - Code de l'aménagement du territoire, de l'urbanisme et de la construction</w:t>
            </w:r>
          </w:p>
        </w:tc>
        <w:tc>
          <w:tcPr>
            <w:tcW w:w="1230" w:type="dxa"/>
            <w:tcBorders>
              <w:top w:val="nil"/>
              <w:left w:val="nil"/>
              <w:bottom w:val="single" w:sz="4" w:space="0" w:color="auto"/>
              <w:right w:val="single" w:sz="4" w:space="0" w:color="auto"/>
            </w:tcBorders>
            <w:shd w:val="clear" w:color="auto" w:fill="C6EFCE"/>
            <w:noWrap/>
          </w:tcPr>
          <w:p w14:paraId="37DD6E5E" w14:textId="77777777" w:rsidR="00A345F4" w:rsidRDefault="005E2D4E">
            <w:pPr>
              <w:pStyle w:val="P68B1DB1-Normal73"/>
              <w:spacing w:after="0" w:line="259" w:lineRule="auto"/>
              <w:jc w:val="center"/>
              <w:rPr>
                <w:noProof/>
              </w:rPr>
            </w:pPr>
            <w:r>
              <w:rPr>
                <w:noProof/>
              </w:rPr>
              <w:t>M</w:t>
            </w:r>
          </w:p>
        </w:tc>
        <w:tc>
          <w:tcPr>
            <w:tcW w:w="3447" w:type="dxa"/>
            <w:tcBorders>
              <w:top w:val="nil"/>
              <w:left w:val="nil"/>
              <w:bottom w:val="single" w:sz="4" w:space="0" w:color="auto"/>
              <w:right w:val="single" w:sz="4" w:space="0" w:color="auto"/>
            </w:tcBorders>
            <w:shd w:val="clear" w:color="auto" w:fill="C6EFCE"/>
            <w:noWrap/>
          </w:tcPr>
          <w:p w14:paraId="44DFCF82" w14:textId="4FCBB899" w:rsidR="00A345F4" w:rsidRDefault="005E2D4E">
            <w:pPr>
              <w:pStyle w:val="P68B1DB1-Normal73"/>
              <w:spacing w:after="0" w:line="259" w:lineRule="auto"/>
              <w:rPr>
                <w:noProof/>
              </w:rPr>
            </w:pPr>
            <w:r>
              <w:rPr>
                <w:noProof/>
              </w:rPr>
              <w:t>Plateforme de données numériques (dans le cadre de l'Observa-tory territorial)  </w:t>
            </w:r>
          </w:p>
        </w:tc>
      </w:tr>
      <w:tr w:rsidR="00A345F4" w14:paraId="2CADDF9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4AAD253" w14:textId="77777777" w:rsidR="00A345F4" w:rsidRDefault="005E2D4E">
            <w:pPr>
              <w:pStyle w:val="P68B1DB1-Normal74"/>
              <w:spacing w:after="0" w:line="259" w:lineRule="auto"/>
              <w:rPr>
                <w:rFonts w:eastAsia="Aptos"/>
                <w:noProof/>
              </w:rPr>
            </w:pPr>
            <w:r>
              <w:rPr>
                <w:noProof/>
              </w:rPr>
              <w:t>RO-C[C16]-I[I8.0]-T[535]</w:t>
            </w:r>
          </w:p>
        </w:tc>
        <w:tc>
          <w:tcPr>
            <w:tcW w:w="3544" w:type="dxa"/>
            <w:tcBorders>
              <w:top w:val="nil"/>
              <w:left w:val="nil"/>
              <w:bottom w:val="single" w:sz="4" w:space="0" w:color="auto"/>
              <w:right w:val="single" w:sz="4" w:space="0" w:color="auto"/>
            </w:tcBorders>
            <w:shd w:val="clear" w:color="auto" w:fill="C6EFCE"/>
            <w:noWrap/>
          </w:tcPr>
          <w:p w14:paraId="285364B7" w14:textId="1AEDB55E" w:rsidR="00A345F4" w:rsidRDefault="005E2D4E">
            <w:pPr>
              <w:pStyle w:val="P68B1DB1-Normal74"/>
              <w:spacing w:after="0" w:line="259" w:lineRule="auto"/>
              <w:rPr>
                <w:rFonts w:eastAsia="Aptos"/>
                <w:noProof/>
              </w:rPr>
            </w:pPr>
            <w:r>
              <w:rPr>
                <w:noProof/>
              </w:rPr>
              <w:t>Contrats pour la répartition des différences</w:t>
            </w:r>
          </w:p>
        </w:tc>
        <w:tc>
          <w:tcPr>
            <w:tcW w:w="1230" w:type="dxa"/>
            <w:tcBorders>
              <w:top w:val="nil"/>
              <w:left w:val="nil"/>
              <w:bottom w:val="single" w:sz="4" w:space="0" w:color="auto"/>
              <w:right w:val="single" w:sz="4" w:space="0" w:color="auto"/>
            </w:tcBorders>
            <w:shd w:val="clear" w:color="auto" w:fill="C6EFCE"/>
            <w:noWrap/>
          </w:tcPr>
          <w:p w14:paraId="224B7A8D" w14:textId="77777777" w:rsidR="00A345F4" w:rsidRDefault="005E2D4E">
            <w:pPr>
              <w:pStyle w:val="P68B1DB1-Normal73"/>
              <w:spacing w:after="0" w:line="259" w:lineRule="auto"/>
              <w:jc w:val="center"/>
              <w:rPr>
                <w:noProof/>
              </w:rPr>
            </w:pPr>
            <w:r>
              <w:rPr>
                <w:noProof/>
              </w:rPr>
              <w:t>M</w:t>
            </w:r>
          </w:p>
        </w:tc>
        <w:tc>
          <w:tcPr>
            <w:tcW w:w="3447" w:type="dxa"/>
            <w:tcBorders>
              <w:top w:val="nil"/>
              <w:left w:val="nil"/>
              <w:bottom w:val="single" w:sz="4" w:space="0" w:color="auto"/>
              <w:right w:val="single" w:sz="4" w:space="0" w:color="auto"/>
            </w:tcBorders>
            <w:shd w:val="clear" w:color="auto" w:fill="C6EFCE"/>
            <w:noWrap/>
          </w:tcPr>
          <w:p w14:paraId="44A9444C" w14:textId="77777777" w:rsidR="00A345F4" w:rsidRDefault="005E2D4E">
            <w:pPr>
              <w:pStyle w:val="P68B1DB1-Normal73"/>
              <w:spacing w:after="0" w:line="259" w:lineRule="auto"/>
              <w:rPr>
                <w:noProof/>
              </w:rPr>
            </w:pPr>
            <w:r>
              <w:rPr>
                <w:noProof/>
              </w:rPr>
              <w:t>Signature de CEC pour des projets de production d'électricité à partir de sources renouvelables</w:t>
            </w:r>
          </w:p>
        </w:tc>
      </w:tr>
      <w:tr w:rsidR="00A345F4" w14:paraId="77CCBCCF"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568793B"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33FF9531" w14:textId="77777777" w:rsidR="00A345F4" w:rsidRDefault="00A345F4">
            <w:pPr>
              <w:spacing w:after="0" w:line="259" w:lineRule="auto"/>
              <w:rPr>
                <w:rFonts w:ascii="Times New Roman" w:eastAsia="Times New Roman" w:hAnsi="Times New Roman" w:cs="Times New Roman"/>
                <w:noProof/>
                <w:kern w:val="2"/>
                <w:sz w:val="22"/>
                <w:szCs w:val="22"/>
                <w14:ligatures w14:val="standardContextual"/>
              </w:rPr>
            </w:pPr>
          </w:p>
        </w:tc>
        <w:tc>
          <w:tcPr>
            <w:tcW w:w="1230" w:type="dxa"/>
            <w:tcBorders>
              <w:top w:val="single" w:sz="4" w:space="0" w:color="auto"/>
              <w:left w:val="nil"/>
              <w:bottom w:val="single" w:sz="4" w:space="0" w:color="auto"/>
              <w:right w:val="single" w:sz="4" w:space="0" w:color="auto"/>
            </w:tcBorders>
            <w:shd w:val="clear" w:color="auto" w:fill="C6EFCE"/>
            <w:noWrap/>
          </w:tcPr>
          <w:p w14:paraId="6F0B3A96" w14:textId="77777777" w:rsidR="00A345F4" w:rsidRDefault="005E2D4E">
            <w:pPr>
              <w:pStyle w:val="P68B1DB1-Normal74"/>
              <w:spacing w:after="0" w:line="259" w:lineRule="auto"/>
              <w:jc w:val="center"/>
              <w:rPr>
                <w:noProof/>
              </w:rPr>
            </w:pPr>
            <w:r>
              <w:rPr>
                <w:noProof/>
              </w:rPr>
              <w:t>Montant des acomptes provisionnels</w:t>
            </w:r>
          </w:p>
        </w:tc>
        <w:tc>
          <w:tcPr>
            <w:tcW w:w="3447" w:type="dxa"/>
            <w:tcBorders>
              <w:top w:val="single" w:sz="4" w:space="0" w:color="auto"/>
              <w:left w:val="nil"/>
              <w:bottom w:val="single" w:sz="4" w:space="0" w:color="auto"/>
              <w:right w:val="single" w:sz="4" w:space="0" w:color="auto"/>
            </w:tcBorders>
            <w:shd w:val="clear" w:color="auto" w:fill="C6EFCE"/>
            <w:noWrap/>
            <w:vAlign w:val="center"/>
          </w:tcPr>
          <w:p w14:paraId="1CD378C4" w14:textId="77777777" w:rsidR="00A345F4" w:rsidRDefault="005E2D4E">
            <w:pPr>
              <w:pStyle w:val="P68B1DB1-Normal74"/>
              <w:spacing w:after="0" w:line="259" w:lineRule="auto"/>
              <w:jc w:val="right"/>
              <w:rPr>
                <w:noProof/>
              </w:rPr>
            </w:pPr>
            <w:r>
              <w:rPr>
                <w:noProof/>
              </w:rPr>
              <w:t>744 457 542 EUR</w:t>
            </w:r>
          </w:p>
        </w:tc>
      </w:tr>
    </w:tbl>
    <w:p w14:paraId="04744797" w14:textId="77777777" w:rsidR="00A345F4" w:rsidRDefault="005E2D4E">
      <w:pPr>
        <w:pStyle w:val="P68B1DB1-Normal71"/>
        <w:keepNext/>
        <w:tabs>
          <w:tab w:val="num" w:pos="1417"/>
        </w:tabs>
        <w:spacing w:before="120" w:after="120" w:line="240" w:lineRule="auto"/>
        <w:ind w:left="1417" w:hanging="850"/>
        <w:jc w:val="both"/>
        <w:outlineLvl w:val="2"/>
        <w:rPr>
          <w:bCs/>
          <w:noProof/>
        </w:rPr>
      </w:pPr>
      <w:r>
        <w:rPr>
          <w:noProof/>
        </w:rPr>
        <w:t xml:space="preserve">2.2.5 Cinquième tranche (soutien sous forme de prêt): </w:t>
      </w:r>
    </w:p>
    <w:tbl>
      <w:tblPr>
        <w:tblW w:w="9634" w:type="dxa"/>
        <w:tblInd w:w="113" w:type="dxa"/>
        <w:tblLook w:val="04A0" w:firstRow="1" w:lastRow="0" w:firstColumn="1" w:lastColumn="0" w:noHBand="0" w:noVBand="1"/>
      </w:tblPr>
      <w:tblGrid>
        <w:gridCol w:w="1413"/>
        <w:gridCol w:w="3544"/>
        <w:gridCol w:w="1402"/>
        <w:gridCol w:w="3447"/>
      </w:tblGrid>
      <w:tr w:rsidR="00A345F4" w14:paraId="06CFF77B" w14:textId="77777777">
        <w:trPr>
          <w:trHeight w:val="906"/>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EB1F07" w14:textId="77777777" w:rsidR="00A345F4" w:rsidRDefault="005E2D4E">
            <w:pPr>
              <w:pStyle w:val="P68B1DB1-Normal72"/>
              <w:spacing w:after="0" w:line="259" w:lineRule="auto"/>
              <w:jc w:val="center"/>
              <w:rPr>
                <w:noProof/>
              </w:rPr>
            </w:pPr>
            <w:r>
              <w:rPr>
                <w:noProof/>
              </w:rPr>
              <w:t>Numéro séquentiel</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125212" w14:textId="77777777" w:rsidR="00A345F4" w:rsidRDefault="005E2D4E">
            <w:pPr>
              <w:pStyle w:val="P68B1DB1-Normal72"/>
              <w:spacing w:after="0" w:line="259" w:lineRule="auto"/>
              <w:jc w:val="center"/>
              <w:rPr>
                <w:noProof/>
              </w:rPr>
            </w:pPr>
            <w:r>
              <w:rPr>
                <w:noProof/>
              </w:rPr>
              <w:t xml:space="preserve">Mesure connexe </w:t>
            </w:r>
          </w:p>
          <w:p w14:paraId="07E34034" w14:textId="77777777" w:rsidR="00A345F4" w:rsidRDefault="005E2D4E">
            <w:pPr>
              <w:pStyle w:val="P68B1DB1-Normal72"/>
              <w:spacing w:after="0" w:line="259" w:lineRule="auto"/>
              <w:jc w:val="center"/>
              <w:rPr>
                <w:noProof/>
              </w:rPr>
            </w:pPr>
            <w:r>
              <w:rPr>
                <w:noProof/>
              </w:rPr>
              <w:t>(Réforme ou investissement)</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22BF31" w14:textId="77777777" w:rsidR="00A345F4" w:rsidRDefault="005E2D4E">
            <w:pPr>
              <w:pStyle w:val="P68B1DB1-Normal72"/>
              <w:spacing w:after="0" w:line="259" w:lineRule="auto"/>
              <w:jc w:val="center"/>
              <w:rPr>
                <w:noProof/>
              </w:rPr>
            </w:pPr>
            <w:r>
              <w:rPr>
                <w:noProof/>
              </w:rPr>
              <w:t>Étape/cible</w:t>
            </w:r>
          </w:p>
        </w:tc>
        <w:tc>
          <w:tcPr>
            <w:tcW w:w="34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0D8C66" w14:textId="77777777" w:rsidR="00A345F4" w:rsidRDefault="005E2D4E">
            <w:pPr>
              <w:pStyle w:val="P68B1DB1-Normal72"/>
              <w:spacing w:after="0" w:line="259" w:lineRule="auto"/>
              <w:jc w:val="center"/>
              <w:rPr>
                <w:noProof/>
              </w:rPr>
            </w:pPr>
            <w:r>
              <w:rPr>
                <w:noProof/>
              </w:rPr>
              <w:t>Nom</w:t>
            </w:r>
          </w:p>
        </w:tc>
      </w:tr>
      <w:tr w:rsidR="00A345F4" w14:paraId="2CC20F0E" w14:textId="77777777">
        <w:trPr>
          <w:trHeight w:val="509"/>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355D5AA"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EF2CC80" w14:textId="77777777" w:rsidR="00A345F4" w:rsidRDefault="00A345F4">
            <w:pPr>
              <w:spacing w:after="0" w:line="259" w:lineRule="auto"/>
              <w:rPr>
                <w:rFonts w:ascii="Times New Roman" w:eastAsia="Times New Roman" w:hAnsi="Times New Roman" w:cs="Times New Roman"/>
                <w:b/>
                <w:bCs/>
                <w:noProof/>
                <w:kern w:val="2"/>
                <w:sz w:val="22"/>
                <w:szCs w:val="22"/>
                <w14:ligatures w14:val="standardContextual"/>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039C1A27" w14:textId="77777777" w:rsidR="00A345F4" w:rsidRDefault="00A345F4">
            <w:pPr>
              <w:spacing w:after="0" w:line="259" w:lineRule="auto"/>
              <w:jc w:val="center"/>
              <w:rPr>
                <w:rFonts w:ascii="Times New Roman" w:eastAsia="Times New Roman" w:hAnsi="Times New Roman" w:cs="Times New Roman"/>
                <w:noProof/>
                <w:kern w:val="2"/>
                <w:sz w:val="22"/>
                <w:szCs w:val="22"/>
                <w14:ligatures w14:val="standardContextual"/>
              </w:rPr>
            </w:pPr>
          </w:p>
        </w:tc>
        <w:tc>
          <w:tcPr>
            <w:tcW w:w="3447" w:type="dxa"/>
            <w:vMerge/>
            <w:tcBorders>
              <w:top w:val="single" w:sz="4" w:space="0" w:color="auto"/>
              <w:left w:val="single" w:sz="4" w:space="0" w:color="auto"/>
              <w:bottom w:val="single" w:sz="4" w:space="0" w:color="auto"/>
              <w:right w:val="single" w:sz="4" w:space="0" w:color="auto"/>
            </w:tcBorders>
            <w:vAlign w:val="center"/>
            <w:hideMark/>
          </w:tcPr>
          <w:p w14:paraId="16A400DE" w14:textId="77777777" w:rsidR="00A345F4" w:rsidRDefault="00A345F4">
            <w:pPr>
              <w:spacing w:after="0" w:line="259" w:lineRule="auto"/>
              <w:jc w:val="both"/>
              <w:rPr>
                <w:rFonts w:ascii="Times New Roman" w:eastAsia="Times New Roman" w:hAnsi="Times New Roman" w:cs="Times New Roman"/>
                <w:b/>
                <w:bCs/>
                <w:noProof/>
                <w:kern w:val="2"/>
                <w:sz w:val="22"/>
                <w:szCs w:val="22"/>
                <w14:ligatures w14:val="standardContextual"/>
              </w:rPr>
            </w:pPr>
          </w:p>
        </w:tc>
      </w:tr>
      <w:tr w:rsidR="00A345F4" w14:paraId="0F222401"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BC84DBA" w14:textId="77777777" w:rsidR="00A345F4" w:rsidRDefault="005E2D4E">
            <w:pPr>
              <w:pStyle w:val="P68B1DB1-Normal78"/>
              <w:spacing w:after="0" w:line="259" w:lineRule="auto"/>
              <w:rPr>
                <w:noProof/>
              </w:rPr>
            </w:pPr>
            <w:r>
              <w:rPr>
                <w:noProof/>
              </w:rPr>
              <w:t>RO-C[C1]-I[I1.0]-T[6]</w:t>
            </w:r>
          </w:p>
        </w:tc>
        <w:tc>
          <w:tcPr>
            <w:tcW w:w="3544" w:type="dxa"/>
            <w:tcBorders>
              <w:top w:val="single" w:sz="4" w:space="0" w:color="auto"/>
              <w:left w:val="nil"/>
              <w:bottom w:val="single" w:sz="4" w:space="0" w:color="auto"/>
              <w:right w:val="single" w:sz="4" w:space="0" w:color="auto"/>
            </w:tcBorders>
            <w:shd w:val="clear" w:color="auto" w:fill="C6EFCE"/>
            <w:noWrap/>
          </w:tcPr>
          <w:p w14:paraId="3E5A908B" w14:textId="7D2E570D" w:rsidR="00A345F4" w:rsidRDefault="005E2D4E">
            <w:pPr>
              <w:pStyle w:val="P68B1DB1-Normal78"/>
              <w:spacing w:after="0" w:line="259" w:lineRule="auto"/>
              <w:rPr>
                <w:noProof/>
              </w:rPr>
            </w:pPr>
            <w:r>
              <w:rPr>
                <w:noProof/>
              </w:rPr>
              <w:t xml:space="preserve">Construction de réseaux de distribution d'eau et d'assainissement </w:t>
            </w:r>
          </w:p>
        </w:tc>
        <w:tc>
          <w:tcPr>
            <w:tcW w:w="1230" w:type="dxa"/>
            <w:tcBorders>
              <w:top w:val="single" w:sz="4" w:space="0" w:color="auto"/>
              <w:left w:val="nil"/>
              <w:bottom w:val="single" w:sz="4" w:space="0" w:color="auto"/>
              <w:right w:val="single" w:sz="4" w:space="0" w:color="auto"/>
            </w:tcBorders>
            <w:shd w:val="clear" w:color="auto" w:fill="C6EFCE"/>
            <w:noWrap/>
          </w:tcPr>
          <w:p w14:paraId="3367F246"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35C62FBD" w14:textId="77777777" w:rsidR="00A345F4" w:rsidRDefault="005E2D4E">
            <w:pPr>
              <w:pStyle w:val="P68B1DB1-Normal78"/>
              <w:spacing w:after="0" w:line="259" w:lineRule="auto"/>
              <w:rPr>
                <w:rFonts w:eastAsia="Times New Roman"/>
                <w:noProof/>
              </w:rPr>
            </w:pPr>
            <w:r>
              <w:rPr>
                <w:noProof/>
              </w:rPr>
              <w:t xml:space="preserve"> Construction de réseaux de distribution d'eau</w:t>
            </w:r>
          </w:p>
        </w:tc>
      </w:tr>
      <w:tr w:rsidR="00A345F4" w14:paraId="6518D3D7"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BCBF2A3" w14:textId="77777777" w:rsidR="00A345F4" w:rsidRDefault="005E2D4E">
            <w:pPr>
              <w:pStyle w:val="P68B1DB1-Normal78"/>
              <w:spacing w:after="0" w:line="259" w:lineRule="auto"/>
              <w:rPr>
                <w:noProof/>
              </w:rPr>
            </w:pPr>
            <w:r>
              <w:rPr>
                <w:noProof/>
              </w:rPr>
              <w:t>RO-C[C1]-I[I1.0]-T[8]</w:t>
            </w:r>
          </w:p>
        </w:tc>
        <w:tc>
          <w:tcPr>
            <w:tcW w:w="3544" w:type="dxa"/>
            <w:tcBorders>
              <w:top w:val="single" w:sz="4" w:space="0" w:color="auto"/>
              <w:left w:val="nil"/>
              <w:bottom w:val="single" w:sz="4" w:space="0" w:color="auto"/>
              <w:right w:val="single" w:sz="4" w:space="0" w:color="auto"/>
            </w:tcBorders>
            <w:shd w:val="clear" w:color="auto" w:fill="C6EFCE"/>
            <w:noWrap/>
          </w:tcPr>
          <w:p w14:paraId="4A281A80" w14:textId="015F4268" w:rsidR="00A345F4" w:rsidRDefault="005E2D4E">
            <w:pPr>
              <w:pStyle w:val="P68B1DB1-Normal78"/>
              <w:spacing w:after="0" w:line="259" w:lineRule="auto"/>
              <w:rPr>
                <w:noProof/>
              </w:rPr>
            </w:pPr>
            <w:r>
              <w:rPr>
                <w:noProof/>
              </w:rPr>
              <w:t xml:space="preserve">Construction de réseaux de distribution d'eau et d'assainissement </w:t>
            </w:r>
          </w:p>
        </w:tc>
        <w:tc>
          <w:tcPr>
            <w:tcW w:w="1230" w:type="dxa"/>
            <w:tcBorders>
              <w:top w:val="single" w:sz="4" w:space="0" w:color="auto"/>
              <w:left w:val="nil"/>
              <w:bottom w:val="single" w:sz="4" w:space="0" w:color="auto"/>
              <w:right w:val="single" w:sz="4" w:space="0" w:color="auto"/>
            </w:tcBorders>
            <w:shd w:val="clear" w:color="auto" w:fill="C6EFCE"/>
            <w:noWrap/>
          </w:tcPr>
          <w:p w14:paraId="7F8D7EAE"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7241E5C6" w14:textId="77777777" w:rsidR="00A345F4" w:rsidRDefault="005E2D4E">
            <w:pPr>
              <w:pStyle w:val="P68B1DB1-Normal74"/>
              <w:spacing w:after="0" w:line="259" w:lineRule="auto"/>
              <w:rPr>
                <w:rFonts w:eastAsia="Aptos"/>
                <w:noProof/>
                <w:color w:val="000000"/>
              </w:rPr>
            </w:pPr>
            <w:r>
              <w:rPr>
                <w:noProof/>
              </w:rPr>
              <w:t>Réseaux d'égouts construits</w:t>
            </w:r>
          </w:p>
        </w:tc>
      </w:tr>
      <w:tr w:rsidR="00A345F4" w14:paraId="63EF7051"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483C324" w14:textId="77777777" w:rsidR="00A345F4" w:rsidRDefault="005E2D4E">
            <w:pPr>
              <w:pStyle w:val="P68B1DB1-Normal78"/>
              <w:spacing w:after="0" w:line="259" w:lineRule="auto"/>
              <w:rPr>
                <w:noProof/>
              </w:rPr>
            </w:pPr>
            <w:r>
              <w:rPr>
                <w:noProof/>
              </w:rPr>
              <w:t>RO-C[C1]-I[I2.0]-T[10]</w:t>
            </w:r>
          </w:p>
        </w:tc>
        <w:tc>
          <w:tcPr>
            <w:tcW w:w="3544" w:type="dxa"/>
            <w:tcBorders>
              <w:top w:val="single" w:sz="4" w:space="0" w:color="auto"/>
              <w:left w:val="nil"/>
              <w:bottom w:val="single" w:sz="4" w:space="0" w:color="auto"/>
              <w:right w:val="single" w:sz="4" w:space="0" w:color="auto"/>
            </w:tcBorders>
            <w:shd w:val="clear" w:color="auto" w:fill="C6EFCE"/>
            <w:noWrap/>
          </w:tcPr>
          <w:p w14:paraId="4DE1DBFF" w14:textId="4A2E69E0" w:rsidR="00A345F4" w:rsidRDefault="005E2D4E">
            <w:pPr>
              <w:pStyle w:val="P68B1DB1-Normal80"/>
              <w:spacing w:after="0" w:line="259" w:lineRule="auto"/>
              <w:rPr>
                <w:noProof/>
                <w:kern w:val="2"/>
                <w14:ligatures w14:val="standardContextual"/>
              </w:rPr>
            </w:pPr>
            <w:r>
              <w:rPr>
                <w:noProof/>
                <w:kern w:val="2"/>
                <w14:ligatures w14:val="standardContextual"/>
              </w:rPr>
              <w:t xml:space="preserve">Collecte des </w:t>
            </w:r>
            <w:r>
              <w:rPr>
                <w:noProof/>
              </w:rPr>
              <w:t xml:space="preserve">eaux usées </w:t>
            </w:r>
          </w:p>
        </w:tc>
        <w:tc>
          <w:tcPr>
            <w:tcW w:w="1230" w:type="dxa"/>
            <w:tcBorders>
              <w:top w:val="single" w:sz="4" w:space="0" w:color="auto"/>
              <w:left w:val="nil"/>
              <w:bottom w:val="single" w:sz="4" w:space="0" w:color="auto"/>
              <w:right w:val="single" w:sz="4" w:space="0" w:color="auto"/>
            </w:tcBorders>
            <w:shd w:val="clear" w:color="auto" w:fill="C6EFCE"/>
            <w:noWrap/>
          </w:tcPr>
          <w:p w14:paraId="6CC1AE02"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1BFA1474" w14:textId="32A9B822" w:rsidR="00A345F4" w:rsidRDefault="005E2D4E">
            <w:pPr>
              <w:pStyle w:val="P68B1DB1-Normal78"/>
              <w:spacing w:after="0" w:line="259" w:lineRule="auto"/>
              <w:rPr>
                <w:noProof/>
              </w:rPr>
            </w:pPr>
            <w:r>
              <w:rPr>
                <w:noProof/>
              </w:rPr>
              <w:t xml:space="preserve">Systèmes individuels ou autres construits </w:t>
            </w:r>
          </w:p>
        </w:tc>
      </w:tr>
      <w:tr w:rsidR="00A345F4" w14:paraId="79F1E13C"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3B4CCE2" w14:textId="77777777" w:rsidR="00A345F4" w:rsidRDefault="005E2D4E">
            <w:pPr>
              <w:pStyle w:val="P68B1DB1-Normal78"/>
              <w:spacing w:after="0" w:line="259" w:lineRule="auto"/>
              <w:rPr>
                <w:noProof/>
              </w:rPr>
            </w:pPr>
            <w:r>
              <w:rPr>
                <w:noProof/>
              </w:rPr>
              <w:t>RO-C[C1]-I[I2.0]-T[12]</w:t>
            </w:r>
          </w:p>
        </w:tc>
        <w:tc>
          <w:tcPr>
            <w:tcW w:w="3544" w:type="dxa"/>
            <w:tcBorders>
              <w:top w:val="single" w:sz="4" w:space="0" w:color="auto"/>
              <w:left w:val="nil"/>
              <w:bottom w:val="single" w:sz="4" w:space="0" w:color="auto"/>
              <w:right w:val="single" w:sz="4" w:space="0" w:color="auto"/>
            </w:tcBorders>
            <w:shd w:val="clear" w:color="auto" w:fill="C6EFCE"/>
            <w:noWrap/>
          </w:tcPr>
          <w:p w14:paraId="7A24E4CC" w14:textId="3409B416" w:rsidR="00A345F4" w:rsidRDefault="005E2D4E">
            <w:pPr>
              <w:pStyle w:val="P68B1DB1-Normal80"/>
              <w:spacing w:after="0" w:line="259" w:lineRule="auto"/>
              <w:rPr>
                <w:noProof/>
                <w:kern w:val="2"/>
                <w14:ligatures w14:val="standardContextual"/>
              </w:rPr>
            </w:pPr>
            <w:r>
              <w:rPr>
                <w:noProof/>
                <w:kern w:val="2"/>
                <w14:ligatures w14:val="standardContextual"/>
              </w:rPr>
              <w:t xml:space="preserve">Collecte des </w:t>
            </w:r>
            <w:r>
              <w:rPr>
                <w:noProof/>
              </w:rPr>
              <w:t xml:space="preserve">eaux usées </w:t>
            </w:r>
          </w:p>
        </w:tc>
        <w:tc>
          <w:tcPr>
            <w:tcW w:w="1230" w:type="dxa"/>
            <w:tcBorders>
              <w:top w:val="single" w:sz="4" w:space="0" w:color="auto"/>
              <w:left w:val="nil"/>
              <w:bottom w:val="single" w:sz="4" w:space="0" w:color="auto"/>
              <w:right w:val="single" w:sz="4" w:space="0" w:color="auto"/>
            </w:tcBorders>
            <w:shd w:val="clear" w:color="auto" w:fill="C6EFCE"/>
            <w:noWrap/>
          </w:tcPr>
          <w:p w14:paraId="746A591F"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2EE9F392" w14:textId="2835749A" w:rsidR="00A345F4" w:rsidRDefault="005E2D4E">
            <w:pPr>
              <w:pStyle w:val="P68B1DB1-Normal75"/>
              <w:spacing w:after="0" w:line="259" w:lineRule="auto"/>
              <w:rPr>
                <w:noProof/>
              </w:rPr>
            </w:pPr>
            <w:r>
              <w:rPr>
                <w:noProof/>
              </w:rPr>
              <w:t xml:space="preserve">Réseaux d'assainissement construits </w:t>
            </w:r>
          </w:p>
          <w:p w14:paraId="603204E0" w14:textId="77777777" w:rsidR="00A345F4" w:rsidRDefault="00A345F4">
            <w:pPr>
              <w:spacing w:after="0" w:line="259" w:lineRule="auto"/>
              <w:rPr>
                <w:rFonts w:ascii="Times New Roman" w:eastAsia="Aptos" w:hAnsi="Times New Roman" w:cs="Times New Roman"/>
                <w:noProof/>
                <w:color w:val="000000"/>
                <w:kern w:val="2"/>
                <w:sz w:val="22"/>
                <w:szCs w:val="22"/>
                <w14:ligatures w14:val="standardContextual"/>
              </w:rPr>
            </w:pPr>
          </w:p>
        </w:tc>
      </w:tr>
      <w:tr w:rsidR="00A345F4" w14:paraId="6732A027"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4F5AAF29" w14:textId="77777777" w:rsidR="00A345F4" w:rsidRDefault="005E2D4E">
            <w:pPr>
              <w:pStyle w:val="P68B1DB1-Normal78"/>
              <w:spacing w:after="0" w:line="259" w:lineRule="auto"/>
              <w:rPr>
                <w:noProof/>
              </w:rPr>
            </w:pPr>
            <w:r>
              <w:rPr>
                <w:noProof/>
              </w:rPr>
              <w:t>RO-C[C1]-I[I4.0]-T[17]</w:t>
            </w:r>
          </w:p>
        </w:tc>
        <w:tc>
          <w:tcPr>
            <w:tcW w:w="3544" w:type="dxa"/>
            <w:tcBorders>
              <w:top w:val="single" w:sz="4" w:space="0" w:color="auto"/>
              <w:left w:val="nil"/>
              <w:bottom w:val="single" w:sz="4" w:space="0" w:color="auto"/>
              <w:right w:val="single" w:sz="4" w:space="0" w:color="auto"/>
            </w:tcBorders>
            <w:shd w:val="clear" w:color="auto" w:fill="C6EFCE"/>
            <w:noWrap/>
          </w:tcPr>
          <w:p w14:paraId="64FE952E" w14:textId="77777777" w:rsidR="00A345F4" w:rsidRDefault="005E2D4E">
            <w:pPr>
              <w:pStyle w:val="P68B1DB1-Normal78"/>
              <w:spacing w:after="0" w:line="259" w:lineRule="auto"/>
              <w:rPr>
                <w:noProof/>
              </w:rPr>
            </w:pPr>
            <w:r>
              <w:rPr>
                <w:noProof/>
              </w:rPr>
              <w:t>Réhabilitation des accumulations existantes qui nécessitent des interventions d'urgence pour un fonctionnement sûr</w:t>
            </w:r>
          </w:p>
        </w:tc>
        <w:tc>
          <w:tcPr>
            <w:tcW w:w="1230" w:type="dxa"/>
            <w:tcBorders>
              <w:top w:val="single" w:sz="4" w:space="0" w:color="auto"/>
              <w:left w:val="nil"/>
              <w:bottom w:val="single" w:sz="4" w:space="0" w:color="auto"/>
              <w:right w:val="single" w:sz="4" w:space="0" w:color="auto"/>
            </w:tcBorders>
            <w:shd w:val="clear" w:color="auto" w:fill="C6EFCE"/>
            <w:noWrap/>
          </w:tcPr>
          <w:p w14:paraId="15ADE506"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4B37CC74" w14:textId="77777777" w:rsidR="00A345F4" w:rsidRDefault="005E2D4E">
            <w:pPr>
              <w:pStyle w:val="P68B1DB1-Normal78"/>
              <w:spacing w:after="0" w:line="259" w:lineRule="auto"/>
              <w:rPr>
                <w:noProof/>
              </w:rPr>
            </w:pPr>
            <w:r>
              <w:rPr>
                <w:noProof/>
              </w:rPr>
              <w:t>Remise en état d'un barrage et d'un polder existants</w:t>
            </w:r>
          </w:p>
          <w:p w14:paraId="36AB5D9A" w14:textId="77777777" w:rsidR="00A345F4" w:rsidRDefault="00A345F4">
            <w:pPr>
              <w:spacing w:after="0" w:line="259" w:lineRule="auto"/>
              <w:rPr>
                <w:rFonts w:ascii="Times New Roman" w:eastAsia="Aptos" w:hAnsi="Times New Roman" w:cs="Times New Roman"/>
                <w:noProof/>
                <w:color w:val="000000"/>
                <w:kern w:val="2"/>
                <w:sz w:val="22"/>
                <w:szCs w:val="22"/>
                <w14:ligatures w14:val="standardContextual"/>
              </w:rPr>
            </w:pPr>
          </w:p>
        </w:tc>
      </w:tr>
      <w:tr w:rsidR="00A345F4" w14:paraId="0285DB58"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C36F5C0" w14:textId="77777777" w:rsidR="00A345F4" w:rsidRDefault="005E2D4E">
            <w:pPr>
              <w:pStyle w:val="P68B1DB1-Normal78"/>
              <w:spacing w:after="0" w:line="259" w:lineRule="auto"/>
              <w:rPr>
                <w:noProof/>
              </w:rPr>
            </w:pPr>
            <w:r>
              <w:rPr>
                <w:noProof/>
              </w:rPr>
              <w:t>RO-C[C3]-I[I1d.0]-T[54]</w:t>
            </w:r>
          </w:p>
        </w:tc>
        <w:tc>
          <w:tcPr>
            <w:tcW w:w="3544" w:type="dxa"/>
            <w:tcBorders>
              <w:top w:val="single" w:sz="4" w:space="0" w:color="auto"/>
              <w:left w:val="nil"/>
              <w:bottom w:val="single" w:sz="4" w:space="0" w:color="auto"/>
              <w:right w:val="single" w:sz="4" w:space="0" w:color="auto"/>
            </w:tcBorders>
            <w:shd w:val="clear" w:color="auto" w:fill="C6EFCE"/>
            <w:noWrap/>
          </w:tcPr>
          <w:p w14:paraId="037E8AB7" w14:textId="25C70AE5" w:rsidR="00A345F4" w:rsidRDefault="005E2D4E">
            <w:pPr>
              <w:pStyle w:val="P68B1DB1-Normal78"/>
              <w:spacing w:after="0" w:line="259" w:lineRule="auto"/>
              <w:rPr>
                <w:noProof/>
              </w:rPr>
            </w:pPr>
            <w:r>
              <w:rPr>
                <w:noProof/>
              </w:rPr>
              <w:t>Construction ou livraison d'installations de recyclage des déchets</w:t>
            </w:r>
          </w:p>
        </w:tc>
        <w:tc>
          <w:tcPr>
            <w:tcW w:w="1230" w:type="dxa"/>
            <w:tcBorders>
              <w:top w:val="single" w:sz="4" w:space="0" w:color="auto"/>
              <w:left w:val="nil"/>
              <w:bottom w:val="single" w:sz="4" w:space="0" w:color="auto"/>
              <w:right w:val="single" w:sz="4" w:space="0" w:color="auto"/>
            </w:tcBorders>
            <w:shd w:val="clear" w:color="auto" w:fill="C6EFCE"/>
            <w:noWrap/>
          </w:tcPr>
          <w:p w14:paraId="289C384B"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0C28565D" w14:textId="77777777" w:rsidR="00A345F4" w:rsidRDefault="005E2D4E">
            <w:pPr>
              <w:pStyle w:val="P68B1DB1-Normal78"/>
              <w:spacing w:after="0" w:line="259" w:lineRule="auto"/>
              <w:rPr>
                <w:noProof/>
              </w:rPr>
            </w:pPr>
            <w:r>
              <w:rPr>
                <w:noProof/>
              </w:rPr>
              <w:t>Installations de recyclage des déchets construites ou livrées</w:t>
            </w:r>
          </w:p>
        </w:tc>
      </w:tr>
      <w:tr w:rsidR="00A345F4" w14:paraId="0A271653"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43C833A" w14:textId="77777777" w:rsidR="00A345F4" w:rsidRDefault="005E2D4E">
            <w:pPr>
              <w:pStyle w:val="P68B1DB1-Normal78"/>
              <w:spacing w:after="0" w:line="259" w:lineRule="auto"/>
              <w:rPr>
                <w:noProof/>
              </w:rPr>
            </w:pPr>
            <w:r>
              <w:rPr>
                <w:noProof/>
              </w:rPr>
              <w:t>RO-C[C3]-I[I2.0]-T[55]</w:t>
            </w:r>
          </w:p>
        </w:tc>
        <w:tc>
          <w:tcPr>
            <w:tcW w:w="3544" w:type="dxa"/>
            <w:tcBorders>
              <w:top w:val="single" w:sz="4" w:space="0" w:color="auto"/>
              <w:left w:val="nil"/>
              <w:bottom w:val="single" w:sz="4" w:space="0" w:color="auto"/>
              <w:right w:val="single" w:sz="4" w:space="0" w:color="auto"/>
            </w:tcBorders>
            <w:shd w:val="clear" w:color="auto" w:fill="C6EFCE"/>
            <w:noWrap/>
          </w:tcPr>
          <w:p w14:paraId="00833420" w14:textId="77777777" w:rsidR="00A345F4" w:rsidRDefault="005E2D4E">
            <w:pPr>
              <w:pStyle w:val="P68B1DB1-Normal78"/>
              <w:spacing w:after="0" w:line="259" w:lineRule="auto"/>
              <w:rPr>
                <w:noProof/>
              </w:rPr>
            </w:pPr>
            <w:r>
              <w:rPr>
                <w:noProof/>
              </w:rPr>
              <w:t>Construction ou livraison d'infrastructures pour la gestion du fumier et d'autres déchets agricoles compostables</w:t>
            </w:r>
          </w:p>
        </w:tc>
        <w:tc>
          <w:tcPr>
            <w:tcW w:w="1230" w:type="dxa"/>
            <w:tcBorders>
              <w:top w:val="single" w:sz="4" w:space="0" w:color="auto"/>
              <w:left w:val="nil"/>
              <w:bottom w:val="single" w:sz="4" w:space="0" w:color="auto"/>
              <w:right w:val="single" w:sz="4" w:space="0" w:color="auto"/>
            </w:tcBorders>
            <w:shd w:val="clear" w:color="auto" w:fill="C6EFCE"/>
            <w:noWrap/>
          </w:tcPr>
          <w:p w14:paraId="447350E5"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16F32D8C" w14:textId="77777777" w:rsidR="00A345F4" w:rsidRDefault="005E2D4E">
            <w:pPr>
              <w:pStyle w:val="P68B1DB1-Normal78"/>
              <w:spacing w:after="0" w:line="259" w:lineRule="auto"/>
              <w:rPr>
                <w:noProof/>
              </w:rPr>
            </w:pPr>
            <w:r>
              <w:rPr>
                <w:noProof/>
              </w:rPr>
              <w:t>Construction de systèmes intégrés pour la collecte des déchets agricoles compostables</w:t>
            </w:r>
          </w:p>
        </w:tc>
      </w:tr>
      <w:tr w:rsidR="00A345F4" w14:paraId="4F392CE9"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890260D" w14:textId="77777777" w:rsidR="00A345F4" w:rsidRDefault="005E2D4E">
            <w:pPr>
              <w:pStyle w:val="P68B1DB1-Normal78"/>
              <w:spacing w:after="0" w:line="259" w:lineRule="auto"/>
              <w:rPr>
                <w:noProof/>
              </w:rPr>
            </w:pPr>
            <w:r>
              <w:rPr>
                <w:noProof/>
              </w:rPr>
              <w:t>RO-C[C4]-I[I1.0]-M[75a]</w:t>
            </w:r>
          </w:p>
        </w:tc>
        <w:tc>
          <w:tcPr>
            <w:tcW w:w="3544" w:type="dxa"/>
            <w:tcBorders>
              <w:top w:val="single" w:sz="4" w:space="0" w:color="auto"/>
              <w:left w:val="nil"/>
              <w:bottom w:val="single" w:sz="4" w:space="0" w:color="auto"/>
              <w:right w:val="single" w:sz="4" w:space="0" w:color="auto"/>
            </w:tcBorders>
            <w:shd w:val="clear" w:color="auto" w:fill="C6EFCE"/>
            <w:noWrap/>
          </w:tcPr>
          <w:p w14:paraId="6D108787" w14:textId="7E33C9DE" w:rsidR="00A345F4" w:rsidRDefault="005E2D4E">
            <w:pPr>
              <w:pStyle w:val="P68B1DB1-Normal78"/>
              <w:spacing w:after="0" w:line="259" w:lineRule="auto"/>
              <w:rPr>
                <w:noProof/>
              </w:rPr>
            </w:pPr>
            <w:r>
              <w:rPr>
                <w:noProof/>
              </w:rPr>
              <w:t xml:space="preserve">Modernisation et/ou modernisation des infrastructures ferroviaires </w:t>
            </w:r>
          </w:p>
        </w:tc>
        <w:tc>
          <w:tcPr>
            <w:tcW w:w="1230" w:type="dxa"/>
            <w:tcBorders>
              <w:top w:val="single" w:sz="4" w:space="0" w:color="auto"/>
              <w:left w:val="nil"/>
              <w:bottom w:val="single" w:sz="4" w:space="0" w:color="auto"/>
              <w:right w:val="single" w:sz="4" w:space="0" w:color="auto"/>
            </w:tcBorders>
            <w:shd w:val="clear" w:color="auto" w:fill="C6EFCE"/>
            <w:noWrap/>
          </w:tcPr>
          <w:p w14:paraId="2E2C38D6"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718D27B5" w14:textId="23D44CDA" w:rsidR="00A345F4" w:rsidRDefault="005E2D4E">
            <w:pPr>
              <w:pStyle w:val="P68B1DB1-Normal78"/>
              <w:spacing w:after="0" w:line="259" w:lineRule="auto"/>
              <w:rPr>
                <w:noProof/>
              </w:rPr>
            </w:pPr>
            <w:r>
              <w:rPr>
                <w:noProof/>
              </w:rPr>
              <w:t>Mise à disposition d’infrastructures ferroviaires modernisées et/ou modernisées</w:t>
            </w:r>
          </w:p>
        </w:tc>
      </w:tr>
      <w:tr w:rsidR="00A345F4" w14:paraId="150B2714"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F7CBEAF" w14:textId="77777777" w:rsidR="00A345F4" w:rsidRDefault="005E2D4E">
            <w:pPr>
              <w:pStyle w:val="P68B1DB1-Normal78"/>
              <w:spacing w:after="0" w:line="259" w:lineRule="auto"/>
              <w:rPr>
                <w:noProof/>
              </w:rPr>
            </w:pPr>
            <w:r>
              <w:rPr>
                <w:noProof/>
              </w:rPr>
              <w:t>RO-C[C4]-I[I1.0]-M[76]</w:t>
            </w:r>
          </w:p>
        </w:tc>
        <w:tc>
          <w:tcPr>
            <w:tcW w:w="3544" w:type="dxa"/>
            <w:tcBorders>
              <w:top w:val="single" w:sz="4" w:space="0" w:color="auto"/>
              <w:left w:val="nil"/>
              <w:bottom w:val="single" w:sz="4" w:space="0" w:color="auto"/>
              <w:right w:val="single" w:sz="4" w:space="0" w:color="auto"/>
            </w:tcBorders>
            <w:shd w:val="clear" w:color="auto" w:fill="C6EFCE"/>
            <w:noWrap/>
          </w:tcPr>
          <w:p w14:paraId="4FAC29D2" w14:textId="77777777" w:rsidR="00A345F4" w:rsidRDefault="005E2D4E">
            <w:pPr>
              <w:pStyle w:val="P68B1DB1-Normal78"/>
              <w:spacing w:after="0" w:line="259" w:lineRule="auto"/>
              <w:rPr>
                <w:noProof/>
              </w:rPr>
            </w:pPr>
            <w:r>
              <w:rPr>
                <w:noProof/>
              </w:rPr>
              <w:t>Modernisation et/ou modernisation de l'infrastructure ferroviaire</w:t>
            </w:r>
          </w:p>
        </w:tc>
        <w:tc>
          <w:tcPr>
            <w:tcW w:w="1230" w:type="dxa"/>
            <w:tcBorders>
              <w:top w:val="single" w:sz="4" w:space="0" w:color="auto"/>
              <w:left w:val="nil"/>
              <w:bottom w:val="single" w:sz="4" w:space="0" w:color="auto"/>
              <w:right w:val="single" w:sz="4" w:space="0" w:color="auto"/>
            </w:tcBorders>
            <w:shd w:val="clear" w:color="auto" w:fill="C6EFCE"/>
            <w:noWrap/>
          </w:tcPr>
          <w:p w14:paraId="1ACD4CDC" w14:textId="77777777" w:rsidR="00A345F4" w:rsidRDefault="005E2D4E">
            <w:pPr>
              <w:pStyle w:val="P68B1DB1-Normal73"/>
              <w:spacing w:after="0" w:line="259" w:lineRule="auto"/>
              <w:jc w:val="center"/>
              <w:rPr>
                <w:noProof/>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510A5928" w14:textId="77777777" w:rsidR="00A345F4" w:rsidRDefault="005E2D4E">
            <w:pPr>
              <w:pStyle w:val="P68B1DB1-Normal78"/>
              <w:spacing w:after="0" w:line="259" w:lineRule="auto"/>
              <w:rPr>
                <w:noProof/>
              </w:rPr>
            </w:pPr>
            <w:r>
              <w:rPr>
                <w:noProof/>
              </w:rPr>
              <w:t>Pistes pour les projets «quick wins»</w:t>
            </w:r>
          </w:p>
        </w:tc>
      </w:tr>
      <w:tr w:rsidR="00A345F4" w14:paraId="420AC5D0"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7E6F20B" w14:textId="77777777" w:rsidR="00A345F4" w:rsidRDefault="005E2D4E">
            <w:pPr>
              <w:pStyle w:val="P68B1DB1-Normal78"/>
              <w:spacing w:after="0" w:line="259" w:lineRule="auto"/>
              <w:rPr>
                <w:noProof/>
              </w:rPr>
            </w:pPr>
            <w:r>
              <w:rPr>
                <w:noProof/>
              </w:rPr>
              <w:t>RO-C[C4]-I[I2.0]-M[77]</w:t>
            </w:r>
          </w:p>
        </w:tc>
        <w:tc>
          <w:tcPr>
            <w:tcW w:w="3544" w:type="dxa"/>
            <w:tcBorders>
              <w:top w:val="single" w:sz="4" w:space="0" w:color="auto"/>
              <w:left w:val="nil"/>
              <w:bottom w:val="single" w:sz="4" w:space="0" w:color="auto"/>
              <w:right w:val="single" w:sz="4" w:space="0" w:color="auto"/>
            </w:tcBorders>
            <w:shd w:val="clear" w:color="auto" w:fill="C6EFCE"/>
            <w:noWrap/>
          </w:tcPr>
          <w:p w14:paraId="21E090A6" w14:textId="77777777" w:rsidR="00A345F4" w:rsidRDefault="005E2D4E">
            <w:pPr>
              <w:pStyle w:val="P68B1DB1-Normal78"/>
              <w:spacing w:after="0" w:line="259" w:lineRule="auto"/>
              <w:rPr>
                <w:noProof/>
              </w:rPr>
            </w:pPr>
            <w:r>
              <w:rPr>
                <w:noProof/>
              </w:rPr>
              <w:t>Matériel roulant ferroviaire</w:t>
            </w:r>
          </w:p>
        </w:tc>
        <w:tc>
          <w:tcPr>
            <w:tcW w:w="1230" w:type="dxa"/>
            <w:tcBorders>
              <w:top w:val="single" w:sz="4" w:space="0" w:color="auto"/>
              <w:left w:val="nil"/>
              <w:bottom w:val="single" w:sz="4" w:space="0" w:color="auto"/>
              <w:right w:val="single" w:sz="4" w:space="0" w:color="auto"/>
            </w:tcBorders>
            <w:shd w:val="clear" w:color="auto" w:fill="C6EFCE"/>
            <w:noWrap/>
          </w:tcPr>
          <w:p w14:paraId="3F1A056C"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644EE742" w14:textId="2294FCC5" w:rsidR="00A345F4" w:rsidRDefault="005E2D4E">
            <w:pPr>
              <w:pStyle w:val="P68B1DB1-Normal78"/>
              <w:spacing w:after="0" w:line="259" w:lineRule="auto"/>
              <w:rPr>
                <w:noProof/>
              </w:rPr>
            </w:pPr>
            <w:r>
              <w:rPr>
                <w:noProof/>
              </w:rPr>
              <w:t>Matériel roulant modernisé</w:t>
            </w:r>
          </w:p>
        </w:tc>
      </w:tr>
      <w:tr w:rsidR="00A345F4" w14:paraId="16D8DF4A"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253998D" w14:textId="77777777" w:rsidR="00A345F4" w:rsidRDefault="005E2D4E">
            <w:pPr>
              <w:pStyle w:val="P68B1DB1-Normal78"/>
              <w:spacing w:after="0" w:line="259" w:lineRule="auto"/>
              <w:rPr>
                <w:noProof/>
              </w:rPr>
            </w:pPr>
            <w:r>
              <w:rPr>
                <w:noProof/>
              </w:rPr>
              <w:t>RO-C[C4]-R[R2.0]-T[81]</w:t>
            </w:r>
          </w:p>
        </w:tc>
        <w:tc>
          <w:tcPr>
            <w:tcW w:w="3544" w:type="dxa"/>
            <w:tcBorders>
              <w:top w:val="single" w:sz="4" w:space="0" w:color="auto"/>
              <w:left w:val="nil"/>
              <w:bottom w:val="single" w:sz="4" w:space="0" w:color="auto"/>
              <w:right w:val="single" w:sz="4" w:space="0" w:color="auto"/>
            </w:tcBorders>
            <w:shd w:val="clear" w:color="auto" w:fill="C6EFCE"/>
            <w:noWrap/>
          </w:tcPr>
          <w:p w14:paraId="4C3679A8" w14:textId="77777777" w:rsidR="00A345F4" w:rsidRDefault="005E2D4E">
            <w:pPr>
              <w:pStyle w:val="P68B1DB1-Normal78"/>
              <w:spacing w:after="0" w:line="259" w:lineRule="auto"/>
              <w:rPr>
                <w:noProof/>
              </w:rPr>
            </w:pPr>
            <w:r>
              <w:rPr>
                <w:noProof/>
              </w:rPr>
              <w:t xml:space="preserve">Gestion de la qualité axée sur les résultats dans les transports - Amélioration des capacités institutionnelles et de la gouvernance d'entreprise </w:t>
            </w:r>
          </w:p>
        </w:tc>
        <w:tc>
          <w:tcPr>
            <w:tcW w:w="1230" w:type="dxa"/>
            <w:tcBorders>
              <w:top w:val="single" w:sz="4" w:space="0" w:color="auto"/>
              <w:left w:val="nil"/>
              <w:bottom w:val="single" w:sz="4" w:space="0" w:color="auto"/>
              <w:right w:val="single" w:sz="4" w:space="0" w:color="auto"/>
            </w:tcBorders>
            <w:shd w:val="clear" w:color="auto" w:fill="C6EFCE"/>
            <w:noWrap/>
          </w:tcPr>
          <w:p w14:paraId="60E60E27"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74B9CC20" w14:textId="48B1E689" w:rsidR="00A345F4" w:rsidRDefault="005E2D4E">
            <w:pPr>
              <w:pStyle w:val="P68B1DB1-Normal78"/>
              <w:spacing w:after="0" w:line="259" w:lineRule="auto"/>
              <w:rPr>
                <w:noProof/>
              </w:rPr>
            </w:pPr>
            <w:r>
              <w:rPr>
                <w:noProof/>
              </w:rPr>
              <w:t>Réduire le pourcentage de trains de voyageurs en retard  </w:t>
            </w:r>
          </w:p>
        </w:tc>
      </w:tr>
      <w:tr w:rsidR="00A345F4" w14:paraId="7D99504D"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8FAD082" w14:textId="77777777" w:rsidR="00A345F4" w:rsidRDefault="005E2D4E">
            <w:pPr>
              <w:pStyle w:val="P68B1DB1-Normal78"/>
              <w:spacing w:after="0" w:line="259" w:lineRule="auto"/>
              <w:rPr>
                <w:noProof/>
              </w:rPr>
            </w:pPr>
            <w:r>
              <w:rPr>
                <w:noProof/>
              </w:rPr>
              <w:t>RO-C[C4]-I[I3.0]-T[84a]</w:t>
            </w:r>
          </w:p>
        </w:tc>
        <w:tc>
          <w:tcPr>
            <w:tcW w:w="3544" w:type="dxa"/>
            <w:tcBorders>
              <w:top w:val="single" w:sz="4" w:space="0" w:color="auto"/>
              <w:left w:val="nil"/>
              <w:bottom w:val="single" w:sz="4" w:space="0" w:color="auto"/>
              <w:right w:val="single" w:sz="4" w:space="0" w:color="auto"/>
            </w:tcBorders>
            <w:shd w:val="clear" w:color="auto" w:fill="C6EFCE"/>
            <w:noWrap/>
          </w:tcPr>
          <w:p w14:paraId="691DCEA9" w14:textId="77777777" w:rsidR="00A345F4" w:rsidRDefault="005E2D4E">
            <w:pPr>
              <w:pStyle w:val="P68B1DB1-Normal78"/>
              <w:spacing w:after="0" w:line="259" w:lineRule="auto"/>
              <w:rPr>
                <w:noProof/>
              </w:rPr>
            </w:pPr>
            <w:r>
              <w:rPr>
                <w:noProof/>
              </w:rPr>
              <w:t>Accroître la durabilité des infrastructures routières sur le réseau RTE-T, tarification routière, gestion du trafic</w:t>
            </w:r>
          </w:p>
        </w:tc>
        <w:tc>
          <w:tcPr>
            <w:tcW w:w="1230" w:type="dxa"/>
            <w:tcBorders>
              <w:top w:val="single" w:sz="4" w:space="0" w:color="auto"/>
              <w:left w:val="nil"/>
              <w:bottom w:val="single" w:sz="4" w:space="0" w:color="auto"/>
              <w:right w:val="single" w:sz="4" w:space="0" w:color="auto"/>
            </w:tcBorders>
            <w:shd w:val="clear" w:color="auto" w:fill="C6EFCE"/>
            <w:noWrap/>
          </w:tcPr>
          <w:p w14:paraId="378E1584"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60DC46E9" w14:textId="77777777" w:rsidR="00A345F4" w:rsidRDefault="005E2D4E">
            <w:pPr>
              <w:pStyle w:val="P68B1DB1-Normal78"/>
              <w:spacing w:after="0" w:line="259" w:lineRule="auto"/>
              <w:rPr>
                <w:noProof/>
              </w:rPr>
            </w:pPr>
            <w:r>
              <w:rPr>
                <w:noProof/>
              </w:rPr>
              <w:t>Construction d’une nouvelle route sur l’autoroute A7, tronçon Bacau – Pascani, lot 1</w:t>
            </w:r>
          </w:p>
        </w:tc>
      </w:tr>
      <w:tr w:rsidR="00A345F4" w14:paraId="6ECD3074"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DAA9D3E" w14:textId="77777777" w:rsidR="00A345F4" w:rsidRDefault="005E2D4E">
            <w:pPr>
              <w:pStyle w:val="P68B1DB1-Normal78"/>
              <w:spacing w:after="0" w:line="259" w:lineRule="auto"/>
              <w:rPr>
                <w:noProof/>
              </w:rPr>
            </w:pPr>
            <w:r>
              <w:rPr>
                <w:noProof/>
              </w:rPr>
              <w:t>RO-C[C4]-I[I3.0]-T[84b]</w:t>
            </w:r>
          </w:p>
        </w:tc>
        <w:tc>
          <w:tcPr>
            <w:tcW w:w="3544" w:type="dxa"/>
            <w:tcBorders>
              <w:top w:val="single" w:sz="4" w:space="0" w:color="auto"/>
              <w:left w:val="nil"/>
              <w:bottom w:val="single" w:sz="4" w:space="0" w:color="auto"/>
              <w:right w:val="single" w:sz="4" w:space="0" w:color="auto"/>
            </w:tcBorders>
            <w:shd w:val="clear" w:color="auto" w:fill="C6EFCE"/>
            <w:noWrap/>
          </w:tcPr>
          <w:p w14:paraId="155F5CB8" w14:textId="77777777" w:rsidR="00A345F4" w:rsidRDefault="005E2D4E">
            <w:pPr>
              <w:pStyle w:val="P68B1DB1-Normal78"/>
              <w:spacing w:after="0" w:line="259" w:lineRule="auto"/>
              <w:rPr>
                <w:noProof/>
              </w:rPr>
            </w:pPr>
            <w:r>
              <w:rPr>
                <w:noProof/>
              </w:rPr>
              <w:t>Accroître la durabilité des infrastructures routières sur le réseau RTE-T, tarification routière, gestion du trafic</w:t>
            </w:r>
          </w:p>
        </w:tc>
        <w:tc>
          <w:tcPr>
            <w:tcW w:w="1230" w:type="dxa"/>
            <w:tcBorders>
              <w:top w:val="single" w:sz="4" w:space="0" w:color="auto"/>
              <w:left w:val="nil"/>
              <w:bottom w:val="single" w:sz="4" w:space="0" w:color="auto"/>
              <w:right w:val="single" w:sz="4" w:space="0" w:color="auto"/>
            </w:tcBorders>
            <w:shd w:val="clear" w:color="auto" w:fill="C6EFCE"/>
            <w:noWrap/>
          </w:tcPr>
          <w:p w14:paraId="0674C8CD"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49481EAA" w14:textId="77777777" w:rsidR="00A345F4" w:rsidRDefault="005E2D4E">
            <w:pPr>
              <w:pStyle w:val="P68B1DB1-Normal78"/>
              <w:spacing w:after="0" w:line="259" w:lineRule="auto"/>
              <w:rPr>
                <w:noProof/>
              </w:rPr>
            </w:pPr>
            <w:r>
              <w:rPr>
                <w:noProof/>
              </w:rPr>
              <w:t>Construction d’une nouvelle route sur l’autoroute A7, tronçon Bacau – Pascani, lot 2</w:t>
            </w:r>
          </w:p>
        </w:tc>
      </w:tr>
      <w:tr w:rsidR="00A345F4" w14:paraId="25E8C111"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0C8C408" w14:textId="77777777" w:rsidR="00A345F4" w:rsidRDefault="005E2D4E">
            <w:pPr>
              <w:pStyle w:val="P68B1DB1-Normal78"/>
              <w:spacing w:after="0" w:line="259" w:lineRule="auto"/>
              <w:rPr>
                <w:noProof/>
              </w:rPr>
            </w:pPr>
            <w:r>
              <w:rPr>
                <w:noProof/>
              </w:rPr>
              <w:t>RO-C[C4]-I[I3.0]-T[84c]</w:t>
            </w:r>
          </w:p>
        </w:tc>
        <w:tc>
          <w:tcPr>
            <w:tcW w:w="3544" w:type="dxa"/>
            <w:tcBorders>
              <w:top w:val="single" w:sz="4" w:space="0" w:color="auto"/>
              <w:left w:val="nil"/>
              <w:bottom w:val="single" w:sz="4" w:space="0" w:color="auto"/>
              <w:right w:val="single" w:sz="4" w:space="0" w:color="auto"/>
            </w:tcBorders>
            <w:shd w:val="clear" w:color="auto" w:fill="C6EFCE"/>
            <w:noWrap/>
          </w:tcPr>
          <w:p w14:paraId="41154458" w14:textId="77777777" w:rsidR="00A345F4" w:rsidRDefault="005E2D4E">
            <w:pPr>
              <w:pStyle w:val="P68B1DB1-Normal78"/>
              <w:spacing w:after="0" w:line="259" w:lineRule="auto"/>
              <w:rPr>
                <w:noProof/>
              </w:rPr>
            </w:pPr>
            <w:r>
              <w:rPr>
                <w:noProof/>
              </w:rPr>
              <w:t>Accroître la durabilité des infrastructures routières sur le réseau RTE-T, tarification routière, gestion du trafic</w:t>
            </w:r>
          </w:p>
        </w:tc>
        <w:tc>
          <w:tcPr>
            <w:tcW w:w="1230" w:type="dxa"/>
            <w:tcBorders>
              <w:top w:val="single" w:sz="4" w:space="0" w:color="auto"/>
              <w:left w:val="nil"/>
              <w:bottom w:val="single" w:sz="4" w:space="0" w:color="auto"/>
              <w:right w:val="single" w:sz="4" w:space="0" w:color="auto"/>
            </w:tcBorders>
            <w:shd w:val="clear" w:color="auto" w:fill="C6EFCE"/>
            <w:noWrap/>
          </w:tcPr>
          <w:p w14:paraId="67EBAAD9"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57064097" w14:textId="77777777" w:rsidR="00A345F4" w:rsidRDefault="005E2D4E">
            <w:pPr>
              <w:pStyle w:val="P68B1DB1-Normal78"/>
              <w:spacing w:after="0" w:line="259" w:lineRule="auto"/>
              <w:rPr>
                <w:noProof/>
              </w:rPr>
            </w:pPr>
            <w:r>
              <w:rPr>
                <w:noProof/>
              </w:rPr>
              <w:t>Construction d’une nouvelle route sur l’autoroute A7, tronçon Bacau – Pascani, lot 3</w:t>
            </w:r>
          </w:p>
        </w:tc>
      </w:tr>
      <w:tr w:rsidR="00A345F4" w14:paraId="5C688E9F"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D436557" w14:textId="77777777" w:rsidR="00A345F4" w:rsidRDefault="005E2D4E">
            <w:pPr>
              <w:pStyle w:val="P68B1DB1-Normal78"/>
              <w:spacing w:after="0" w:line="259" w:lineRule="auto"/>
              <w:rPr>
                <w:noProof/>
              </w:rPr>
            </w:pPr>
            <w:r>
              <w:rPr>
                <w:noProof/>
              </w:rPr>
              <w:t>RO-C[C4]-I[I3.0]-T[84d]</w:t>
            </w:r>
          </w:p>
        </w:tc>
        <w:tc>
          <w:tcPr>
            <w:tcW w:w="3544" w:type="dxa"/>
            <w:tcBorders>
              <w:top w:val="single" w:sz="4" w:space="0" w:color="auto"/>
              <w:left w:val="nil"/>
              <w:bottom w:val="single" w:sz="4" w:space="0" w:color="auto"/>
              <w:right w:val="single" w:sz="4" w:space="0" w:color="auto"/>
            </w:tcBorders>
            <w:shd w:val="clear" w:color="auto" w:fill="C6EFCE"/>
            <w:noWrap/>
          </w:tcPr>
          <w:p w14:paraId="4D93B556" w14:textId="77777777" w:rsidR="00A345F4" w:rsidRDefault="005E2D4E">
            <w:pPr>
              <w:pStyle w:val="P68B1DB1-Normal78"/>
              <w:spacing w:after="0" w:line="259" w:lineRule="auto"/>
              <w:rPr>
                <w:noProof/>
              </w:rPr>
            </w:pPr>
            <w:r>
              <w:rPr>
                <w:noProof/>
              </w:rPr>
              <w:t>Accroître la durabilité des infrastructures routières sur le réseau RTE-T, tarification routière, gestion du trafic</w:t>
            </w:r>
          </w:p>
        </w:tc>
        <w:tc>
          <w:tcPr>
            <w:tcW w:w="1230" w:type="dxa"/>
            <w:tcBorders>
              <w:top w:val="single" w:sz="4" w:space="0" w:color="auto"/>
              <w:left w:val="nil"/>
              <w:bottom w:val="single" w:sz="4" w:space="0" w:color="auto"/>
              <w:right w:val="single" w:sz="4" w:space="0" w:color="auto"/>
            </w:tcBorders>
            <w:shd w:val="clear" w:color="auto" w:fill="C6EFCE"/>
            <w:noWrap/>
          </w:tcPr>
          <w:p w14:paraId="36A09276"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491F9A20" w14:textId="77777777" w:rsidR="00A345F4" w:rsidRDefault="005E2D4E">
            <w:pPr>
              <w:pStyle w:val="P68B1DB1-Normal78"/>
              <w:spacing w:after="0" w:line="259" w:lineRule="auto"/>
              <w:rPr>
                <w:noProof/>
              </w:rPr>
            </w:pPr>
            <w:r>
              <w:rPr>
                <w:noProof/>
              </w:rPr>
              <w:t>Construction d'une nouvelle route sur l'autoroute A1 Margina - Holdea</w:t>
            </w:r>
          </w:p>
        </w:tc>
      </w:tr>
      <w:tr w:rsidR="00A345F4" w14:paraId="042ABB37"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234512A" w14:textId="77777777" w:rsidR="00A345F4" w:rsidRDefault="005E2D4E">
            <w:pPr>
              <w:pStyle w:val="P68B1DB1-Normal78"/>
              <w:spacing w:after="0" w:line="259" w:lineRule="auto"/>
              <w:rPr>
                <w:noProof/>
              </w:rPr>
            </w:pPr>
            <w:r>
              <w:rPr>
                <w:noProof/>
              </w:rPr>
              <w:t>RO-C[C4]-I[I5.0]-T[85a]</w:t>
            </w:r>
          </w:p>
        </w:tc>
        <w:tc>
          <w:tcPr>
            <w:tcW w:w="3544" w:type="dxa"/>
            <w:tcBorders>
              <w:top w:val="single" w:sz="4" w:space="0" w:color="auto"/>
              <w:left w:val="nil"/>
              <w:bottom w:val="single" w:sz="4" w:space="0" w:color="auto"/>
              <w:right w:val="single" w:sz="4" w:space="0" w:color="auto"/>
            </w:tcBorders>
            <w:shd w:val="clear" w:color="auto" w:fill="C6EFCE"/>
            <w:noWrap/>
          </w:tcPr>
          <w:p w14:paraId="1C1A8536" w14:textId="77777777" w:rsidR="00A345F4" w:rsidRDefault="005E2D4E">
            <w:pPr>
              <w:pStyle w:val="P68B1DB1-Normal78"/>
              <w:spacing w:after="0" w:line="259" w:lineRule="auto"/>
              <w:rPr>
                <w:noProof/>
              </w:rPr>
            </w:pPr>
            <w:r>
              <w:rPr>
                <w:noProof/>
              </w:rPr>
              <w:t>Accroître la sécurité routière</w:t>
            </w:r>
          </w:p>
        </w:tc>
        <w:tc>
          <w:tcPr>
            <w:tcW w:w="1230" w:type="dxa"/>
            <w:tcBorders>
              <w:top w:val="single" w:sz="4" w:space="0" w:color="auto"/>
              <w:left w:val="nil"/>
              <w:bottom w:val="single" w:sz="4" w:space="0" w:color="auto"/>
              <w:right w:val="single" w:sz="4" w:space="0" w:color="auto"/>
            </w:tcBorders>
            <w:shd w:val="clear" w:color="auto" w:fill="C6EFCE"/>
            <w:noWrap/>
          </w:tcPr>
          <w:p w14:paraId="40753100"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6AE5924E" w14:textId="77777777" w:rsidR="00A345F4" w:rsidRDefault="005E2D4E">
            <w:pPr>
              <w:pStyle w:val="P68B1DB1-Normal78"/>
              <w:spacing w:after="0" w:line="259" w:lineRule="auto"/>
              <w:rPr>
                <w:noProof/>
              </w:rPr>
            </w:pPr>
            <w:r>
              <w:rPr>
                <w:noProof/>
              </w:rPr>
              <w:t>Suppression des points noirs/points chauds de sécurité routière</w:t>
            </w:r>
          </w:p>
        </w:tc>
      </w:tr>
      <w:tr w:rsidR="00A345F4" w14:paraId="55D92CB3"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65CF0A3" w14:textId="77777777" w:rsidR="00A345F4" w:rsidRDefault="005E2D4E">
            <w:pPr>
              <w:pStyle w:val="P68B1DB1-Normal78"/>
              <w:spacing w:after="0" w:line="259" w:lineRule="auto"/>
              <w:rPr>
                <w:noProof/>
              </w:rPr>
            </w:pPr>
            <w:r>
              <w:rPr>
                <w:noProof/>
              </w:rPr>
              <w:t>RO-C[C4]-I[I5.0]-T[85b]</w:t>
            </w:r>
          </w:p>
        </w:tc>
        <w:tc>
          <w:tcPr>
            <w:tcW w:w="3544" w:type="dxa"/>
            <w:tcBorders>
              <w:top w:val="single" w:sz="4" w:space="0" w:color="auto"/>
              <w:left w:val="nil"/>
              <w:bottom w:val="single" w:sz="4" w:space="0" w:color="auto"/>
              <w:right w:val="single" w:sz="4" w:space="0" w:color="auto"/>
            </w:tcBorders>
            <w:shd w:val="clear" w:color="auto" w:fill="C6EFCE"/>
            <w:noWrap/>
          </w:tcPr>
          <w:p w14:paraId="66889E3D" w14:textId="77777777" w:rsidR="00A345F4" w:rsidRDefault="005E2D4E">
            <w:pPr>
              <w:pStyle w:val="P68B1DB1-Normal78"/>
              <w:spacing w:after="0" w:line="259" w:lineRule="auto"/>
              <w:rPr>
                <w:noProof/>
              </w:rPr>
            </w:pPr>
            <w:r>
              <w:rPr>
                <w:noProof/>
              </w:rPr>
              <w:t>Accroître la sécurité routière</w:t>
            </w:r>
          </w:p>
        </w:tc>
        <w:tc>
          <w:tcPr>
            <w:tcW w:w="1230" w:type="dxa"/>
            <w:tcBorders>
              <w:top w:val="single" w:sz="4" w:space="0" w:color="auto"/>
              <w:left w:val="nil"/>
              <w:bottom w:val="single" w:sz="4" w:space="0" w:color="auto"/>
              <w:right w:val="single" w:sz="4" w:space="0" w:color="auto"/>
            </w:tcBorders>
            <w:shd w:val="clear" w:color="auto" w:fill="C6EFCE"/>
            <w:noWrap/>
          </w:tcPr>
          <w:p w14:paraId="222B8246"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7A31716C" w14:textId="77777777" w:rsidR="00A345F4" w:rsidRDefault="005E2D4E">
            <w:pPr>
              <w:pStyle w:val="P68B1DB1-Normal78"/>
              <w:spacing w:after="0" w:line="259" w:lineRule="auto"/>
              <w:rPr>
                <w:noProof/>
              </w:rPr>
            </w:pPr>
            <w:r>
              <w:rPr>
                <w:noProof/>
              </w:rPr>
              <w:t>Suppression des points noirs/points chauds de sécurité routière</w:t>
            </w:r>
          </w:p>
        </w:tc>
      </w:tr>
      <w:tr w:rsidR="00A345F4" w14:paraId="06BBFD95"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794C199" w14:textId="77777777" w:rsidR="00A345F4" w:rsidRDefault="005E2D4E">
            <w:pPr>
              <w:pStyle w:val="P68B1DB1-Normal78"/>
              <w:spacing w:after="0" w:line="259" w:lineRule="auto"/>
              <w:rPr>
                <w:noProof/>
              </w:rPr>
            </w:pPr>
            <w:r>
              <w:rPr>
                <w:noProof/>
              </w:rPr>
              <w:t>RO-C[C5]-R[R1.0]-T[92]</w:t>
            </w:r>
          </w:p>
        </w:tc>
        <w:tc>
          <w:tcPr>
            <w:tcW w:w="3544" w:type="dxa"/>
            <w:tcBorders>
              <w:top w:val="single" w:sz="4" w:space="0" w:color="auto"/>
              <w:left w:val="nil"/>
              <w:bottom w:val="single" w:sz="4" w:space="0" w:color="auto"/>
              <w:right w:val="single" w:sz="4" w:space="0" w:color="auto"/>
            </w:tcBorders>
            <w:shd w:val="clear" w:color="auto" w:fill="C6EFCE"/>
            <w:noWrap/>
          </w:tcPr>
          <w:p w14:paraId="70D3B3A4" w14:textId="56452C65" w:rsidR="00A345F4" w:rsidRDefault="005E2D4E">
            <w:pPr>
              <w:pStyle w:val="P68B1DB1-Normal78"/>
              <w:spacing w:after="0" w:line="259" w:lineRule="auto"/>
              <w:rPr>
                <w:noProof/>
              </w:rPr>
            </w:pPr>
            <w:r>
              <w:rPr>
                <w:noProof/>
              </w:rPr>
              <w:t>Cadre juridique et réglementaire simplifié et actualisé pour soutenir les rénovations des bâtiments en matière d’efficacité énergétique</w:t>
            </w:r>
          </w:p>
        </w:tc>
        <w:tc>
          <w:tcPr>
            <w:tcW w:w="1230" w:type="dxa"/>
            <w:tcBorders>
              <w:top w:val="single" w:sz="4" w:space="0" w:color="auto"/>
              <w:left w:val="nil"/>
              <w:bottom w:val="single" w:sz="4" w:space="0" w:color="auto"/>
              <w:right w:val="single" w:sz="4" w:space="0" w:color="auto"/>
            </w:tcBorders>
            <w:shd w:val="clear" w:color="auto" w:fill="C6EFCE"/>
            <w:noWrap/>
          </w:tcPr>
          <w:p w14:paraId="049F891A"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775B5AEC" w14:textId="77777777" w:rsidR="00A345F4" w:rsidRDefault="005E2D4E">
            <w:pPr>
              <w:pStyle w:val="P68B1DB1-Normal78"/>
              <w:spacing w:after="0" w:line="259" w:lineRule="auto"/>
              <w:rPr>
                <w:noProof/>
              </w:rPr>
            </w:pPr>
            <w:r>
              <w:rPr>
                <w:noProof/>
              </w:rPr>
              <w:t>Réduction du temps nécessaire à la délivrance des permis de construire</w:t>
            </w:r>
          </w:p>
        </w:tc>
      </w:tr>
      <w:tr w:rsidR="00A345F4" w14:paraId="1A3B87B7"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4FBFBB1" w14:textId="77777777" w:rsidR="00A345F4" w:rsidRDefault="005E2D4E">
            <w:pPr>
              <w:pStyle w:val="P68B1DB1-Normal78"/>
              <w:spacing w:after="0" w:line="259" w:lineRule="auto"/>
              <w:rPr>
                <w:noProof/>
              </w:rPr>
            </w:pPr>
            <w:r>
              <w:rPr>
                <w:noProof/>
              </w:rPr>
              <w:t>RO-C[C5]-I[I1.0]-T[103]</w:t>
            </w:r>
          </w:p>
        </w:tc>
        <w:tc>
          <w:tcPr>
            <w:tcW w:w="3544" w:type="dxa"/>
            <w:tcBorders>
              <w:top w:val="single" w:sz="4" w:space="0" w:color="auto"/>
              <w:left w:val="nil"/>
              <w:bottom w:val="single" w:sz="4" w:space="0" w:color="auto"/>
              <w:right w:val="single" w:sz="4" w:space="0" w:color="auto"/>
            </w:tcBorders>
            <w:shd w:val="clear" w:color="auto" w:fill="C6EFCE"/>
            <w:noWrap/>
          </w:tcPr>
          <w:p w14:paraId="01F3A8D8" w14:textId="6F0946A2" w:rsidR="00A345F4" w:rsidRDefault="005E2D4E">
            <w:pPr>
              <w:pStyle w:val="P68B1DB1-Normal78"/>
              <w:spacing w:after="0" w:line="259" w:lineRule="auto"/>
              <w:rPr>
                <w:noProof/>
              </w:rPr>
            </w:pPr>
            <w:r>
              <w:rPr>
                <w:noProof/>
              </w:rPr>
              <w:t>Création d'un fonds de rénovation pour financer les travaux d'amélioration de l'efficacité énergétique du parc immobilier existant</w:t>
            </w:r>
          </w:p>
        </w:tc>
        <w:tc>
          <w:tcPr>
            <w:tcW w:w="1230" w:type="dxa"/>
            <w:tcBorders>
              <w:top w:val="single" w:sz="4" w:space="0" w:color="auto"/>
              <w:left w:val="nil"/>
              <w:bottom w:val="single" w:sz="4" w:space="0" w:color="auto"/>
              <w:right w:val="single" w:sz="4" w:space="0" w:color="auto"/>
            </w:tcBorders>
            <w:shd w:val="clear" w:color="auto" w:fill="C6EFCE"/>
            <w:noWrap/>
          </w:tcPr>
          <w:p w14:paraId="7BA11D8A"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6EF72461" w14:textId="51E7B773" w:rsidR="00A345F4" w:rsidRDefault="005E2D4E">
            <w:pPr>
              <w:pStyle w:val="P68B1DB1-Normal78"/>
              <w:spacing w:after="0" w:line="259" w:lineRule="auto"/>
              <w:rPr>
                <w:noProof/>
              </w:rPr>
            </w:pPr>
            <w:r>
              <w:rPr>
                <w:noProof/>
              </w:rPr>
              <w:t>Rénovation énergétique des immeubles résidentiels multifamiliaux</w:t>
            </w:r>
          </w:p>
        </w:tc>
      </w:tr>
      <w:tr w:rsidR="00A345F4" w14:paraId="24C2BF1F"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8D22F4D" w14:textId="77777777" w:rsidR="00A345F4" w:rsidRDefault="005E2D4E">
            <w:pPr>
              <w:pStyle w:val="P68B1DB1-Normal78"/>
              <w:spacing w:after="0" w:line="259" w:lineRule="auto"/>
              <w:rPr>
                <w:noProof/>
              </w:rPr>
            </w:pPr>
            <w:r>
              <w:rPr>
                <w:noProof/>
              </w:rPr>
              <w:t>RO-C[C5]-I[I1.0]-T[106]</w:t>
            </w:r>
          </w:p>
        </w:tc>
        <w:tc>
          <w:tcPr>
            <w:tcW w:w="3544" w:type="dxa"/>
            <w:tcBorders>
              <w:top w:val="single" w:sz="4" w:space="0" w:color="auto"/>
              <w:left w:val="nil"/>
              <w:bottom w:val="single" w:sz="4" w:space="0" w:color="auto"/>
              <w:right w:val="single" w:sz="4" w:space="0" w:color="auto"/>
            </w:tcBorders>
            <w:shd w:val="clear" w:color="auto" w:fill="C6EFCE"/>
            <w:noWrap/>
          </w:tcPr>
          <w:p w14:paraId="326D832D" w14:textId="59AF273D" w:rsidR="00A345F4" w:rsidRDefault="005E2D4E">
            <w:pPr>
              <w:pStyle w:val="P68B1DB1-Normal78"/>
              <w:spacing w:after="0" w:line="259" w:lineRule="auto"/>
              <w:rPr>
                <w:noProof/>
              </w:rPr>
            </w:pPr>
            <w:r>
              <w:rPr>
                <w:noProof/>
              </w:rPr>
              <w:t>Mise en place d’un fonds pour la vague de rénovations afin de financer des travaux visant à accroître l’efficacité énergétique du parc immobilier existant</w:t>
            </w:r>
          </w:p>
        </w:tc>
        <w:tc>
          <w:tcPr>
            <w:tcW w:w="1230" w:type="dxa"/>
            <w:tcBorders>
              <w:top w:val="single" w:sz="4" w:space="0" w:color="auto"/>
              <w:left w:val="nil"/>
              <w:bottom w:val="single" w:sz="4" w:space="0" w:color="auto"/>
              <w:right w:val="single" w:sz="4" w:space="0" w:color="auto"/>
            </w:tcBorders>
            <w:shd w:val="clear" w:color="auto" w:fill="C6EFCE"/>
            <w:noWrap/>
          </w:tcPr>
          <w:p w14:paraId="2E4E25E6"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0710A626" w14:textId="2F812541" w:rsidR="00A345F4" w:rsidRDefault="005E2D4E">
            <w:pPr>
              <w:pStyle w:val="P68B1DB1-Normal78"/>
              <w:spacing w:after="0" w:line="259" w:lineRule="auto"/>
              <w:rPr>
                <w:noProof/>
              </w:rPr>
            </w:pPr>
            <w:r>
              <w:rPr>
                <w:noProof/>
              </w:rPr>
              <w:t>Rénovation énergétique des bâtiments publics</w:t>
            </w:r>
          </w:p>
        </w:tc>
      </w:tr>
      <w:tr w:rsidR="00A345F4" w14:paraId="335219E1"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E2ACE65" w14:textId="77777777" w:rsidR="00A345F4" w:rsidRDefault="005E2D4E">
            <w:pPr>
              <w:pStyle w:val="P68B1DB1-Normal78"/>
              <w:spacing w:after="0" w:line="259" w:lineRule="auto"/>
              <w:rPr>
                <w:noProof/>
              </w:rPr>
            </w:pPr>
            <w:r>
              <w:rPr>
                <w:noProof/>
              </w:rPr>
              <w:t>RO-C[C5]-I[I2.0]-M[107]</w:t>
            </w:r>
          </w:p>
        </w:tc>
        <w:tc>
          <w:tcPr>
            <w:tcW w:w="3544" w:type="dxa"/>
            <w:tcBorders>
              <w:top w:val="single" w:sz="4" w:space="0" w:color="auto"/>
              <w:left w:val="nil"/>
              <w:bottom w:val="single" w:sz="4" w:space="0" w:color="auto"/>
              <w:right w:val="single" w:sz="4" w:space="0" w:color="auto"/>
            </w:tcBorders>
            <w:shd w:val="clear" w:color="auto" w:fill="C6EFCE"/>
            <w:noWrap/>
          </w:tcPr>
          <w:p w14:paraId="2B3CD322" w14:textId="77777777" w:rsidR="00A345F4" w:rsidRDefault="005E2D4E">
            <w:pPr>
              <w:pStyle w:val="P68B1DB1-Normal78"/>
              <w:spacing w:after="0" w:line="259" w:lineRule="auto"/>
              <w:rPr>
                <w:noProof/>
              </w:rPr>
            </w:pPr>
            <w:r>
              <w:rPr>
                <w:noProof/>
              </w:rPr>
              <w:t>Publication du Registre National Numérique des Bâtiments</w:t>
            </w:r>
          </w:p>
        </w:tc>
        <w:tc>
          <w:tcPr>
            <w:tcW w:w="1230" w:type="dxa"/>
            <w:tcBorders>
              <w:top w:val="single" w:sz="4" w:space="0" w:color="auto"/>
              <w:left w:val="nil"/>
              <w:bottom w:val="single" w:sz="4" w:space="0" w:color="auto"/>
              <w:right w:val="single" w:sz="4" w:space="0" w:color="auto"/>
            </w:tcBorders>
            <w:shd w:val="clear" w:color="auto" w:fill="C6EFCE"/>
            <w:noWrap/>
          </w:tcPr>
          <w:p w14:paraId="577C7C0B" w14:textId="77777777" w:rsidR="00A345F4" w:rsidRDefault="005E2D4E">
            <w:pPr>
              <w:pStyle w:val="P68B1DB1-Normal78"/>
              <w:spacing w:after="0" w:line="259" w:lineRule="auto"/>
              <w:jc w:val="center"/>
              <w:rPr>
                <w:noProof/>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5DAF90C7" w14:textId="77777777" w:rsidR="00A345F4" w:rsidRDefault="005E2D4E">
            <w:pPr>
              <w:pStyle w:val="P68B1DB1-Normal78"/>
              <w:spacing w:after="0" w:line="259" w:lineRule="auto"/>
              <w:rPr>
                <w:noProof/>
              </w:rPr>
            </w:pPr>
            <w:r>
              <w:rPr>
                <w:noProof/>
              </w:rPr>
              <w:t>Publication du registre national numérique des bâtiments</w:t>
            </w:r>
          </w:p>
        </w:tc>
      </w:tr>
      <w:tr w:rsidR="00A345F4" w14:paraId="39ACCDFE"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FB7A2AE" w14:textId="77777777" w:rsidR="00A345F4" w:rsidRDefault="005E2D4E">
            <w:pPr>
              <w:pStyle w:val="P68B1DB1-Normal78"/>
              <w:spacing w:after="0" w:line="259" w:lineRule="auto"/>
              <w:rPr>
                <w:noProof/>
              </w:rPr>
            </w:pPr>
            <w:r>
              <w:rPr>
                <w:noProof/>
              </w:rPr>
              <w:t>RO-C[C6]-R[R6.0]-M[128]</w:t>
            </w:r>
          </w:p>
        </w:tc>
        <w:tc>
          <w:tcPr>
            <w:tcW w:w="3544" w:type="dxa"/>
            <w:tcBorders>
              <w:top w:val="single" w:sz="4" w:space="0" w:color="auto"/>
              <w:left w:val="nil"/>
              <w:bottom w:val="single" w:sz="4" w:space="0" w:color="auto"/>
              <w:right w:val="single" w:sz="4" w:space="0" w:color="auto"/>
            </w:tcBorders>
            <w:shd w:val="clear" w:color="auto" w:fill="C6EFCE"/>
            <w:noWrap/>
          </w:tcPr>
          <w:p w14:paraId="72E8D429" w14:textId="087EFD24" w:rsidR="00A345F4" w:rsidRDefault="005E2D4E">
            <w:pPr>
              <w:pStyle w:val="P68B1DB1-Normal78"/>
              <w:spacing w:after="0" w:line="259" w:lineRule="auto"/>
              <w:rPr>
                <w:noProof/>
              </w:rPr>
            </w:pPr>
            <w:r>
              <w:rPr>
                <w:noProof/>
              </w:rPr>
              <w:t>Décarbonation du secteur du chauffage et du refroidissement</w:t>
            </w:r>
          </w:p>
        </w:tc>
        <w:tc>
          <w:tcPr>
            <w:tcW w:w="1230" w:type="dxa"/>
            <w:tcBorders>
              <w:top w:val="single" w:sz="4" w:space="0" w:color="auto"/>
              <w:left w:val="nil"/>
              <w:bottom w:val="single" w:sz="4" w:space="0" w:color="auto"/>
              <w:right w:val="single" w:sz="4" w:space="0" w:color="auto"/>
            </w:tcBorders>
            <w:shd w:val="clear" w:color="auto" w:fill="C6EFCE"/>
            <w:noWrap/>
          </w:tcPr>
          <w:p w14:paraId="692018E9"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0F6891C4" w14:textId="0AC20F58" w:rsidR="00A345F4" w:rsidRDefault="005E2D4E">
            <w:pPr>
              <w:pStyle w:val="P68B1DB1-Normal78"/>
              <w:spacing w:after="0" w:line="259" w:lineRule="auto"/>
              <w:rPr>
                <w:noProof/>
              </w:rPr>
            </w:pPr>
            <w:r>
              <w:rPr>
                <w:noProof/>
              </w:rPr>
              <w:t>Entrée en vigueur d’actes juridiques introduisant des mesures visant à décarboner le secteur du chauffage et du refroidissement</w:t>
            </w:r>
          </w:p>
        </w:tc>
      </w:tr>
      <w:tr w:rsidR="00A345F4" w14:paraId="199D1C39"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5674F2F" w14:textId="77777777" w:rsidR="00A345F4" w:rsidRDefault="005E2D4E">
            <w:pPr>
              <w:pStyle w:val="P68B1DB1-Normal78"/>
              <w:spacing w:after="0" w:line="259" w:lineRule="auto"/>
              <w:rPr>
                <w:noProof/>
              </w:rPr>
            </w:pPr>
            <w:r>
              <w:rPr>
                <w:noProof/>
              </w:rPr>
              <w:t>RO-C[C6]-I[I3.0]-T[134]</w:t>
            </w:r>
          </w:p>
        </w:tc>
        <w:tc>
          <w:tcPr>
            <w:tcW w:w="3544" w:type="dxa"/>
            <w:tcBorders>
              <w:top w:val="single" w:sz="4" w:space="0" w:color="auto"/>
              <w:left w:val="nil"/>
              <w:bottom w:val="single" w:sz="4" w:space="0" w:color="auto"/>
              <w:right w:val="single" w:sz="4" w:space="0" w:color="auto"/>
            </w:tcBorders>
            <w:shd w:val="clear" w:color="auto" w:fill="C6EFCE"/>
            <w:noWrap/>
          </w:tcPr>
          <w:p w14:paraId="5755839B" w14:textId="51D35E76" w:rsidR="00A345F4" w:rsidRDefault="005E2D4E">
            <w:pPr>
              <w:pStyle w:val="P68B1DB1-Normal78"/>
              <w:spacing w:after="0" w:line="259" w:lineRule="auto"/>
              <w:rPr>
                <w:noProof/>
              </w:rPr>
            </w:pPr>
            <w:r>
              <w:rPr>
                <w:noProof/>
              </w:rPr>
              <w:t>Construction de systèmes flexibles et très efficaces de production combinée de chaleur et d'électricité (PCCE) au gaz pour le chauffage urbain</w:t>
            </w:r>
          </w:p>
        </w:tc>
        <w:tc>
          <w:tcPr>
            <w:tcW w:w="1230" w:type="dxa"/>
            <w:tcBorders>
              <w:top w:val="single" w:sz="4" w:space="0" w:color="auto"/>
              <w:left w:val="nil"/>
              <w:bottom w:val="single" w:sz="4" w:space="0" w:color="auto"/>
              <w:right w:val="single" w:sz="4" w:space="0" w:color="auto"/>
            </w:tcBorders>
            <w:shd w:val="clear" w:color="auto" w:fill="C6EFCE"/>
            <w:noWrap/>
          </w:tcPr>
          <w:p w14:paraId="06A6C0BB"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463C7D3B" w14:textId="77777777" w:rsidR="00A345F4" w:rsidRDefault="005E2D4E">
            <w:pPr>
              <w:pStyle w:val="P68B1DB1-Normal78"/>
              <w:spacing w:after="0" w:line="259" w:lineRule="auto"/>
              <w:rPr>
                <w:noProof/>
              </w:rPr>
            </w:pPr>
            <w:r>
              <w:rPr>
                <w:noProof/>
              </w:rPr>
              <w:t>Installations de cogénération et chauffage urbain</w:t>
            </w:r>
          </w:p>
        </w:tc>
      </w:tr>
      <w:tr w:rsidR="00A345F4" w14:paraId="6F0F7B60"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B507DBD" w14:textId="77777777" w:rsidR="00A345F4" w:rsidRDefault="005E2D4E">
            <w:pPr>
              <w:pStyle w:val="P68B1DB1-Normal78"/>
              <w:spacing w:after="0" w:line="259" w:lineRule="auto"/>
              <w:rPr>
                <w:noProof/>
              </w:rPr>
            </w:pPr>
            <w:r>
              <w:rPr>
                <w:noProof/>
              </w:rPr>
              <w:t>RO-C[C8]-I[I11.0]-M[240a]</w:t>
            </w:r>
          </w:p>
        </w:tc>
        <w:tc>
          <w:tcPr>
            <w:tcW w:w="3544" w:type="dxa"/>
            <w:tcBorders>
              <w:top w:val="single" w:sz="4" w:space="0" w:color="auto"/>
              <w:left w:val="nil"/>
              <w:bottom w:val="single" w:sz="4" w:space="0" w:color="auto"/>
              <w:right w:val="single" w:sz="4" w:space="0" w:color="auto"/>
            </w:tcBorders>
            <w:shd w:val="clear" w:color="auto" w:fill="C6EFCE"/>
            <w:noWrap/>
          </w:tcPr>
          <w:p w14:paraId="19F49CFF" w14:textId="77777777" w:rsidR="00A345F4" w:rsidRDefault="005E2D4E">
            <w:pPr>
              <w:pStyle w:val="P68B1DB1-Normal78"/>
              <w:spacing w:after="0" w:line="259" w:lineRule="auto"/>
              <w:rPr>
                <w:noProof/>
              </w:rPr>
            </w:pPr>
            <w:r>
              <w:rPr>
                <w:noProof/>
              </w:rPr>
              <w:t>Injection de fonds propres dans la Banque nationale de développement</w:t>
            </w:r>
          </w:p>
        </w:tc>
        <w:tc>
          <w:tcPr>
            <w:tcW w:w="1230" w:type="dxa"/>
            <w:tcBorders>
              <w:top w:val="single" w:sz="4" w:space="0" w:color="auto"/>
              <w:left w:val="nil"/>
              <w:bottom w:val="single" w:sz="4" w:space="0" w:color="auto"/>
              <w:right w:val="single" w:sz="4" w:space="0" w:color="auto"/>
            </w:tcBorders>
            <w:shd w:val="clear" w:color="auto" w:fill="C6EFCE"/>
            <w:noWrap/>
          </w:tcPr>
          <w:p w14:paraId="5837943D"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673ECB70" w14:textId="77777777" w:rsidR="00A345F4" w:rsidRDefault="005E2D4E">
            <w:pPr>
              <w:pStyle w:val="P68B1DB1-Normal78"/>
              <w:spacing w:after="0" w:line="259" w:lineRule="auto"/>
              <w:rPr>
                <w:noProof/>
              </w:rPr>
            </w:pPr>
            <w:r>
              <w:rPr>
                <w:noProof/>
              </w:rPr>
              <w:t>Politique d'investissement</w:t>
            </w:r>
          </w:p>
        </w:tc>
      </w:tr>
      <w:tr w:rsidR="00A345F4" w14:paraId="2016DDEA"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FFCFD19" w14:textId="77777777" w:rsidR="00A345F4" w:rsidRDefault="005E2D4E">
            <w:pPr>
              <w:pStyle w:val="P68B1DB1-Normal78"/>
              <w:spacing w:after="0" w:line="259" w:lineRule="auto"/>
              <w:rPr>
                <w:noProof/>
              </w:rPr>
            </w:pPr>
            <w:r>
              <w:rPr>
                <w:noProof/>
              </w:rPr>
              <w:t>RO-C[C8]-I[I11.0]-M[240b]</w:t>
            </w:r>
          </w:p>
        </w:tc>
        <w:tc>
          <w:tcPr>
            <w:tcW w:w="3544" w:type="dxa"/>
            <w:tcBorders>
              <w:top w:val="single" w:sz="4" w:space="0" w:color="auto"/>
              <w:left w:val="nil"/>
              <w:bottom w:val="single" w:sz="4" w:space="0" w:color="auto"/>
              <w:right w:val="single" w:sz="4" w:space="0" w:color="auto"/>
            </w:tcBorders>
            <w:shd w:val="clear" w:color="auto" w:fill="C6EFCE"/>
            <w:noWrap/>
          </w:tcPr>
          <w:p w14:paraId="67867F39" w14:textId="77777777" w:rsidR="00A345F4" w:rsidRDefault="005E2D4E">
            <w:pPr>
              <w:pStyle w:val="P68B1DB1-Normal78"/>
              <w:spacing w:after="0" w:line="259" w:lineRule="auto"/>
              <w:rPr>
                <w:noProof/>
              </w:rPr>
            </w:pPr>
            <w:r>
              <w:rPr>
                <w:noProof/>
              </w:rPr>
              <w:t>Injection de fonds propres dans la Banque nationale de développement</w:t>
            </w:r>
          </w:p>
        </w:tc>
        <w:tc>
          <w:tcPr>
            <w:tcW w:w="1230" w:type="dxa"/>
            <w:tcBorders>
              <w:top w:val="single" w:sz="4" w:space="0" w:color="auto"/>
              <w:left w:val="nil"/>
              <w:bottom w:val="single" w:sz="4" w:space="0" w:color="auto"/>
              <w:right w:val="single" w:sz="4" w:space="0" w:color="auto"/>
            </w:tcBorders>
            <w:shd w:val="clear" w:color="auto" w:fill="C6EFCE"/>
            <w:noWrap/>
          </w:tcPr>
          <w:p w14:paraId="2DCB9110"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7588E71B" w14:textId="77777777" w:rsidR="00A345F4" w:rsidRDefault="005E2D4E">
            <w:pPr>
              <w:pStyle w:val="P68B1DB1-Normal78"/>
              <w:spacing w:after="0" w:line="259" w:lineRule="auto"/>
              <w:rPr>
                <w:noProof/>
              </w:rPr>
            </w:pPr>
            <w:r>
              <w:rPr>
                <w:noProof/>
              </w:rPr>
              <w:t>Injection de fonds propres</w:t>
            </w:r>
          </w:p>
        </w:tc>
      </w:tr>
      <w:tr w:rsidR="00A345F4" w14:paraId="593D4920"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84C0B16" w14:textId="77777777" w:rsidR="00A345F4" w:rsidRDefault="005E2D4E">
            <w:pPr>
              <w:pStyle w:val="P68B1DB1-Normal78"/>
              <w:spacing w:after="0" w:line="259" w:lineRule="auto"/>
              <w:rPr>
                <w:noProof/>
              </w:rPr>
            </w:pPr>
            <w:r>
              <w:rPr>
                <w:noProof/>
              </w:rPr>
              <w:t>RO-C[C9]-I[I1.0]-M[246]</w:t>
            </w:r>
          </w:p>
        </w:tc>
        <w:tc>
          <w:tcPr>
            <w:tcW w:w="3544" w:type="dxa"/>
            <w:tcBorders>
              <w:top w:val="single" w:sz="4" w:space="0" w:color="auto"/>
              <w:left w:val="nil"/>
              <w:bottom w:val="single" w:sz="4" w:space="0" w:color="auto"/>
              <w:right w:val="single" w:sz="4" w:space="0" w:color="auto"/>
            </w:tcBorders>
            <w:shd w:val="clear" w:color="auto" w:fill="C6EFCE"/>
            <w:noWrap/>
          </w:tcPr>
          <w:p w14:paraId="085223DC" w14:textId="77777777" w:rsidR="00A345F4" w:rsidRDefault="005E2D4E">
            <w:pPr>
              <w:pStyle w:val="P68B1DB1-Normal78"/>
              <w:spacing w:after="0" w:line="259" w:lineRule="auto"/>
              <w:rPr>
                <w:noProof/>
              </w:rPr>
            </w:pPr>
            <w:r>
              <w:rPr>
                <w:noProof/>
              </w:rPr>
              <w:t>Plateformes numériques sur la transparence législative, la débureaucratisation et la simplification des procédures pour les entreprises</w:t>
            </w:r>
          </w:p>
        </w:tc>
        <w:tc>
          <w:tcPr>
            <w:tcW w:w="1230" w:type="dxa"/>
            <w:tcBorders>
              <w:top w:val="single" w:sz="4" w:space="0" w:color="auto"/>
              <w:left w:val="nil"/>
              <w:bottom w:val="single" w:sz="4" w:space="0" w:color="auto"/>
              <w:right w:val="single" w:sz="4" w:space="0" w:color="auto"/>
            </w:tcBorders>
            <w:shd w:val="clear" w:color="auto" w:fill="C6EFCE"/>
            <w:noWrap/>
          </w:tcPr>
          <w:p w14:paraId="523672BB" w14:textId="77777777" w:rsidR="00A345F4" w:rsidRDefault="005E2D4E">
            <w:pPr>
              <w:pStyle w:val="P68B1DB1-Normal78"/>
              <w:spacing w:after="0" w:line="259" w:lineRule="auto"/>
              <w:jc w:val="center"/>
              <w:rPr>
                <w:noProof/>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0DDC5889" w14:textId="77777777" w:rsidR="00A345F4" w:rsidRDefault="005E2D4E">
            <w:pPr>
              <w:pStyle w:val="P68B1DB1-Normal78"/>
              <w:spacing w:after="0" w:line="259" w:lineRule="auto"/>
              <w:rPr>
                <w:noProof/>
              </w:rPr>
            </w:pPr>
            <w:r>
              <w:rPr>
                <w:noProof/>
              </w:rPr>
              <w:t xml:space="preserve">Plateformes numériques, connectées au cloud gouvernemental et accessibles </w:t>
            </w:r>
          </w:p>
        </w:tc>
      </w:tr>
      <w:tr w:rsidR="00A345F4" w14:paraId="551CFB02"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F2B23CC" w14:textId="77777777" w:rsidR="00A345F4" w:rsidRDefault="005E2D4E">
            <w:pPr>
              <w:pStyle w:val="P68B1DB1-Normal78"/>
              <w:spacing w:after="0" w:line="259" w:lineRule="auto"/>
              <w:rPr>
                <w:noProof/>
              </w:rPr>
            </w:pPr>
            <w:r>
              <w:rPr>
                <w:noProof/>
              </w:rPr>
              <w:t>RO-C[C9]-I[I2.1]-M[248]</w:t>
            </w:r>
          </w:p>
        </w:tc>
        <w:tc>
          <w:tcPr>
            <w:tcW w:w="3544" w:type="dxa"/>
            <w:tcBorders>
              <w:top w:val="single" w:sz="4" w:space="0" w:color="auto"/>
              <w:left w:val="nil"/>
              <w:bottom w:val="single" w:sz="4" w:space="0" w:color="auto"/>
              <w:right w:val="single" w:sz="4" w:space="0" w:color="auto"/>
            </w:tcBorders>
            <w:shd w:val="clear" w:color="auto" w:fill="C6EFCE"/>
            <w:noWrap/>
          </w:tcPr>
          <w:p w14:paraId="55091469" w14:textId="77777777" w:rsidR="00A345F4" w:rsidRDefault="005E2D4E">
            <w:pPr>
              <w:pStyle w:val="P68B1DB1-Normal78"/>
              <w:spacing w:after="0" w:line="259" w:lineRule="auto"/>
              <w:rPr>
                <w:noProof/>
              </w:rPr>
            </w:pPr>
            <w:r>
              <w:rPr>
                <w:noProof/>
              </w:rPr>
              <w:t xml:space="preserve">Instruments financiers pour le secteur privé - Garantie de portefeuille pour la résilience </w:t>
            </w:r>
          </w:p>
        </w:tc>
        <w:tc>
          <w:tcPr>
            <w:tcW w:w="1230" w:type="dxa"/>
            <w:tcBorders>
              <w:top w:val="single" w:sz="4" w:space="0" w:color="auto"/>
              <w:left w:val="nil"/>
              <w:bottom w:val="single" w:sz="4" w:space="0" w:color="auto"/>
              <w:right w:val="single" w:sz="4" w:space="0" w:color="auto"/>
            </w:tcBorders>
            <w:shd w:val="clear" w:color="auto" w:fill="C6EFCE"/>
            <w:noWrap/>
          </w:tcPr>
          <w:p w14:paraId="5860EF0A" w14:textId="77777777" w:rsidR="00A345F4" w:rsidRDefault="005E2D4E">
            <w:pPr>
              <w:pStyle w:val="P68B1DB1-Normal78"/>
              <w:spacing w:after="0" w:line="259" w:lineRule="auto"/>
              <w:jc w:val="center"/>
              <w:rPr>
                <w:noProof/>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19BF25E1" w14:textId="34DBB740" w:rsidR="00A345F4" w:rsidRDefault="005E2D4E">
            <w:pPr>
              <w:pStyle w:val="P68B1DB1-Normal78"/>
              <w:spacing w:after="0" w:line="259" w:lineRule="auto"/>
              <w:rPr>
                <w:noProof/>
              </w:rPr>
            </w:pPr>
            <w:r>
              <w:rPr>
                <w:noProof/>
              </w:rPr>
              <w:t>Adoption par le gouvernement de l'accord de contribution signé </w:t>
            </w:r>
          </w:p>
        </w:tc>
      </w:tr>
      <w:tr w:rsidR="00A345F4" w14:paraId="3B5BA29F"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3D66680" w14:textId="77777777" w:rsidR="00A345F4" w:rsidRDefault="005E2D4E">
            <w:pPr>
              <w:pStyle w:val="P68B1DB1-Normal78"/>
              <w:spacing w:after="0" w:line="259" w:lineRule="auto"/>
              <w:rPr>
                <w:noProof/>
              </w:rPr>
            </w:pPr>
            <w:r>
              <w:rPr>
                <w:noProof/>
              </w:rPr>
              <w:t>RO-C[C9]-I[I2.1]-T[249]</w:t>
            </w:r>
          </w:p>
        </w:tc>
        <w:tc>
          <w:tcPr>
            <w:tcW w:w="3544" w:type="dxa"/>
            <w:tcBorders>
              <w:top w:val="single" w:sz="4" w:space="0" w:color="auto"/>
              <w:left w:val="nil"/>
              <w:bottom w:val="single" w:sz="4" w:space="0" w:color="auto"/>
              <w:right w:val="single" w:sz="4" w:space="0" w:color="auto"/>
            </w:tcBorders>
            <w:shd w:val="clear" w:color="auto" w:fill="C6EFCE"/>
            <w:noWrap/>
          </w:tcPr>
          <w:p w14:paraId="6327101E" w14:textId="77777777" w:rsidR="00A345F4" w:rsidRDefault="005E2D4E">
            <w:pPr>
              <w:pStyle w:val="P68B1DB1-Normal78"/>
              <w:spacing w:after="0" w:line="259" w:lineRule="auto"/>
              <w:rPr>
                <w:noProof/>
              </w:rPr>
            </w:pPr>
            <w:r>
              <w:rPr>
                <w:noProof/>
              </w:rPr>
              <w:t>Instruments financiers pour le secteur privé - Garantie de portefeuille pour la résilience</w:t>
            </w:r>
          </w:p>
        </w:tc>
        <w:tc>
          <w:tcPr>
            <w:tcW w:w="1230" w:type="dxa"/>
            <w:tcBorders>
              <w:top w:val="single" w:sz="4" w:space="0" w:color="auto"/>
              <w:left w:val="nil"/>
              <w:bottom w:val="single" w:sz="4" w:space="0" w:color="auto"/>
              <w:right w:val="single" w:sz="4" w:space="0" w:color="auto"/>
            </w:tcBorders>
            <w:shd w:val="clear" w:color="auto" w:fill="C6EFCE"/>
            <w:noWrap/>
          </w:tcPr>
          <w:p w14:paraId="6CA24402"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2817FD42" w14:textId="77777777" w:rsidR="00A345F4" w:rsidRDefault="005E2D4E">
            <w:pPr>
              <w:pStyle w:val="P68B1DB1-Normal78"/>
              <w:spacing w:after="0" w:line="259" w:lineRule="auto"/>
              <w:rPr>
                <w:noProof/>
              </w:rPr>
            </w:pPr>
            <w:r>
              <w:rPr>
                <w:noProof/>
              </w:rPr>
              <w:t>Opérations de financement ou d’investissement représentant 100 % des ressources allouées à l’instrument approuvé par le comité d’investissement InvestEU</w:t>
            </w:r>
          </w:p>
        </w:tc>
      </w:tr>
      <w:tr w:rsidR="00A345F4" w14:paraId="3C663DBC"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457A78D7" w14:textId="77777777" w:rsidR="00A345F4" w:rsidRDefault="005E2D4E">
            <w:pPr>
              <w:pStyle w:val="P68B1DB1-Normal78"/>
              <w:spacing w:after="0" w:line="259" w:lineRule="auto"/>
              <w:rPr>
                <w:noProof/>
              </w:rPr>
            </w:pPr>
            <w:r>
              <w:rPr>
                <w:noProof/>
              </w:rPr>
              <w:t>RO-C[C9]-I[I3.2]-T[265]</w:t>
            </w:r>
          </w:p>
        </w:tc>
        <w:tc>
          <w:tcPr>
            <w:tcW w:w="3544" w:type="dxa"/>
            <w:tcBorders>
              <w:top w:val="single" w:sz="4" w:space="0" w:color="auto"/>
              <w:left w:val="nil"/>
              <w:bottom w:val="single" w:sz="4" w:space="0" w:color="auto"/>
              <w:right w:val="single" w:sz="4" w:space="0" w:color="auto"/>
            </w:tcBorders>
            <w:shd w:val="clear" w:color="auto" w:fill="C6EFCE"/>
            <w:noWrap/>
          </w:tcPr>
          <w:p w14:paraId="067AAA19" w14:textId="6C11D8AE" w:rsidR="00A345F4" w:rsidRDefault="005E2D4E">
            <w:pPr>
              <w:pStyle w:val="P68B1DB1-Normal78"/>
              <w:spacing w:after="0" w:line="259" w:lineRule="auto"/>
              <w:rPr>
                <w:noProof/>
              </w:rPr>
            </w:pPr>
            <w:r>
              <w:rPr>
                <w:noProof/>
              </w:rPr>
              <w:t>Aide aux entreprises roumaines pour la cotation en bourse</w:t>
            </w:r>
          </w:p>
        </w:tc>
        <w:tc>
          <w:tcPr>
            <w:tcW w:w="1230" w:type="dxa"/>
            <w:tcBorders>
              <w:top w:val="single" w:sz="4" w:space="0" w:color="auto"/>
              <w:left w:val="nil"/>
              <w:bottom w:val="single" w:sz="4" w:space="0" w:color="auto"/>
              <w:right w:val="single" w:sz="4" w:space="0" w:color="auto"/>
            </w:tcBorders>
            <w:shd w:val="clear" w:color="auto" w:fill="C6EFCE"/>
            <w:noWrap/>
          </w:tcPr>
          <w:p w14:paraId="2ADC3A54"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5DB679A9" w14:textId="77777777" w:rsidR="00A345F4" w:rsidRDefault="005E2D4E">
            <w:pPr>
              <w:pStyle w:val="P68B1DB1-Normal78"/>
              <w:spacing w:after="0" w:line="259" w:lineRule="auto"/>
              <w:rPr>
                <w:noProof/>
              </w:rPr>
            </w:pPr>
            <w:r>
              <w:rPr>
                <w:noProof/>
              </w:rPr>
              <w:t>Nombre de contrats de financement signés</w:t>
            </w:r>
          </w:p>
        </w:tc>
      </w:tr>
      <w:tr w:rsidR="00A345F4" w14:paraId="14728117"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95B1A02" w14:textId="77777777" w:rsidR="00A345F4" w:rsidRDefault="005E2D4E">
            <w:pPr>
              <w:pStyle w:val="P68B1DB1-Normal78"/>
              <w:spacing w:after="0" w:line="259" w:lineRule="auto"/>
              <w:rPr>
                <w:noProof/>
              </w:rPr>
            </w:pPr>
            <w:r>
              <w:rPr>
                <w:noProof/>
              </w:rPr>
              <w:t>RO-C[C9]-R[R5.0]-T[279]</w:t>
            </w:r>
          </w:p>
        </w:tc>
        <w:tc>
          <w:tcPr>
            <w:tcW w:w="3544" w:type="dxa"/>
            <w:tcBorders>
              <w:top w:val="single" w:sz="4" w:space="0" w:color="auto"/>
              <w:left w:val="nil"/>
              <w:bottom w:val="single" w:sz="4" w:space="0" w:color="auto"/>
              <w:right w:val="single" w:sz="4" w:space="0" w:color="auto"/>
            </w:tcBorders>
            <w:shd w:val="clear" w:color="auto" w:fill="C6EFCE"/>
            <w:noWrap/>
          </w:tcPr>
          <w:p w14:paraId="770187DB" w14:textId="77777777" w:rsidR="00A345F4" w:rsidRDefault="005E2D4E">
            <w:pPr>
              <w:pStyle w:val="P68B1DB1-Normal78"/>
              <w:spacing w:after="0" w:line="259" w:lineRule="auto"/>
              <w:rPr>
                <w:noProof/>
              </w:rPr>
            </w:pPr>
            <w:r>
              <w:rPr>
                <w:noProof/>
              </w:rPr>
              <w:t>Soutien à l'intégration des organisations de recherche, de développement et d'innovation en Roumanie dans l'Espace européen de la recherche</w:t>
            </w:r>
          </w:p>
        </w:tc>
        <w:tc>
          <w:tcPr>
            <w:tcW w:w="1230" w:type="dxa"/>
            <w:tcBorders>
              <w:top w:val="single" w:sz="4" w:space="0" w:color="auto"/>
              <w:left w:val="nil"/>
              <w:bottom w:val="single" w:sz="4" w:space="0" w:color="auto"/>
              <w:right w:val="single" w:sz="4" w:space="0" w:color="auto"/>
            </w:tcBorders>
            <w:shd w:val="clear" w:color="auto" w:fill="C6EFCE"/>
            <w:noWrap/>
          </w:tcPr>
          <w:p w14:paraId="10C5C131"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0D91262F" w14:textId="77461801" w:rsidR="00A345F4" w:rsidRDefault="005E2D4E">
            <w:pPr>
              <w:pStyle w:val="P68B1DB1-Normal78"/>
              <w:spacing w:after="0" w:line="259" w:lineRule="auto"/>
              <w:rPr>
                <w:noProof/>
              </w:rPr>
            </w:pPr>
            <w:r>
              <w:rPr>
                <w:noProof/>
              </w:rPr>
              <w:t>Pourcentage d'organismes de recherche partageant des infrastructures et/ou des installations de recherche</w:t>
            </w:r>
          </w:p>
        </w:tc>
      </w:tr>
      <w:tr w:rsidR="00A345F4" w14:paraId="7A57A2DA"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7CF02AF" w14:textId="77777777" w:rsidR="00A345F4" w:rsidRDefault="005E2D4E">
            <w:pPr>
              <w:pStyle w:val="P68B1DB1-Normal78"/>
              <w:spacing w:after="0" w:line="259" w:lineRule="auto"/>
              <w:rPr>
                <w:noProof/>
              </w:rPr>
            </w:pPr>
            <w:r>
              <w:rPr>
                <w:noProof/>
              </w:rPr>
              <w:t>RO-C[C10]-R[R5.0]-M[315]</w:t>
            </w:r>
          </w:p>
        </w:tc>
        <w:tc>
          <w:tcPr>
            <w:tcW w:w="3544" w:type="dxa"/>
            <w:tcBorders>
              <w:top w:val="single" w:sz="4" w:space="0" w:color="auto"/>
              <w:left w:val="nil"/>
              <w:bottom w:val="single" w:sz="4" w:space="0" w:color="auto"/>
              <w:right w:val="single" w:sz="4" w:space="0" w:color="auto"/>
            </w:tcBorders>
            <w:shd w:val="clear" w:color="auto" w:fill="C6EFCE"/>
            <w:noWrap/>
          </w:tcPr>
          <w:p w14:paraId="53A9690E" w14:textId="77777777" w:rsidR="00A345F4" w:rsidRDefault="005E2D4E">
            <w:pPr>
              <w:pStyle w:val="P68B1DB1-Normal78"/>
              <w:spacing w:after="0" w:line="259" w:lineRule="auto"/>
              <w:rPr>
                <w:noProof/>
              </w:rPr>
            </w:pPr>
            <w:r>
              <w:rPr>
                <w:noProof/>
              </w:rPr>
              <w:t xml:space="preserve">Développement du système de planification </w:t>
            </w:r>
          </w:p>
          <w:p w14:paraId="2BA6B750" w14:textId="14BDE290" w:rsidR="00A345F4" w:rsidRDefault="005E2D4E">
            <w:pPr>
              <w:pStyle w:val="P68B1DB1-Normal78"/>
              <w:spacing w:after="0" w:line="259" w:lineRule="auto"/>
              <w:rPr>
                <w:noProof/>
              </w:rPr>
            </w:pPr>
            <w:r>
              <w:rPr>
                <w:noProof/>
              </w:rPr>
              <w:t>Code de l'aménagement du territoire, de l'urbanisme et de la construction</w:t>
            </w:r>
          </w:p>
        </w:tc>
        <w:tc>
          <w:tcPr>
            <w:tcW w:w="1230" w:type="dxa"/>
            <w:tcBorders>
              <w:top w:val="single" w:sz="4" w:space="0" w:color="auto"/>
              <w:left w:val="nil"/>
              <w:bottom w:val="single" w:sz="4" w:space="0" w:color="auto"/>
              <w:right w:val="single" w:sz="4" w:space="0" w:color="auto"/>
            </w:tcBorders>
            <w:shd w:val="clear" w:color="auto" w:fill="C6EFCE"/>
            <w:noWrap/>
          </w:tcPr>
          <w:p w14:paraId="35D33355"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0265115C" w14:textId="03B28187" w:rsidR="00A345F4" w:rsidRDefault="005E2D4E">
            <w:pPr>
              <w:pStyle w:val="P68B1DB1-Normal78"/>
              <w:spacing w:after="0" w:line="259" w:lineRule="auto"/>
              <w:rPr>
                <w:noProof/>
              </w:rPr>
            </w:pPr>
            <w:r>
              <w:rPr>
                <w:noProof/>
              </w:rPr>
              <w:t>Publication au Journal officiel du code de l'aménagement du territoire, de l'urbanisme et de la construction  </w:t>
            </w:r>
          </w:p>
        </w:tc>
      </w:tr>
      <w:tr w:rsidR="00A345F4" w14:paraId="43E1142E"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F0F7A64" w14:textId="77777777" w:rsidR="00A345F4" w:rsidRDefault="005E2D4E">
            <w:pPr>
              <w:pStyle w:val="P68B1DB1-Normal78"/>
              <w:spacing w:after="0" w:line="259" w:lineRule="auto"/>
              <w:rPr>
                <w:noProof/>
              </w:rPr>
            </w:pPr>
            <w:r>
              <w:rPr>
                <w:noProof/>
              </w:rPr>
              <w:t>RO-C[C10]-I[I2.0]-T[318]</w:t>
            </w:r>
          </w:p>
        </w:tc>
        <w:tc>
          <w:tcPr>
            <w:tcW w:w="3544" w:type="dxa"/>
            <w:tcBorders>
              <w:top w:val="single" w:sz="4" w:space="0" w:color="auto"/>
              <w:left w:val="nil"/>
              <w:bottom w:val="single" w:sz="4" w:space="0" w:color="auto"/>
              <w:right w:val="single" w:sz="4" w:space="0" w:color="auto"/>
            </w:tcBorders>
            <w:shd w:val="clear" w:color="auto" w:fill="C6EFCE"/>
            <w:noWrap/>
          </w:tcPr>
          <w:p w14:paraId="5FD6F5D0" w14:textId="77777777" w:rsidR="00A345F4" w:rsidRDefault="005E2D4E">
            <w:pPr>
              <w:pStyle w:val="P68B1DB1-Normal78"/>
              <w:spacing w:after="0" w:line="259" w:lineRule="auto"/>
              <w:rPr>
                <w:noProof/>
              </w:rPr>
            </w:pPr>
            <w:r>
              <w:rPr>
                <w:noProof/>
              </w:rPr>
              <w:t>Construction de logements pour les jeunes et pour les professionnels de la santé et de l'éducation</w:t>
            </w:r>
          </w:p>
        </w:tc>
        <w:tc>
          <w:tcPr>
            <w:tcW w:w="1230" w:type="dxa"/>
            <w:tcBorders>
              <w:top w:val="single" w:sz="4" w:space="0" w:color="auto"/>
              <w:left w:val="nil"/>
              <w:bottom w:val="single" w:sz="4" w:space="0" w:color="auto"/>
              <w:right w:val="single" w:sz="4" w:space="0" w:color="auto"/>
            </w:tcBorders>
            <w:shd w:val="clear" w:color="auto" w:fill="C6EFCE"/>
            <w:noWrap/>
          </w:tcPr>
          <w:p w14:paraId="54A12233"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44A9DF1C" w14:textId="721FC453" w:rsidR="00A345F4" w:rsidRDefault="005E2D4E">
            <w:pPr>
              <w:pStyle w:val="P68B1DB1-Normal73"/>
              <w:spacing w:after="0" w:line="259" w:lineRule="auto"/>
              <w:rPr>
                <w:noProof/>
                <w:color w:val="000000"/>
              </w:rPr>
            </w:pPr>
            <w:r>
              <w:rPr>
                <w:noProof/>
                <w:color w:val="000000"/>
              </w:rPr>
              <w:t xml:space="preserve">Unités de logement construites pour les jeunes issus de communautés marginalisées ou de groupes vulnérables </w:t>
            </w:r>
            <w:r>
              <w:rPr>
                <w:noProof/>
              </w:rPr>
              <w:t>et pour les professionnels de la santé et de l'éducation</w:t>
            </w:r>
          </w:p>
        </w:tc>
      </w:tr>
      <w:tr w:rsidR="00A345F4" w14:paraId="76571753"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CD00ED7" w14:textId="77777777" w:rsidR="00A345F4" w:rsidRDefault="005E2D4E">
            <w:pPr>
              <w:pStyle w:val="P68B1DB1-Normal78"/>
              <w:spacing w:after="0" w:line="259" w:lineRule="auto"/>
              <w:rPr>
                <w:noProof/>
              </w:rPr>
            </w:pPr>
            <w:r>
              <w:rPr>
                <w:noProof/>
              </w:rPr>
              <w:t>RO-C[C10]-I[I3.0]-T[322]</w:t>
            </w:r>
          </w:p>
        </w:tc>
        <w:tc>
          <w:tcPr>
            <w:tcW w:w="3544" w:type="dxa"/>
            <w:tcBorders>
              <w:top w:val="single" w:sz="4" w:space="0" w:color="auto"/>
              <w:left w:val="nil"/>
              <w:bottom w:val="single" w:sz="4" w:space="0" w:color="auto"/>
              <w:right w:val="single" w:sz="4" w:space="0" w:color="auto"/>
            </w:tcBorders>
            <w:shd w:val="clear" w:color="auto" w:fill="C6EFCE"/>
            <w:noWrap/>
          </w:tcPr>
          <w:p w14:paraId="44D617AF" w14:textId="77777777" w:rsidR="00A345F4" w:rsidRDefault="005E2D4E">
            <w:pPr>
              <w:pStyle w:val="P68B1DB1-Normal73"/>
              <w:spacing w:after="0" w:line="259" w:lineRule="auto"/>
              <w:rPr>
                <w:noProof/>
                <w:color w:val="000000"/>
              </w:rPr>
            </w:pPr>
            <w:r>
              <w:rPr>
                <w:noProof/>
                <w:color w:val="000000"/>
              </w:rPr>
              <w:t xml:space="preserve">Rénovation des bâtiments publics pour soutenir une </w:t>
            </w:r>
            <w:r>
              <w:rPr>
                <w:noProof/>
              </w:rPr>
              <w:t>meilleure</w:t>
            </w:r>
            <w:r>
              <w:rPr>
                <w:noProof/>
                <w:color w:val="000000"/>
              </w:rPr>
              <w:t xml:space="preserve"> prestation de services publics par les unités administratives territoriales</w:t>
            </w:r>
          </w:p>
        </w:tc>
        <w:tc>
          <w:tcPr>
            <w:tcW w:w="1230" w:type="dxa"/>
            <w:tcBorders>
              <w:top w:val="single" w:sz="4" w:space="0" w:color="auto"/>
              <w:left w:val="nil"/>
              <w:bottom w:val="single" w:sz="4" w:space="0" w:color="auto"/>
              <w:right w:val="single" w:sz="4" w:space="0" w:color="auto"/>
            </w:tcBorders>
            <w:shd w:val="clear" w:color="auto" w:fill="C6EFCE"/>
            <w:noWrap/>
          </w:tcPr>
          <w:p w14:paraId="64577CA6"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0B55D19C" w14:textId="77777777" w:rsidR="00A345F4" w:rsidRDefault="005E2D4E">
            <w:pPr>
              <w:pStyle w:val="P68B1DB1-Normal78"/>
              <w:spacing w:after="0" w:line="259" w:lineRule="auto"/>
              <w:rPr>
                <w:noProof/>
              </w:rPr>
            </w:pPr>
            <w:r>
              <w:rPr>
                <w:noProof/>
              </w:rPr>
              <w:t xml:space="preserve">Rénovation énergétique des bâtiments publics </w:t>
            </w:r>
          </w:p>
        </w:tc>
      </w:tr>
      <w:tr w:rsidR="00A345F4" w14:paraId="7B69E9E5"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626BA33" w14:textId="77777777" w:rsidR="00A345F4" w:rsidRDefault="005E2D4E">
            <w:pPr>
              <w:pStyle w:val="P68B1DB1-Normal78"/>
              <w:spacing w:after="0" w:line="259" w:lineRule="auto"/>
              <w:rPr>
                <w:noProof/>
              </w:rPr>
            </w:pPr>
            <w:r>
              <w:rPr>
                <w:noProof/>
              </w:rPr>
              <w:t>RO-C[C10]-I[I4.0]-T[325]</w:t>
            </w:r>
          </w:p>
        </w:tc>
        <w:tc>
          <w:tcPr>
            <w:tcW w:w="3544" w:type="dxa"/>
            <w:tcBorders>
              <w:top w:val="single" w:sz="4" w:space="0" w:color="auto"/>
              <w:left w:val="nil"/>
              <w:bottom w:val="single" w:sz="4" w:space="0" w:color="auto"/>
              <w:right w:val="single" w:sz="4" w:space="0" w:color="auto"/>
            </w:tcBorders>
            <w:shd w:val="clear" w:color="auto" w:fill="C6EFCE"/>
            <w:noWrap/>
          </w:tcPr>
          <w:p w14:paraId="16C1F180" w14:textId="00DFD3F3" w:rsidR="00A345F4" w:rsidRDefault="005E2D4E">
            <w:pPr>
              <w:pStyle w:val="P68B1DB1-Normal78"/>
              <w:spacing w:after="0" w:line="259" w:lineRule="auto"/>
              <w:rPr>
                <w:noProof/>
              </w:rPr>
            </w:pPr>
            <w:r>
              <w:rPr>
                <w:noProof/>
              </w:rPr>
              <w:t>Production/mise à jour de documents d'aménagement du territoire et d'urbanisme au format SIG</w:t>
            </w:r>
          </w:p>
        </w:tc>
        <w:tc>
          <w:tcPr>
            <w:tcW w:w="1230" w:type="dxa"/>
            <w:tcBorders>
              <w:top w:val="single" w:sz="4" w:space="0" w:color="auto"/>
              <w:left w:val="nil"/>
              <w:bottom w:val="single" w:sz="4" w:space="0" w:color="auto"/>
              <w:right w:val="single" w:sz="4" w:space="0" w:color="auto"/>
            </w:tcBorders>
            <w:shd w:val="clear" w:color="auto" w:fill="C6EFCE"/>
            <w:noWrap/>
          </w:tcPr>
          <w:p w14:paraId="295A6D1B"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0D1861BB" w14:textId="685FACA6" w:rsidR="00A345F4" w:rsidRDefault="005E2D4E">
            <w:pPr>
              <w:pStyle w:val="P68B1DB1-Normal78"/>
              <w:spacing w:after="0" w:line="259" w:lineRule="auto"/>
              <w:rPr>
                <w:noProof/>
              </w:rPr>
            </w:pPr>
            <w:r>
              <w:rPr>
                <w:noProof/>
              </w:rPr>
              <w:t>Documents d’aménagement du territoire, documents d’urbanisme et plans de mobilité urbaine durable publiés dans la plateforme de l’Observatoire territorial</w:t>
            </w:r>
          </w:p>
        </w:tc>
      </w:tr>
      <w:tr w:rsidR="00A345F4" w14:paraId="5C649AC7"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93EE16A" w14:textId="77777777" w:rsidR="00A345F4" w:rsidRDefault="005E2D4E">
            <w:pPr>
              <w:pStyle w:val="P68B1DB1-Normal78"/>
              <w:spacing w:after="0" w:line="259" w:lineRule="auto"/>
              <w:rPr>
                <w:noProof/>
              </w:rPr>
            </w:pPr>
            <w:r>
              <w:rPr>
                <w:noProof/>
              </w:rPr>
              <w:t>RO-C[C11]-I[I1.0]-M[335]</w:t>
            </w:r>
          </w:p>
        </w:tc>
        <w:tc>
          <w:tcPr>
            <w:tcW w:w="3544" w:type="dxa"/>
            <w:tcBorders>
              <w:top w:val="single" w:sz="4" w:space="0" w:color="auto"/>
              <w:left w:val="nil"/>
              <w:bottom w:val="single" w:sz="4" w:space="0" w:color="auto"/>
              <w:right w:val="single" w:sz="4" w:space="0" w:color="auto"/>
            </w:tcBorders>
            <w:shd w:val="clear" w:color="auto" w:fill="C6EFCE"/>
            <w:noWrap/>
          </w:tcPr>
          <w:p w14:paraId="6C5A76A6" w14:textId="77777777" w:rsidR="00A345F4" w:rsidRDefault="005E2D4E">
            <w:pPr>
              <w:pStyle w:val="P68B1DB1-Normal78"/>
              <w:spacing w:after="0" w:line="259" w:lineRule="auto"/>
              <w:rPr>
                <w:noProof/>
              </w:rPr>
            </w:pPr>
            <w:r>
              <w:rPr>
                <w:noProof/>
              </w:rPr>
              <w:t>Promotion des 12 itinéraires touristiques/culturels</w:t>
            </w:r>
          </w:p>
        </w:tc>
        <w:tc>
          <w:tcPr>
            <w:tcW w:w="1230" w:type="dxa"/>
            <w:tcBorders>
              <w:top w:val="single" w:sz="4" w:space="0" w:color="auto"/>
              <w:left w:val="nil"/>
              <w:bottom w:val="single" w:sz="4" w:space="0" w:color="auto"/>
              <w:right w:val="single" w:sz="4" w:space="0" w:color="auto"/>
            </w:tcBorders>
            <w:shd w:val="clear" w:color="auto" w:fill="C6EFCE"/>
            <w:noWrap/>
          </w:tcPr>
          <w:p w14:paraId="6586A1A8" w14:textId="77777777" w:rsidR="00A345F4" w:rsidRDefault="005E2D4E">
            <w:pPr>
              <w:pStyle w:val="P68B1DB1-Normal78"/>
              <w:spacing w:after="0" w:line="259" w:lineRule="auto"/>
              <w:jc w:val="center"/>
              <w:rPr>
                <w:noProof/>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78F4A4D6" w14:textId="25D2C97A" w:rsidR="00A345F4" w:rsidRDefault="005E2D4E">
            <w:pPr>
              <w:pStyle w:val="P68B1DB1-Normal74"/>
              <w:spacing w:after="0" w:line="259" w:lineRule="auto"/>
              <w:rPr>
                <w:rFonts w:eastAsia="Aptos"/>
                <w:noProof/>
                <w:color w:val="000000"/>
              </w:rPr>
            </w:pPr>
            <w:r>
              <w:rPr>
                <w:noProof/>
              </w:rPr>
              <w:t xml:space="preserve"> Sites touristiques ouverts aux visiteurs</w:t>
            </w:r>
          </w:p>
        </w:tc>
      </w:tr>
      <w:tr w:rsidR="00A345F4" w14:paraId="76A00BB8"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A92BA02" w14:textId="77777777" w:rsidR="00A345F4" w:rsidRDefault="005E2D4E">
            <w:pPr>
              <w:pStyle w:val="P68B1DB1-Normal78"/>
              <w:spacing w:after="0" w:line="259" w:lineRule="auto"/>
              <w:rPr>
                <w:noProof/>
              </w:rPr>
            </w:pPr>
            <w:r>
              <w:rPr>
                <w:noProof/>
              </w:rPr>
              <w:t>RO-C[C11]-I[I2.0]-T[337]</w:t>
            </w:r>
          </w:p>
        </w:tc>
        <w:tc>
          <w:tcPr>
            <w:tcW w:w="3544" w:type="dxa"/>
            <w:tcBorders>
              <w:top w:val="single" w:sz="4" w:space="0" w:color="auto"/>
              <w:left w:val="nil"/>
              <w:bottom w:val="single" w:sz="4" w:space="0" w:color="auto"/>
              <w:right w:val="single" w:sz="4" w:space="0" w:color="auto"/>
            </w:tcBorders>
            <w:shd w:val="clear" w:color="auto" w:fill="C6EFCE"/>
            <w:noWrap/>
          </w:tcPr>
          <w:p w14:paraId="09F69FEB" w14:textId="77777777" w:rsidR="00A345F4" w:rsidRDefault="005E2D4E">
            <w:pPr>
              <w:pStyle w:val="P68B1DB1-Normal78"/>
              <w:spacing w:after="0" w:line="259" w:lineRule="auto"/>
              <w:rPr>
                <w:noProof/>
              </w:rPr>
            </w:pPr>
            <w:r>
              <w:rPr>
                <w:noProof/>
              </w:rPr>
              <w:t>Modernisation/création de musées et de monuments commémoratifs</w:t>
            </w:r>
          </w:p>
        </w:tc>
        <w:tc>
          <w:tcPr>
            <w:tcW w:w="1230" w:type="dxa"/>
            <w:tcBorders>
              <w:top w:val="single" w:sz="4" w:space="0" w:color="auto"/>
              <w:left w:val="nil"/>
              <w:bottom w:val="single" w:sz="4" w:space="0" w:color="auto"/>
              <w:right w:val="single" w:sz="4" w:space="0" w:color="auto"/>
            </w:tcBorders>
            <w:shd w:val="clear" w:color="auto" w:fill="C6EFCE"/>
            <w:noWrap/>
          </w:tcPr>
          <w:p w14:paraId="5561AEE5"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1F7F6DB2" w14:textId="77777777" w:rsidR="00A345F4" w:rsidRDefault="005E2D4E">
            <w:pPr>
              <w:pStyle w:val="P68B1DB1-Normal78"/>
              <w:spacing w:after="0" w:line="259" w:lineRule="auto"/>
              <w:rPr>
                <w:noProof/>
              </w:rPr>
            </w:pPr>
            <w:r>
              <w:rPr>
                <w:noProof/>
              </w:rPr>
              <w:t>Musées ou mémoriaux ouverts au public</w:t>
            </w:r>
          </w:p>
        </w:tc>
      </w:tr>
      <w:tr w:rsidR="00A345F4" w14:paraId="3CD6C64C"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4EE8BAD" w14:textId="77777777" w:rsidR="00A345F4" w:rsidRDefault="005E2D4E">
            <w:pPr>
              <w:pStyle w:val="P68B1DB1-Normal78"/>
              <w:spacing w:after="0" w:line="259" w:lineRule="auto"/>
              <w:rPr>
                <w:noProof/>
              </w:rPr>
            </w:pPr>
            <w:r>
              <w:rPr>
                <w:noProof/>
              </w:rPr>
              <w:t>RO-C[C11]-I[I4.0]-M[343]</w:t>
            </w:r>
          </w:p>
        </w:tc>
        <w:tc>
          <w:tcPr>
            <w:tcW w:w="3544" w:type="dxa"/>
            <w:tcBorders>
              <w:top w:val="single" w:sz="4" w:space="0" w:color="auto"/>
              <w:left w:val="nil"/>
              <w:bottom w:val="single" w:sz="4" w:space="0" w:color="auto"/>
              <w:right w:val="single" w:sz="4" w:space="0" w:color="auto"/>
            </w:tcBorders>
            <w:shd w:val="clear" w:color="auto" w:fill="C6EFCE"/>
            <w:noWrap/>
          </w:tcPr>
          <w:p w14:paraId="7E71532C" w14:textId="228809A4" w:rsidR="00A345F4" w:rsidRDefault="005E2D4E">
            <w:pPr>
              <w:pStyle w:val="P68B1DB1-Normal78"/>
              <w:spacing w:after="0" w:line="259" w:lineRule="auto"/>
              <w:rPr>
                <w:noProof/>
              </w:rPr>
            </w:pPr>
            <w:r>
              <w:rPr>
                <w:noProof/>
              </w:rPr>
              <w:t>Construction d'au moins 236 km de pistes cyclables</w:t>
            </w:r>
          </w:p>
        </w:tc>
        <w:tc>
          <w:tcPr>
            <w:tcW w:w="1230" w:type="dxa"/>
            <w:tcBorders>
              <w:top w:val="single" w:sz="4" w:space="0" w:color="auto"/>
              <w:left w:val="nil"/>
              <w:bottom w:val="single" w:sz="4" w:space="0" w:color="auto"/>
              <w:right w:val="single" w:sz="4" w:space="0" w:color="auto"/>
            </w:tcBorders>
            <w:shd w:val="clear" w:color="auto" w:fill="C6EFCE"/>
            <w:noWrap/>
          </w:tcPr>
          <w:p w14:paraId="5C90AB67"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350C8854" w14:textId="77777777" w:rsidR="00A345F4" w:rsidRDefault="005E2D4E">
            <w:pPr>
              <w:pStyle w:val="P68B1DB1-Normal78"/>
              <w:spacing w:after="0" w:line="259" w:lineRule="auto"/>
              <w:rPr>
                <w:noProof/>
              </w:rPr>
            </w:pPr>
            <w:r>
              <w:rPr>
                <w:noProof/>
              </w:rPr>
              <w:t>Itinéraires cyclables construits et accessibles pour le cyclisme</w:t>
            </w:r>
          </w:p>
        </w:tc>
      </w:tr>
      <w:tr w:rsidR="00A345F4" w14:paraId="77BA18CC"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6822BE7" w14:textId="77777777" w:rsidR="00A345F4" w:rsidRDefault="005E2D4E">
            <w:pPr>
              <w:pStyle w:val="P68B1DB1-Normal78"/>
              <w:spacing w:after="0" w:line="259" w:lineRule="auto"/>
              <w:rPr>
                <w:noProof/>
              </w:rPr>
            </w:pPr>
            <w:r>
              <w:rPr>
                <w:noProof/>
              </w:rPr>
              <w:t>RO-C[C12]-I[I3.0]-M[531]</w:t>
            </w:r>
          </w:p>
        </w:tc>
        <w:tc>
          <w:tcPr>
            <w:tcW w:w="3544" w:type="dxa"/>
            <w:tcBorders>
              <w:top w:val="single" w:sz="4" w:space="0" w:color="auto"/>
              <w:left w:val="nil"/>
              <w:bottom w:val="single" w:sz="4" w:space="0" w:color="auto"/>
              <w:right w:val="single" w:sz="4" w:space="0" w:color="auto"/>
            </w:tcBorders>
            <w:shd w:val="clear" w:color="auto" w:fill="C6EFCE"/>
            <w:noWrap/>
          </w:tcPr>
          <w:p w14:paraId="1ADAEBAD" w14:textId="77777777" w:rsidR="00A345F4" w:rsidRDefault="005E2D4E">
            <w:pPr>
              <w:pStyle w:val="P68B1DB1-Normal78"/>
              <w:spacing w:after="0" w:line="259" w:lineRule="auto"/>
              <w:rPr>
                <w:noProof/>
              </w:rPr>
            </w:pPr>
            <w:r>
              <w:rPr>
                <w:noProof/>
              </w:rPr>
              <w:t>Hôpitaux publics</w:t>
            </w:r>
          </w:p>
        </w:tc>
        <w:tc>
          <w:tcPr>
            <w:tcW w:w="1230" w:type="dxa"/>
            <w:tcBorders>
              <w:top w:val="single" w:sz="4" w:space="0" w:color="auto"/>
              <w:left w:val="nil"/>
              <w:bottom w:val="single" w:sz="4" w:space="0" w:color="auto"/>
              <w:right w:val="single" w:sz="4" w:space="0" w:color="auto"/>
            </w:tcBorders>
            <w:shd w:val="clear" w:color="auto" w:fill="C6EFCE"/>
            <w:noWrap/>
          </w:tcPr>
          <w:p w14:paraId="5B900C82"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403CCE10" w14:textId="77777777" w:rsidR="00A345F4" w:rsidRDefault="005E2D4E">
            <w:pPr>
              <w:pStyle w:val="P68B1DB1-Normal78"/>
              <w:spacing w:after="0" w:line="259" w:lineRule="auto"/>
              <w:rPr>
                <w:noProof/>
              </w:rPr>
            </w:pPr>
            <w:r>
              <w:rPr>
                <w:noProof/>
              </w:rPr>
              <w:t>Construction et équipement du Centre de diagnostic et de traitement de la tuberculose de Zerlendi Bucarest</w:t>
            </w:r>
          </w:p>
        </w:tc>
      </w:tr>
      <w:tr w:rsidR="00A345F4" w14:paraId="5BD19EAE"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95633E9" w14:textId="77777777" w:rsidR="00A345F4" w:rsidRDefault="005E2D4E">
            <w:pPr>
              <w:pStyle w:val="P68B1DB1-Normal78"/>
              <w:spacing w:after="0" w:line="259" w:lineRule="auto"/>
              <w:rPr>
                <w:noProof/>
              </w:rPr>
            </w:pPr>
            <w:r>
              <w:rPr>
                <w:noProof/>
              </w:rPr>
              <w:t>RO-C[C12]-I[I3.0]-M[532]</w:t>
            </w:r>
          </w:p>
        </w:tc>
        <w:tc>
          <w:tcPr>
            <w:tcW w:w="3544" w:type="dxa"/>
            <w:tcBorders>
              <w:top w:val="single" w:sz="4" w:space="0" w:color="auto"/>
              <w:left w:val="nil"/>
              <w:bottom w:val="single" w:sz="4" w:space="0" w:color="auto"/>
              <w:right w:val="single" w:sz="4" w:space="0" w:color="auto"/>
            </w:tcBorders>
            <w:shd w:val="clear" w:color="auto" w:fill="C6EFCE"/>
            <w:noWrap/>
          </w:tcPr>
          <w:p w14:paraId="3B123767" w14:textId="77777777" w:rsidR="00A345F4" w:rsidRDefault="005E2D4E">
            <w:pPr>
              <w:pStyle w:val="P68B1DB1-Normal78"/>
              <w:spacing w:after="0" w:line="259" w:lineRule="auto"/>
              <w:rPr>
                <w:noProof/>
              </w:rPr>
            </w:pPr>
            <w:r>
              <w:rPr>
                <w:noProof/>
              </w:rPr>
              <w:t>Hôpitaux publics</w:t>
            </w:r>
          </w:p>
        </w:tc>
        <w:tc>
          <w:tcPr>
            <w:tcW w:w="1230" w:type="dxa"/>
            <w:tcBorders>
              <w:top w:val="single" w:sz="4" w:space="0" w:color="auto"/>
              <w:left w:val="nil"/>
              <w:bottom w:val="single" w:sz="4" w:space="0" w:color="auto"/>
              <w:right w:val="single" w:sz="4" w:space="0" w:color="auto"/>
            </w:tcBorders>
            <w:shd w:val="clear" w:color="auto" w:fill="C6EFCE"/>
            <w:noWrap/>
          </w:tcPr>
          <w:p w14:paraId="44E44861"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04B9828A" w14:textId="77777777" w:rsidR="00A345F4" w:rsidRDefault="005E2D4E">
            <w:pPr>
              <w:pStyle w:val="P68B1DB1-Normal78"/>
              <w:spacing w:after="0" w:line="259" w:lineRule="auto"/>
              <w:rPr>
                <w:noProof/>
              </w:rPr>
            </w:pPr>
            <w:r>
              <w:rPr>
                <w:noProof/>
              </w:rPr>
              <w:t>Construction et équipement de l'Institut d'urgence pour les maladies cardiovasculaires et la transplantation de Târgu Mures</w:t>
            </w:r>
          </w:p>
        </w:tc>
      </w:tr>
      <w:tr w:rsidR="00A345F4" w14:paraId="451B2B89"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3C15C0B" w14:textId="77777777" w:rsidR="00A345F4" w:rsidRDefault="005E2D4E">
            <w:pPr>
              <w:pStyle w:val="P68B1DB1-Normal73"/>
              <w:spacing w:after="0" w:line="259" w:lineRule="auto"/>
              <w:rPr>
                <w:noProof/>
                <w:color w:val="000000"/>
              </w:rPr>
            </w:pPr>
            <w:r>
              <w:rPr>
                <w:noProof/>
              </w:rPr>
              <w:t>RO-C[C15]-I[I1a.0]-T[457a]</w:t>
            </w:r>
          </w:p>
        </w:tc>
        <w:tc>
          <w:tcPr>
            <w:tcW w:w="3544" w:type="dxa"/>
            <w:tcBorders>
              <w:top w:val="single" w:sz="4" w:space="0" w:color="auto"/>
              <w:left w:val="nil"/>
              <w:bottom w:val="single" w:sz="4" w:space="0" w:color="auto"/>
              <w:right w:val="single" w:sz="4" w:space="0" w:color="auto"/>
            </w:tcBorders>
            <w:shd w:val="clear" w:color="auto" w:fill="C6EFCE"/>
            <w:noWrap/>
          </w:tcPr>
          <w:p w14:paraId="7BF4DBDF" w14:textId="77777777" w:rsidR="00A345F4" w:rsidRDefault="005E2D4E">
            <w:pPr>
              <w:pStyle w:val="P68B1DB1-Normal73"/>
              <w:spacing w:after="0" w:line="259" w:lineRule="auto"/>
              <w:rPr>
                <w:noProof/>
                <w:color w:val="000000"/>
              </w:rPr>
            </w:pPr>
            <w:r>
              <w:rPr>
                <w:noProof/>
              </w:rPr>
              <w:t>Construction et équipement de crèches</w:t>
            </w:r>
          </w:p>
        </w:tc>
        <w:tc>
          <w:tcPr>
            <w:tcW w:w="1230" w:type="dxa"/>
            <w:tcBorders>
              <w:top w:val="single" w:sz="4" w:space="0" w:color="auto"/>
              <w:left w:val="nil"/>
              <w:bottom w:val="single" w:sz="4" w:space="0" w:color="auto"/>
              <w:right w:val="single" w:sz="4" w:space="0" w:color="auto"/>
            </w:tcBorders>
            <w:shd w:val="clear" w:color="auto" w:fill="C6EFCE"/>
            <w:noWrap/>
          </w:tcPr>
          <w:p w14:paraId="7BA3FDF5" w14:textId="77777777" w:rsidR="00A345F4" w:rsidRDefault="005E2D4E">
            <w:pPr>
              <w:pStyle w:val="P68B1DB1-Normal73"/>
              <w:spacing w:after="0" w:line="259" w:lineRule="auto"/>
              <w:jc w:val="center"/>
              <w:rPr>
                <w:noProof/>
                <w:color w:val="000000"/>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5D529B42" w14:textId="77777777" w:rsidR="00A345F4" w:rsidRDefault="005E2D4E">
            <w:pPr>
              <w:pStyle w:val="P68B1DB1-Normal73"/>
              <w:spacing w:after="0" w:line="259" w:lineRule="auto"/>
              <w:rPr>
                <w:noProof/>
                <w:color w:val="000000"/>
              </w:rPr>
            </w:pPr>
            <w:r>
              <w:rPr>
                <w:noProof/>
              </w:rPr>
              <w:t>Crèches construites et équipées</w:t>
            </w:r>
          </w:p>
        </w:tc>
      </w:tr>
      <w:tr w:rsidR="00A345F4" w14:paraId="6FA57635"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E620A93" w14:textId="77777777" w:rsidR="00A345F4" w:rsidRDefault="005E2D4E">
            <w:pPr>
              <w:pStyle w:val="P68B1DB1-Normal78"/>
              <w:spacing w:after="0" w:line="259" w:lineRule="auto"/>
              <w:rPr>
                <w:noProof/>
              </w:rPr>
            </w:pPr>
            <w:r>
              <w:rPr>
                <w:noProof/>
              </w:rPr>
              <w:t>RO-C[C15]-I[I10a.0]-T[488]</w:t>
            </w:r>
          </w:p>
        </w:tc>
        <w:tc>
          <w:tcPr>
            <w:tcW w:w="3544" w:type="dxa"/>
            <w:tcBorders>
              <w:top w:val="single" w:sz="4" w:space="0" w:color="auto"/>
              <w:left w:val="nil"/>
              <w:bottom w:val="single" w:sz="4" w:space="0" w:color="auto"/>
              <w:right w:val="single" w:sz="4" w:space="0" w:color="auto"/>
            </w:tcBorders>
            <w:shd w:val="clear" w:color="auto" w:fill="C6EFCE"/>
            <w:noWrap/>
          </w:tcPr>
          <w:p w14:paraId="523C8125" w14:textId="77777777" w:rsidR="00A345F4" w:rsidRDefault="005E2D4E">
            <w:pPr>
              <w:pStyle w:val="P68B1DB1-Normal78"/>
              <w:spacing w:after="0" w:line="259" w:lineRule="auto"/>
              <w:rPr>
                <w:noProof/>
              </w:rPr>
            </w:pPr>
            <w:r>
              <w:rPr>
                <w:noProof/>
              </w:rPr>
              <w:t>Construction d'un réseau d'écoles vertes</w:t>
            </w:r>
          </w:p>
        </w:tc>
        <w:tc>
          <w:tcPr>
            <w:tcW w:w="1230" w:type="dxa"/>
            <w:tcBorders>
              <w:top w:val="single" w:sz="4" w:space="0" w:color="auto"/>
              <w:left w:val="nil"/>
              <w:bottom w:val="single" w:sz="4" w:space="0" w:color="auto"/>
              <w:right w:val="single" w:sz="4" w:space="0" w:color="auto"/>
            </w:tcBorders>
            <w:shd w:val="clear" w:color="auto" w:fill="C6EFCE"/>
            <w:noWrap/>
          </w:tcPr>
          <w:p w14:paraId="763336D0" w14:textId="77777777" w:rsidR="00A345F4" w:rsidRDefault="005E2D4E">
            <w:pPr>
              <w:pStyle w:val="P68B1DB1-Normal78"/>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25CAC99E" w14:textId="77777777" w:rsidR="00A345F4" w:rsidRDefault="005E2D4E">
            <w:pPr>
              <w:pStyle w:val="P68B1DB1-Normal78"/>
              <w:spacing w:after="0" w:line="259" w:lineRule="auto"/>
              <w:rPr>
                <w:noProof/>
              </w:rPr>
            </w:pPr>
            <w:r>
              <w:rPr>
                <w:noProof/>
              </w:rPr>
              <w:t xml:space="preserve">Construction d'une nouvelle école verte </w:t>
            </w:r>
          </w:p>
        </w:tc>
      </w:tr>
      <w:tr w:rsidR="00A345F4" w14:paraId="75A0BEFC"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9B4B7DB" w14:textId="77777777" w:rsidR="00A345F4" w:rsidRDefault="005E2D4E">
            <w:pPr>
              <w:pStyle w:val="P68B1DB1-Normal78"/>
              <w:spacing w:after="0" w:line="259" w:lineRule="auto"/>
              <w:rPr>
                <w:noProof/>
              </w:rPr>
            </w:pPr>
            <w:r>
              <w:rPr>
                <w:noProof/>
              </w:rPr>
              <w:t>RO-C[C15]-I[I13.0]-M[496]</w:t>
            </w:r>
          </w:p>
        </w:tc>
        <w:tc>
          <w:tcPr>
            <w:tcW w:w="3544" w:type="dxa"/>
            <w:tcBorders>
              <w:top w:val="single" w:sz="4" w:space="0" w:color="auto"/>
              <w:left w:val="nil"/>
              <w:bottom w:val="single" w:sz="4" w:space="0" w:color="auto"/>
              <w:right w:val="single" w:sz="4" w:space="0" w:color="auto"/>
            </w:tcBorders>
            <w:shd w:val="clear" w:color="auto" w:fill="C6EFCE"/>
            <w:noWrap/>
          </w:tcPr>
          <w:p w14:paraId="64FE15E9" w14:textId="77777777" w:rsidR="00A345F4" w:rsidRDefault="005E2D4E">
            <w:pPr>
              <w:pStyle w:val="P68B1DB1-Normal78"/>
              <w:spacing w:after="0" w:line="259" w:lineRule="auto"/>
              <w:rPr>
                <w:noProof/>
              </w:rPr>
            </w:pPr>
            <w:r>
              <w:rPr>
                <w:noProof/>
              </w:rPr>
              <w:t>Équipement de laboratoires informatiques dans les écoles d’enseignement et de formation professionnels (EFP)</w:t>
            </w:r>
          </w:p>
        </w:tc>
        <w:tc>
          <w:tcPr>
            <w:tcW w:w="1230" w:type="dxa"/>
            <w:tcBorders>
              <w:top w:val="single" w:sz="4" w:space="0" w:color="auto"/>
              <w:left w:val="nil"/>
              <w:bottom w:val="single" w:sz="4" w:space="0" w:color="auto"/>
              <w:right w:val="single" w:sz="4" w:space="0" w:color="auto"/>
            </w:tcBorders>
            <w:shd w:val="clear" w:color="auto" w:fill="C6EFCE"/>
            <w:noWrap/>
          </w:tcPr>
          <w:p w14:paraId="029B852F"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23510104" w14:textId="77777777" w:rsidR="00A345F4" w:rsidRDefault="005E2D4E">
            <w:pPr>
              <w:pStyle w:val="P68B1DB1-Normal73"/>
              <w:spacing w:after="0" w:line="259" w:lineRule="auto"/>
              <w:rPr>
                <w:noProof/>
                <w:color w:val="000000"/>
              </w:rPr>
            </w:pPr>
            <w:r>
              <w:rPr>
                <w:noProof/>
                <w:color w:val="000000"/>
              </w:rPr>
              <w:t xml:space="preserve">Écoles d’EFP équipées d’équipements </w:t>
            </w:r>
            <w:r>
              <w:rPr>
                <w:noProof/>
              </w:rPr>
              <w:t>numériques pour les laboratoires informatiques</w:t>
            </w:r>
          </w:p>
        </w:tc>
      </w:tr>
      <w:tr w:rsidR="00A345F4" w14:paraId="1F6265BD"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2CBB3CC" w14:textId="77777777" w:rsidR="00A345F4" w:rsidRDefault="005E2D4E">
            <w:pPr>
              <w:pStyle w:val="P68B1DB1-Normal78"/>
              <w:spacing w:after="0" w:line="259" w:lineRule="auto"/>
              <w:rPr>
                <w:noProof/>
              </w:rPr>
            </w:pPr>
            <w:r>
              <w:rPr>
                <w:noProof/>
              </w:rPr>
              <w:t>RO-C[C15]-I[I17.0]-M[503]</w:t>
            </w:r>
          </w:p>
        </w:tc>
        <w:tc>
          <w:tcPr>
            <w:tcW w:w="3544" w:type="dxa"/>
            <w:tcBorders>
              <w:top w:val="single" w:sz="4" w:space="0" w:color="auto"/>
              <w:left w:val="nil"/>
              <w:bottom w:val="single" w:sz="4" w:space="0" w:color="auto"/>
              <w:right w:val="single" w:sz="4" w:space="0" w:color="auto"/>
            </w:tcBorders>
            <w:shd w:val="clear" w:color="auto" w:fill="C6EFCE"/>
            <w:noWrap/>
          </w:tcPr>
          <w:p w14:paraId="4BBD6277" w14:textId="77777777" w:rsidR="00A345F4" w:rsidRDefault="005E2D4E">
            <w:pPr>
              <w:pStyle w:val="P68B1DB1-Normal78"/>
              <w:spacing w:after="0" w:line="259" w:lineRule="auto"/>
              <w:rPr>
                <w:noProof/>
              </w:rPr>
            </w:pPr>
            <w:r>
              <w:rPr>
                <w:noProof/>
              </w:rPr>
              <w:t>Assurer l'infrastructure universitaire (hébergement, cantines, installations récréatives)</w:t>
            </w:r>
          </w:p>
        </w:tc>
        <w:tc>
          <w:tcPr>
            <w:tcW w:w="1230" w:type="dxa"/>
            <w:tcBorders>
              <w:top w:val="single" w:sz="4" w:space="0" w:color="auto"/>
              <w:left w:val="nil"/>
              <w:bottom w:val="single" w:sz="4" w:space="0" w:color="auto"/>
              <w:right w:val="single" w:sz="4" w:space="0" w:color="auto"/>
            </w:tcBorders>
            <w:shd w:val="clear" w:color="auto" w:fill="C6EFCE"/>
            <w:noWrap/>
          </w:tcPr>
          <w:p w14:paraId="3B774267" w14:textId="77777777" w:rsidR="00A345F4" w:rsidRDefault="005E2D4E">
            <w:pPr>
              <w:pStyle w:val="P68B1DB1-Normal73"/>
              <w:spacing w:after="0" w:line="259" w:lineRule="auto"/>
              <w:jc w:val="center"/>
              <w:rPr>
                <w:noProof/>
                <w:color w:val="000000"/>
              </w:rPr>
            </w:pPr>
            <w:r>
              <w:rPr>
                <w:noProof/>
              </w:rPr>
              <w:t>M</w:t>
            </w:r>
          </w:p>
        </w:tc>
        <w:tc>
          <w:tcPr>
            <w:tcW w:w="3447" w:type="dxa"/>
            <w:tcBorders>
              <w:top w:val="single" w:sz="4" w:space="0" w:color="auto"/>
              <w:left w:val="nil"/>
              <w:bottom w:val="single" w:sz="4" w:space="0" w:color="auto"/>
              <w:right w:val="single" w:sz="4" w:space="0" w:color="auto"/>
            </w:tcBorders>
            <w:shd w:val="clear" w:color="auto" w:fill="C6EFCE"/>
            <w:noWrap/>
          </w:tcPr>
          <w:p w14:paraId="693B34B8" w14:textId="77777777" w:rsidR="00A345F4" w:rsidRDefault="005E2D4E">
            <w:pPr>
              <w:pStyle w:val="P68B1DB1-Normal73"/>
              <w:spacing w:after="0" w:line="259" w:lineRule="auto"/>
              <w:rPr>
                <w:noProof/>
                <w:color w:val="000000"/>
              </w:rPr>
            </w:pPr>
            <w:r>
              <w:rPr>
                <w:noProof/>
              </w:rPr>
              <w:t xml:space="preserve">Construction et modernisation de </w:t>
            </w:r>
            <w:r>
              <w:rPr>
                <w:noProof/>
                <w:color w:val="000000"/>
              </w:rPr>
              <w:t xml:space="preserve">lieux de loisirs et de lecture, </w:t>
            </w:r>
            <w:r>
              <w:rPr>
                <w:noProof/>
              </w:rPr>
              <w:t>de cantines et de lieux d'hébergement</w:t>
            </w:r>
            <w:r>
              <w:rPr>
                <w:noProof/>
                <w:color w:val="000000"/>
              </w:rPr>
              <w:t xml:space="preserve"> </w:t>
            </w:r>
          </w:p>
        </w:tc>
      </w:tr>
      <w:tr w:rsidR="00A345F4" w14:paraId="5CD29BBA"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CE5D6E8" w14:textId="77777777" w:rsidR="00A345F4" w:rsidRDefault="005E2D4E">
            <w:pPr>
              <w:pStyle w:val="P68B1DB1-Normal78"/>
              <w:spacing w:after="0" w:line="259" w:lineRule="auto"/>
              <w:rPr>
                <w:noProof/>
              </w:rPr>
            </w:pPr>
            <w:r>
              <w:rPr>
                <w:noProof/>
              </w:rPr>
              <w:t>RO-C[C16]-I[I7a.0]-T[529a]</w:t>
            </w:r>
          </w:p>
        </w:tc>
        <w:tc>
          <w:tcPr>
            <w:tcW w:w="3544" w:type="dxa"/>
            <w:tcBorders>
              <w:top w:val="single" w:sz="4" w:space="0" w:color="auto"/>
              <w:left w:val="nil"/>
              <w:bottom w:val="single" w:sz="4" w:space="0" w:color="auto"/>
              <w:right w:val="single" w:sz="4" w:space="0" w:color="auto"/>
            </w:tcBorders>
            <w:shd w:val="clear" w:color="auto" w:fill="C6EFCE"/>
            <w:noWrap/>
          </w:tcPr>
          <w:p w14:paraId="3872548E" w14:textId="77777777" w:rsidR="00A345F4" w:rsidRDefault="005E2D4E">
            <w:pPr>
              <w:pStyle w:val="P68B1DB1-Normal78"/>
              <w:spacing w:after="0" w:line="259" w:lineRule="auto"/>
              <w:rPr>
                <w:noProof/>
              </w:rPr>
            </w:pPr>
            <w:r>
              <w:rPr>
                <w:noProof/>
              </w:rPr>
              <w:t>Bons de subvention pour soutenir les rénovations énergétiques des ménages</w:t>
            </w:r>
          </w:p>
        </w:tc>
        <w:tc>
          <w:tcPr>
            <w:tcW w:w="1230" w:type="dxa"/>
            <w:tcBorders>
              <w:top w:val="single" w:sz="4" w:space="0" w:color="auto"/>
              <w:left w:val="nil"/>
              <w:bottom w:val="single" w:sz="4" w:space="0" w:color="auto"/>
              <w:right w:val="single" w:sz="4" w:space="0" w:color="auto"/>
            </w:tcBorders>
            <w:shd w:val="clear" w:color="auto" w:fill="C6EFCE"/>
            <w:noWrap/>
          </w:tcPr>
          <w:p w14:paraId="15229000" w14:textId="77777777" w:rsidR="00A345F4" w:rsidRDefault="005E2D4E">
            <w:pPr>
              <w:pStyle w:val="P68B1DB1-Normal73"/>
              <w:spacing w:after="0" w:line="259" w:lineRule="auto"/>
              <w:jc w:val="center"/>
              <w:rPr>
                <w:noProof/>
              </w:rPr>
            </w:pPr>
            <w:r>
              <w:rPr>
                <w:noProof/>
              </w:rPr>
              <w:t>T</w:t>
            </w:r>
          </w:p>
        </w:tc>
        <w:tc>
          <w:tcPr>
            <w:tcW w:w="3447" w:type="dxa"/>
            <w:tcBorders>
              <w:top w:val="single" w:sz="4" w:space="0" w:color="auto"/>
              <w:left w:val="nil"/>
              <w:bottom w:val="single" w:sz="4" w:space="0" w:color="auto"/>
              <w:right w:val="single" w:sz="4" w:space="0" w:color="auto"/>
            </w:tcBorders>
            <w:shd w:val="clear" w:color="auto" w:fill="C6EFCE"/>
            <w:noWrap/>
          </w:tcPr>
          <w:p w14:paraId="69FAFD41" w14:textId="57E6A005" w:rsidR="00A345F4" w:rsidRDefault="005E2D4E">
            <w:pPr>
              <w:pStyle w:val="P68B1DB1-Normal73"/>
              <w:spacing w:after="0" w:line="259" w:lineRule="auto"/>
              <w:rPr>
                <w:noProof/>
              </w:rPr>
            </w:pPr>
            <w:r>
              <w:rPr>
                <w:noProof/>
              </w:rPr>
              <w:t>Autorisation des paiements pour la rénovation énergétique des logements</w:t>
            </w:r>
          </w:p>
        </w:tc>
      </w:tr>
      <w:tr w:rsidR="00A345F4" w14:paraId="16D13258"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6AD04BE" w14:textId="77777777" w:rsidR="00A345F4" w:rsidRDefault="00A345F4">
            <w:pPr>
              <w:spacing w:after="0" w:line="259" w:lineRule="auto"/>
              <w:rPr>
                <w:rFonts w:ascii="Times New Roman" w:eastAsia="Aptos" w:hAnsi="Times New Roman" w:cs="Times New Roman"/>
                <w:noProof/>
                <w:color w:val="000000"/>
                <w:kern w:val="2"/>
                <w:sz w:val="22"/>
                <w:szCs w:val="22"/>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069B9C28" w14:textId="77777777" w:rsidR="00A345F4" w:rsidRDefault="00A345F4">
            <w:pPr>
              <w:spacing w:after="0" w:line="259" w:lineRule="auto"/>
              <w:rPr>
                <w:rFonts w:ascii="Times New Roman" w:eastAsia="Aptos" w:hAnsi="Times New Roman" w:cs="Times New Roman"/>
                <w:noProof/>
                <w:color w:val="000000"/>
                <w:kern w:val="2"/>
                <w:sz w:val="22"/>
                <w:szCs w:val="22"/>
                <w14:ligatures w14:val="standardContextual"/>
              </w:rPr>
            </w:pPr>
          </w:p>
        </w:tc>
        <w:tc>
          <w:tcPr>
            <w:tcW w:w="1230" w:type="dxa"/>
            <w:tcBorders>
              <w:top w:val="single" w:sz="4" w:space="0" w:color="auto"/>
              <w:left w:val="nil"/>
              <w:bottom w:val="single" w:sz="4" w:space="0" w:color="auto"/>
              <w:right w:val="single" w:sz="4" w:space="0" w:color="auto"/>
            </w:tcBorders>
            <w:shd w:val="clear" w:color="auto" w:fill="C6EFCE"/>
            <w:noWrap/>
          </w:tcPr>
          <w:p w14:paraId="1AC267AD" w14:textId="77777777" w:rsidR="00A345F4" w:rsidRDefault="005E2D4E">
            <w:pPr>
              <w:pStyle w:val="P68B1DB1-Normal74"/>
              <w:spacing w:after="0" w:line="259" w:lineRule="auto"/>
              <w:jc w:val="center"/>
              <w:rPr>
                <w:rFonts w:eastAsia="Aptos"/>
                <w:noProof/>
                <w:color w:val="000000"/>
              </w:rPr>
            </w:pPr>
            <w:r>
              <w:rPr>
                <w:noProof/>
              </w:rPr>
              <w:t>Montant des acomptes provisionnels</w:t>
            </w:r>
          </w:p>
        </w:tc>
        <w:tc>
          <w:tcPr>
            <w:tcW w:w="3447" w:type="dxa"/>
            <w:tcBorders>
              <w:top w:val="single" w:sz="4" w:space="0" w:color="auto"/>
              <w:left w:val="nil"/>
              <w:bottom w:val="single" w:sz="4" w:space="0" w:color="auto"/>
              <w:right w:val="single" w:sz="4" w:space="0" w:color="auto"/>
            </w:tcBorders>
            <w:shd w:val="clear" w:color="auto" w:fill="C6EFCE"/>
            <w:noWrap/>
            <w:vAlign w:val="center"/>
          </w:tcPr>
          <w:p w14:paraId="2F1013B7" w14:textId="2F0DE71A" w:rsidR="00A345F4" w:rsidRDefault="005E2D4E">
            <w:pPr>
              <w:pStyle w:val="P68B1DB1-Normal78"/>
              <w:spacing w:after="0" w:line="259" w:lineRule="auto"/>
              <w:jc w:val="right"/>
              <w:rPr>
                <w:noProof/>
              </w:rPr>
            </w:pPr>
            <w:r>
              <w:rPr>
                <w:noProof/>
              </w:rPr>
              <w:t>3 033 029 993 EUR</w:t>
            </w:r>
          </w:p>
        </w:tc>
      </w:tr>
    </w:tbl>
    <w:p w14:paraId="752262EE" w14:textId="77777777" w:rsidR="00A345F4" w:rsidRDefault="00A345F4">
      <w:pPr>
        <w:spacing w:line="259" w:lineRule="auto"/>
        <w:rPr>
          <w:rFonts w:ascii="Times New Roman" w:eastAsia="Aptos" w:hAnsi="Times New Roman" w:cs="Times New Roman"/>
          <w:noProof/>
          <w:kern w:val="2"/>
          <w:sz w:val="22"/>
          <w:szCs w:val="22"/>
          <w14:ligatures w14:val="standardContextual"/>
        </w:rPr>
      </w:pPr>
    </w:p>
    <w:p w14:paraId="433A2BCA" w14:textId="77777777" w:rsidR="00A345F4" w:rsidRDefault="00A345F4">
      <w:pPr>
        <w:spacing w:line="259" w:lineRule="auto"/>
        <w:rPr>
          <w:rFonts w:ascii="Times New Roman" w:eastAsia="Aptos" w:hAnsi="Times New Roman" w:cs="Times New Roman"/>
          <w:noProof/>
          <w:kern w:val="2"/>
          <w:sz w:val="22"/>
          <w:szCs w:val="22"/>
          <w14:ligatures w14:val="standardContextual"/>
        </w:rPr>
        <w:sectPr w:rsidR="00A345F4" w:rsidSect="00137D7A">
          <w:headerReference w:type="even" r:id="rId389"/>
          <w:headerReference w:type="default" r:id="rId390"/>
          <w:footerReference w:type="even" r:id="rId391"/>
          <w:footerReference w:type="default" r:id="rId392"/>
          <w:headerReference w:type="first" r:id="rId393"/>
          <w:footerReference w:type="first" r:id="rId394"/>
          <w:pgSz w:w="11907" w:h="16839"/>
          <w:pgMar w:top="1134" w:right="1134" w:bottom="1134" w:left="1134" w:header="567" w:footer="567" w:gutter="0"/>
          <w:cols w:space="720"/>
          <w:docGrid w:linePitch="360"/>
        </w:sectPr>
      </w:pPr>
    </w:p>
    <w:p w14:paraId="29AEAA71" w14:textId="77777777" w:rsidR="00A345F4" w:rsidRDefault="005E2D4E">
      <w:pPr>
        <w:pStyle w:val="P68B1DB1-Normal86"/>
        <w:keepNext/>
        <w:numPr>
          <w:ilvl w:val="0"/>
          <w:numId w:val="110"/>
        </w:numPr>
        <w:spacing w:before="360" w:after="360" w:line="240" w:lineRule="auto"/>
        <w:jc w:val="both"/>
        <w:outlineLvl w:val="0"/>
        <w:rPr>
          <w:noProof/>
          <w:color w:val="0F4761"/>
          <w:kern w:val="2"/>
          <w:sz w:val="40"/>
          <w:szCs w:val="40"/>
          <w14:ligatures w14:val="standardContextual"/>
        </w:rPr>
      </w:pPr>
      <w:r>
        <w:rPr>
          <w:noProof/>
        </w:rPr>
        <w:t>SECTION 3: DISPOSITIONS SUPPLÉMENTAIRES</w:t>
      </w:r>
    </w:p>
    <w:p w14:paraId="2CCD8486" w14:textId="77777777" w:rsidR="00A345F4" w:rsidRDefault="005E2D4E">
      <w:pPr>
        <w:pStyle w:val="P68B1DB1-Normal87"/>
        <w:keepNext/>
        <w:numPr>
          <w:ilvl w:val="1"/>
          <w:numId w:val="110"/>
        </w:numPr>
        <w:spacing w:before="120" w:after="240" w:line="240" w:lineRule="auto"/>
        <w:ind w:left="851" w:hanging="851"/>
        <w:jc w:val="both"/>
        <w:outlineLvl w:val="1"/>
        <w:rPr>
          <w:bCs/>
          <w:noProof/>
        </w:rPr>
      </w:pPr>
      <w:r>
        <w:rPr>
          <w:noProof/>
        </w:rPr>
        <w:t>Modalités de suivi et de mise en œuvre du plan pour la reprise et la résilience</w:t>
      </w:r>
    </w:p>
    <w:p w14:paraId="6361C97E" w14:textId="77777777" w:rsidR="00A345F4" w:rsidRDefault="005E2D4E">
      <w:pPr>
        <w:pStyle w:val="P68B1DB1-Normal32"/>
        <w:spacing w:line="259" w:lineRule="auto"/>
        <w:jc w:val="both"/>
        <w:rPr>
          <w:noProof/>
        </w:rPr>
      </w:pPr>
      <w:r>
        <w:rPr>
          <w:noProof/>
        </w:rPr>
        <w:t xml:space="preserve">Le suivi et la mise en œuvre du plan pour la reprise et la résilience de la Roumanie s’effectuent conformément aux dispositions suivantes: </w:t>
      </w:r>
    </w:p>
    <w:p w14:paraId="397BC52F" w14:textId="77777777" w:rsidR="00A345F4" w:rsidRDefault="005E2D4E">
      <w:pPr>
        <w:pStyle w:val="P68B1DB1-Normal32"/>
        <w:numPr>
          <w:ilvl w:val="0"/>
          <w:numId w:val="111"/>
        </w:numPr>
        <w:spacing w:line="259" w:lineRule="auto"/>
        <w:contextualSpacing/>
        <w:jc w:val="both"/>
        <w:rPr>
          <w:noProof/>
        </w:rPr>
      </w:pPr>
      <w:r>
        <w:rPr>
          <w:noProof/>
        </w:rPr>
        <w:t>Au niveau central, la coordination est assurée par le comité interministériel de coordination du plan, chargé d’examiner l’état d’avancement de la mise en œuvre du plan, en étroite coopération avec le ministère des investissements et des projets européens (MIPE). Le MIPE a été nommé coordinateur national pour la préparation, la négociation et l'approbation du plan, assisté par le ministère des finances (pour les tâches liées à la signature de la convention de prêt et de la convention de financement), avec la mise en place d'une structure spécialisée.</w:t>
      </w:r>
    </w:p>
    <w:p w14:paraId="5C4870D1" w14:textId="77777777" w:rsidR="00A345F4" w:rsidRDefault="005E2D4E">
      <w:pPr>
        <w:pStyle w:val="P68B1DB1-Normal32"/>
        <w:numPr>
          <w:ilvl w:val="0"/>
          <w:numId w:val="111"/>
        </w:numPr>
        <w:spacing w:line="259" w:lineRule="auto"/>
        <w:contextualSpacing/>
        <w:jc w:val="both"/>
        <w:rPr>
          <w:noProof/>
        </w:rPr>
      </w:pPr>
      <w:r>
        <w:rPr>
          <w:noProof/>
        </w:rPr>
        <w:t>Le MIPE est également chargé du contrôle et du suivi du plan, y compris du suivi de la réalisation des jalons et cibles, ainsi que de la prévention, de la détection et de la correction des irrégularités graves. Enfin, le même ministère est également chargé de l’établissement et de la signature des demandes de paiement et des déclarations de gestion.</w:t>
      </w:r>
    </w:p>
    <w:p w14:paraId="621CEC79" w14:textId="77777777" w:rsidR="00A345F4" w:rsidRDefault="005E2D4E">
      <w:pPr>
        <w:pStyle w:val="P68B1DB1-Normal32"/>
        <w:numPr>
          <w:ilvl w:val="0"/>
          <w:numId w:val="111"/>
        </w:numPr>
        <w:spacing w:line="259" w:lineRule="auto"/>
        <w:contextualSpacing/>
        <w:jc w:val="both"/>
        <w:rPr>
          <w:noProof/>
        </w:rPr>
      </w:pPr>
      <w:r>
        <w:rPr>
          <w:noProof/>
        </w:rPr>
        <w:t>La mise en œuvre du plan est assurée par les ministères d'exécution et leurs structures subordonnées, par la conclusion de conventions de financement avec le MIPE.</w:t>
      </w:r>
    </w:p>
    <w:p w14:paraId="0AA8C30A" w14:textId="77777777" w:rsidR="00A345F4" w:rsidRDefault="00A345F4">
      <w:pPr>
        <w:spacing w:line="259" w:lineRule="auto"/>
        <w:ind w:left="720"/>
        <w:contextualSpacing/>
        <w:jc w:val="both"/>
        <w:rPr>
          <w:rFonts w:ascii="Times New Roman" w:eastAsia="Aptos" w:hAnsi="Times New Roman" w:cs="Times New Roman"/>
          <w:noProof/>
          <w:kern w:val="2"/>
          <w14:ligatures w14:val="standardContextual"/>
        </w:rPr>
      </w:pPr>
    </w:p>
    <w:p w14:paraId="074F0B63" w14:textId="77777777" w:rsidR="00A345F4" w:rsidRDefault="005E2D4E">
      <w:pPr>
        <w:pStyle w:val="P68B1DB1-Normal52"/>
        <w:keepNext/>
        <w:numPr>
          <w:ilvl w:val="1"/>
          <w:numId w:val="110"/>
        </w:numPr>
        <w:spacing w:before="120" w:after="240" w:line="240" w:lineRule="auto"/>
        <w:ind w:left="851" w:hanging="851"/>
        <w:jc w:val="both"/>
        <w:outlineLvl w:val="1"/>
        <w:rPr>
          <w:noProof/>
        </w:rPr>
      </w:pPr>
      <w:r>
        <w:rPr>
          <w:noProof/>
        </w:rPr>
        <w:t>Modalités d'accès ennuyeux de la Commission aux données sous-jacentes</w:t>
      </w:r>
    </w:p>
    <w:p w14:paraId="7E7483A4" w14:textId="77777777" w:rsidR="00A345F4" w:rsidRDefault="005E2D4E">
      <w:pPr>
        <w:pStyle w:val="P68B1DB1-Normal32"/>
        <w:spacing w:line="259" w:lineRule="auto"/>
        <w:jc w:val="both"/>
        <w:rPr>
          <w:noProof/>
        </w:rPr>
      </w:pPr>
      <w:r>
        <w:rPr>
          <w:noProof/>
        </w:rPr>
        <w:t xml:space="preserve">Afin de permettre à la Commission d’accéder pleinement aux données pertinentes sous-jacentes, la Roumanie met en place les dispositions suivantes: </w:t>
      </w:r>
    </w:p>
    <w:p w14:paraId="56EB3100" w14:textId="77777777" w:rsidR="00A345F4" w:rsidRDefault="005E2D4E">
      <w:pPr>
        <w:pStyle w:val="P68B1DB1-Normal32"/>
        <w:spacing w:line="259" w:lineRule="auto"/>
        <w:jc w:val="both"/>
        <w:rPr>
          <w:noProof/>
        </w:rPr>
      </w:pPr>
      <w:r>
        <w:rPr>
          <w:noProof/>
        </w:rPr>
        <w:t xml:space="preserve">Le MIPE, en tant que coordinateur national du plan, est responsable de la coordination, du contrôle et du suivi globaux du plan. En particulier, il joue le rôle d’organe de coordination pour le suivi des progrès accomplis en ce qui concerne les jalons et les cibles, tandis que les audits relèvent de la responsabilité de l’autorité d’audit. Le MIPE coordonne la communication des jalons et cibles, de tous les indicateurs pertinents, mais aussi des informations financières qualitatives et d’autres données, par exemple sur les bénéficiaires finaux. L’encodage des données a lieu dans le système informatique de MIPE. </w:t>
      </w:r>
    </w:p>
    <w:p w14:paraId="17C3A1BF" w14:textId="77777777" w:rsidR="00A345F4" w:rsidRDefault="005E2D4E">
      <w:pPr>
        <w:pStyle w:val="P68B1DB1-Normal32"/>
        <w:spacing w:line="259" w:lineRule="auto"/>
        <w:jc w:val="both"/>
        <w:rPr>
          <w:noProof/>
        </w:rPr>
      </w:pPr>
      <w:r>
        <w:rPr>
          <w:noProof/>
        </w:rPr>
        <w:t>Conformément à l’article 24, paragraphe 2, du règlement (UE) 2021/241, lorsque les jalons et cibles pertinents convenus à la section 2.1 de la présente annexe sont atteints, la Roumanie présente à la Commission une demande dûment justifiée de paiement de la contribution financière et, le cas échéant, du prêt. La Roumanie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p w14:paraId="4720E092" w14:textId="77777777" w:rsidR="00A345F4" w:rsidRDefault="00A345F4">
      <w:pPr>
        <w:spacing w:line="259" w:lineRule="auto"/>
        <w:rPr>
          <w:rFonts w:ascii="Aptos" w:eastAsia="Aptos" w:hAnsi="Aptos" w:cs="Times New Roman"/>
          <w:noProof/>
          <w:kern w:val="2"/>
          <w:sz w:val="22"/>
          <w:szCs w:val="22"/>
          <w14:ligatures w14:val="standardContextual"/>
        </w:rPr>
      </w:pPr>
    </w:p>
    <w:p w14:paraId="5354261E" w14:textId="77777777" w:rsidR="00A345F4" w:rsidRDefault="00A345F4">
      <w:pPr>
        <w:spacing w:line="259" w:lineRule="auto"/>
        <w:rPr>
          <w:rFonts w:ascii="Aptos" w:eastAsia="Aptos" w:hAnsi="Aptos" w:cs="Times New Roman"/>
          <w:noProof/>
          <w:kern w:val="2"/>
          <w:sz w:val="22"/>
          <w:szCs w:val="22"/>
          <w14:ligatures w14:val="standardContextual"/>
        </w:rPr>
      </w:pPr>
    </w:p>
    <w:p w14:paraId="4E9A5B52" w14:textId="77777777" w:rsidR="00A345F4" w:rsidRDefault="00A345F4">
      <w:pPr>
        <w:rPr>
          <w:rFonts w:ascii="Times New Roman" w:hAnsi="Times New Roman" w:cs="Times New Roman"/>
          <w:noProof/>
        </w:rPr>
      </w:pPr>
    </w:p>
    <w:sectPr w:rsidR="00A345F4">
      <w:headerReference w:type="even" r:id="rId395"/>
      <w:headerReference w:type="default" r:id="rId396"/>
      <w:footerReference w:type="even" r:id="rId397"/>
      <w:footerReference w:type="default" r:id="rId398"/>
      <w:headerReference w:type="first" r:id="rId399"/>
      <w:footerReference w:type="first" r:id="rId400"/>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00995" w14:textId="77777777" w:rsidR="00514EAF" w:rsidRDefault="00514EAF">
      <w:pPr>
        <w:spacing w:after="0" w:line="240" w:lineRule="auto"/>
        <w:rPr>
          <w:rFonts w:hint="eastAsia"/>
        </w:rPr>
      </w:pPr>
      <w:r>
        <w:separator/>
      </w:r>
    </w:p>
  </w:endnote>
  <w:endnote w:type="continuationSeparator" w:id="0">
    <w:p w14:paraId="143DEC7E" w14:textId="77777777" w:rsidR="00514EAF" w:rsidRDefault="00514EA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Noto Sans Symbols">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quot;Calibri&quot;,sans-serif">
    <w:altName w:val="Times New Roman"/>
    <w:panose1 w:val="00000000000000000000"/>
    <w:charset w:val="00"/>
    <w:family w:val="roman"/>
    <w:notTrueType/>
    <w:pitch w:val="default"/>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Liberation Serif">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liberation">
    <w:altName w:val="Cambria"/>
    <w:panose1 w:val="00000000000000000000"/>
    <w:charset w:val="00"/>
    <w:family w:val="roman"/>
    <w:notTrueType/>
    <w:pitch w:val="default"/>
  </w:font>
  <w:font w:name="libe">
    <w:altName w:val="Cambria"/>
    <w:panose1 w:val="00000000000000000000"/>
    <w:charset w:val="00"/>
    <w:family w:val="roman"/>
    <w:notTrueType/>
    <w:pitch w:val="default"/>
  </w:font>
  <w:font w:name="lib">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E5092" w14:textId="7D26122F" w:rsidR="00AA39B1" w:rsidRPr="00AA39B1" w:rsidRDefault="00AA39B1" w:rsidP="00AA39B1">
    <w:pPr>
      <w:pStyle w:val="FooterCoverPage"/>
      <w:rPr>
        <w:rFonts w:ascii="Arial" w:hAnsi="Arial" w:cs="Arial"/>
        <w:b/>
        <w:sz w:val="48"/>
      </w:rPr>
    </w:pPr>
    <w:r w:rsidRPr="00AA39B1">
      <w:rPr>
        <w:rFonts w:ascii="Arial" w:hAnsi="Arial" w:cs="Arial"/>
        <w:b/>
        <w:sz w:val="48"/>
      </w:rPr>
      <w:t>FR</w:t>
    </w:r>
    <w:r w:rsidRPr="00AA39B1">
      <w:rPr>
        <w:rFonts w:ascii="Arial" w:hAnsi="Arial" w:cs="Arial"/>
        <w:b/>
        <w:sz w:val="48"/>
      </w:rPr>
      <w:tab/>
    </w:r>
    <w:r w:rsidRPr="00AA39B1">
      <w:rPr>
        <w:rFonts w:ascii="Arial" w:hAnsi="Arial" w:cs="Arial"/>
        <w:b/>
        <w:sz w:val="48"/>
      </w:rPr>
      <w:tab/>
    </w:r>
    <w:r w:rsidRPr="00AA39B1">
      <w:tab/>
    </w:r>
    <w:r w:rsidRPr="00AA39B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4B9D2" w14:textId="439A682D" w:rsidR="00AA39B1" w:rsidRPr="00AA39B1" w:rsidRDefault="00AA39B1" w:rsidP="00AA39B1">
    <w:pPr>
      <w:pStyle w:val="FooterCoverPage"/>
      <w:rPr>
        <w:rFonts w:ascii="Arial" w:hAnsi="Arial" w:cs="Arial"/>
        <w:b/>
        <w:sz w:val="48"/>
      </w:rPr>
    </w:pPr>
    <w:r w:rsidRPr="00AA39B1">
      <w:rPr>
        <w:rFonts w:ascii="Arial" w:hAnsi="Arial" w:cs="Arial"/>
        <w:b/>
        <w:sz w:val="48"/>
      </w:rPr>
      <w:t>FR</w:t>
    </w:r>
    <w:r w:rsidRPr="00AA39B1">
      <w:rPr>
        <w:rFonts w:ascii="Arial" w:hAnsi="Arial" w:cs="Arial"/>
        <w:b/>
        <w:sz w:val="48"/>
      </w:rPr>
      <w:tab/>
    </w:r>
    <w:r w:rsidRPr="00AA39B1">
      <w:rPr>
        <w:rFonts w:ascii="Arial" w:hAnsi="Arial" w:cs="Arial"/>
        <w:b/>
        <w:sz w:val="48"/>
      </w:rPr>
      <w:tab/>
    </w:r>
    <w:r w:rsidRPr="00AA39B1">
      <w:tab/>
    </w:r>
    <w:r w:rsidRPr="00AA39B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586F3" w14:textId="77777777" w:rsidR="00AA39B1" w:rsidRPr="00AA39B1" w:rsidRDefault="00AA39B1" w:rsidP="00AA39B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C6938" w14:textId="77777777" w:rsidR="00A345F4" w:rsidRDefault="005E2D4E">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075739"/>
      <w:docPartObj>
        <w:docPartGallery w:val="Page Numbers (Bottom of Page)"/>
        <w:docPartUnique/>
      </w:docPartObj>
    </w:sdtPr>
    <w:sdtEndPr>
      <w:rPr>
        <w:noProof/>
      </w:rPr>
    </w:sdtEndPr>
    <w:sdtContent>
      <w:p w14:paraId="3E86CC50" w14:textId="35E50557" w:rsidR="00A345F4" w:rsidRDefault="005E2D4E">
        <w:pPr>
          <w:pStyle w:val="P68B1DB1-Footer88"/>
          <w:jc w:val="center"/>
        </w:pPr>
        <w:r>
          <w:fldChar w:fldCharType="begin"/>
        </w:r>
        <w:r>
          <w:instrText xml:space="preserve"> PAGE   \* MERGEFORMAT </w:instrText>
        </w:r>
        <w:r>
          <w:fldChar w:fldCharType="separate"/>
        </w:r>
        <w:r w:rsidR="00AA39B1">
          <w:rPr>
            <w:noProof/>
          </w:rPr>
          <w:t>1</w:t>
        </w:r>
        <w:r>
          <w:fldChar w:fldCharType="end"/>
        </w:r>
      </w:p>
    </w:sdtContent>
  </w:sdt>
  <w:p w14:paraId="33CA59CC" w14:textId="77777777" w:rsidR="00A345F4" w:rsidRDefault="00A345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0F8A0" w14:textId="77777777" w:rsidR="00A345F4" w:rsidRDefault="00A345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134FD" w14:textId="77777777" w:rsidR="00A345F4" w:rsidRDefault="00A345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873657"/>
      <w:docPartObj>
        <w:docPartGallery w:val="Page Numbers (Bottom of Page)"/>
        <w:docPartUnique/>
      </w:docPartObj>
    </w:sdtPr>
    <w:sdtEndPr>
      <w:rPr>
        <w:noProof/>
      </w:rPr>
    </w:sdtEndPr>
    <w:sdtContent>
      <w:p w14:paraId="7E953301" w14:textId="53DC3D7E" w:rsidR="00A345F4" w:rsidRDefault="005E2D4E">
        <w:pPr>
          <w:pStyle w:val="Footer"/>
          <w:jc w:val="center"/>
        </w:pPr>
        <w:r>
          <w:fldChar w:fldCharType="begin"/>
        </w:r>
        <w:r>
          <w:instrText xml:space="preserve"> PAGE   \* MERGEFORMAT </w:instrText>
        </w:r>
        <w:r>
          <w:fldChar w:fldCharType="separate"/>
        </w:r>
        <w:r w:rsidR="00AA39B1">
          <w:rPr>
            <w:noProof/>
          </w:rPr>
          <w:t>2</w:t>
        </w:r>
        <w:r>
          <w:fldChar w:fldCharType="end"/>
        </w:r>
      </w:p>
    </w:sdtContent>
  </w:sdt>
  <w:p w14:paraId="2ED86208" w14:textId="77777777" w:rsidR="00A345F4" w:rsidRDefault="00A345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7A85B" w14:textId="77777777" w:rsidR="00A345F4" w:rsidRDefault="00A345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CA9EB" w14:textId="77777777" w:rsidR="00A345F4" w:rsidRDefault="00A345F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421808"/>
      <w:docPartObj>
        <w:docPartGallery w:val="Page Numbers (Bottom of Page)"/>
        <w:docPartUnique/>
      </w:docPartObj>
    </w:sdtPr>
    <w:sdtEndPr>
      <w:rPr>
        <w:noProof/>
      </w:rPr>
    </w:sdtEndPr>
    <w:sdtContent>
      <w:p w14:paraId="724B7859" w14:textId="19DD85AD" w:rsidR="00A345F4" w:rsidRDefault="005E2D4E">
        <w:pPr>
          <w:pStyle w:val="P68B1DB1-Footer88"/>
          <w:jc w:val="center"/>
        </w:pPr>
        <w:r>
          <w:fldChar w:fldCharType="begin"/>
        </w:r>
        <w:r>
          <w:instrText xml:space="preserve"> PAGE   \* MERGEFORMAT </w:instrText>
        </w:r>
        <w:r>
          <w:fldChar w:fldCharType="separate"/>
        </w:r>
        <w:r w:rsidR="00AA39B1">
          <w:rPr>
            <w:noProof/>
          </w:rPr>
          <w:t>4</w:t>
        </w:r>
        <w:r>
          <w:fldChar w:fldCharType="end"/>
        </w:r>
      </w:p>
    </w:sdtContent>
  </w:sdt>
  <w:p w14:paraId="7D939B65" w14:textId="77777777" w:rsidR="00A345F4" w:rsidRDefault="00A345F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5A97F" w14:textId="77777777" w:rsidR="00A345F4" w:rsidRDefault="00A345F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872B" w14:textId="77777777" w:rsidR="00A345F4" w:rsidRDefault="00A345F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286765"/>
      <w:docPartObj>
        <w:docPartGallery w:val="Page Numbers (Bottom of Page)"/>
        <w:docPartUnique/>
      </w:docPartObj>
    </w:sdtPr>
    <w:sdtEndPr>
      <w:rPr>
        <w:noProof/>
      </w:rPr>
    </w:sdtEndPr>
    <w:sdtContent>
      <w:p w14:paraId="25ECD050" w14:textId="504A8C1A" w:rsidR="00A345F4" w:rsidRDefault="005E2D4E">
        <w:pPr>
          <w:pStyle w:val="P68B1DB1-Footer88"/>
          <w:jc w:val="center"/>
        </w:pPr>
        <w:r>
          <w:fldChar w:fldCharType="begin"/>
        </w:r>
        <w:r>
          <w:instrText xml:space="preserve"> PAGE   \* MERGEFORMAT </w:instrText>
        </w:r>
        <w:r>
          <w:fldChar w:fldCharType="separate"/>
        </w:r>
        <w:r w:rsidR="00AA39B1">
          <w:rPr>
            <w:noProof/>
          </w:rPr>
          <w:t>10</w:t>
        </w:r>
        <w:r>
          <w:fldChar w:fldCharType="end"/>
        </w:r>
      </w:p>
    </w:sdtContent>
  </w:sdt>
  <w:p w14:paraId="6A4E2E1C" w14:textId="77777777" w:rsidR="00A345F4" w:rsidRDefault="00A345F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33463" w14:textId="77777777" w:rsidR="00A345F4" w:rsidRDefault="00A345F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39A24" w14:textId="77777777" w:rsidR="00A345F4" w:rsidRDefault="00A345F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058621"/>
      <w:docPartObj>
        <w:docPartGallery w:val="Page Numbers (Bottom of Page)"/>
        <w:docPartUnique/>
      </w:docPartObj>
    </w:sdtPr>
    <w:sdtEndPr>
      <w:rPr>
        <w:noProof/>
      </w:rPr>
    </w:sdtEndPr>
    <w:sdtContent>
      <w:p w14:paraId="1D09BBE5" w14:textId="2C44253F" w:rsidR="00A345F4" w:rsidRDefault="005E2D4E">
        <w:pPr>
          <w:pStyle w:val="Footer"/>
          <w:jc w:val="center"/>
        </w:pPr>
        <w:r>
          <w:fldChar w:fldCharType="begin"/>
        </w:r>
        <w:r>
          <w:instrText xml:space="preserve"> PAGE   \* MERGEFORMAT </w:instrText>
        </w:r>
        <w:r>
          <w:fldChar w:fldCharType="separate"/>
        </w:r>
        <w:r w:rsidR="00AA39B1">
          <w:rPr>
            <w:noProof/>
          </w:rPr>
          <w:t>12</w:t>
        </w:r>
        <w:r>
          <w:fldChar w:fldCharType="end"/>
        </w:r>
      </w:p>
    </w:sdtContent>
  </w:sdt>
  <w:p w14:paraId="41ACF6A2" w14:textId="77777777" w:rsidR="00A345F4" w:rsidRDefault="00A345F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C6A75" w14:textId="77777777" w:rsidR="00A345F4" w:rsidRDefault="00A345F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7F9E9" w14:textId="77777777" w:rsidR="00A345F4" w:rsidRDefault="00A345F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30460"/>
      <w:docPartObj>
        <w:docPartGallery w:val="Page Numbers (Bottom of Page)"/>
        <w:docPartUnique/>
      </w:docPartObj>
    </w:sdtPr>
    <w:sdtEndPr>
      <w:rPr>
        <w:noProof/>
      </w:rPr>
    </w:sdtEndPr>
    <w:sdtContent>
      <w:p w14:paraId="2570650E" w14:textId="7B1848FC" w:rsidR="00A345F4" w:rsidRDefault="005E2D4E">
        <w:pPr>
          <w:pStyle w:val="P68B1DB1-Footer88"/>
          <w:jc w:val="center"/>
        </w:pPr>
        <w:r>
          <w:fldChar w:fldCharType="begin"/>
        </w:r>
        <w:r>
          <w:instrText xml:space="preserve"> PAGE   \* MERGEFORMAT </w:instrText>
        </w:r>
        <w:r>
          <w:fldChar w:fldCharType="separate"/>
        </w:r>
        <w:r w:rsidR="00AA39B1">
          <w:rPr>
            <w:noProof/>
          </w:rPr>
          <w:t>16</w:t>
        </w:r>
        <w:r>
          <w:fldChar w:fldCharType="end"/>
        </w:r>
      </w:p>
    </w:sdtContent>
  </w:sdt>
  <w:p w14:paraId="08DA463C" w14:textId="77777777" w:rsidR="00A345F4" w:rsidRDefault="00A345F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4F3B6" w14:textId="77777777" w:rsidR="00A345F4" w:rsidRDefault="00A345F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A63DF" w14:textId="77777777" w:rsidR="00A345F4" w:rsidRDefault="00A345F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334625"/>
      <w:docPartObj>
        <w:docPartGallery w:val="Page Numbers (Bottom of Page)"/>
        <w:docPartUnique/>
      </w:docPartObj>
    </w:sdtPr>
    <w:sdtEndPr>
      <w:rPr>
        <w:noProof/>
      </w:rPr>
    </w:sdtEndPr>
    <w:sdtContent>
      <w:p w14:paraId="6EB58832" w14:textId="0917D454" w:rsidR="00A345F4" w:rsidRDefault="005E2D4E">
        <w:pPr>
          <w:pStyle w:val="P68B1DB1-Footer88"/>
          <w:jc w:val="center"/>
        </w:pPr>
        <w:r>
          <w:fldChar w:fldCharType="begin"/>
        </w:r>
        <w:r>
          <w:instrText xml:space="preserve"> PAGE   \* MERGEFORMAT </w:instrText>
        </w:r>
        <w:r>
          <w:fldChar w:fldCharType="separate"/>
        </w:r>
        <w:r w:rsidR="002E593B">
          <w:rPr>
            <w:noProof/>
          </w:rPr>
          <w:t>20</w:t>
        </w:r>
        <w:r>
          <w:fldChar w:fldCharType="end"/>
        </w:r>
      </w:p>
    </w:sdtContent>
  </w:sdt>
  <w:p w14:paraId="2A1316C1" w14:textId="77777777" w:rsidR="00A345F4" w:rsidRDefault="00A345F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52A6C" w14:textId="77777777" w:rsidR="00A345F4" w:rsidRDefault="00A345F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7087D" w14:textId="77777777" w:rsidR="00A345F4" w:rsidRDefault="00A345F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262938"/>
      <w:docPartObj>
        <w:docPartGallery w:val="Page Numbers (Bottom of Page)"/>
        <w:docPartUnique/>
      </w:docPartObj>
    </w:sdtPr>
    <w:sdtEndPr>
      <w:rPr>
        <w:noProof/>
      </w:rPr>
    </w:sdtEndPr>
    <w:sdtContent>
      <w:p w14:paraId="63DDED9A" w14:textId="47248CE1" w:rsidR="00A345F4" w:rsidRDefault="005E2D4E">
        <w:pPr>
          <w:pStyle w:val="P68B1DB1-Footer88"/>
          <w:jc w:val="center"/>
        </w:pPr>
        <w:r>
          <w:fldChar w:fldCharType="begin"/>
        </w:r>
        <w:r>
          <w:instrText xml:space="preserve"> PAGE   \* MERGEFORMAT </w:instrText>
        </w:r>
        <w:r>
          <w:fldChar w:fldCharType="separate"/>
        </w:r>
        <w:r w:rsidR="002E593B">
          <w:rPr>
            <w:noProof/>
          </w:rPr>
          <w:t>22</w:t>
        </w:r>
        <w:r>
          <w:fldChar w:fldCharType="end"/>
        </w:r>
      </w:p>
    </w:sdtContent>
  </w:sdt>
  <w:p w14:paraId="720A2FF6" w14:textId="77777777" w:rsidR="00A345F4" w:rsidRDefault="00A345F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6B653" w14:textId="77777777" w:rsidR="00A345F4" w:rsidRDefault="00A345F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E32B0" w14:textId="77777777" w:rsidR="00A345F4" w:rsidRDefault="00A345F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3746772"/>
      <w:docPartObj>
        <w:docPartGallery w:val="Page Numbers (Bottom of Page)"/>
        <w:docPartUnique/>
      </w:docPartObj>
    </w:sdtPr>
    <w:sdtEndPr>
      <w:rPr>
        <w:noProof/>
      </w:rPr>
    </w:sdtEndPr>
    <w:sdtContent>
      <w:p w14:paraId="77DFBDD4" w14:textId="56B0CAA9"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38DF3F5D" w14:textId="77777777" w:rsidR="00A345F4" w:rsidRDefault="00A345F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E9B7C" w14:textId="77777777" w:rsidR="00A345F4" w:rsidRDefault="00A345F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6D44F" w14:textId="77777777" w:rsidR="00A345F4" w:rsidRDefault="00A345F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739120"/>
      <w:docPartObj>
        <w:docPartGallery w:val="Page Numbers (Bottom of Page)"/>
        <w:docPartUnique/>
      </w:docPartObj>
    </w:sdtPr>
    <w:sdtEndPr>
      <w:rPr>
        <w:noProof/>
      </w:rPr>
    </w:sdtEndPr>
    <w:sdtContent>
      <w:p w14:paraId="1024F3A0" w14:textId="5CAD4946"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34CABB0B" w14:textId="77777777" w:rsidR="00A345F4" w:rsidRDefault="00A345F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898F3" w14:textId="77777777" w:rsidR="00A345F4" w:rsidRDefault="00A345F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64E70" w14:textId="77777777" w:rsidR="00A345F4" w:rsidRDefault="00A345F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018704"/>
      <w:docPartObj>
        <w:docPartGallery w:val="Page Numbers (Bottom of Page)"/>
        <w:docPartUnique/>
      </w:docPartObj>
    </w:sdtPr>
    <w:sdtEndPr>
      <w:rPr>
        <w:noProof/>
      </w:rPr>
    </w:sdtEndPr>
    <w:sdtContent>
      <w:p w14:paraId="1150220B" w14:textId="06502F9A"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70DF6EDE" w14:textId="77777777" w:rsidR="00A345F4" w:rsidRDefault="00A345F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3257" w14:textId="77777777" w:rsidR="00A345F4" w:rsidRDefault="00A345F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CBB76" w14:textId="77777777" w:rsidR="00A345F4" w:rsidRDefault="00A345F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5162410"/>
      <w:docPartObj>
        <w:docPartGallery w:val="Page Numbers (Bottom of Page)"/>
        <w:docPartUnique/>
      </w:docPartObj>
    </w:sdtPr>
    <w:sdtEndPr>
      <w:rPr>
        <w:noProof/>
      </w:rPr>
    </w:sdtEndPr>
    <w:sdtContent>
      <w:p w14:paraId="0BDAC7C9" w14:textId="32662829"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46DF467D" w14:textId="77777777" w:rsidR="00A345F4" w:rsidRDefault="00A345F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B4344" w14:textId="77777777" w:rsidR="00A345F4" w:rsidRDefault="00A345F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B3B73" w14:textId="77777777" w:rsidR="00A345F4" w:rsidRDefault="00A345F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788263"/>
      <w:docPartObj>
        <w:docPartGallery w:val="Page Numbers (Bottom of Page)"/>
        <w:docPartUnique/>
      </w:docPartObj>
    </w:sdtPr>
    <w:sdtEndPr>
      <w:rPr>
        <w:noProof/>
      </w:rPr>
    </w:sdtEndPr>
    <w:sdtContent>
      <w:p w14:paraId="5A0EA83E" w14:textId="7FB87CDC"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5C357507" w14:textId="77777777" w:rsidR="00A345F4" w:rsidRDefault="00A345F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8C389" w14:textId="77777777" w:rsidR="00A345F4" w:rsidRDefault="00A345F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98182" w14:textId="77777777" w:rsidR="00A345F4" w:rsidRDefault="00A345F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5487952"/>
      <w:docPartObj>
        <w:docPartGallery w:val="Page Numbers (Bottom of Page)"/>
        <w:docPartUnique/>
      </w:docPartObj>
    </w:sdtPr>
    <w:sdtEndPr>
      <w:rPr>
        <w:noProof/>
      </w:rPr>
    </w:sdtEndPr>
    <w:sdtContent>
      <w:p w14:paraId="458B8985" w14:textId="4571D409"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2C020B33" w14:textId="77777777" w:rsidR="00A345F4" w:rsidRDefault="00A345F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A1F32" w14:textId="77777777" w:rsidR="00A345F4" w:rsidRDefault="00A345F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B241D" w14:textId="77777777" w:rsidR="00A345F4" w:rsidRDefault="00A345F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492491"/>
      <w:docPartObj>
        <w:docPartGallery w:val="Page Numbers (Bottom of Page)"/>
        <w:docPartUnique/>
      </w:docPartObj>
    </w:sdtPr>
    <w:sdtEndPr>
      <w:rPr>
        <w:noProof/>
      </w:rPr>
    </w:sdtEndPr>
    <w:sdtContent>
      <w:p w14:paraId="75E5A6C1" w14:textId="1CE35177"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55A38C79" w14:textId="77777777" w:rsidR="00A345F4" w:rsidRDefault="00A345F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70E0E" w14:textId="77777777" w:rsidR="00A345F4" w:rsidRDefault="00A345F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5DB8F" w14:textId="77777777" w:rsidR="00A345F4" w:rsidRDefault="00A345F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233594"/>
      <w:docPartObj>
        <w:docPartGallery w:val="Page Numbers (Bottom of Page)"/>
        <w:docPartUnique/>
      </w:docPartObj>
    </w:sdtPr>
    <w:sdtEndPr>
      <w:rPr>
        <w:noProof/>
      </w:rPr>
    </w:sdtEndPr>
    <w:sdtContent>
      <w:p w14:paraId="038ECB6A" w14:textId="785A243D"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6E0104E1" w14:textId="77777777" w:rsidR="00A345F4" w:rsidRDefault="00A345F4">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05E7A" w14:textId="77777777" w:rsidR="00A345F4" w:rsidRDefault="00A345F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F4E24" w14:textId="77777777" w:rsidR="00A345F4" w:rsidRDefault="00A345F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209245"/>
      <w:docPartObj>
        <w:docPartGallery w:val="Page Numbers (Bottom of Page)"/>
        <w:docPartUnique/>
      </w:docPartObj>
    </w:sdtPr>
    <w:sdtEndPr>
      <w:rPr>
        <w:noProof/>
      </w:rPr>
    </w:sdtEndPr>
    <w:sdtContent>
      <w:p w14:paraId="21516429" w14:textId="421476A0"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074D2469" w14:textId="77777777" w:rsidR="00A345F4" w:rsidRDefault="00A345F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FDA3" w14:textId="77777777" w:rsidR="00A345F4" w:rsidRDefault="00A345F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C417C" w14:textId="77777777" w:rsidR="00A345F4" w:rsidRDefault="00A345F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267963"/>
      <w:docPartObj>
        <w:docPartGallery w:val="Page Numbers (Bottom of Page)"/>
        <w:docPartUnique/>
      </w:docPartObj>
    </w:sdtPr>
    <w:sdtEndPr>
      <w:rPr>
        <w:noProof/>
      </w:rPr>
    </w:sdtEndPr>
    <w:sdtContent>
      <w:p w14:paraId="5F52AAAD" w14:textId="501A5BA3" w:rsidR="00A345F4" w:rsidRDefault="005E2D4E">
        <w:pPr>
          <w:pStyle w:val="P68B1DB1-Footer89"/>
          <w:jc w:val="center"/>
        </w:pPr>
        <w:r>
          <w:fldChar w:fldCharType="begin"/>
        </w:r>
        <w:r>
          <w:instrText xml:space="preserve"> PAGE   \* MERGEFORMAT </w:instrText>
        </w:r>
        <w:r>
          <w:fldChar w:fldCharType="separate"/>
        </w:r>
        <w:r>
          <w:t>2</w:t>
        </w:r>
        <w:r>
          <w:fldChar w:fldCharType="end"/>
        </w:r>
      </w:p>
    </w:sdtContent>
  </w:sdt>
  <w:p w14:paraId="2F3D76FF" w14:textId="77777777" w:rsidR="00A345F4" w:rsidRDefault="00A345F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81120" w14:textId="77777777" w:rsidR="00A345F4" w:rsidRDefault="00A345F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1EE2F" w14:textId="77777777" w:rsidR="00A345F4" w:rsidRDefault="00A345F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654485"/>
      <w:docPartObj>
        <w:docPartGallery w:val="Page Numbers (Bottom of Page)"/>
        <w:docPartUnique/>
      </w:docPartObj>
    </w:sdtPr>
    <w:sdtEndPr>
      <w:rPr>
        <w:noProof/>
      </w:rPr>
    </w:sdtEndPr>
    <w:sdtContent>
      <w:p w14:paraId="3D317659" w14:textId="0DBAAF75"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4C32949E" w14:textId="77777777" w:rsidR="00A345F4" w:rsidRDefault="00A345F4">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46B55" w14:textId="77777777" w:rsidR="00A345F4" w:rsidRDefault="00A345F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CB4A0" w14:textId="77777777" w:rsidR="00A345F4" w:rsidRDefault="00A345F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371008"/>
      <w:docPartObj>
        <w:docPartGallery w:val="Page Numbers (Bottom of Page)"/>
        <w:docPartUnique/>
      </w:docPartObj>
    </w:sdtPr>
    <w:sdtEndPr>
      <w:rPr>
        <w:noProof/>
      </w:rPr>
    </w:sdtEndPr>
    <w:sdtContent>
      <w:p w14:paraId="27F22655" w14:textId="5695FC4C" w:rsidR="00A345F4" w:rsidRDefault="005E2D4E">
        <w:pPr>
          <w:pStyle w:val="P68B1DB1-Footer88"/>
          <w:jc w:val="center"/>
        </w:pPr>
        <w:r>
          <w:fldChar w:fldCharType="begin"/>
        </w:r>
        <w:r>
          <w:instrText xml:space="preserve"> PAGE   \* MERGEFORMAT </w:instrText>
        </w:r>
        <w:r>
          <w:fldChar w:fldCharType="separate"/>
        </w:r>
        <w:r>
          <w:t>2</w:t>
        </w:r>
        <w:r>
          <w:fldChar w:fldCharType="end"/>
        </w:r>
      </w:p>
    </w:sdtContent>
  </w:sdt>
  <w:p w14:paraId="3A5E2828" w14:textId="77777777" w:rsidR="00A345F4" w:rsidRDefault="00A345F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73503" w14:textId="77777777" w:rsidR="00A345F4" w:rsidRDefault="00A345F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2C8AB" w14:textId="77777777" w:rsidR="00A345F4" w:rsidRDefault="00A345F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81934"/>
      <w:docPartObj>
        <w:docPartGallery w:val="Page Numbers (Bottom of Page)"/>
        <w:docPartUnique/>
      </w:docPartObj>
    </w:sdtPr>
    <w:sdtEndPr>
      <w:rPr>
        <w:noProof/>
      </w:rPr>
    </w:sdtEndPr>
    <w:sdtContent>
      <w:p w14:paraId="6AC48151" w14:textId="35E3DF4B"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26C960C2" w14:textId="77777777" w:rsidR="00A345F4" w:rsidRDefault="00A345F4">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47834" w14:textId="77777777" w:rsidR="00A345F4" w:rsidRDefault="00A345F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99E94" w14:textId="77777777" w:rsidR="00A345F4" w:rsidRDefault="00A345F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129749"/>
      <w:docPartObj>
        <w:docPartGallery w:val="Page Numbers (Bottom of Page)"/>
        <w:docPartUnique/>
      </w:docPartObj>
    </w:sdtPr>
    <w:sdtEndPr>
      <w:rPr>
        <w:noProof/>
      </w:rPr>
    </w:sdtEndPr>
    <w:sdtContent>
      <w:p w14:paraId="6B5A5B4A" w14:textId="66C4D4D4"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0B632683" w14:textId="77777777" w:rsidR="00A345F4" w:rsidRDefault="00A345F4">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71AA2" w14:textId="77777777" w:rsidR="00A345F4" w:rsidRDefault="00A345F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2BD6A" w14:textId="77777777" w:rsidR="00A345F4" w:rsidRDefault="00A345F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4150518"/>
      <w:docPartObj>
        <w:docPartGallery w:val="Page Numbers (Bottom of Page)"/>
        <w:docPartUnique/>
      </w:docPartObj>
    </w:sdtPr>
    <w:sdtEndPr>
      <w:rPr>
        <w:noProof/>
      </w:rPr>
    </w:sdtEndPr>
    <w:sdtContent>
      <w:p w14:paraId="152B197B" w14:textId="644810D3"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0FA5F118" w14:textId="77777777" w:rsidR="00A345F4" w:rsidRDefault="00A345F4">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45A21" w14:textId="77777777" w:rsidR="00A345F4" w:rsidRDefault="00A345F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4C477" w14:textId="77777777" w:rsidR="00A345F4" w:rsidRDefault="00A345F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4019869"/>
      <w:docPartObj>
        <w:docPartGallery w:val="Page Numbers (Bottom of Page)"/>
        <w:docPartUnique/>
      </w:docPartObj>
    </w:sdtPr>
    <w:sdtEndPr>
      <w:rPr>
        <w:noProof/>
      </w:rPr>
    </w:sdtEndPr>
    <w:sdtContent>
      <w:p w14:paraId="3769A398" w14:textId="7467D329"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1BB2EA6B" w14:textId="77777777" w:rsidR="00A345F4" w:rsidRDefault="00A345F4">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FC2A4" w14:textId="77777777" w:rsidR="00A345F4" w:rsidRDefault="00A345F4">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14230" w14:textId="77777777" w:rsidR="00A345F4" w:rsidRDefault="00A345F4">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177021"/>
      <w:docPartObj>
        <w:docPartGallery w:val="Page Numbers (Bottom of Page)"/>
        <w:docPartUnique/>
      </w:docPartObj>
    </w:sdtPr>
    <w:sdtEndPr>
      <w:rPr>
        <w:noProof/>
      </w:rPr>
    </w:sdtEndPr>
    <w:sdtContent>
      <w:p w14:paraId="676DDE07" w14:textId="310C71D0"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5658273A" w14:textId="77777777" w:rsidR="00A345F4" w:rsidRDefault="00A345F4">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9AE4B" w14:textId="77777777" w:rsidR="00A345F4" w:rsidRDefault="00A345F4">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43761" w14:textId="77777777" w:rsidR="00A345F4" w:rsidRDefault="00A345F4">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497909"/>
      <w:docPartObj>
        <w:docPartGallery w:val="Page Numbers (Bottom of Page)"/>
        <w:docPartUnique/>
      </w:docPartObj>
    </w:sdtPr>
    <w:sdtEndPr>
      <w:rPr>
        <w:noProof/>
      </w:rPr>
    </w:sdtEndPr>
    <w:sdtContent>
      <w:p w14:paraId="40FEBCE4" w14:textId="6A302064"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3853BC72" w14:textId="77777777" w:rsidR="00A345F4" w:rsidRDefault="00A345F4">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E40E" w14:textId="77777777" w:rsidR="00A345F4" w:rsidRDefault="00A345F4">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B0793" w14:textId="77777777" w:rsidR="00A345F4" w:rsidRDefault="00A345F4">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8827624"/>
      <w:docPartObj>
        <w:docPartGallery w:val="Page Numbers (Bottom of Page)"/>
        <w:docPartUnique/>
      </w:docPartObj>
    </w:sdtPr>
    <w:sdtEndPr>
      <w:rPr>
        <w:noProof/>
      </w:rPr>
    </w:sdtEndPr>
    <w:sdtContent>
      <w:p w14:paraId="067E5D02" w14:textId="0159C223"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7EE0E172" w14:textId="77777777" w:rsidR="00A345F4" w:rsidRDefault="00A345F4">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5D4FD" w14:textId="77777777" w:rsidR="00A345F4" w:rsidRDefault="00A345F4">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D9202" w14:textId="77777777" w:rsidR="00A345F4" w:rsidRDefault="00A345F4">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002016"/>
      <w:docPartObj>
        <w:docPartGallery w:val="Page Numbers (Bottom of Page)"/>
        <w:docPartUnique/>
      </w:docPartObj>
    </w:sdtPr>
    <w:sdtEndPr>
      <w:rPr>
        <w:noProof/>
      </w:rPr>
    </w:sdtEndPr>
    <w:sdtContent>
      <w:p w14:paraId="702C0A46" w14:textId="3C150617"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00547057" w14:textId="77777777" w:rsidR="00A345F4" w:rsidRDefault="00A345F4">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25B38" w14:textId="77777777" w:rsidR="00A345F4" w:rsidRDefault="00A345F4">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72288" w14:textId="77777777" w:rsidR="00A345F4" w:rsidRDefault="00A345F4">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038782"/>
      <w:docPartObj>
        <w:docPartGallery w:val="Page Numbers (Bottom of Page)"/>
        <w:docPartUnique/>
      </w:docPartObj>
    </w:sdtPr>
    <w:sdtEndPr>
      <w:rPr>
        <w:noProof/>
      </w:rPr>
    </w:sdtEndPr>
    <w:sdtContent>
      <w:p w14:paraId="31297FA2" w14:textId="0EEE6619"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3CBD78FC" w14:textId="77777777" w:rsidR="00A345F4" w:rsidRDefault="00A345F4">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1786F" w14:textId="77777777" w:rsidR="00A345F4" w:rsidRDefault="00A345F4">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D6E67" w14:textId="77777777" w:rsidR="00A345F4" w:rsidRDefault="00A345F4">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873570"/>
      <w:docPartObj>
        <w:docPartGallery w:val="Page Numbers (Bottom of Page)"/>
        <w:docPartUnique/>
      </w:docPartObj>
    </w:sdtPr>
    <w:sdtEndPr>
      <w:rPr>
        <w:noProof/>
      </w:rPr>
    </w:sdtEndPr>
    <w:sdtContent>
      <w:p w14:paraId="7E6A680A" w14:textId="6091F0E9"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247E5397" w14:textId="77777777" w:rsidR="00A345F4" w:rsidRDefault="00A345F4">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46A45" w14:textId="77777777" w:rsidR="00A345F4" w:rsidRDefault="00A345F4">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BDBF3" w14:textId="77777777" w:rsidR="00A345F4" w:rsidRDefault="00A345F4">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018475"/>
      <w:docPartObj>
        <w:docPartGallery w:val="Page Numbers (Bottom of Page)"/>
        <w:docPartUnique/>
      </w:docPartObj>
    </w:sdtPr>
    <w:sdtEndPr>
      <w:rPr>
        <w:noProof/>
      </w:rPr>
    </w:sdtEndPr>
    <w:sdtContent>
      <w:p w14:paraId="5541E15B" w14:textId="038B22E2"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5E260D96" w14:textId="77777777" w:rsidR="00A345F4" w:rsidRDefault="00A345F4">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A4941" w14:textId="77777777" w:rsidR="00A345F4" w:rsidRDefault="00A345F4">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F3C5C" w14:textId="77777777" w:rsidR="00A345F4" w:rsidRDefault="00A345F4">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9050722"/>
      <w:docPartObj>
        <w:docPartGallery w:val="Page Numbers (Bottom of Page)"/>
        <w:docPartUnique/>
      </w:docPartObj>
    </w:sdtPr>
    <w:sdtEndPr>
      <w:rPr>
        <w:noProof/>
      </w:rPr>
    </w:sdtEndPr>
    <w:sdtContent>
      <w:p w14:paraId="34498AA9" w14:textId="402D0B51"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635FF171" w14:textId="77777777" w:rsidR="00A345F4" w:rsidRDefault="00A345F4">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F171A" w14:textId="77777777" w:rsidR="00A345F4" w:rsidRDefault="00A345F4">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FD5B1" w14:textId="77777777" w:rsidR="00A345F4" w:rsidRDefault="00A345F4">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292306"/>
      <w:docPartObj>
        <w:docPartGallery w:val="Page Numbers (Bottom of Page)"/>
        <w:docPartUnique/>
      </w:docPartObj>
    </w:sdtPr>
    <w:sdtEndPr>
      <w:rPr>
        <w:noProof/>
      </w:rPr>
    </w:sdtEndPr>
    <w:sdtContent>
      <w:p w14:paraId="78AFCD59" w14:textId="68214E06"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2BE4880B" w14:textId="77777777" w:rsidR="00A345F4" w:rsidRDefault="00A345F4">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96B25" w14:textId="77777777" w:rsidR="00A345F4" w:rsidRDefault="00A345F4">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B8A68" w14:textId="77777777" w:rsidR="00A345F4" w:rsidRDefault="00A345F4">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38317"/>
      <w:docPartObj>
        <w:docPartGallery w:val="Page Numbers (Bottom of Page)"/>
        <w:docPartUnique/>
      </w:docPartObj>
    </w:sdtPr>
    <w:sdtEndPr>
      <w:rPr>
        <w:noProof/>
      </w:rPr>
    </w:sdtEndPr>
    <w:sdtContent>
      <w:p w14:paraId="22F5C31C" w14:textId="7F0F2537"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70E58D43" w14:textId="77777777" w:rsidR="00A345F4" w:rsidRDefault="00A345F4">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51D4" w14:textId="77777777" w:rsidR="00A345F4" w:rsidRDefault="00A345F4">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71059" w14:textId="77777777" w:rsidR="00A345F4" w:rsidRDefault="00A345F4">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4949524"/>
      <w:docPartObj>
        <w:docPartGallery w:val="Page Numbers (Bottom of Page)"/>
        <w:docPartUnique/>
      </w:docPartObj>
    </w:sdtPr>
    <w:sdtEndPr>
      <w:rPr>
        <w:noProof/>
      </w:rPr>
    </w:sdtEndPr>
    <w:sdtContent>
      <w:p w14:paraId="6A8D6088" w14:textId="1DAF750E"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284248DE" w14:textId="77777777" w:rsidR="00A345F4" w:rsidRDefault="00A345F4">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5DB78" w14:textId="77777777" w:rsidR="00A345F4" w:rsidRDefault="00A345F4">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81F12" w14:textId="77777777" w:rsidR="00A345F4" w:rsidRDefault="00A345F4">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948359"/>
      <w:docPartObj>
        <w:docPartGallery w:val="Page Numbers (Bottom of Page)"/>
        <w:docPartUnique/>
      </w:docPartObj>
    </w:sdtPr>
    <w:sdtEndPr>
      <w:rPr>
        <w:noProof/>
      </w:rPr>
    </w:sdtEndPr>
    <w:sdtContent>
      <w:p w14:paraId="0811483D" w14:textId="15E40CF0"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6E9C46C6" w14:textId="77777777" w:rsidR="00A345F4" w:rsidRDefault="00A345F4">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6431" w14:textId="77777777" w:rsidR="00A345F4" w:rsidRDefault="00A345F4">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0D925" w14:textId="77777777" w:rsidR="00A345F4" w:rsidRDefault="00A345F4">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438316"/>
      <w:docPartObj>
        <w:docPartGallery w:val="Page Numbers (Bottom of Page)"/>
        <w:docPartUnique/>
      </w:docPartObj>
    </w:sdtPr>
    <w:sdtEndPr>
      <w:rPr>
        <w:noProof/>
      </w:rPr>
    </w:sdtEndPr>
    <w:sdtContent>
      <w:p w14:paraId="059D1BCE" w14:textId="4D3738E4"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5091818F" w14:textId="77777777" w:rsidR="00A345F4" w:rsidRDefault="00A345F4">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8234A" w14:textId="77777777" w:rsidR="00A345F4" w:rsidRDefault="00A345F4">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AA89C" w14:textId="77777777" w:rsidR="00A345F4" w:rsidRDefault="00A345F4">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466514"/>
      <w:docPartObj>
        <w:docPartGallery w:val="Page Numbers (Bottom of Page)"/>
        <w:docPartUnique/>
      </w:docPartObj>
    </w:sdtPr>
    <w:sdtEndPr>
      <w:rPr>
        <w:noProof/>
      </w:rPr>
    </w:sdtEndPr>
    <w:sdtContent>
      <w:p w14:paraId="4E6B5C0F" w14:textId="1F2E697E"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69768EA2" w14:textId="77777777" w:rsidR="00A345F4" w:rsidRDefault="00A345F4">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68D05" w14:textId="77777777" w:rsidR="00A345F4" w:rsidRDefault="00A345F4">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61451" w14:textId="77777777" w:rsidR="00A345F4" w:rsidRDefault="00A345F4">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499451"/>
      <w:docPartObj>
        <w:docPartGallery w:val="Page Numbers (Bottom of Page)"/>
        <w:docPartUnique/>
      </w:docPartObj>
    </w:sdtPr>
    <w:sdtEndPr>
      <w:rPr>
        <w:noProof/>
      </w:rPr>
    </w:sdtEndPr>
    <w:sdtContent>
      <w:p w14:paraId="10319D25" w14:textId="20D2D492"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3BFCBC1D" w14:textId="77777777" w:rsidR="00A345F4" w:rsidRDefault="00A345F4">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B062B" w14:textId="77777777" w:rsidR="00A345F4" w:rsidRDefault="00A345F4">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4127A" w14:textId="77777777" w:rsidR="00A345F4" w:rsidRDefault="00A345F4">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9096325"/>
      <w:docPartObj>
        <w:docPartGallery w:val="Page Numbers (Bottom of Page)"/>
        <w:docPartUnique/>
      </w:docPartObj>
    </w:sdtPr>
    <w:sdtEndPr>
      <w:rPr>
        <w:noProof/>
      </w:rPr>
    </w:sdtEndPr>
    <w:sdtContent>
      <w:p w14:paraId="11CF4A8B" w14:textId="508F27D6"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34D7264F" w14:textId="77777777" w:rsidR="00A345F4" w:rsidRDefault="00A345F4">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554B" w14:textId="77777777" w:rsidR="00A345F4" w:rsidRDefault="00A345F4">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D009D" w14:textId="77777777" w:rsidR="00A345F4" w:rsidRDefault="00A345F4">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38700"/>
      <w:docPartObj>
        <w:docPartGallery w:val="Page Numbers (Bottom of Page)"/>
        <w:docPartUnique/>
      </w:docPartObj>
    </w:sdtPr>
    <w:sdtEndPr>
      <w:rPr>
        <w:noProof/>
      </w:rPr>
    </w:sdtEndPr>
    <w:sdtContent>
      <w:p w14:paraId="39DCDF87" w14:textId="30A3CF0C"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48051CD1" w14:textId="77777777" w:rsidR="00A345F4" w:rsidRDefault="00A345F4">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79F00" w14:textId="77777777" w:rsidR="00A345F4" w:rsidRDefault="00A345F4">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2FABB" w14:textId="77777777" w:rsidR="00A345F4" w:rsidRDefault="00A345F4">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2126102"/>
      <w:docPartObj>
        <w:docPartGallery w:val="Page Numbers (Bottom of Page)"/>
        <w:docPartUnique/>
      </w:docPartObj>
    </w:sdtPr>
    <w:sdtEndPr>
      <w:rPr>
        <w:noProof/>
      </w:rPr>
    </w:sdtEndPr>
    <w:sdtContent>
      <w:p w14:paraId="752FAD3B" w14:textId="37234359"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23605331" w14:textId="77777777" w:rsidR="00A345F4" w:rsidRDefault="00A345F4">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FC687" w14:textId="77777777" w:rsidR="00A345F4" w:rsidRDefault="00A345F4">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B1A41" w14:textId="77777777" w:rsidR="00A345F4" w:rsidRDefault="00A345F4">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603733"/>
      <w:docPartObj>
        <w:docPartGallery w:val="Page Numbers (Bottom of Page)"/>
        <w:docPartUnique/>
      </w:docPartObj>
    </w:sdtPr>
    <w:sdtEndPr>
      <w:rPr>
        <w:noProof/>
      </w:rPr>
    </w:sdtEndPr>
    <w:sdtContent>
      <w:p w14:paraId="03E0A26D" w14:textId="5968659B"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730E1467" w14:textId="77777777" w:rsidR="00A345F4" w:rsidRDefault="00A345F4">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E2DA8" w14:textId="77777777" w:rsidR="00A345F4" w:rsidRDefault="00A345F4">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29877" w14:textId="77777777" w:rsidR="00A345F4" w:rsidRDefault="00A345F4">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649704"/>
      <w:docPartObj>
        <w:docPartGallery w:val="Page Numbers (Bottom of Page)"/>
        <w:docPartUnique/>
      </w:docPartObj>
    </w:sdtPr>
    <w:sdtEndPr>
      <w:rPr>
        <w:noProof/>
      </w:rPr>
    </w:sdtEndPr>
    <w:sdtContent>
      <w:p w14:paraId="516D03EE" w14:textId="224D3992"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3BA1F198" w14:textId="77777777" w:rsidR="00A345F4" w:rsidRDefault="00A345F4">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42700" w14:textId="77777777" w:rsidR="00A345F4" w:rsidRDefault="00A345F4">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E1809" w14:textId="77777777" w:rsidR="00A345F4" w:rsidRDefault="00A345F4">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062053"/>
      <w:docPartObj>
        <w:docPartGallery w:val="Page Numbers (Bottom of Page)"/>
        <w:docPartUnique/>
      </w:docPartObj>
    </w:sdtPr>
    <w:sdtEndPr>
      <w:rPr>
        <w:noProof/>
      </w:rPr>
    </w:sdtEndPr>
    <w:sdtContent>
      <w:p w14:paraId="6B95B1FD" w14:textId="4BF66FA9"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7D3314A5" w14:textId="77777777" w:rsidR="00A345F4" w:rsidRDefault="00A345F4">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00927" w14:textId="77777777" w:rsidR="00A345F4" w:rsidRDefault="00A345F4">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93EC5" w14:textId="77777777" w:rsidR="00A345F4" w:rsidRDefault="00A345F4">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791723"/>
      <w:docPartObj>
        <w:docPartGallery w:val="Page Numbers (Bottom of Page)"/>
        <w:docPartUnique/>
      </w:docPartObj>
    </w:sdtPr>
    <w:sdtEndPr>
      <w:rPr>
        <w:noProof/>
      </w:rPr>
    </w:sdtEndPr>
    <w:sdtContent>
      <w:p w14:paraId="1D4D0304" w14:textId="76129F69"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6A1A0D6B" w14:textId="77777777" w:rsidR="00A345F4" w:rsidRDefault="00A345F4">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8DEBB" w14:textId="77777777" w:rsidR="00A345F4" w:rsidRDefault="00A345F4">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666815"/>
      <w:docPartObj>
        <w:docPartGallery w:val="Page Numbers (Bottom of Page)"/>
        <w:docPartUnique/>
      </w:docPartObj>
    </w:sdtPr>
    <w:sdtEndPr>
      <w:rPr>
        <w:noProof/>
      </w:rPr>
    </w:sdtEndPr>
    <w:sdtContent>
      <w:p w14:paraId="745D31D3" w14:textId="794D9E32"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4C11930D" w14:textId="77777777" w:rsidR="00A345F4" w:rsidRDefault="00A345F4">
    <w:pPr>
      <w:pStyle w:val="FooterCouncil"/>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320876"/>
      <w:docPartObj>
        <w:docPartGallery w:val="Page Numbers (Bottom of Page)"/>
        <w:docPartUnique/>
      </w:docPartObj>
    </w:sdtPr>
    <w:sdtEndPr>
      <w:rPr>
        <w:noProof/>
      </w:rPr>
    </w:sdtEndPr>
    <w:sdtContent>
      <w:p w14:paraId="2DC27A54" w14:textId="1DBDE252"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628F535E" w14:textId="77777777" w:rsidR="00A345F4" w:rsidRDefault="00A345F4">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0D03E" w14:textId="77777777" w:rsidR="00A345F4" w:rsidRDefault="00A345F4">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139665"/>
      <w:docPartObj>
        <w:docPartGallery w:val="Page Numbers (Bottom of Page)"/>
        <w:docPartUnique/>
      </w:docPartObj>
    </w:sdtPr>
    <w:sdtEndPr>
      <w:rPr>
        <w:noProof/>
      </w:rPr>
    </w:sdtEndPr>
    <w:sdtContent>
      <w:p w14:paraId="45C03F56" w14:textId="4363BB6C"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6CAEEF08" w14:textId="77777777" w:rsidR="00A345F4" w:rsidRDefault="00A345F4">
    <w:pPr>
      <w:pStyle w:val="FooterCouncil"/>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0769E" w14:textId="77777777" w:rsidR="00A345F4" w:rsidRDefault="00A345F4">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0EBA7" w14:textId="77777777" w:rsidR="00A345F4" w:rsidRDefault="00A345F4">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733989"/>
      <w:docPartObj>
        <w:docPartGallery w:val="Page Numbers (Bottom of Page)"/>
        <w:docPartUnique/>
      </w:docPartObj>
    </w:sdtPr>
    <w:sdtEndPr>
      <w:rPr>
        <w:noProof/>
      </w:rPr>
    </w:sdtEndPr>
    <w:sdtContent>
      <w:p w14:paraId="64FB936A" w14:textId="073BFEFD"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2279C37A" w14:textId="77777777" w:rsidR="00A345F4" w:rsidRDefault="00A345F4">
    <w:pPr>
      <w:pStyle w:val="FooterCouncil"/>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F327" w14:textId="77777777" w:rsidR="00A345F4" w:rsidRDefault="00A345F4">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1FBF" w14:textId="77777777" w:rsidR="00A345F4" w:rsidRDefault="00A345F4">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60433"/>
      <w:docPartObj>
        <w:docPartGallery w:val="Page Numbers (Bottom of Page)"/>
        <w:docPartUnique/>
      </w:docPartObj>
    </w:sdtPr>
    <w:sdtEndPr>
      <w:rPr>
        <w:noProof/>
      </w:rPr>
    </w:sdtEndPr>
    <w:sdtContent>
      <w:p w14:paraId="10EF54C9" w14:textId="41C380A7"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19742AC1" w14:textId="77777777" w:rsidR="00A345F4" w:rsidRDefault="00A345F4">
    <w:pPr>
      <w:pStyle w:val="FooterCouncil"/>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8654C" w14:textId="77777777" w:rsidR="00A345F4" w:rsidRDefault="00A345F4">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A4094" w14:textId="77777777" w:rsidR="00A345F4" w:rsidRDefault="00A345F4">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150147"/>
      <w:docPartObj>
        <w:docPartGallery w:val="Page Numbers (Bottom of Page)"/>
        <w:docPartUnique/>
      </w:docPartObj>
    </w:sdtPr>
    <w:sdtEndPr>
      <w:rPr>
        <w:noProof/>
      </w:rPr>
    </w:sdtEndPr>
    <w:sdtContent>
      <w:p w14:paraId="78D5EE06" w14:textId="05BDEA66"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05DB91BE" w14:textId="77777777" w:rsidR="00A345F4" w:rsidRDefault="00A345F4">
    <w:pPr>
      <w:pStyle w:val="FooterCouncil"/>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6D360" w14:textId="77777777" w:rsidR="00A345F4" w:rsidRDefault="00A345F4">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35FDF" w14:textId="77777777" w:rsidR="00A345F4" w:rsidRDefault="00A345F4">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237176"/>
      <w:docPartObj>
        <w:docPartGallery w:val="Page Numbers (Bottom of Page)"/>
        <w:docPartUnique/>
      </w:docPartObj>
    </w:sdtPr>
    <w:sdtEndPr>
      <w:rPr>
        <w:noProof/>
      </w:rPr>
    </w:sdtEndPr>
    <w:sdtContent>
      <w:p w14:paraId="43332F53" w14:textId="5B778B4A"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5056679F" w14:textId="77777777" w:rsidR="00A345F4" w:rsidRDefault="00A345F4">
    <w:pPr>
      <w:pStyle w:val="FooterCouncil"/>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80D18" w14:textId="77777777" w:rsidR="00A345F4" w:rsidRDefault="00A345F4">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BD47" w14:textId="77777777" w:rsidR="00A345F4" w:rsidRDefault="00A345F4">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356303"/>
      <w:docPartObj>
        <w:docPartGallery w:val="Page Numbers (Bottom of Page)"/>
        <w:docPartUnique/>
      </w:docPartObj>
    </w:sdtPr>
    <w:sdtEndPr>
      <w:rPr>
        <w:noProof/>
      </w:rPr>
    </w:sdtEndPr>
    <w:sdtContent>
      <w:p w14:paraId="594E5A7D" w14:textId="185F77C5"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0EA0F211" w14:textId="77777777" w:rsidR="00A345F4" w:rsidRDefault="00A345F4">
    <w:pPr>
      <w:pStyle w:val="FooterCouncil"/>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9EB9C" w14:textId="77777777" w:rsidR="00A345F4" w:rsidRDefault="00A345F4">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7E6B" w14:textId="77777777" w:rsidR="00A345F4" w:rsidRDefault="00A345F4">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335857"/>
      <w:docPartObj>
        <w:docPartGallery w:val="Page Numbers (Bottom of Page)"/>
        <w:docPartUnique/>
      </w:docPartObj>
    </w:sdtPr>
    <w:sdtEndPr>
      <w:rPr>
        <w:noProof/>
      </w:rPr>
    </w:sdtEndPr>
    <w:sdtContent>
      <w:p w14:paraId="000AE928" w14:textId="01128383"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54AA2728" w14:textId="77777777" w:rsidR="00A345F4" w:rsidRDefault="00A345F4">
    <w:pPr>
      <w:pStyle w:val="FooterCouncil"/>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CEB85" w14:textId="77777777" w:rsidR="00A345F4" w:rsidRDefault="00A345F4">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2419" w14:textId="77777777" w:rsidR="00A345F4" w:rsidRDefault="00A345F4">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9505265"/>
      <w:docPartObj>
        <w:docPartGallery w:val="Page Numbers (Bottom of Page)"/>
        <w:docPartUnique/>
      </w:docPartObj>
    </w:sdtPr>
    <w:sdtEndPr>
      <w:rPr>
        <w:noProof/>
      </w:rPr>
    </w:sdtEndPr>
    <w:sdtContent>
      <w:p w14:paraId="3B8468BE" w14:textId="20DB8C7C"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347B29E1" w14:textId="77777777" w:rsidR="00A345F4" w:rsidRDefault="00A345F4">
    <w:pPr>
      <w:pStyle w:val="FooterCouncil"/>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1A8B1" w14:textId="77777777" w:rsidR="00A345F4" w:rsidRDefault="00A345F4">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04FE" w14:textId="77777777" w:rsidR="00A345F4" w:rsidRDefault="00A345F4">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5531089"/>
      <w:docPartObj>
        <w:docPartGallery w:val="Page Numbers (Bottom of Page)"/>
        <w:docPartUnique/>
      </w:docPartObj>
    </w:sdtPr>
    <w:sdtEndPr>
      <w:rPr>
        <w:noProof/>
      </w:rPr>
    </w:sdtEndPr>
    <w:sdtContent>
      <w:p w14:paraId="576EB5AF" w14:textId="05AE5F87"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3324289E" w14:textId="77777777" w:rsidR="00A345F4" w:rsidRDefault="00A345F4">
    <w:pPr>
      <w:pStyle w:val="FooterCouncil"/>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89A8" w14:textId="77777777" w:rsidR="00A345F4" w:rsidRDefault="00A345F4">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DBA87" w14:textId="77777777" w:rsidR="00A345F4" w:rsidRDefault="00A345F4">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2897350"/>
      <w:docPartObj>
        <w:docPartGallery w:val="Page Numbers (Bottom of Page)"/>
        <w:docPartUnique/>
      </w:docPartObj>
    </w:sdtPr>
    <w:sdtEndPr>
      <w:rPr>
        <w:noProof/>
      </w:rPr>
    </w:sdtEndPr>
    <w:sdtContent>
      <w:p w14:paraId="3D4E33E1" w14:textId="77777777"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2FC7D1B6" w14:textId="77777777" w:rsidR="00A345F4" w:rsidRDefault="00A345F4">
    <w:pPr>
      <w:pStyle w:val="FooterCouncil"/>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E0B3D" w14:textId="77777777" w:rsidR="00A345F4" w:rsidRDefault="00A345F4">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F71F3" w14:textId="77777777" w:rsidR="00A345F4" w:rsidRDefault="00A345F4">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390229"/>
      <w:docPartObj>
        <w:docPartGallery w:val="Page Numbers (Bottom of Page)"/>
        <w:docPartUnique/>
      </w:docPartObj>
    </w:sdtPr>
    <w:sdtEndPr>
      <w:rPr>
        <w:noProof/>
      </w:rPr>
    </w:sdtEndPr>
    <w:sdtContent>
      <w:p w14:paraId="7403BF1D" w14:textId="6C20F23D"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230C2322" w14:textId="77777777" w:rsidR="00A345F4" w:rsidRDefault="00A345F4">
    <w:pPr>
      <w:pStyle w:val="FooterCouncil"/>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62F6A" w14:textId="77777777" w:rsidR="00A345F4" w:rsidRDefault="00A345F4">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4DA49" w14:textId="77777777" w:rsidR="00A345F4" w:rsidRDefault="00A345F4">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579646"/>
      <w:docPartObj>
        <w:docPartGallery w:val="Page Numbers (Bottom of Page)"/>
        <w:docPartUnique/>
      </w:docPartObj>
    </w:sdtPr>
    <w:sdtEndPr>
      <w:rPr>
        <w:noProof/>
      </w:rPr>
    </w:sdtEndPr>
    <w:sdtContent>
      <w:p w14:paraId="27E3350C" w14:textId="3D07BC2D"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2C4CA106" w14:textId="77777777" w:rsidR="00A345F4" w:rsidRDefault="00A345F4">
    <w:pPr>
      <w:pStyle w:val="FooterCouncil"/>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6344" w14:textId="77777777" w:rsidR="00A345F4" w:rsidRDefault="00A345F4">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DC129" w14:textId="77777777" w:rsidR="00A345F4" w:rsidRDefault="00A345F4">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017360"/>
      <w:docPartObj>
        <w:docPartGallery w:val="Page Numbers (Bottom of Page)"/>
        <w:docPartUnique/>
      </w:docPartObj>
    </w:sdtPr>
    <w:sdtEndPr>
      <w:rPr>
        <w:noProof/>
      </w:rPr>
    </w:sdtEndPr>
    <w:sdtContent>
      <w:p w14:paraId="173BFDE4" w14:textId="23EEBB5C"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78CE8CE2" w14:textId="77777777" w:rsidR="00A345F4" w:rsidRDefault="00A345F4">
    <w:pPr>
      <w:pStyle w:val="FooterCouncil"/>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9E4BD" w14:textId="77777777" w:rsidR="00A345F4" w:rsidRDefault="00A345F4">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276CD" w14:textId="77777777" w:rsidR="00A345F4" w:rsidRDefault="00A345F4">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354726"/>
      <w:docPartObj>
        <w:docPartGallery w:val="Page Numbers (Bottom of Page)"/>
        <w:docPartUnique/>
      </w:docPartObj>
    </w:sdtPr>
    <w:sdtEndPr>
      <w:rPr>
        <w:noProof/>
      </w:rPr>
    </w:sdtEndPr>
    <w:sdtContent>
      <w:p w14:paraId="2F20C376" w14:textId="256452C7"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7BFADDEE" w14:textId="77777777" w:rsidR="00A345F4" w:rsidRDefault="00A345F4">
    <w:pPr>
      <w:pStyle w:val="FooterCouncil"/>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B324" w14:textId="77777777" w:rsidR="00A345F4" w:rsidRDefault="00A345F4">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50704" w14:textId="77777777" w:rsidR="00A345F4" w:rsidRDefault="00A345F4">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136873"/>
      <w:docPartObj>
        <w:docPartGallery w:val="Page Numbers (Bottom of Page)"/>
        <w:docPartUnique/>
      </w:docPartObj>
    </w:sdtPr>
    <w:sdtEndPr>
      <w:rPr>
        <w:noProof/>
      </w:rPr>
    </w:sdtEndPr>
    <w:sdtContent>
      <w:p w14:paraId="4A748FC1" w14:textId="73C4D970"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05C84800" w14:textId="77777777" w:rsidR="00A345F4" w:rsidRDefault="00A345F4">
    <w:pPr>
      <w:pStyle w:val="FooterCouncil"/>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4E171" w14:textId="77777777" w:rsidR="00A345F4" w:rsidRDefault="00A345F4">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F8CED" w14:textId="77777777" w:rsidR="00A345F4" w:rsidRDefault="005E2D4E">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157892"/>
      <w:docPartObj>
        <w:docPartGallery w:val="Page Numbers (Bottom of Page)"/>
        <w:docPartUnique/>
      </w:docPartObj>
    </w:sdtPr>
    <w:sdtEndPr>
      <w:rPr>
        <w:noProof/>
      </w:rPr>
    </w:sdtEndPr>
    <w:sdtContent>
      <w:p w14:paraId="26D232FD" w14:textId="742EADDD"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3AE73FD3" w14:textId="77777777" w:rsidR="00A345F4" w:rsidRDefault="00A345F4">
    <w:pPr>
      <w:pStyle w:val="FooterCouncil"/>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2D633" w14:textId="4D97784D" w:rsidR="00A345F4" w:rsidRDefault="00A345F4">
    <w:pPr>
      <w:pStyle w:val="FooterCoverPage"/>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CA78A" w14:textId="77777777" w:rsidR="00A345F4" w:rsidRDefault="005E2D4E">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196587"/>
      <w:docPartObj>
        <w:docPartGallery w:val="Page Numbers (Bottom of Page)"/>
        <w:docPartUnique/>
      </w:docPartObj>
    </w:sdtPr>
    <w:sdtEndPr>
      <w:rPr>
        <w:noProof/>
      </w:rPr>
    </w:sdtEndPr>
    <w:sdtContent>
      <w:p w14:paraId="7D7B98AE" w14:textId="2CB74095" w:rsidR="00A345F4" w:rsidRDefault="005E2D4E">
        <w:pPr>
          <w:pStyle w:val="Footer"/>
          <w:jc w:val="center"/>
        </w:pPr>
        <w:r>
          <w:fldChar w:fldCharType="begin"/>
        </w:r>
        <w:r>
          <w:instrText xml:space="preserve"> PAGE   \* MERGEFORMAT </w:instrText>
        </w:r>
        <w:r>
          <w:fldChar w:fldCharType="separate"/>
        </w:r>
        <w:r>
          <w:t>2</w:t>
        </w:r>
        <w:r>
          <w:fldChar w:fldCharType="end"/>
        </w:r>
      </w:p>
    </w:sdtContent>
  </w:sdt>
  <w:p w14:paraId="7AADAD01" w14:textId="77777777" w:rsidR="00A345F4" w:rsidRDefault="00A345F4">
    <w:pPr>
      <w:pStyle w:val="FooterCouncil"/>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DEC91" w14:textId="77777777" w:rsidR="00A345F4" w:rsidRDefault="00A345F4">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61663" w14:textId="77777777" w:rsidR="00514EAF" w:rsidRDefault="00514EAF">
      <w:pPr>
        <w:spacing w:after="0" w:line="240" w:lineRule="auto"/>
        <w:rPr>
          <w:rFonts w:hint="eastAsia"/>
        </w:rPr>
      </w:pPr>
      <w:r>
        <w:separator/>
      </w:r>
    </w:p>
  </w:footnote>
  <w:footnote w:type="continuationSeparator" w:id="0">
    <w:p w14:paraId="4274B81F" w14:textId="77777777" w:rsidR="00514EAF" w:rsidRDefault="00514EAF">
      <w:pPr>
        <w:spacing w:after="0" w:line="240" w:lineRule="auto"/>
        <w:rPr>
          <w:rFonts w:hint="eastAsia"/>
        </w:rPr>
      </w:pPr>
      <w:r>
        <w:continuationSeparator/>
      </w:r>
    </w:p>
  </w:footnote>
  <w:footnote w:id="1">
    <w:p w14:paraId="089A40AD" w14:textId="2C45FAF2" w:rsidR="00A345F4" w:rsidRDefault="005E2D4E">
      <w:pPr>
        <w:pStyle w:val="FootnoteText"/>
      </w:pPr>
      <w:r w:rsidRPr="00E75F9B">
        <w:rPr>
          <w:rStyle w:val="FootnoteReference"/>
        </w:rPr>
        <w:footnoteRef/>
      </w:r>
      <w:r>
        <w:t xml:space="preserve"> </w:t>
      </w:r>
      <w:hyperlink r:id="rId1" w:history="1">
        <w:r>
          <w:rPr>
            <w:rStyle w:val="Hyperlink"/>
          </w:rPr>
          <w:t>https://ec.europa.eu/newsroom/dae/document.cfm?doc_id=75185</w:t>
        </w:r>
      </w:hyperlink>
      <w:r>
        <w:t xml:space="preserve"> </w:t>
      </w:r>
    </w:p>
  </w:footnote>
  <w:footnote w:id="2">
    <w:p w14:paraId="20AFE306" w14:textId="06618FE5" w:rsidR="00A345F4" w:rsidRDefault="005E2D4E">
      <w:pPr>
        <w:pStyle w:val="FootnoteText"/>
        <w:ind w:left="0" w:firstLine="0"/>
      </w:pPr>
      <w:r w:rsidRPr="00E75F9B">
        <w:rPr>
          <w:rStyle w:val="FootnoteReference"/>
        </w:rPr>
        <w:footnoteRef/>
      </w:r>
      <w:r>
        <w:t xml:space="preserve"> Disponible à l’adresse </w:t>
      </w:r>
      <w:hyperlink r:id="rId2" w:history="1">
        <w:r>
          <w:rPr>
            <w:rStyle w:val="Hyperlink"/>
          </w:rPr>
          <w:t>suivante: https://e3p.jrc.ec.europa.eu/publications/2021-best-practice-guidelines-eu-code-conduct-data-centre-energy-efficient</w:t>
        </w:r>
      </w:hyperlink>
      <w:r>
        <w:t xml:space="preserve"> </w:t>
      </w:r>
    </w:p>
  </w:footnote>
  <w:footnote w:id="3">
    <w:p w14:paraId="16A51D2C" w14:textId="203C40BE" w:rsidR="00A345F4" w:rsidRDefault="005E2D4E">
      <w:pPr>
        <w:pStyle w:val="FootnoteText"/>
      </w:pPr>
      <w:r w:rsidRPr="00E75F9B">
        <w:rPr>
          <w:rStyle w:val="FootnoteReference"/>
        </w:rPr>
        <w:footnoteRef/>
      </w:r>
      <w:r>
        <w:t xml:space="preserve"> </w:t>
      </w:r>
      <w:hyperlink r:id="rId3" w:history="1">
        <w:r>
          <w:rPr>
            <w:rStyle w:val="Hyperlink"/>
          </w:rPr>
          <w:t>https://ec.europa.eu/isa2/sites/default/files/eif_brochure_final.pdf</w:t>
        </w:r>
      </w:hyperlink>
      <w:r>
        <w:t xml:space="preserve"> </w:t>
      </w:r>
    </w:p>
  </w:footnote>
  <w:footnote w:id="4">
    <w:p w14:paraId="575CD91B" w14:textId="7BA5E575" w:rsidR="00A345F4" w:rsidRDefault="005E2D4E">
      <w:pPr>
        <w:pStyle w:val="FootnoteText"/>
      </w:pPr>
      <w:r w:rsidRPr="00E75F9B">
        <w:rPr>
          <w:rStyle w:val="FootnoteReference"/>
        </w:rPr>
        <w:footnoteRef/>
      </w:r>
      <w:r>
        <w:t xml:space="preserve"> </w:t>
      </w:r>
      <w:hyperlink r:id="rId4" w:history="1">
        <w:r>
          <w:rPr>
            <w:rStyle w:val="Hyperlink"/>
          </w:rPr>
          <w:t>https://ec.europa.eu/newsroom/dae/document.cfm?doc_id=75185</w:t>
        </w:r>
      </w:hyperlink>
      <w:r>
        <w:t xml:space="preserve"> </w:t>
      </w:r>
    </w:p>
  </w:footnote>
  <w:footnote w:id="5">
    <w:p w14:paraId="44BE983A" w14:textId="77777777" w:rsidR="00A345F4" w:rsidRDefault="005E2D4E">
      <w:pPr>
        <w:pStyle w:val="FootnoteText"/>
        <w:ind w:left="0" w:firstLine="0"/>
        <w:rPr>
          <w:highlight w:val="yellow"/>
        </w:rPr>
      </w:pPr>
      <w:r w:rsidRPr="00E75F9B">
        <w:rPr>
          <w:rStyle w:val="FootnoteReference"/>
        </w:rPr>
        <w:footnoteRef/>
      </w:r>
      <w:r>
        <w:t xml:space="preserve"> 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6">
    <w:p w14:paraId="5EE2D08B" w14:textId="77777777" w:rsidR="00A345F4" w:rsidRDefault="005E2D4E">
      <w:pPr>
        <w:pStyle w:val="FootnoteText"/>
        <w:ind w:left="0" w:firstLine="0"/>
      </w:pPr>
      <w:r w:rsidRPr="00E75F9B">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7">
    <w:p w14:paraId="3E675EC8" w14:textId="77777777" w:rsidR="00A345F4" w:rsidRDefault="005E2D4E">
      <w:pPr>
        <w:pStyle w:val="FootnoteText"/>
        <w:ind w:left="0" w:firstLine="0"/>
      </w:pPr>
      <w:r w:rsidRPr="00E75F9B">
        <w:rPr>
          <w:rStyle w:val="FootnoteReference"/>
        </w:rPr>
        <w:footnoteRef/>
      </w:r>
      <w:r>
        <w:t xml:space="preserve"> Cette exclusion ne s’applique pas aux actions dans les installations exclusivement consacrées au traitement des déchets dangereux non recyclables, ni aux installations existantes, lorsque les actions visent à accroître l’efficacité énergétique, à capter les gaz d’échappement en vue de leur stockage ou de leur utilisation ou à récupérer des matériaux à partir de cendres d’incinération, pour autant que ces actions n’entraînent pas une augmentation de la capacité de traitement des déchets des installations ou une prolongation de la durée de vie des installations; pour lesquels des éléments de preuve sont fournis au niveau de l’installation.</w:t>
      </w:r>
    </w:p>
  </w:footnote>
  <w:footnote w:id="8">
    <w:p w14:paraId="1EABE2EB" w14:textId="77777777" w:rsidR="00A345F4" w:rsidRDefault="005E2D4E">
      <w:pPr>
        <w:pStyle w:val="FootnoteText"/>
        <w:ind w:left="0" w:firstLine="0"/>
      </w:pPr>
      <w:r w:rsidRPr="00E75F9B">
        <w:rPr>
          <w:rStyle w:val="FootnoteReference"/>
        </w:rPr>
        <w:footnoteRef/>
      </w:r>
      <w:r>
        <w:t xml:space="preserve"> Cette exclusion ne s’applique pas aux actions dans les installations de traitement biologique mécanique existantes, lorsque les actions visent à accroître l’efficacité énergétique ou à moderniser les opérations de recyclage des déchets séparés pour composter les biodéchets et la digestion anaérobie des biodéchets, pour autant que ces actions n’entraînent pas une augmentation de la capacité de traitement des déchets des installations ou une prolongation de la durée de vie des installations; pour lesquels des éléments de preuve sont fournis au niveau de l’installation.</w:t>
      </w:r>
    </w:p>
  </w:footnote>
  <w:footnote w:id="9">
    <w:p w14:paraId="432D170E" w14:textId="77777777" w:rsidR="00A345F4" w:rsidRDefault="005E2D4E">
      <w:pPr>
        <w:pStyle w:val="FootnoteText"/>
        <w:ind w:left="0" w:firstLine="0"/>
      </w:pPr>
      <w:r w:rsidRPr="00E75F9B">
        <w:rPr>
          <w:rStyle w:val="FootnoteReference"/>
        </w:rPr>
        <w:footnoteRef/>
      </w:r>
      <w: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0">
    <w:p w14:paraId="33DA4B14" w14:textId="77777777" w:rsidR="00A345F4" w:rsidRDefault="005E2D4E">
      <w:pPr>
        <w:pStyle w:val="FootnoteText"/>
        <w:ind w:left="0" w:firstLine="0"/>
      </w:pPr>
      <w:r w:rsidRPr="00E75F9B">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1">
    <w:p w14:paraId="587F13AF" w14:textId="77777777" w:rsidR="00A345F4" w:rsidRDefault="005E2D4E">
      <w:pPr>
        <w:pStyle w:val="FootnoteText"/>
        <w:ind w:left="0" w:firstLine="0"/>
      </w:pPr>
      <w:r w:rsidRPr="00E75F9B">
        <w:rPr>
          <w:rStyle w:val="FootnoteReference"/>
        </w:rPr>
        <w:footnoteRef/>
      </w:r>
      <w: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2">
    <w:p w14:paraId="1E22FD1D" w14:textId="77777777" w:rsidR="00A345F4" w:rsidRDefault="005E2D4E">
      <w:pPr>
        <w:pStyle w:val="FootnoteText"/>
        <w:ind w:left="0" w:firstLine="0"/>
        <w:rPr>
          <w:highlight w:val="yellow"/>
        </w:rPr>
      </w:pPr>
      <w:r w:rsidRPr="00E75F9B">
        <w:rPr>
          <w:rStyle w:val="FootnoteReference"/>
        </w:rPr>
        <w:footnoteRef/>
      </w:r>
      <w:r>
        <w:t xml:space="preserve"> Cette exclusion ne s’applique pas aux actions au titre de la présente mesure dans les installations de traitement biologique mécanique existantes, lorsque les actions au titre de la présente mesure visent à accroître l’efficacité énergétique ou à moderniser les opérations de recyclage des déchets séparés pour composter les biodéchets et la digestion anaérobie des biodéchets[1],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3">
    <w:p w14:paraId="3F550186" w14:textId="77777777" w:rsidR="00A345F4" w:rsidRDefault="005E2D4E">
      <w:pPr>
        <w:pStyle w:val="FootnoteText"/>
        <w:ind w:left="0" w:firstLine="0"/>
      </w:pPr>
      <w:r w:rsidRPr="00E75F9B">
        <w:rPr>
          <w:rStyle w:val="FootnoteReference"/>
        </w:rPr>
        <w:footnoteRef/>
      </w:r>
      <w:r>
        <w:t xml:space="preserve"> 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14">
    <w:p w14:paraId="3B28502A" w14:textId="77777777" w:rsidR="00A345F4" w:rsidRDefault="005E2D4E">
      <w:pPr>
        <w:pStyle w:val="FootnoteText"/>
        <w:ind w:left="0" w:firstLine="0"/>
      </w:pPr>
      <w:r w:rsidRPr="00E75F9B">
        <w:rPr>
          <w:rStyle w:val="FootnoteReference"/>
        </w:rPr>
        <w:footnoteRef/>
      </w:r>
      <w: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5">
    <w:p w14:paraId="149836F9" w14:textId="77777777" w:rsidR="00A345F4" w:rsidRDefault="005E2D4E">
      <w:pPr>
        <w:pStyle w:val="FootnoteText"/>
        <w:ind w:left="0" w:firstLine="0"/>
      </w:pPr>
      <w:r w:rsidRPr="00E75F9B">
        <w:rPr>
          <w:rStyle w:val="FootnoteReference"/>
        </w:rPr>
        <w:footnoteRef/>
      </w:r>
      <w: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16">
    <w:p w14:paraId="2E81AE86" w14:textId="77777777" w:rsidR="00A345F4" w:rsidRDefault="005E2D4E">
      <w:pPr>
        <w:pStyle w:val="FootnoteText"/>
      </w:pPr>
      <w:r w:rsidRPr="00E75F9B">
        <w:rPr>
          <w:rStyle w:val="FootnoteReference"/>
        </w:rPr>
        <w:footnoteRef/>
      </w:r>
      <w:r>
        <w:t xml:space="preserve"> Les véhicules polluants sont définis comme des véhicules à émissions non nulles.</w:t>
      </w:r>
    </w:p>
  </w:footnote>
  <w:footnote w:id="17">
    <w:p w14:paraId="401109C5" w14:textId="77777777" w:rsidR="00A345F4" w:rsidRDefault="005E2D4E">
      <w:pPr>
        <w:pStyle w:val="FootnoteText"/>
        <w:ind w:left="0" w:firstLine="0"/>
      </w:pPr>
      <w:r w:rsidRPr="00E75F9B">
        <w:rPr>
          <w:rStyle w:val="FootnoteReference"/>
        </w:rPr>
        <w:footnoteRef/>
      </w:r>
      <w:r>
        <w:t xml:space="preserve"> 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8">
    <w:p w14:paraId="36BD45E9" w14:textId="77777777" w:rsidR="00A345F4" w:rsidRDefault="005E2D4E">
      <w:pPr>
        <w:pStyle w:val="FootnoteText"/>
        <w:ind w:left="0" w:firstLine="0"/>
      </w:pPr>
      <w:r w:rsidRPr="00E75F9B">
        <w:rPr>
          <w:rStyle w:val="FootnoteReference"/>
        </w:rPr>
        <w:footnoteRef/>
      </w:r>
      <w:r>
        <w:t xml:space="preserve"> 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19">
    <w:p w14:paraId="162FCE5E" w14:textId="77777777" w:rsidR="00A345F4" w:rsidRDefault="005E2D4E">
      <w:pPr>
        <w:pStyle w:val="FootnoteText"/>
        <w:ind w:left="0" w:firstLine="0"/>
      </w:pPr>
      <w:r w:rsidRPr="00E75F9B">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0">
    <w:p w14:paraId="430CB401" w14:textId="77777777" w:rsidR="00A345F4" w:rsidRDefault="005E2D4E">
      <w:pPr>
        <w:pStyle w:val="FootnoteText"/>
        <w:ind w:left="0" w:firstLine="0"/>
      </w:pPr>
      <w:r w:rsidRPr="00E75F9B">
        <w:rPr>
          <w:rStyle w:val="FootnoteReference"/>
        </w:rPr>
        <w:footnoteRef/>
      </w:r>
      <w:r>
        <w:t xml:space="preserve"> 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21">
    <w:p w14:paraId="59626B9E" w14:textId="77777777" w:rsidR="00A345F4" w:rsidRDefault="005E2D4E">
      <w:pPr>
        <w:pStyle w:val="FootnoteText"/>
        <w:ind w:left="0" w:firstLine="0"/>
      </w:pPr>
      <w:r w:rsidRPr="00E75F9B">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2">
    <w:p w14:paraId="2FC783C3" w14:textId="77777777" w:rsidR="00A345F4" w:rsidRDefault="005E2D4E">
      <w:pPr>
        <w:pStyle w:val="FootnoteText"/>
        <w:ind w:left="0" w:firstLine="0"/>
      </w:pPr>
      <w:r w:rsidRPr="00E75F9B">
        <w:rPr>
          <w:rStyle w:val="FootnoteReference"/>
        </w:rPr>
        <w:footnoteRef/>
      </w:r>
      <w:r>
        <w:t xml:space="preserve"> 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23">
    <w:p w14:paraId="141690E1" w14:textId="77777777" w:rsidR="00A345F4" w:rsidRDefault="005E2D4E">
      <w:pPr>
        <w:pStyle w:val="FootnoteText"/>
        <w:ind w:left="0" w:firstLine="0"/>
      </w:pPr>
      <w:r w:rsidRPr="00E75F9B">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4">
    <w:p w14:paraId="40C0D4B1" w14:textId="77777777" w:rsidR="00A345F4" w:rsidRDefault="005E2D4E">
      <w:pPr>
        <w:pStyle w:val="FootnoteText"/>
        <w:ind w:left="0" w:firstLine="0"/>
      </w:pPr>
      <w:r w:rsidRPr="00E75F9B">
        <w:rPr>
          <w:rStyle w:val="FootnoteReference"/>
        </w:rPr>
        <w:footnoteRef/>
      </w:r>
      <w: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25">
    <w:p w14:paraId="40AC52AF" w14:textId="77777777" w:rsidR="00A345F4" w:rsidRDefault="005E2D4E">
      <w:pPr>
        <w:pStyle w:val="FootnoteText"/>
        <w:ind w:left="0" w:firstLine="0"/>
      </w:pPr>
      <w:r w:rsidRPr="00E75F9B">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6">
    <w:p w14:paraId="2DECC8E2" w14:textId="77777777" w:rsidR="00A345F4" w:rsidRDefault="005E2D4E">
      <w:pPr>
        <w:pStyle w:val="FootnoteText"/>
        <w:ind w:left="0" w:firstLine="0"/>
      </w:pPr>
      <w:r w:rsidRPr="00E75F9B">
        <w:rPr>
          <w:rStyle w:val="FootnoteReference"/>
        </w:rPr>
        <w:footnoteRef/>
      </w:r>
      <w: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27">
    <w:p w14:paraId="6FE3609D" w14:textId="77777777" w:rsidR="00A345F4" w:rsidRDefault="005E2D4E">
      <w:pPr>
        <w:pStyle w:val="FootnoteText"/>
        <w:ind w:left="0" w:firstLine="0"/>
      </w:pPr>
      <w:r w:rsidRPr="00E75F9B">
        <w:rPr>
          <w:rStyle w:val="FootnoteReference"/>
        </w:rPr>
        <w:footnoteRef/>
      </w:r>
      <w: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28">
    <w:p w14:paraId="00FE5110" w14:textId="77777777" w:rsidR="00A345F4" w:rsidRDefault="005E2D4E">
      <w:pPr>
        <w:pStyle w:val="FootnoteText"/>
        <w:ind w:left="0" w:firstLine="0"/>
      </w:pPr>
      <w:r w:rsidRPr="00E75F9B">
        <w:rPr>
          <w:rStyle w:val="FootnoteReference"/>
        </w:rPr>
        <w:footnoteRef/>
      </w:r>
      <w: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29">
    <w:p w14:paraId="37788730" w14:textId="77777777" w:rsidR="00A345F4" w:rsidRDefault="005E2D4E">
      <w:pPr>
        <w:pStyle w:val="FootnoteText"/>
        <w:ind w:left="0" w:firstLine="0"/>
      </w:pPr>
      <w:r w:rsidRPr="00E75F9B">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30">
    <w:p w14:paraId="25E71501" w14:textId="77777777" w:rsidR="00A345F4" w:rsidRDefault="005E2D4E">
      <w:pPr>
        <w:pStyle w:val="FootnoteText"/>
        <w:ind w:left="0" w:firstLine="0"/>
      </w:pPr>
      <w:r w:rsidRPr="00E75F9B">
        <w:rPr>
          <w:rStyle w:val="FootnoteReference"/>
        </w:rPr>
        <w:footnoteRef/>
      </w:r>
      <w: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31">
    <w:p w14:paraId="2D1DA121" w14:textId="77777777" w:rsidR="00A345F4" w:rsidRDefault="005E2D4E">
      <w:pPr>
        <w:pStyle w:val="FootnoteText"/>
        <w:ind w:left="0" w:firstLine="0"/>
      </w:pPr>
      <w:r w:rsidRPr="00E75F9B">
        <w:rPr>
          <w:rStyle w:val="FootnoteReference"/>
        </w:rPr>
        <w:footnoteRef/>
      </w:r>
      <w: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32">
    <w:p w14:paraId="64BB39B1" w14:textId="77777777" w:rsidR="00A345F4" w:rsidRDefault="005E2D4E">
      <w:pPr>
        <w:pStyle w:val="FootnoteText"/>
        <w:ind w:left="0" w:firstLine="0"/>
      </w:pPr>
      <w:r w:rsidRPr="00E75F9B">
        <w:rPr>
          <w:rStyle w:val="FootnoteReference"/>
        </w:rPr>
        <w:footnoteRef/>
      </w:r>
      <w:r>
        <w:t xml:space="preserve"> 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33">
    <w:p w14:paraId="7DA118CF" w14:textId="77777777" w:rsidR="00A345F4" w:rsidRDefault="005E2D4E">
      <w:pPr>
        <w:pStyle w:val="FootnoteText"/>
        <w:ind w:left="0" w:firstLine="0"/>
      </w:pPr>
      <w:r w:rsidRPr="00E75F9B">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34">
    <w:p w14:paraId="12AE3B9F" w14:textId="77777777" w:rsidR="00A345F4" w:rsidRDefault="005E2D4E">
      <w:pPr>
        <w:pStyle w:val="FootnoteText"/>
      </w:pPr>
      <w:r w:rsidRPr="00E75F9B">
        <w:rPr>
          <w:rStyle w:val="FootnoteReference"/>
        </w:rPr>
        <w:footnoteRef/>
      </w:r>
      <w:r>
        <w:t xml:space="preserve"> L’investissement 13 est inclus dans la section O.3.</w:t>
      </w:r>
    </w:p>
  </w:footnote>
  <w:footnote w:id="35">
    <w:p w14:paraId="41320CA4" w14:textId="77777777" w:rsidR="00A345F4" w:rsidRDefault="005E2D4E">
      <w:pPr>
        <w:pStyle w:val="FootnoteText"/>
      </w:pPr>
      <w:r w:rsidRPr="00E75F9B">
        <w:rPr>
          <w:rStyle w:val="FootnoteReference"/>
        </w:rPr>
        <w:footnoteRef/>
      </w:r>
      <w:r>
        <w:t xml:space="preserve"> L’investissement 13 est inclus dans la section O.3.</w:t>
      </w:r>
    </w:p>
  </w:footnote>
  <w:footnote w:id="36">
    <w:p w14:paraId="381BCD2A" w14:textId="77777777" w:rsidR="00A345F4" w:rsidRDefault="005E2D4E">
      <w:pPr>
        <w:pStyle w:val="FootnoteText"/>
      </w:pPr>
      <w:r w:rsidRPr="00E75F9B">
        <w:rPr>
          <w:rStyle w:val="FootnoteReference"/>
        </w:rPr>
        <w:footnoteRef/>
      </w:r>
      <w:r>
        <w:t xml:space="preserve"> L’investissement 17 est inclus dans la section O.3.</w:t>
      </w:r>
    </w:p>
  </w:footnote>
  <w:footnote w:id="37">
    <w:p w14:paraId="1D9A9914" w14:textId="41EA0EC6" w:rsidR="00A345F4" w:rsidRDefault="005E2D4E">
      <w:pPr>
        <w:pStyle w:val="FootnoteText"/>
      </w:pPr>
      <w:r w:rsidRPr="00E75F9B">
        <w:rPr>
          <w:rStyle w:val="FootnoteReference"/>
        </w:rPr>
        <w:footnoteRef/>
      </w:r>
      <w:r>
        <w:t xml:space="preserve"> </w:t>
      </w:r>
      <w:hyperlink r:id="rId5" w:history="1">
        <w:r>
          <w:rPr>
            <w:rStyle w:val="Hyperlink"/>
          </w:rPr>
          <w:t>https://publications.jrc.ec.europa.eu/repository/handle/JRC107466</w:t>
        </w:r>
      </w:hyperlink>
      <w:r>
        <w:t xml:space="preserve"> </w:t>
      </w:r>
    </w:p>
  </w:footnote>
  <w:footnote w:id="38">
    <w:p w14:paraId="4EEF5F6B" w14:textId="64AFC8DD" w:rsidR="00A345F4" w:rsidRDefault="005E2D4E">
      <w:pPr>
        <w:pStyle w:val="FootnoteText"/>
      </w:pPr>
      <w:r w:rsidRPr="00E75F9B">
        <w:rPr>
          <w:rStyle w:val="FootnoteReference"/>
        </w:rPr>
        <w:footnoteRef/>
      </w:r>
      <w:r>
        <w:t xml:space="preserve"> </w:t>
      </w:r>
      <w:hyperlink r:id="rId6" w:history="1">
        <w:r>
          <w:rPr>
            <w:rStyle w:val="Hyperlink"/>
          </w:rPr>
          <w:t>https://publications.jrc.ec.europa.eu/repository/handle/JRC106281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19C04" w14:textId="77777777" w:rsidR="00AA39B1" w:rsidRPr="00AA39B1" w:rsidRDefault="00AA39B1" w:rsidP="00AA39B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46F13" w14:textId="77777777" w:rsidR="00AA39B1" w:rsidRPr="00AA39B1" w:rsidRDefault="00AA39B1" w:rsidP="00AA39B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E919E" w14:textId="77777777" w:rsidR="00AA39B1" w:rsidRPr="00AA39B1" w:rsidRDefault="00AA39B1" w:rsidP="00AA39B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54937" w14:textId="77777777" w:rsidR="00A345F4" w:rsidRDefault="00A345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674BE" w14:textId="77777777" w:rsidR="00A345F4" w:rsidRDefault="005E2D4E">
    <w:pPr>
      <w:rPr>
        <w:rFonts w:hint="eastAsia"/>
      </w:rPr>
    </w:pPr>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CFFAB" w14:textId="77777777" w:rsidR="00A345F4" w:rsidRDefault="00A345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3A1C9" w14:textId="77777777" w:rsidR="00A345F4" w:rsidRDefault="00A345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06BB4" w14:textId="77777777" w:rsidR="00A345F4" w:rsidRDefault="005E2D4E">
    <w:pPr>
      <w:rPr>
        <w:rFonts w:hint="eastAsia"/>
      </w:rPr>
    </w:pPr>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2C756" w14:textId="77777777" w:rsidR="00A345F4" w:rsidRDefault="00A345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CDDD2" w14:textId="77777777" w:rsidR="00A345F4" w:rsidRDefault="00A345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650BD" w14:textId="77777777" w:rsidR="00A345F4" w:rsidRDefault="005E2D4E">
    <w:pPr>
      <w:rPr>
        <w:rFonts w:hint="eastAsia"/>
      </w:rPr>
    </w:pPr>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67351" w14:textId="77777777" w:rsidR="00A345F4" w:rsidRDefault="00A345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CE74B" w14:textId="77777777" w:rsidR="00A345F4" w:rsidRDefault="00A345F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2487E" w14:textId="77777777" w:rsidR="00A345F4" w:rsidRDefault="005E2D4E">
    <w:pPr>
      <w:rPr>
        <w:rFonts w:hint="eastAsia"/>
      </w:rPr>
    </w:pPr>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3C60F" w14:textId="77777777" w:rsidR="00A345F4" w:rsidRDefault="00A345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FFFDF" w14:textId="77777777" w:rsidR="00A345F4" w:rsidRDefault="00A345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ACD6E" w14:textId="77777777" w:rsidR="00A345F4" w:rsidRDefault="005E2D4E">
    <w:pPr>
      <w:rPr>
        <w:rFonts w:hint="eastAsia"/>
      </w:rPr>
    </w:pPr>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FEB38" w14:textId="77777777" w:rsidR="00A345F4" w:rsidRDefault="00A345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B204E" w14:textId="77777777" w:rsidR="00A345F4" w:rsidRDefault="00A345F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22C8" w14:textId="77777777" w:rsidR="00A345F4" w:rsidRDefault="005E2D4E">
    <w:pPr>
      <w:rPr>
        <w:rFonts w:hint="eastAsia"/>
      </w:rPr>
    </w:pPr>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134D0" w14:textId="77777777" w:rsidR="00A345F4" w:rsidRDefault="00A345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1D3C6" w14:textId="77777777" w:rsidR="00A345F4" w:rsidRDefault="00A345F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928C4" w14:textId="77777777" w:rsidR="00A345F4" w:rsidRDefault="005E2D4E">
    <w:pPr>
      <w:rPr>
        <w:rFonts w:hint="eastAsia"/>
      </w:rPr>
    </w:pPr>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4E549" w14:textId="77777777" w:rsidR="00A345F4" w:rsidRDefault="00A345F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B1C9" w14:textId="77777777" w:rsidR="00A345F4" w:rsidRDefault="00A345F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94C74" w14:textId="77777777" w:rsidR="00A345F4" w:rsidRDefault="005E2D4E">
    <w:pPr>
      <w:rPr>
        <w:rFonts w:hint="eastAsia"/>
      </w:rPr>
    </w:pPr>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9D21B" w14:textId="77777777" w:rsidR="00A345F4" w:rsidRDefault="00A345F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50584" w14:textId="77777777" w:rsidR="00A345F4" w:rsidRDefault="00A345F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F79BA" w14:textId="77777777" w:rsidR="00A345F4" w:rsidRDefault="005E2D4E">
    <w:pPr>
      <w:rPr>
        <w:rFonts w:hint="eastAsia"/>
      </w:rPr>
    </w:pPr>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385EE" w14:textId="77777777" w:rsidR="00A345F4" w:rsidRDefault="00A345F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45FEF" w14:textId="77777777" w:rsidR="00A345F4" w:rsidRDefault="00A345F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83351" w14:textId="77777777" w:rsidR="00A345F4" w:rsidRDefault="005E2D4E">
    <w:pPr>
      <w:rPr>
        <w:rFonts w:hint="eastAsia"/>
      </w:rPr>
    </w:pPr>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88036" w14:textId="77777777" w:rsidR="00A345F4" w:rsidRDefault="00A345F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35130" w14:textId="77777777" w:rsidR="00A345F4" w:rsidRDefault="00A345F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CAA1C" w14:textId="77777777" w:rsidR="00A345F4" w:rsidRDefault="005E2D4E">
    <w:pPr>
      <w:rPr>
        <w:rFonts w:hint="eastAsia"/>
      </w:rPr>
    </w:pPr>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6B136" w14:textId="77777777" w:rsidR="00A345F4" w:rsidRDefault="00A345F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39A15" w14:textId="77777777" w:rsidR="00A345F4" w:rsidRDefault="00A345F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CCE93" w14:textId="77777777" w:rsidR="00A345F4" w:rsidRDefault="005E2D4E">
    <w:pPr>
      <w:rPr>
        <w:rFonts w:hint="eastAsia"/>
      </w:rPr>
    </w:pPr>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A06B4" w14:textId="77777777" w:rsidR="00A345F4" w:rsidRDefault="00A345F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E6ABD" w14:textId="77777777" w:rsidR="00A345F4" w:rsidRDefault="00A345F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1E320" w14:textId="77777777" w:rsidR="00A345F4" w:rsidRDefault="005E2D4E">
    <w:pPr>
      <w:rPr>
        <w:rFonts w:hint="eastAsia"/>
      </w:rPr>
    </w:pPr>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DF48D" w14:textId="77777777" w:rsidR="00A345F4" w:rsidRDefault="00A345F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DE8B8" w14:textId="77777777" w:rsidR="00A345F4" w:rsidRDefault="00A345F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D6B1C" w14:textId="77777777" w:rsidR="00A345F4" w:rsidRDefault="005E2D4E">
    <w:pPr>
      <w:rPr>
        <w:rFonts w:hint="eastAsia"/>
      </w:rPr>
    </w:pPr>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C8EF4" w14:textId="77777777" w:rsidR="00A345F4" w:rsidRDefault="00A345F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907B4" w14:textId="77777777" w:rsidR="00A345F4" w:rsidRDefault="00A345F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C24FB" w14:textId="77777777" w:rsidR="00A345F4" w:rsidRDefault="005E2D4E">
    <w:pPr>
      <w:rPr>
        <w:rFonts w:hint="eastAsia"/>
      </w:rPr>
    </w:pPr>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D82FB" w14:textId="77777777" w:rsidR="00A345F4" w:rsidRDefault="00A345F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C63F5" w14:textId="77777777" w:rsidR="00A345F4" w:rsidRDefault="00A345F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DEB5E" w14:textId="77777777" w:rsidR="00A345F4" w:rsidRDefault="005E2D4E">
    <w:pPr>
      <w:rPr>
        <w:rFonts w:hint="eastAsia"/>
      </w:rPr>
    </w:pPr>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4F8F6" w14:textId="77777777" w:rsidR="00A345F4" w:rsidRDefault="00A345F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5DDE" w14:textId="77777777" w:rsidR="00A345F4" w:rsidRDefault="00A345F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7D264" w14:textId="77777777" w:rsidR="00A345F4" w:rsidRDefault="005E2D4E">
    <w:pPr>
      <w:rPr>
        <w:rFonts w:hint="eastAsia"/>
      </w:rPr>
    </w:pPr>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6D2D" w14:textId="77777777" w:rsidR="00A345F4" w:rsidRDefault="00A345F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56A2B" w14:textId="77777777" w:rsidR="00A345F4" w:rsidRDefault="00A345F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4BF5F" w14:textId="77777777" w:rsidR="00A345F4" w:rsidRDefault="005E2D4E">
    <w:pPr>
      <w:rPr>
        <w:rFonts w:hint="eastAsia"/>
      </w:rPr>
    </w:pPr>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03C06" w14:textId="77777777" w:rsidR="00A345F4" w:rsidRDefault="00A345F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205A7" w14:textId="77777777" w:rsidR="00A345F4" w:rsidRDefault="00A345F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B9190" w14:textId="77777777" w:rsidR="00A345F4" w:rsidRDefault="005E2D4E">
    <w:pPr>
      <w:rPr>
        <w:rFonts w:hint="eastAsia"/>
      </w:rPr>
    </w:pPr>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69537" w14:textId="77777777" w:rsidR="00A345F4" w:rsidRDefault="00A345F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E738A" w14:textId="77777777" w:rsidR="00A345F4" w:rsidRDefault="00A345F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FB43F" w14:textId="77777777" w:rsidR="00A345F4" w:rsidRDefault="005E2D4E">
    <w:pPr>
      <w:rPr>
        <w:rFonts w:hint="eastAsia"/>
      </w:rPr>
    </w:pPr>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D02E0" w14:textId="77777777" w:rsidR="00A345F4" w:rsidRDefault="00A345F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C684" w14:textId="77777777" w:rsidR="00A345F4" w:rsidRDefault="00A345F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78253" w14:textId="77777777" w:rsidR="00A345F4" w:rsidRDefault="005E2D4E">
    <w:pPr>
      <w:rPr>
        <w:rFonts w:hint="eastAsia"/>
      </w:rPr>
    </w:pPr>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05570" w14:textId="77777777" w:rsidR="00A345F4" w:rsidRDefault="00A345F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02748" w14:textId="77777777" w:rsidR="00A345F4" w:rsidRDefault="00A345F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E1FA8" w14:textId="77777777" w:rsidR="00A345F4" w:rsidRDefault="005E2D4E">
    <w:pPr>
      <w:rPr>
        <w:rFonts w:hint="eastAsia"/>
      </w:rPr>
    </w:pPr>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04FEF" w14:textId="77777777" w:rsidR="00A345F4" w:rsidRDefault="00A345F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DD644" w14:textId="77777777" w:rsidR="00A345F4" w:rsidRDefault="00A345F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C61C4" w14:textId="77777777" w:rsidR="00A345F4" w:rsidRDefault="005E2D4E">
    <w:pPr>
      <w:rPr>
        <w:rFonts w:hint="eastAsia"/>
      </w:rPr>
    </w:pPr>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7C472" w14:textId="77777777" w:rsidR="00A345F4" w:rsidRDefault="00A345F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D431B" w14:textId="77777777" w:rsidR="00A345F4" w:rsidRDefault="00A345F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48D8E" w14:textId="77777777" w:rsidR="00A345F4" w:rsidRDefault="005E2D4E">
    <w:pPr>
      <w:rPr>
        <w:rFonts w:hint="eastAsia"/>
      </w:rPr>
    </w:pPr>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5A95A" w14:textId="77777777" w:rsidR="00A345F4" w:rsidRDefault="00A345F4">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1BC86" w14:textId="77777777" w:rsidR="00A345F4" w:rsidRDefault="00A345F4">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6FE7B" w14:textId="77777777" w:rsidR="00A345F4" w:rsidRDefault="005E2D4E">
    <w:pPr>
      <w:rPr>
        <w:rFonts w:hint="eastAsia"/>
      </w:rPr>
    </w:pPr>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52959" w14:textId="77777777" w:rsidR="00A345F4" w:rsidRDefault="00A345F4">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42B69" w14:textId="77777777" w:rsidR="00A345F4" w:rsidRDefault="00A345F4">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92EAB" w14:textId="77777777" w:rsidR="00A345F4" w:rsidRDefault="005E2D4E">
    <w:pPr>
      <w:rPr>
        <w:rFonts w:hint="eastAsia"/>
      </w:rPr>
    </w:pPr>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0D8FC" w14:textId="77777777" w:rsidR="00A345F4" w:rsidRDefault="00A345F4">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E938C" w14:textId="77777777" w:rsidR="00A345F4" w:rsidRDefault="00A345F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C0D7F" w14:textId="77777777" w:rsidR="00A345F4" w:rsidRDefault="005E2D4E">
    <w:pPr>
      <w:rPr>
        <w:rFonts w:hint="eastAsia"/>
      </w:rPr>
    </w:pPr>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2B86" w14:textId="77777777" w:rsidR="00A345F4" w:rsidRDefault="00A345F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8B5B5" w14:textId="77777777" w:rsidR="00A345F4" w:rsidRDefault="00A345F4">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D5FC5" w14:textId="77777777" w:rsidR="00A345F4" w:rsidRDefault="005E2D4E">
    <w:pPr>
      <w:rPr>
        <w:rFonts w:hint="eastAsia"/>
      </w:rPr>
    </w:pPr>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1B2A" w14:textId="77777777" w:rsidR="00A345F4" w:rsidRDefault="00A345F4">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0A228" w14:textId="77777777" w:rsidR="00A345F4" w:rsidRDefault="00A345F4">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E01D0" w14:textId="77777777" w:rsidR="00A345F4" w:rsidRDefault="005E2D4E">
    <w:pPr>
      <w:rPr>
        <w:rFonts w:hint="eastAsia"/>
      </w:rPr>
    </w:pPr>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E96BC" w14:textId="77777777" w:rsidR="00A345F4" w:rsidRDefault="00A345F4">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C98DB" w14:textId="77777777" w:rsidR="00A345F4" w:rsidRDefault="00A345F4">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75AC8" w14:textId="77777777" w:rsidR="00A345F4" w:rsidRDefault="005E2D4E">
    <w:pPr>
      <w:rPr>
        <w:rFonts w:hint="eastAsia"/>
      </w:rPr>
    </w:pPr>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6AA6A" w14:textId="77777777" w:rsidR="00A345F4" w:rsidRDefault="00A345F4">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A3CDA" w14:textId="77777777" w:rsidR="00A345F4" w:rsidRDefault="00A345F4">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C3EBE" w14:textId="77777777" w:rsidR="00A345F4" w:rsidRDefault="005E2D4E">
    <w:pPr>
      <w:rPr>
        <w:rFonts w:hint="eastAsia"/>
      </w:rPr>
    </w:pPr>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4DCDF" w14:textId="77777777" w:rsidR="00A345F4" w:rsidRDefault="00A345F4">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561B6" w14:textId="77777777" w:rsidR="00A345F4" w:rsidRDefault="00A345F4">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B8BE" w14:textId="77777777" w:rsidR="00A345F4" w:rsidRDefault="005E2D4E">
    <w:pPr>
      <w:rPr>
        <w:rFonts w:hint="eastAsia"/>
      </w:rPr>
    </w:pPr>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7FEAB" w14:textId="77777777" w:rsidR="00A345F4" w:rsidRDefault="00A345F4">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1B16A" w14:textId="77777777" w:rsidR="00A345F4" w:rsidRDefault="00A345F4">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0FF1C" w14:textId="77777777" w:rsidR="00A345F4" w:rsidRDefault="005E2D4E">
    <w:pPr>
      <w:rPr>
        <w:rFonts w:hint="eastAsia"/>
      </w:rPr>
    </w:pPr>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FBF0" w14:textId="77777777" w:rsidR="00A345F4" w:rsidRDefault="00A345F4">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B5F75" w14:textId="77777777" w:rsidR="00A345F4" w:rsidRDefault="00A345F4">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BFCD7" w14:textId="77777777" w:rsidR="00A345F4" w:rsidRDefault="005E2D4E">
    <w:pPr>
      <w:rPr>
        <w:rFonts w:hint="eastAsia"/>
      </w:rPr>
    </w:pPr>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9F3CD" w14:textId="77777777" w:rsidR="00A345F4" w:rsidRDefault="00A345F4">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BD410" w14:textId="77777777" w:rsidR="00A345F4" w:rsidRDefault="00A345F4">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36745" w14:textId="77777777" w:rsidR="00A345F4" w:rsidRDefault="005E2D4E">
    <w:pPr>
      <w:rPr>
        <w:rFonts w:hint="eastAsia"/>
      </w:rPr>
    </w:pPr>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4FF2B" w14:textId="77777777" w:rsidR="00A345F4" w:rsidRDefault="00A345F4">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E17D5" w14:textId="77777777" w:rsidR="00A345F4" w:rsidRDefault="00A345F4">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B131E" w14:textId="77777777" w:rsidR="00A345F4" w:rsidRDefault="005E2D4E">
    <w:pPr>
      <w:rPr>
        <w:rFonts w:hint="eastAsia"/>
      </w:rPr>
    </w:pPr>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7D457" w14:textId="77777777" w:rsidR="00A345F4" w:rsidRDefault="00A345F4">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93BD8" w14:textId="77777777" w:rsidR="00A345F4" w:rsidRDefault="00A345F4">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BB828" w14:textId="77777777" w:rsidR="00A345F4" w:rsidRDefault="005E2D4E">
    <w:pPr>
      <w:rPr>
        <w:rFonts w:hint="eastAsia"/>
      </w:rPr>
    </w:pPr>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AC271" w14:textId="77777777" w:rsidR="00A345F4" w:rsidRDefault="00A345F4">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6D687" w14:textId="77777777" w:rsidR="00A345F4" w:rsidRDefault="00A345F4">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C7933" w14:textId="77777777" w:rsidR="00A345F4" w:rsidRDefault="005E2D4E">
    <w:pPr>
      <w:rPr>
        <w:rFonts w:hint="eastAsia"/>
      </w:rPr>
    </w:pPr>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8D247" w14:textId="77777777" w:rsidR="00A345F4" w:rsidRDefault="00A345F4">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F350B" w14:textId="77777777" w:rsidR="00A345F4" w:rsidRDefault="00A345F4">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837B3" w14:textId="77777777" w:rsidR="00A345F4" w:rsidRDefault="005E2D4E">
    <w:pPr>
      <w:rPr>
        <w:rFonts w:hint="eastAsia"/>
      </w:rPr>
    </w:pPr>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4314" w14:textId="77777777" w:rsidR="00A345F4" w:rsidRDefault="00A345F4">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D9DF2" w14:textId="77777777" w:rsidR="00A345F4" w:rsidRDefault="00A345F4">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D6DB9" w14:textId="77777777" w:rsidR="00A345F4" w:rsidRDefault="005E2D4E">
    <w:pPr>
      <w:rPr>
        <w:rFonts w:hint="eastAsia"/>
      </w:rPr>
    </w:pPr>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F8F60" w14:textId="77777777" w:rsidR="00A345F4" w:rsidRDefault="00A345F4">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B8B86" w14:textId="77777777" w:rsidR="00A345F4" w:rsidRDefault="00A345F4">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751EF" w14:textId="77777777" w:rsidR="00A345F4" w:rsidRDefault="005E2D4E">
    <w:pPr>
      <w:rPr>
        <w:rFonts w:hint="eastAsia"/>
      </w:rPr>
    </w:pPr>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E169F" w14:textId="77777777" w:rsidR="00A345F4" w:rsidRDefault="00A345F4">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CFC3F" w14:textId="77777777" w:rsidR="00A345F4" w:rsidRDefault="00A345F4">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C99AA" w14:textId="77777777" w:rsidR="00A345F4" w:rsidRDefault="005E2D4E">
    <w:pPr>
      <w:rPr>
        <w:rFonts w:hint="eastAsia"/>
      </w:rPr>
    </w:pPr>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A263F" w14:textId="77777777" w:rsidR="00A345F4" w:rsidRDefault="00A345F4">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19B7D" w14:textId="77777777" w:rsidR="00A345F4" w:rsidRDefault="00A345F4">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FCE1B" w14:textId="77777777" w:rsidR="00A345F4" w:rsidRDefault="005E2D4E">
    <w:pPr>
      <w:rPr>
        <w:rFonts w:hint="eastAsia"/>
      </w:rPr>
    </w:pPr>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DE374" w14:textId="77777777" w:rsidR="00A345F4" w:rsidRDefault="00A345F4">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D764C" w14:textId="77777777" w:rsidR="00A345F4" w:rsidRDefault="00A345F4">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CB02C" w14:textId="77777777" w:rsidR="00A345F4" w:rsidRDefault="005E2D4E">
    <w:pPr>
      <w:rPr>
        <w:rFonts w:hint="eastAsia"/>
      </w:rPr>
    </w:pPr>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EA90F" w14:textId="77777777" w:rsidR="00A345F4" w:rsidRDefault="00A345F4">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502AD" w14:textId="77777777" w:rsidR="00A345F4" w:rsidRDefault="00A345F4">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5734F" w14:textId="77777777" w:rsidR="00A345F4" w:rsidRDefault="005E2D4E">
    <w:pPr>
      <w:rPr>
        <w:rFonts w:hint="eastAsia"/>
      </w:rPr>
    </w:pPr>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A48F3" w14:textId="77777777" w:rsidR="00A345F4" w:rsidRDefault="00A345F4">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8C3E2" w14:textId="77777777" w:rsidR="00A345F4" w:rsidRDefault="00A345F4">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B7692" w14:textId="77777777" w:rsidR="00A345F4" w:rsidRDefault="005E2D4E">
    <w:pPr>
      <w:rPr>
        <w:rFonts w:hint="eastAsia"/>
      </w:rPr>
    </w:pPr>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162B4" w14:textId="77777777" w:rsidR="00A345F4" w:rsidRDefault="00A345F4">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0AB86" w14:textId="77777777" w:rsidR="00A345F4" w:rsidRDefault="005E2D4E">
    <w:pPr>
      <w:rPr>
        <w:rFonts w:hint="eastAsia"/>
      </w:rPr>
    </w:pPr>
    <w:r>
      <w:t> </w: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8F84D" w14:textId="77777777" w:rsidR="00A345F4" w:rsidRDefault="005E2D4E">
    <w:pPr>
      <w:rPr>
        <w:rFonts w:hint="eastAsia"/>
      </w:rPr>
    </w:pPr>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DF67E" w14:textId="77777777" w:rsidR="00A345F4" w:rsidRDefault="00A345F4">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3A5B1" w14:textId="77777777" w:rsidR="00A345F4" w:rsidRDefault="005E2D4E">
    <w:pPr>
      <w:rPr>
        <w:rFonts w:hint="eastAsia"/>
      </w:rPr>
    </w:pPr>
    <w:r>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44EE3" w14:textId="77777777" w:rsidR="00A345F4" w:rsidRDefault="00A345F4">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7941" w14:textId="77777777" w:rsidR="00A345F4" w:rsidRDefault="00A345F4">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9C315" w14:textId="77777777" w:rsidR="00A345F4" w:rsidRDefault="005E2D4E">
    <w:pPr>
      <w:rPr>
        <w:rFonts w:hint="eastAsia"/>
      </w:rPr>
    </w:pPr>
    <w:r>
      <w:t>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CF346" w14:textId="77777777" w:rsidR="00A345F4" w:rsidRDefault="00A345F4">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47FAF" w14:textId="77777777" w:rsidR="00A345F4" w:rsidRDefault="00A345F4">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7E561" w14:textId="77777777" w:rsidR="00A345F4" w:rsidRDefault="005E2D4E">
    <w:pPr>
      <w:rPr>
        <w:rFonts w:hint="eastAsia"/>
      </w:rPr>
    </w:pPr>
    <w:r>
      <w:t> </w: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03F1A" w14:textId="77777777" w:rsidR="00A345F4" w:rsidRDefault="00A345F4">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FC2C8" w14:textId="77777777" w:rsidR="00A345F4" w:rsidRDefault="00A345F4">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B614E" w14:textId="77777777" w:rsidR="00A345F4" w:rsidRDefault="005E2D4E">
    <w:pPr>
      <w:rPr>
        <w:rFonts w:hint="eastAsia"/>
      </w:rPr>
    </w:pPr>
    <w:r>
      <w:t>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E844D" w14:textId="77777777" w:rsidR="00A345F4" w:rsidRDefault="00A345F4">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E45D7" w14:textId="77777777" w:rsidR="00A345F4" w:rsidRDefault="00A345F4">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24ED" w14:textId="77777777" w:rsidR="00A345F4" w:rsidRDefault="005E2D4E">
    <w:pPr>
      <w:rPr>
        <w:rFonts w:hint="eastAsia"/>
      </w:rPr>
    </w:pPr>
    <w:r>
      <w:t> </w:t>
    </w: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2997B" w14:textId="77777777" w:rsidR="00A345F4" w:rsidRDefault="00A345F4">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23C32" w14:textId="77777777" w:rsidR="00A345F4" w:rsidRDefault="00A345F4">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B72A2" w14:textId="77777777" w:rsidR="00A345F4" w:rsidRDefault="005E2D4E">
    <w:pPr>
      <w:rPr>
        <w:rFonts w:hint="eastAsia"/>
      </w:rPr>
    </w:pPr>
    <w:r>
      <w:t> </w: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523FF" w14:textId="77777777" w:rsidR="00A345F4" w:rsidRDefault="00A345F4">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C6CD4" w14:textId="77777777" w:rsidR="00A345F4" w:rsidRDefault="00A345F4">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1262" w14:textId="77777777" w:rsidR="00A345F4" w:rsidRDefault="005E2D4E">
    <w:pPr>
      <w:rPr>
        <w:rFonts w:hint="eastAsia"/>
      </w:rPr>
    </w:pPr>
    <w:r>
      <w:t>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BF691" w14:textId="77777777" w:rsidR="00A345F4" w:rsidRDefault="00A345F4">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4342B" w14:textId="77777777" w:rsidR="00A345F4" w:rsidRDefault="00A345F4">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8C83F" w14:textId="77777777" w:rsidR="00A345F4" w:rsidRDefault="005E2D4E">
    <w:pPr>
      <w:rPr>
        <w:rFonts w:hint="eastAsia"/>
      </w:rPr>
    </w:pPr>
    <w:r>
      <w:t> </w: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509FC" w14:textId="77777777" w:rsidR="00A345F4" w:rsidRDefault="00A345F4">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D625F" w14:textId="77777777" w:rsidR="00A345F4" w:rsidRDefault="00A345F4">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7BACD" w14:textId="77777777" w:rsidR="00A345F4" w:rsidRDefault="005E2D4E">
    <w:pPr>
      <w:rPr>
        <w:rFonts w:hint="eastAsia"/>
      </w:rPr>
    </w:pPr>
    <w:r>
      <w:t>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0EB5D" w14:textId="77777777" w:rsidR="00A345F4" w:rsidRDefault="00A345F4">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41475" w14:textId="77777777" w:rsidR="00A345F4" w:rsidRDefault="00A345F4">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EE5F2" w14:textId="77777777" w:rsidR="00A345F4" w:rsidRDefault="005E2D4E">
    <w:pPr>
      <w:rPr>
        <w:rFonts w:hint="eastAsia"/>
      </w:rPr>
    </w:pPr>
    <w:r>
      <w:t> </w: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74B6" w14:textId="77777777" w:rsidR="00A345F4" w:rsidRDefault="00A345F4">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EF64D" w14:textId="77777777" w:rsidR="00A345F4" w:rsidRDefault="00A345F4">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564C9" w14:textId="77777777" w:rsidR="00A345F4" w:rsidRDefault="005E2D4E">
    <w:pPr>
      <w:rPr>
        <w:rFonts w:hint="eastAsia"/>
      </w:rPr>
    </w:pPr>
    <w:r>
      <w:t> </w: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44D11" w14:textId="77777777" w:rsidR="00A345F4" w:rsidRDefault="00A345F4">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213E2" w14:textId="77777777" w:rsidR="00A345F4" w:rsidRDefault="00A345F4">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BAC3E" w14:textId="77777777" w:rsidR="00A345F4" w:rsidRDefault="005E2D4E">
    <w:pPr>
      <w:rPr>
        <w:rFonts w:hint="eastAsia"/>
      </w:rPr>
    </w:pPr>
    <w:r>
      <w:t> </w:t>
    </w: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02E7A" w14:textId="77777777" w:rsidR="00A345F4" w:rsidRDefault="00A345F4">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D7823" w14:textId="77777777" w:rsidR="00A345F4" w:rsidRDefault="00A345F4">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F0619" w14:textId="77777777" w:rsidR="00A345F4" w:rsidRDefault="005E2D4E">
    <w:pPr>
      <w:rPr>
        <w:rFonts w:hint="eastAsia"/>
      </w:rPr>
    </w:pPr>
    <w:r>
      <w:t> </w:t>
    </w: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BA104" w14:textId="77777777" w:rsidR="00A345F4" w:rsidRDefault="00A345F4">
    <w:pPr>
      <w:pStyle w:val="Header"/>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F6BF0" w14:textId="77777777" w:rsidR="00A345F4" w:rsidRDefault="00A345F4">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DBBCC" w14:textId="77777777" w:rsidR="00A345F4" w:rsidRDefault="005E2D4E">
    <w:pPr>
      <w:rPr>
        <w:rFonts w:hint="eastAsia"/>
      </w:rPr>
    </w:pPr>
    <w:r>
      <w:t> </w: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20DB8" w14:textId="77777777" w:rsidR="00A345F4" w:rsidRDefault="00A345F4">
    <w:pPr>
      <w:pStyle w:val="Header"/>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87419" w14:textId="77777777" w:rsidR="00A345F4" w:rsidRDefault="00A345F4">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B8869" w14:textId="77777777" w:rsidR="00A345F4" w:rsidRDefault="005E2D4E">
    <w:pPr>
      <w:rPr>
        <w:rFonts w:hint="eastAsia"/>
      </w:rPr>
    </w:pPr>
    <w:r>
      <w:t> </w:t>
    </w: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F9F9F" w14:textId="77777777" w:rsidR="00A345F4" w:rsidRDefault="00A345F4">
    <w:pPr>
      <w:pStyle w:val="Header"/>
    </w:pP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1BA91" w14:textId="77777777" w:rsidR="00A345F4" w:rsidRDefault="00A345F4">
    <w:pPr>
      <w:pStyle w:val="HeaderCoverPage"/>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CA964" w14:textId="77777777" w:rsidR="00A345F4" w:rsidRDefault="005E2D4E">
    <w:pPr>
      <w:rPr>
        <w:rFonts w:hint="eastAsia"/>
      </w:rPr>
    </w:pPr>
    <w:r>
      <w:t> </w:t>
    </w: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343DD" w14:textId="77777777" w:rsidR="00A345F4" w:rsidRDefault="00A345F4">
    <w:pPr>
      <w:pStyle w:val="HeaderCoverPage"/>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D3023" w14:textId="77777777" w:rsidR="00A345F4" w:rsidRDefault="00A345F4">
    <w:pPr>
      <w:pStyle w:val="HeaderCoverPage"/>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99C0C" w14:textId="77777777" w:rsidR="00A345F4" w:rsidRDefault="005E2D4E">
    <w:pPr>
      <w:rPr>
        <w:rFonts w:hint="eastAsia"/>
      </w:rPr>
    </w:pPr>
    <w:r>
      <w:t> </w:t>
    </w: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DDA19" w14:textId="77777777" w:rsidR="00A345F4" w:rsidRDefault="00A345F4">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5888"/>
        </w:tabs>
        <w:ind w:left="5888"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2545D2"/>
    <w:multiLevelType w:val="hybridMultilevel"/>
    <w:tmpl w:val="8610BCF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01250970"/>
    <w:multiLevelType w:val="hybridMultilevel"/>
    <w:tmpl w:val="CFDA6BBA"/>
    <w:lvl w:ilvl="0" w:tplc="505C60F8">
      <w:start w:val="1"/>
      <w:numFmt w:val="decimal"/>
      <w:lvlText w:val="%1)"/>
      <w:lvlJc w:val="left"/>
      <w:pPr>
        <w:ind w:left="360" w:hanging="360"/>
      </w:pPr>
      <w:rPr>
        <w:rFonts w:ascii="Times New Roman" w:eastAsiaTheme="minorEastAsia" w:hAnsi="Times New Roman" w:cstheme="minorBidi"/>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6C14162"/>
    <w:multiLevelType w:val="multilevel"/>
    <w:tmpl w:val="03564E8C"/>
    <w:lvl w:ilvl="0">
      <w:start w:val="1"/>
      <w:numFmt w:val="lowerLetter"/>
      <w:lvlText w:val="%1)"/>
      <w:lvlJc w:val="left"/>
      <w:pPr>
        <w:tabs>
          <w:tab w:val="num" w:pos="414"/>
        </w:tabs>
        <w:ind w:left="414" w:hanging="850"/>
      </w:pPr>
    </w:lvl>
    <w:lvl w:ilvl="1">
      <w:start w:val="1"/>
      <w:numFmt w:val="decimal"/>
      <w:lvlText w:val="%1.%2."/>
      <w:lvlJc w:val="left"/>
      <w:pPr>
        <w:tabs>
          <w:tab w:val="num" w:pos="414"/>
        </w:tabs>
        <w:ind w:left="414" w:hanging="850"/>
      </w:pPr>
    </w:lvl>
    <w:lvl w:ilvl="2">
      <w:start w:val="1"/>
      <w:numFmt w:val="lowerLetter"/>
      <w:lvlText w:val="%3."/>
      <w:lvlJc w:val="left"/>
      <w:pPr>
        <w:tabs>
          <w:tab w:val="num" w:pos="414"/>
        </w:tabs>
        <w:ind w:left="414" w:hanging="850"/>
      </w:pPr>
    </w:lvl>
    <w:lvl w:ilvl="3">
      <w:start w:val="1"/>
      <w:numFmt w:val="decimal"/>
      <w:lvlText w:val="%1.%2.%3.%4."/>
      <w:lvlJc w:val="left"/>
      <w:pPr>
        <w:tabs>
          <w:tab w:val="num" w:pos="414"/>
        </w:tabs>
        <w:ind w:left="414" w:hanging="850"/>
      </w:pPr>
    </w:lvl>
    <w:lvl w:ilvl="4">
      <w:start w:val="1"/>
      <w:numFmt w:val="lowerLetter"/>
      <w:lvlText w:val="(%5)"/>
      <w:lvlJc w:val="left"/>
      <w:pPr>
        <w:ind w:left="1364" w:hanging="360"/>
      </w:pPr>
    </w:lvl>
    <w:lvl w:ilvl="5">
      <w:start w:val="1"/>
      <w:numFmt w:val="lowerRoman"/>
      <w:lvlText w:val="(%6)"/>
      <w:lvlJc w:val="left"/>
      <w:pPr>
        <w:ind w:left="1724" w:hanging="360"/>
      </w:pPr>
    </w:lvl>
    <w:lvl w:ilvl="6">
      <w:start w:val="1"/>
      <w:numFmt w:val="decimal"/>
      <w:lvlText w:val="%7."/>
      <w:lvlJc w:val="left"/>
      <w:pPr>
        <w:ind w:left="2084" w:hanging="360"/>
      </w:pPr>
    </w:lvl>
    <w:lvl w:ilvl="7">
      <w:start w:val="1"/>
      <w:numFmt w:val="lowerLetter"/>
      <w:lvlText w:val="%8."/>
      <w:lvlJc w:val="left"/>
      <w:pPr>
        <w:ind w:left="2444" w:hanging="360"/>
      </w:pPr>
    </w:lvl>
    <w:lvl w:ilvl="8">
      <w:start w:val="1"/>
      <w:numFmt w:val="lowerRoman"/>
      <w:lvlText w:val="%9."/>
      <w:lvlJc w:val="left"/>
      <w:pPr>
        <w:ind w:left="2804" w:hanging="360"/>
      </w:pPr>
    </w:lvl>
  </w:abstractNum>
  <w:abstractNum w:abstractNumId="11" w15:restartNumberingAfterBreak="0">
    <w:nsid w:val="079B05E8"/>
    <w:multiLevelType w:val="hybridMultilevel"/>
    <w:tmpl w:val="2F60DEB4"/>
    <w:lvl w:ilvl="0" w:tplc="0809001B">
      <w:start w:val="1"/>
      <w:numFmt w:val="lowerRoman"/>
      <w:lvlText w:val="%1."/>
      <w:lvlJc w:val="right"/>
      <w:pPr>
        <w:ind w:left="5351" w:hanging="360"/>
      </w:pPr>
    </w:lvl>
    <w:lvl w:ilvl="1" w:tplc="08090019">
      <w:start w:val="1"/>
      <w:numFmt w:val="lowerLetter"/>
      <w:lvlText w:val="%2."/>
      <w:lvlJc w:val="left"/>
      <w:pPr>
        <w:ind w:left="6071" w:hanging="360"/>
      </w:pPr>
    </w:lvl>
    <w:lvl w:ilvl="2" w:tplc="0809001B" w:tentative="1">
      <w:start w:val="1"/>
      <w:numFmt w:val="lowerRoman"/>
      <w:lvlText w:val="%3."/>
      <w:lvlJc w:val="right"/>
      <w:pPr>
        <w:ind w:left="6791" w:hanging="180"/>
      </w:pPr>
    </w:lvl>
    <w:lvl w:ilvl="3" w:tplc="0809000F" w:tentative="1">
      <w:start w:val="1"/>
      <w:numFmt w:val="decimal"/>
      <w:lvlText w:val="%4."/>
      <w:lvlJc w:val="left"/>
      <w:pPr>
        <w:ind w:left="7511" w:hanging="360"/>
      </w:pPr>
    </w:lvl>
    <w:lvl w:ilvl="4" w:tplc="08090019" w:tentative="1">
      <w:start w:val="1"/>
      <w:numFmt w:val="lowerLetter"/>
      <w:lvlText w:val="%5."/>
      <w:lvlJc w:val="left"/>
      <w:pPr>
        <w:ind w:left="8231" w:hanging="360"/>
      </w:pPr>
    </w:lvl>
    <w:lvl w:ilvl="5" w:tplc="0809001B" w:tentative="1">
      <w:start w:val="1"/>
      <w:numFmt w:val="lowerRoman"/>
      <w:lvlText w:val="%6."/>
      <w:lvlJc w:val="right"/>
      <w:pPr>
        <w:ind w:left="8951" w:hanging="180"/>
      </w:pPr>
    </w:lvl>
    <w:lvl w:ilvl="6" w:tplc="0809000F" w:tentative="1">
      <w:start w:val="1"/>
      <w:numFmt w:val="decimal"/>
      <w:lvlText w:val="%7."/>
      <w:lvlJc w:val="left"/>
      <w:pPr>
        <w:ind w:left="9671" w:hanging="360"/>
      </w:pPr>
    </w:lvl>
    <w:lvl w:ilvl="7" w:tplc="08090019" w:tentative="1">
      <w:start w:val="1"/>
      <w:numFmt w:val="lowerLetter"/>
      <w:lvlText w:val="%8."/>
      <w:lvlJc w:val="left"/>
      <w:pPr>
        <w:ind w:left="10391" w:hanging="360"/>
      </w:pPr>
    </w:lvl>
    <w:lvl w:ilvl="8" w:tplc="0809001B" w:tentative="1">
      <w:start w:val="1"/>
      <w:numFmt w:val="lowerRoman"/>
      <w:lvlText w:val="%9."/>
      <w:lvlJc w:val="right"/>
      <w:pPr>
        <w:ind w:left="11111" w:hanging="180"/>
      </w:pPr>
    </w:lvl>
  </w:abstractNum>
  <w:abstractNum w:abstractNumId="12" w15:restartNumberingAfterBreak="0">
    <w:nsid w:val="0A67376A"/>
    <w:multiLevelType w:val="hybridMultilevel"/>
    <w:tmpl w:val="31E6BC2E"/>
    <w:lvl w:ilvl="0" w:tplc="D882AC22">
      <w:start w:val="300"/>
      <w:numFmt w:val="bullet"/>
      <w:lvlText w:val="-"/>
      <w:lvlJc w:val="left"/>
      <w:pPr>
        <w:ind w:left="820" w:hanging="360"/>
      </w:pPr>
      <w:rPr>
        <w:rFonts w:ascii="Times New Roman" w:eastAsiaTheme="minorHAnsi" w:hAnsi="Times New Roman" w:cs="Times New Roman"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3" w15:restartNumberingAfterBreak="0">
    <w:nsid w:val="0BCA78CA"/>
    <w:multiLevelType w:val="hybridMultilevel"/>
    <w:tmpl w:val="5D02981E"/>
    <w:lvl w:ilvl="0" w:tplc="CA50E8FA">
      <w:start w:val="14"/>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C891F29"/>
    <w:multiLevelType w:val="hybridMultilevel"/>
    <w:tmpl w:val="B3507058"/>
    <w:lvl w:ilvl="0" w:tplc="6066C1FA">
      <w:start w:val="1"/>
      <w:numFmt w:val="bullet"/>
      <w:lvlText w:val=""/>
      <w:lvlJc w:val="left"/>
      <w:pPr>
        <w:ind w:left="366" w:hanging="360"/>
      </w:pPr>
      <w:rPr>
        <w:rFonts w:ascii="Symbol" w:hAnsi="Symbol" w:hint="default"/>
      </w:rPr>
    </w:lvl>
    <w:lvl w:ilvl="1" w:tplc="3E8E3D2C">
      <w:start w:val="1"/>
      <w:numFmt w:val="bullet"/>
      <w:lvlText w:val="o"/>
      <w:lvlJc w:val="left"/>
      <w:pPr>
        <w:ind w:left="1086" w:hanging="360"/>
      </w:pPr>
      <w:rPr>
        <w:rFonts w:ascii="Courier New" w:hAnsi="Courier New" w:hint="default"/>
      </w:rPr>
    </w:lvl>
    <w:lvl w:ilvl="2" w:tplc="3EDCED88">
      <w:start w:val="1"/>
      <w:numFmt w:val="bullet"/>
      <w:lvlText w:val=""/>
      <w:lvlJc w:val="left"/>
      <w:pPr>
        <w:ind w:left="1806" w:hanging="360"/>
      </w:pPr>
      <w:rPr>
        <w:rFonts w:ascii="Wingdings" w:hAnsi="Wingdings" w:hint="default"/>
      </w:rPr>
    </w:lvl>
    <w:lvl w:ilvl="3" w:tplc="1816689A">
      <w:start w:val="1"/>
      <w:numFmt w:val="bullet"/>
      <w:lvlText w:val=""/>
      <w:lvlJc w:val="left"/>
      <w:pPr>
        <w:ind w:left="2526" w:hanging="360"/>
      </w:pPr>
      <w:rPr>
        <w:rFonts w:ascii="Symbol" w:hAnsi="Symbol" w:hint="default"/>
      </w:rPr>
    </w:lvl>
    <w:lvl w:ilvl="4" w:tplc="5108F088">
      <w:start w:val="1"/>
      <w:numFmt w:val="bullet"/>
      <w:lvlText w:val="o"/>
      <w:lvlJc w:val="left"/>
      <w:pPr>
        <w:ind w:left="3246" w:hanging="360"/>
      </w:pPr>
      <w:rPr>
        <w:rFonts w:ascii="Courier New" w:hAnsi="Courier New" w:hint="default"/>
      </w:rPr>
    </w:lvl>
    <w:lvl w:ilvl="5" w:tplc="4762E8DC">
      <w:start w:val="1"/>
      <w:numFmt w:val="bullet"/>
      <w:lvlText w:val=""/>
      <w:lvlJc w:val="left"/>
      <w:pPr>
        <w:ind w:left="3966" w:hanging="360"/>
      </w:pPr>
      <w:rPr>
        <w:rFonts w:ascii="Wingdings" w:hAnsi="Wingdings" w:hint="default"/>
      </w:rPr>
    </w:lvl>
    <w:lvl w:ilvl="6" w:tplc="F34EBA9A">
      <w:start w:val="1"/>
      <w:numFmt w:val="bullet"/>
      <w:lvlText w:val=""/>
      <w:lvlJc w:val="left"/>
      <w:pPr>
        <w:ind w:left="4686" w:hanging="360"/>
      </w:pPr>
      <w:rPr>
        <w:rFonts w:ascii="Symbol" w:hAnsi="Symbol" w:hint="default"/>
      </w:rPr>
    </w:lvl>
    <w:lvl w:ilvl="7" w:tplc="4F44676C">
      <w:start w:val="1"/>
      <w:numFmt w:val="bullet"/>
      <w:lvlText w:val="o"/>
      <w:lvlJc w:val="left"/>
      <w:pPr>
        <w:ind w:left="5406" w:hanging="360"/>
      </w:pPr>
      <w:rPr>
        <w:rFonts w:ascii="Courier New" w:hAnsi="Courier New" w:hint="default"/>
      </w:rPr>
    </w:lvl>
    <w:lvl w:ilvl="8" w:tplc="3ACE5360">
      <w:start w:val="1"/>
      <w:numFmt w:val="bullet"/>
      <w:lvlText w:val=""/>
      <w:lvlJc w:val="left"/>
      <w:pPr>
        <w:ind w:left="6126" w:hanging="360"/>
      </w:pPr>
      <w:rPr>
        <w:rFonts w:ascii="Wingdings" w:hAnsi="Wingdings" w:hint="default"/>
      </w:rPr>
    </w:lvl>
  </w:abstractNum>
  <w:abstractNum w:abstractNumId="15" w15:restartNumberingAfterBreak="0">
    <w:nsid w:val="0DB16011"/>
    <w:multiLevelType w:val="multilevel"/>
    <w:tmpl w:val="50D0C71C"/>
    <w:lvl w:ilvl="0">
      <w:start w:val="30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E6861BC"/>
    <w:multiLevelType w:val="hybridMultilevel"/>
    <w:tmpl w:val="59DA64E4"/>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0F9569DD"/>
    <w:multiLevelType w:val="hybridMultilevel"/>
    <w:tmpl w:val="231C5AC6"/>
    <w:lvl w:ilvl="0" w:tplc="2ACC1B20">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B05522"/>
    <w:multiLevelType w:val="hybridMultilevel"/>
    <w:tmpl w:val="7362F1AE"/>
    <w:lvl w:ilvl="0" w:tplc="4288CA54">
      <w:start w:val="1"/>
      <w:numFmt w:val="bullet"/>
      <w:lvlText w:val=""/>
      <w:lvlJc w:val="left"/>
      <w:pPr>
        <w:ind w:left="366" w:hanging="360"/>
      </w:pPr>
      <w:rPr>
        <w:rFonts w:ascii="Symbol" w:hAnsi="Symbol" w:hint="default"/>
      </w:rPr>
    </w:lvl>
    <w:lvl w:ilvl="1" w:tplc="960256FC">
      <w:start w:val="1"/>
      <w:numFmt w:val="bullet"/>
      <w:lvlText w:val="o"/>
      <w:lvlJc w:val="left"/>
      <w:pPr>
        <w:ind w:left="1086" w:hanging="360"/>
      </w:pPr>
      <w:rPr>
        <w:rFonts w:ascii="Courier New" w:hAnsi="Courier New" w:hint="default"/>
      </w:rPr>
    </w:lvl>
    <w:lvl w:ilvl="2" w:tplc="5C4A19D0">
      <w:start w:val="1"/>
      <w:numFmt w:val="bullet"/>
      <w:lvlText w:val=""/>
      <w:lvlJc w:val="left"/>
      <w:pPr>
        <w:ind w:left="1806" w:hanging="360"/>
      </w:pPr>
      <w:rPr>
        <w:rFonts w:ascii="Wingdings" w:hAnsi="Wingdings" w:hint="default"/>
      </w:rPr>
    </w:lvl>
    <w:lvl w:ilvl="3" w:tplc="BB0EB808">
      <w:start w:val="1"/>
      <w:numFmt w:val="bullet"/>
      <w:lvlText w:val=""/>
      <w:lvlJc w:val="left"/>
      <w:pPr>
        <w:ind w:left="2526" w:hanging="360"/>
      </w:pPr>
      <w:rPr>
        <w:rFonts w:ascii="Symbol" w:hAnsi="Symbol" w:hint="default"/>
      </w:rPr>
    </w:lvl>
    <w:lvl w:ilvl="4" w:tplc="BE58D908">
      <w:start w:val="1"/>
      <w:numFmt w:val="bullet"/>
      <w:lvlText w:val="o"/>
      <w:lvlJc w:val="left"/>
      <w:pPr>
        <w:ind w:left="3246" w:hanging="360"/>
      </w:pPr>
      <w:rPr>
        <w:rFonts w:ascii="Courier New" w:hAnsi="Courier New" w:hint="default"/>
      </w:rPr>
    </w:lvl>
    <w:lvl w:ilvl="5" w:tplc="8294CCF0">
      <w:start w:val="1"/>
      <w:numFmt w:val="bullet"/>
      <w:lvlText w:val=""/>
      <w:lvlJc w:val="left"/>
      <w:pPr>
        <w:ind w:left="3966" w:hanging="360"/>
      </w:pPr>
      <w:rPr>
        <w:rFonts w:ascii="Wingdings" w:hAnsi="Wingdings" w:hint="default"/>
      </w:rPr>
    </w:lvl>
    <w:lvl w:ilvl="6" w:tplc="9F1A2FEA">
      <w:start w:val="1"/>
      <w:numFmt w:val="bullet"/>
      <w:lvlText w:val=""/>
      <w:lvlJc w:val="left"/>
      <w:pPr>
        <w:ind w:left="4686" w:hanging="360"/>
      </w:pPr>
      <w:rPr>
        <w:rFonts w:ascii="Symbol" w:hAnsi="Symbol" w:hint="default"/>
      </w:rPr>
    </w:lvl>
    <w:lvl w:ilvl="7" w:tplc="86362C02">
      <w:start w:val="1"/>
      <w:numFmt w:val="bullet"/>
      <w:lvlText w:val="o"/>
      <w:lvlJc w:val="left"/>
      <w:pPr>
        <w:ind w:left="5406" w:hanging="360"/>
      </w:pPr>
      <w:rPr>
        <w:rFonts w:ascii="Courier New" w:hAnsi="Courier New" w:hint="default"/>
      </w:rPr>
    </w:lvl>
    <w:lvl w:ilvl="8" w:tplc="D7A8DD10">
      <w:start w:val="1"/>
      <w:numFmt w:val="bullet"/>
      <w:lvlText w:val=""/>
      <w:lvlJc w:val="left"/>
      <w:pPr>
        <w:ind w:left="6126" w:hanging="360"/>
      </w:pPr>
      <w:rPr>
        <w:rFonts w:ascii="Wingdings" w:hAnsi="Wingdings" w:hint="default"/>
      </w:rPr>
    </w:lvl>
  </w:abstractNum>
  <w:abstractNum w:abstractNumId="19" w15:restartNumberingAfterBreak="0">
    <w:nsid w:val="105B28B7"/>
    <w:multiLevelType w:val="hybridMultilevel"/>
    <w:tmpl w:val="514AD520"/>
    <w:lvl w:ilvl="0" w:tplc="8F3A109C">
      <w:start w:val="13"/>
      <w:numFmt w:val="bullet"/>
      <w:lvlText w:val="-"/>
      <w:lvlJc w:val="left"/>
      <w:pPr>
        <w:ind w:left="720" w:hanging="360"/>
      </w:pPr>
      <w:rPr>
        <w:rFonts w:ascii="Calibri" w:eastAsiaTheme="minorHAns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0C80D77"/>
    <w:multiLevelType w:val="hybridMultilevel"/>
    <w:tmpl w:val="5F1C2042"/>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C370D3"/>
    <w:multiLevelType w:val="hybridMultilevel"/>
    <w:tmpl w:val="2C4E0604"/>
    <w:lvl w:ilvl="0" w:tplc="B9C68348">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14AE1592"/>
    <w:multiLevelType w:val="hybridMultilevel"/>
    <w:tmpl w:val="47E6AB18"/>
    <w:lvl w:ilvl="0" w:tplc="D882AC22">
      <w:start w:val="300"/>
      <w:numFmt w:val="bullet"/>
      <w:lvlText w:val="-"/>
      <w:lvlJc w:val="left"/>
      <w:pPr>
        <w:ind w:left="720" w:hanging="360"/>
      </w:pPr>
      <w:rPr>
        <w:rFonts w:ascii="Times New Roman" w:eastAsiaTheme="minorHAnsi" w:hAnsi="Times New Roman" w:cs="Times New Roman" w:hint="default"/>
      </w:rPr>
    </w:lvl>
    <w:lvl w:ilvl="1" w:tplc="D882AC22">
      <w:start w:val="300"/>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0E1716"/>
    <w:multiLevelType w:val="hybridMultilevel"/>
    <w:tmpl w:val="AA529672"/>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5" w15:restartNumberingAfterBreak="0">
    <w:nsid w:val="1CEF3561"/>
    <w:multiLevelType w:val="hybridMultilevel"/>
    <w:tmpl w:val="0D46B31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1DD91968"/>
    <w:multiLevelType w:val="hybridMultilevel"/>
    <w:tmpl w:val="E47274BA"/>
    <w:lvl w:ilvl="0" w:tplc="65F2560C">
      <w:start w:val="1"/>
      <w:numFmt w:val="bullet"/>
      <w:lvlText w:val="-"/>
      <w:lvlJc w:val="left"/>
      <w:pPr>
        <w:ind w:left="360" w:hanging="360"/>
      </w:pPr>
      <w:rPr>
        <w:rFonts w:ascii="Aptos" w:hAnsi="Aptos" w:hint="default"/>
      </w:rPr>
    </w:lvl>
    <w:lvl w:ilvl="1" w:tplc="87C06E90">
      <w:start w:val="1"/>
      <w:numFmt w:val="bullet"/>
      <w:lvlText w:val="o"/>
      <w:lvlJc w:val="left"/>
      <w:pPr>
        <w:ind w:left="1080" w:hanging="360"/>
      </w:pPr>
      <w:rPr>
        <w:rFonts w:ascii="Courier New" w:hAnsi="Courier New" w:hint="default"/>
      </w:rPr>
    </w:lvl>
    <w:lvl w:ilvl="2" w:tplc="FF82C5EA">
      <w:start w:val="1"/>
      <w:numFmt w:val="bullet"/>
      <w:lvlText w:val=""/>
      <w:lvlJc w:val="left"/>
      <w:pPr>
        <w:ind w:left="1800" w:hanging="360"/>
      </w:pPr>
      <w:rPr>
        <w:rFonts w:ascii="Wingdings" w:hAnsi="Wingdings" w:hint="default"/>
      </w:rPr>
    </w:lvl>
    <w:lvl w:ilvl="3" w:tplc="1EA61B88">
      <w:start w:val="1"/>
      <w:numFmt w:val="bullet"/>
      <w:lvlText w:val=""/>
      <w:lvlJc w:val="left"/>
      <w:pPr>
        <w:ind w:left="2520" w:hanging="360"/>
      </w:pPr>
      <w:rPr>
        <w:rFonts w:ascii="Symbol" w:hAnsi="Symbol" w:hint="default"/>
      </w:rPr>
    </w:lvl>
    <w:lvl w:ilvl="4" w:tplc="8544EC02">
      <w:start w:val="1"/>
      <w:numFmt w:val="bullet"/>
      <w:lvlText w:val="o"/>
      <w:lvlJc w:val="left"/>
      <w:pPr>
        <w:ind w:left="3240" w:hanging="360"/>
      </w:pPr>
      <w:rPr>
        <w:rFonts w:ascii="Courier New" w:hAnsi="Courier New" w:hint="default"/>
      </w:rPr>
    </w:lvl>
    <w:lvl w:ilvl="5" w:tplc="ADAC1A24">
      <w:start w:val="1"/>
      <w:numFmt w:val="bullet"/>
      <w:lvlText w:val=""/>
      <w:lvlJc w:val="left"/>
      <w:pPr>
        <w:ind w:left="3960" w:hanging="360"/>
      </w:pPr>
      <w:rPr>
        <w:rFonts w:ascii="Wingdings" w:hAnsi="Wingdings" w:hint="default"/>
      </w:rPr>
    </w:lvl>
    <w:lvl w:ilvl="6" w:tplc="3F003680">
      <w:start w:val="1"/>
      <w:numFmt w:val="bullet"/>
      <w:lvlText w:val=""/>
      <w:lvlJc w:val="left"/>
      <w:pPr>
        <w:ind w:left="4680" w:hanging="360"/>
      </w:pPr>
      <w:rPr>
        <w:rFonts w:ascii="Symbol" w:hAnsi="Symbol" w:hint="default"/>
      </w:rPr>
    </w:lvl>
    <w:lvl w:ilvl="7" w:tplc="21A03FFC">
      <w:start w:val="1"/>
      <w:numFmt w:val="bullet"/>
      <w:lvlText w:val="o"/>
      <w:lvlJc w:val="left"/>
      <w:pPr>
        <w:ind w:left="5400" w:hanging="360"/>
      </w:pPr>
      <w:rPr>
        <w:rFonts w:ascii="Courier New" w:hAnsi="Courier New" w:hint="default"/>
      </w:rPr>
    </w:lvl>
    <w:lvl w:ilvl="8" w:tplc="33FCA990">
      <w:start w:val="1"/>
      <w:numFmt w:val="bullet"/>
      <w:lvlText w:val=""/>
      <w:lvlJc w:val="left"/>
      <w:pPr>
        <w:ind w:left="6120" w:hanging="360"/>
      </w:pPr>
      <w:rPr>
        <w:rFonts w:ascii="Wingdings" w:hAnsi="Wingdings" w:hint="default"/>
      </w:rPr>
    </w:lvl>
  </w:abstractNum>
  <w:abstractNum w:abstractNumId="27" w15:restartNumberingAfterBreak="0">
    <w:nsid w:val="1F385EF2"/>
    <w:multiLevelType w:val="hybridMultilevel"/>
    <w:tmpl w:val="8B5000FE"/>
    <w:lvl w:ilvl="0" w:tplc="D882AC22">
      <w:start w:val="30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1FC21727"/>
    <w:multiLevelType w:val="hybridMultilevel"/>
    <w:tmpl w:val="960242D4"/>
    <w:lvl w:ilvl="0" w:tplc="8F3A109C">
      <w:start w:val="13"/>
      <w:numFmt w:val="bullet"/>
      <w:lvlText w:val="-"/>
      <w:lvlJc w:val="left"/>
      <w:pPr>
        <w:ind w:left="720" w:hanging="360"/>
      </w:pPr>
      <w:rPr>
        <w:rFonts w:ascii="Calibri" w:eastAsiaTheme="minorHAnsi" w:hAnsi="Calibri" w:cs="Calibri" w:hint="default"/>
        <w:sz w:val="16"/>
      </w:rPr>
    </w:lvl>
    <w:lvl w:ilvl="1" w:tplc="27CE8E9E">
      <w:start w:val="10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FA3F2D"/>
    <w:multiLevelType w:val="hybridMultilevel"/>
    <w:tmpl w:val="DB142716"/>
    <w:lvl w:ilvl="0" w:tplc="DDA6C6A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1E91803"/>
    <w:multiLevelType w:val="hybridMultilevel"/>
    <w:tmpl w:val="18607A70"/>
    <w:lvl w:ilvl="0" w:tplc="D882AC22">
      <w:start w:val="300"/>
      <w:numFmt w:val="bullet"/>
      <w:lvlText w:val="-"/>
      <w:lvlJc w:val="left"/>
      <w:pPr>
        <w:ind w:left="720" w:hanging="360"/>
      </w:pPr>
      <w:rPr>
        <w:rFonts w:ascii="Times New Roman" w:eastAsiaTheme="minorHAnsi" w:hAnsi="Times New Roman" w:cs="Times New Roman" w:hint="default"/>
      </w:rPr>
    </w:lvl>
    <w:lvl w:ilvl="1" w:tplc="AAC255E4">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2F2597F"/>
    <w:multiLevelType w:val="hybridMultilevel"/>
    <w:tmpl w:val="295870D6"/>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3041218"/>
    <w:multiLevelType w:val="hybridMultilevel"/>
    <w:tmpl w:val="0A7ED9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3B51748"/>
    <w:multiLevelType w:val="hybridMultilevel"/>
    <w:tmpl w:val="97226C02"/>
    <w:lvl w:ilvl="0" w:tplc="D882AC22">
      <w:start w:val="300"/>
      <w:numFmt w:val="bullet"/>
      <w:lvlText w:val="-"/>
      <w:lvlJc w:val="left"/>
      <w:pPr>
        <w:ind w:left="720" w:hanging="360"/>
      </w:pPr>
      <w:rPr>
        <w:rFonts w:ascii="Times New Roman" w:eastAsiaTheme="minorHAnsi" w:hAnsi="Times New Roman" w:cs="Times New Roman" w:hint="default"/>
        <w:color w:val="006100"/>
        <w:sz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24BC7BCE"/>
    <w:multiLevelType w:val="hybridMultilevel"/>
    <w:tmpl w:val="ABD456DE"/>
    <w:lvl w:ilvl="0" w:tplc="D882AC22">
      <w:start w:val="300"/>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5735DF5"/>
    <w:multiLevelType w:val="hybridMultilevel"/>
    <w:tmpl w:val="A2342166"/>
    <w:lvl w:ilvl="0" w:tplc="D882AC22">
      <w:start w:val="300"/>
      <w:numFmt w:val="bullet"/>
      <w:lvlText w:val="-"/>
      <w:lvlJc w:val="left"/>
      <w:pPr>
        <w:ind w:left="360" w:hanging="360"/>
      </w:pPr>
      <w:rPr>
        <w:rFonts w:ascii="Times New Roman" w:eastAsiaTheme="minorHAns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6" w15:restartNumberingAfterBreak="0">
    <w:nsid w:val="26112413"/>
    <w:multiLevelType w:val="hybridMultilevel"/>
    <w:tmpl w:val="574ECFAC"/>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65B31F5"/>
    <w:multiLevelType w:val="hybridMultilevel"/>
    <w:tmpl w:val="77241C16"/>
    <w:lvl w:ilvl="0" w:tplc="CFDA5974">
      <w:start w:val="11"/>
      <w:numFmt w:val="bullet"/>
      <w:lvlText w:val="-"/>
      <w:lvlJc w:val="left"/>
      <w:pPr>
        <w:ind w:left="677" w:hanging="360"/>
      </w:pPr>
      <w:rPr>
        <w:rFonts w:ascii="Times New Roman" w:eastAsiaTheme="minorHAnsi" w:hAnsi="Times New Roman" w:cs="Times New Roman"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38" w15:restartNumberingAfterBreak="0">
    <w:nsid w:val="29EC7483"/>
    <w:multiLevelType w:val="hybridMultilevel"/>
    <w:tmpl w:val="3AFE6E2C"/>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B296EF8"/>
    <w:multiLevelType w:val="hybridMultilevel"/>
    <w:tmpl w:val="56AEE26A"/>
    <w:lvl w:ilvl="0" w:tplc="9678F580">
      <w:start w:val="1"/>
      <w:numFmt w:val="upperLetter"/>
      <w:lvlText w:val="%1)"/>
      <w:lvlJc w:val="left"/>
      <w:pPr>
        <w:ind w:left="720" w:hanging="360"/>
      </w:pPr>
      <w:rPr>
        <w:rFonts w:ascii="Times New Roman" w:hAnsi="Times New Roman" w:cs="Times New Roman" w:hint="default"/>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2CAC7F68"/>
    <w:multiLevelType w:val="hybridMultilevel"/>
    <w:tmpl w:val="6B809DF2"/>
    <w:lvl w:ilvl="0" w:tplc="9CC48B70">
      <w:numFmt w:val="bullet"/>
      <w:lvlText w:val="-"/>
      <w:lvlJc w:val="left"/>
      <w:pPr>
        <w:ind w:left="36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43" w15:restartNumberingAfterBreak="0">
    <w:nsid w:val="2DD50A89"/>
    <w:multiLevelType w:val="hybridMultilevel"/>
    <w:tmpl w:val="C466044C"/>
    <w:lvl w:ilvl="0" w:tplc="D882AC22">
      <w:start w:val="300"/>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4" w15:restartNumberingAfterBreak="0">
    <w:nsid w:val="2E01084A"/>
    <w:multiLevelType w:val="hybridMultilevel"/>
    <w:tmpl w:val="53B835AE"/>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0584B31"/>
    <w:multiLevelType w:val="hybridMultilevel"/>
    <w:tmpl w:val="9B302928"/>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21D30A3"/>
    <w:multiLevelType w:val="hybridMultilevel"/>
    <w:tmpl w:val="1A404892"/>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2AF2D99"/>
    <w:multiLevelType w:val="hybridMultilevel"/>
    <w:tmpl w:val="21CCD026"/>
    <w:lvl w:ilvl="0" w:tplc="4172FD36">
      <w:start w:val="2"/>
      <w:numFmt w:val="lowerRoman"/>
      <w:lvlText w:val="%1."/>
      <w:lvlJc w:val="right"/>
      <w:pPr>
        <w:ind w:left="5351"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333A6681"/>
    <w:multiLevelType w:val="hybridMultilevel"/>
    <w:tmpl w:val="412474C6"/>
    <w:lvl w:ilvl="0" w:tplc="9CC48B70">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337C5C61"/>
    <w:multiLevelType w:val="hybridMultilevel"/>
    <w:tmpl w:val="952E6DE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5E37283"/>
    <w:multiLevelType w:val="hybridMultilevel"/>
    <w:tmpl w:val="A5C61CD0"/>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6C56142"/>
    <w:multiLevelType w:val="hybridMultilevel"/>
    <w:tmpl w:val="F0FEE110"/>
    <w:name w:val="Heading2"/>
    <w:lvl w:ilvl="0" w:tplc="1BF2721A">
      <w:start w:val="11"/>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36DB40A7"/>
    <w:multiLevelType w:val="hybridMultilevel"/>
    <w:tmpl w:val="12D0332A"/>
    <w:lvl w:ilvl="0" w:tplc="D882AC22">
      <w:start w:val="3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3B766948"/>
    <w:multiLevelType w:val="hybridMultilevel"/>
    <w:tmpl w:val="77C666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B7C5DA2"/>
    <w:multiLevelType w:val="hybridMultilevel"/>
    <w:tmpl w:val="FFFFFFFF"/>
    <w:lvl w:ilvl="0" w:tplc="78DE432E">
      <w:start w:val="1"/>
      <w:numFmt w:val="bullet"/>
      <w:lvlText w:val="-"/>
      <w:lvlJc w:val="left"/>
      <w:pPr>
        <w:ind w:left="720" w:hanging="360"/>
      </w:pPr>
      <w:rPr>
        <w:rFonts w:ascii="Aptos" w:hAnsi="Aptos" w:hint="default"/>
      </w:rPr>
    </w:lvl>
    <w:lvl w:ilvl="1" w:tplc="B10C923A">
      <w:start w:val="1"/>
      <w:numFmt w:val="bullet"/>
      <w:lvlText w:val="o"/>
      <w:lvlJc w:val="left"/>
      <w:pPr>
        <w:ind w:left="1440" w:hanging="360"/>
      </w:pPr>
      <w:rPr>
        <w:rFonts w:ascii="Courier New" w:hAnsi="Courier New" w:hint="default"/>
      </w:rPr>
    </w:lvl>
    <w:lvl w:ilvl="2" w:tplc="49C224F6">
      <w:start w:val="1"/>
      <w:numFmt w:val="bullet"/>
      <w:lvlText w:val=""/>
      <w:lvlJc w:val="left"/>
      <w:pPr>
        <w:ind w:left="2160" w:hanging="360"/>
      </w:pPr>
      <w:rPr>
        <w:rFonts w:ascii="Wingdings" w:hAnsi="Wingdings" w:hint="default"/>
      </w:rPr>
    </w:lvl>
    <w:lvl w:ilvl="3" w:tplc="5470CD18">
      <w:start w:val="1"/>
      <w:numFmt w:val="bullet"/>
      <w:lvlText w:val=""/>
      <w:lvlJc w:val="left"/>
      <w:pPr>
        <w:ind w:left="2880" w:hanging="360"/>
      </w:pPr>
      <w:rPr>
        <w:rFonts w:ascii="Symbol" w:hAnsi="Symbol" w:hint="default"/>
      </w:rPr>
    </w:lvl>
    <w:lvl w:ilvl="4" w:tplc="89F85006">
      <w:start w:val="1"/>
      <w:numFmt w:val="bullet"/>
      <w:lvlText w:val="o"/>
      <w:lvlJc w:val="left"/>
      <w:pPr>
        <w:ind w:left="3600" w:hanging="360"/>
      </w:pPr>
      <w:rPr>
        <w:rFonts w:ascii="Courier New" w:hAnsi="Courier New" w:hint="default"/>
      </w:rPr>
    </w:lvl>
    <w:lvl w:ilvl="5" w:tplc="8446E8E4">
      <w:start w:val="1"/>
      <w:numFmt w:val="bullet"/>
      <w:lvlText w:val=""/>
      <w:lvlJc w:val="left"/>
      <w:pPr>
        <w:ind w:left="4320" w:hanging="360"/>
      </w:pPr>
      <w:rPr>
        <w:rFonts w:ascii="Wingdings" w:hAnsi="Wingdings" w:hint="default"/>
      </w:rPr>
    </w:lvl>
    <w:lvl w:ilvl="6" w:tplc="1C900682">
      <w:start w:val="1"/>
      <w:numFmt w:val="bullet"/>
      <w:lvlText w:val=""/>
      <w:lvlJc w:val="left"/>
      <w:pPr>
        <w:ind w:left="5040" w:hanging="360"/>
      </w:pPr>
      <w:rPr>
        <w:rFonts w:ascii="Symbol" w:hAnsi="Symbol" w:hint="default"/>
      </w:rPr>
    </w:lvl>
    <w:lvl w:ilvl="7" w:tplc="1C46EE36">
      <w:start w:val="1"/>
      <w:numFmt w:val="bullet"/>
      <w:lvlText w:val="o"/>
      <w:lvlJc w:val="left"/>
      <w:pPr>
        <w:ind w:left="5760" w:hanging="360"/>
      </w:pPr>
      <w:rPr>
        <w:rFonts w:ascii="Courier New" w:hAnsi="Courier New" w:hint="default"/>
      </w:rPr>
    </w:lvl>
    <w:lvl w:ilvl="8" w:tplc="56DEDEE6">
      <w:start w:val="1"/>
      <w:numFmt w:val="bullet"/>
      <w:lvlText w:val=""/>
      <w:lvlJc w:val="left"/>
      <w:pPr>
        <w:ind w:left="6480" w:hanging="360"/>
      </w:pPr>
      <w:rPr>
        <w:rFonts w:ascii="Wingdings" w:hAnsi="Wingdings" w:hint="default"/>
      </w:rPr>
    </w:lvl>
  </w:abstractNum>
  <w:abstractNum w:abstractNumId="55" w15:restartNumberingAfterBreak="0">
    <w:nsid w:val="3BCC40D2"/>
    <w:multiLevelType w:val="multilevel"/>
    <w:tmpl w:val="4AF61FC8"/>
    <w:lvl w:ilvl="0">
      <w:start w:val="16"/>
      <w:numFmt w:val="upperLetter"/>
      <w:lvlText w:val="%1."/>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6" w15:restartNumberingAfterBreak="0">
    <w:nsid w:val="3BED2E0F"/>
    <w:multiLevelType w:val="multilevel"/>
    <w:tmpl w:val="40F0A5F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3EC422F4"/>
    <w:multiLevelType w:val="hybridMultilevel"/>
    <w:tmpl w:val="56EAA2AA"/>
    <w:lvl w:ilvl="0" w:tplc="59707350">
      <w:start w:val="100"/>
      <w:numFmt w:val="bullet"/>
      <w:lvlText w:val="-"/>
      <w:lvlJc w:val="left"/>
      <w:pPr>
        <w:ind w:left="720" w:hanging="360"/>
      </w:pPr>
      <w:rPr>
        <w:rFonts w:ascii="Calibri" w:eastAsiaTheme="minorHAnsi" w:hAnsi="Calibri" w:cs="Calibri" w:hint="default"/>
        <w:color w:val="006100"/>
        <w:sz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41233036"/>
    <w:multiLevelType w:val="hybridMultilevel"/>
    <w:tmpl w:val="A44C8334"/>
    <w:lvl w:ilvl="0" w:tplc="08806A88">
      <w:start w:val="1"/>
      <w:numFmt w:val="lowerRoman"/>
      <w:lvlText w:val="%1."/>
      <w:lvlJc w:val="left"/>
      <w:pPr>
        <w:ind w:left="720" w:hanging="360"/>
      </w:pPr>
    </w:lvl>
    <w:lvl w:ilvl="1" w:tplc="5D18B8C2">
      <w:start w:val="1"/>
      <w:numFmt w:val="lowerLetter"/>
      <w:lvlText w:val="%2."/>
      <w:lvlJc w:val="left"/>
      <w:pPr>
        <w:ind w:left="1440" w:hanging="360"/>
      </w:pPr>
    </w:lvl>
    <w:lvl w:ilvl="2" w:tplc="70145102">
      <w:start w:val="1"/>
      <w:numFmt w:val="lowerRoman"/>
      <w:lvlText w:val="%3."/>
      <w:lvlJc w:val="right"/>
      <w:pPr>
        <w:ind w:left="2160" w:hanging="180"/>
      </w:pPr>
    </w:lvl>
    <w:lvl w:ilvl="3" w:tplc="39B6492E">
      <w:start w:val="1"/>
      <w:numFmt w:val="decimal"/>
      <w:lvlText w:val="%4."/>
      <w:lvlJc w:val="left"/>
      <w:pPr>
        <w:ind w:left="2880" w:hanging="360"/>
      </w:pPr>
    </w:lvl>
    <w:lvl w:ilvl="4" w:tplc="CCC63F24">
      <w:start w:val="1"/>
      <w:numFmt w:val="lowerLetter"/>
      <w:lvlText w:val="%5."/>
      <w:lvlJc w:val="left"/>
      <w:pPr>
        <w:ind w:left="3600" w:hanging="360"/>
      </w:pPr>
    </w:lvl>
    <w:lvl w:ilvl="5" w:tplc="CE5AD4B0">
      <w:start w:val="1"/>
      <w:numFmt w:val="lowerRoman"/>
      <w:lvlText w:val="%6."/>
      <w:lvlJc w:val="right"/>
      <w:pPr>
        <w:ind w:left="4320" w:hanging="180"/>
      </w:pPr>
    </w:lvl>
    <w:lvl w:ilvl="6" w:tplc="0C7AE1B4">
      <w:start w:val="1"/>
      <w:numFmt w:val="decimal"/>
      <w:lvlText w:val="%7."/>
      <w:lvlJc w:val="left"/>
      <w:pPr>
        <w:ind w:left="5040" w:hanging="360"/>
      </w:pPr>
    </w:lvl>
    <w:lvl w:ilvl="7" w:tplc="64E86D2C">
      <w:start w:val="1"/>
      <w:numFmt w:val="lowerLetter"/>
      <w:lvlText w:val="%8."/>
      <w:lvlJc w:val="left"/>
      <w:pPr>
        <w:ind w:left="5760" w:hanging="360"/>
      </w:pPr>
    </w:lvl>
    <w:lvl w:ilvl="8" w:tplc="D2D61B44">
      <w:start w:val="1"/>
      <w:numFmt w:val="lowerRoman"/>
      <w:lvlText w:val="%9."/>
      <w:lvlJc w:val="right"/>
      <w:pPr>
        <w:ind w:left="6480" w:hanging="180"/>
      </w:pPr>
    </w:lvl>
  </w:abstractNum>
  <w:abstractNum w:abstractNumId="5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1" w15:restartNumberingAfterBreak="0">
    <w:nsid w:val="43AE2FBF"/>
    <w:multiLevelType w:val="hybridMultilevel"/>
    <w:tmpl w:val="DF740F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3" w15:restartNumberingAfterBreak="0">
    <w:nsid w:val="48F80BBA"/>
    <w:multiLevelType w:val="hybridMultilevel"/>
    <w:tmpl w:val="0AD4D7CA"/>
    <w:lvl w:ilvl="0" w:tplc="2ACC1B20">
      <w:start w:val="2"/>
      <w:numFmt w:val="bullet"/>
      <w:lvlText w:val="-"/>
      <w:lvlJc w:val="left"/>
      <w:pPr>
        <w:ind w:left="1031" w:hanging="360"/>
      </w:pPr>
      <w:rPr>
        <w:rFonts w:ascii="Calibri" w:eastAsia="Calibri" w:hAnsi="Calibri" w:cs="Calibri" w:hint="default"/>
      </w:rPr>
    </w:lvl>
    <w:lvl w:ilvl="1" w:tplc="08090003" w:tentative="1">
      <w:start w:val="1"/>
      <w:numFmt w:val="bullet"/>
      <w:lvlText w:val="o"/>
      <w:lvlJc w:val="left"/>
      <w:pPr>
        <w:ind w:left="1751" w:hanging="360"/>
      </w:pPr>
      <w:rPr>
        <w:rFonts w:ascii="Courier New" w:hAnsi="Courier New" w:cs="Courier New" w:hint="default"/>
      </w:rPr>
    </w:lvl>
    <w:lvl w:ilvl="2" w:tplc="08090005" w:tentative="1">
      <w:start w:val="1"/>
      <w:numFmt w:val="bullet"/>
      <w:lvlText w:val=""/>
      <w:lvlJc w:val="left"/>
      <w:pPr>
        <w:ind w:left="2471" w:hanging="360"/>
      </w:pPr>
      <w:rPr>
        <w:rFonts w:ascii="Wingdings" w:hAnsi="Wingdings" w:hint="default"/>
      </w:rPr>
    </w:lvl>
    <w:lvl w:ilvl="3" w:tplc="08090001" w:tentative="1">
      <w:start w:val="1"/>
      <w:numFmt w:val="bullet"/>
      <w:lvlText w:val=""/>
      <w:lvlJc w:val="left"/>
      <w:pPr>
        <w:ind w:left="3191" w:hanging="360"/>
      </w:pPr>
      <w:rPr>
        <w:rFonts w:ascii="Symbol" w:hAnsi="Symbol" w:hint="default"/>
      </w:rPr>
    </w:lvl>
    <w:lvl w:ilvl="4" w:tplc="08090003" w:tentative="1">
      <w:start w:val="1"/>
      <w:numFmt w:val="bullet"/>
      <w:lvlText w:val="o"/>
      <w:lvlJc w:val="left"/>
      <w:pPr>
        <w:ind w:left="3911" w:hanging="360"/>
      </w:pPr>
      <w:rPr>
        <w:rFonts w:ascii="Courier New" w:hAnsi="Courier New" w:cs="Courier New" w:hint="default"/>
      </w:rPr>
    </w:lvl>
    <w:lvl w:ilvl="5" w:tplc="08090005" w:tentative="1">
      <w:start w:val="1"/>
      <w:numFmt w:val="bullet"/>
      <w:lvlText w:val=""/>
      <w:lvlJc w:val="left"/>
      <w:pPr>
        <w:ind w:left="4631" w:hanging="360"/>
      </w:pPr>
      <w:rPr>
        <w:rFonts w:ascii="Wingdings" w:hAnsi="Wingdings" w:hint="default"/>
      </w:rPr>
    </w:lvl>
    <w:lvl w:ilvl="6" w:tplc="08090001" w:tentative="1">
      <w:start w:val="1"/>
      <w:numFmt w:val="bullet"/>
      <w:lvlText w:val=""/>
      <w:lvlJc w:val="left"/>
      <w:pPr>
        <w:ind w:left="5351" w:hanging="360"/>
      </w:pPr>
      <w:rPr>
        <w:rFonts w:ascii="Symbol" w:hAnsi="Symbol" w:hint="default"/>
      </w:rPr>
    </w:lvl>
    <w:lvl w:ilvl="7" w:tplc="08090003" w:tentative="1">
      <w:start w:val="1"/>
      <w:numFmt w:val="bullet"/>
      <w:lvlText w:val="o"/>
      <w:lvlJc w:val="left"/>
      <w:pPr>
        <w:ind w:left="6071" w:hanging="360"/>
      </w:pPr>
      <w:rPr>
        <w:rFonts w:ascii="Courier New" w:hAnsi="Courier New" w:cs="Courier New" w:hint="default"/>
      </w:rPr>
    </w:lvl>
    <w:lvl w:ilvl="8" w:tplc="08090005" w:tentative="1">
      <w:start w:val="1"/>
      <w:numFmt w:val="bullet"/>
      <w:lvlText w:val=""/>
      <w:lvlJc w:val="left"/>
      <w:pPr>
        <w:ind w:left="6791" w:hanging="360"/>
      </w:pPr>
      <w:rPr>
        <w:rFonts w:ascii="Wingdings" w:hAnsi="Wingdings" w:hint="default"/>
      </w:rPr>
    </w:lvl>
  </w:abstractNum>
  <w:abstractNum w:abstractNumId="64" w15:restartNumberingAfterBreak="0">
    <w:nsid w:val="494F272B"/>
    <w:multiLevelType w:val="hybridMultilevel"/>
    <w:tmpl w:val="8A22D40A"/>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865EAF"/>
    <w:multiLevelType w:val="hybridMultilevel"/>
    <w:tmpl w:val="74E4A9FA"/>
    <w:lvl w:ilvl="0" w:tplc="D74E5370">
      <w:start w:val="1"/>
      <w:numFmt w:val="bullet"/>
      <w:lvlText w:val="-"/>
      <w:lvlJc w:val="left"/>
      <w:pPr>
        <w:ind w:left="720" w:hanging="360"/>
      </w:pPr>
      <w:rPr>
        <w:rFonts w:ascii="&quot;Calibri&quot;,sans-serif" w:hAnsi="&quot;Calibri&quot;,sans-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BC76841"/>
    <w:multiLevelType w:val="hybridMultilevel"/>
    <w:tmpl w:val="48205AA8"/>
    <w:lvl w:ilvl="0" w:tplc="D882AC22">
      <w:start w:val="300"/>
      <w:numFmt w:val="bullet"/>
      <w:lvlText w:val="-"/>
      <w:lvlJc w:val="left"/>
      <w:pPr>
        <w:ind w:left="720" w:hanging="360"/>
      </w:pPr>
      <w:rPr>
        <w:rFonts w:ascii="Times New Roman" w:eastAsiaTheme="minorHAnsi" w:hAnsi="Times New Roman" w:cs="Times New Roman" w:hint="default"/>
      </w:rPr>
    </w:lvl>
    <w:lvl w:ilvl="1" w:tplc="447C9CFC">
      <w:start w:val="5"/>
      <w:numFmt w:val="bullet"/>
      <w:lvlText w:val="•"/>
      <w:lvlJc w:val="left"/>
      <w:pPr>
        <w:ind w:left="1665" w:hanging="585"/>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C4E12AE"/>
    <w:multiLevelType w:val="hybridMultilevel"/>
    <w:tmpl w:val="85848390"/>
    <w:lvl w:ilvl="0" w:tplc="926CD9F6">
      <w:start w:val="12"/>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4C8845D4"/>
    <w:multiLevelType w:val="multilevel"/>
    <w:tmpl w:val="230AC082"/>
    <w:lvl w:ilvl="0">
      <w:start w:val="13"/>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9" w15:restartNumberingAfterBreak="0">
    <w:nsid w:val="4CEF3BB9"/>
    <w:multiLevelType w:val="hybridMultilevel"/>
    <w:tmpl w:val="ECAC4424"/>
    <w:lvl w:ilvl="0" w:tplc="A38E1F04">
      <w:start w:val="1"/>
      <w:numFmt w:val="upperLetter"/>
      <w:lvlText w:val="%1."/>
      <w:lvlJc w:val="left"/>
      <w:pPr>
        <w:ind w:left="1275" w:hanging="420"/>
      </w:pPr>
      <w:rPr>
        <w:rFonts w:ascii="Times New Roman" w:hAnsi="Times New Roman" w:cs="Times New Roman" w:hint="default"/>
        <w:b/>
        <w:bCs/>
      </w:rPr>
    </w:lvl>
    <w:lvl w:ilvl="1" w:tplc="080C0019">
      <w:start w:val="1"/>
      <w:numFmt w:val="lowerLetter"/>
      <w:lvlText w:val="%2."/>
      <w:lvlJc w:val="left"/>
      <w:pPr>
        <w:ind w:left="1935" w:hanging="360"/>
      </w:pPr>
    </w:lvl>
    <w:lvl w:ilvl="2" w:tplc="080C001B" w:tentative="1">
      <w:start w:val="1"/>
      <w:numFmt w:val="lowerRoman"/>
      <w:lvlText w:val="%3."/>
      <w:lvlJc w:val="right"/>
      <w:pPr>
        <w:ind w:left="2655" w:hanging="180"/>
      </w:pPr>
    </w:lvl>
    <w:lvl w:ilvl="3" w:tplc="080C000F" w:tentative="1">
      <w:start w:val="1"/>
      <w:numFmt w:val="decimal"/>
      <w:lvlText w:val="%4."/>
      <w:lvlJc w:val="left"/>
      <w:pPr>
        <w:ind w:left="3375" w:hanging="360"/>
      </w:pPr>
    </w:lvl>
    <w:lvl w:ilvl="4" w:tplc="080C0019" w:tentative="1">
      <w:start w:val="1"/>
      <w:numFmt w:val="lowerLetter"/>
      <w:lvlText w:val="%5."/>
      <w:lvlJc w:val="left"/>
      <w:pPr>
        <w:ind w:left="4095" w:hanging="360"/>
      </w:pPr>
    </w:lvl>
    <w:lvl w:ilvl="5" w:tplc="080C001B" w:tentative="1">
      <w:start w:val="1"/>
      <w:numFmt w:val="lowerRoman"/>
      <w:lvlText w:val="%6."/>
      <w:lvlJc w:val="right"/>
      <w:pPr>
        <w:ind w:left="4815" w:hanging="180"/>
      </w:pPr>
    </w:lvl>
    <w:lvl w:ilvl="6" w:tplc="080C000F" w:tentative="1">
      <w:start w:val="1"/>
      <w:numFmt w:val="decimal"/>
      <w:lvlText w:val="%7."/>
      <w:lvlJc w:val="left"/>
      <w:pPr>
        <w:ind w:left="5535" w:hanging="360"/>
      </w:pPr>
    </w:lvl>
    <w:lvl w:ilvl="7" w:tplc="080C0019" w:tentative="1">
      <w:start w:val="1"/>
      <w:numFmt w:val="lowerLetter"/>
      <w:lvlText w:val="%8."/>
      <w:lvlJc w:val="left"/>
      <w:pPr>
        <w:ind w:left="6255" w:hanging="360"/>
      </w:pPr>
    </w:lvl>
    <w:lvl w:ilvl="8" w:tplc="080C001B" w:tentative="1">
      <w:start w:val="1"/>
      <w:numFmt w:val="lowerRoman"/>
      <w:lvlText w:val="%9."/>
      <w:lvlJc w:val="right"/>
      <w:pPr>
        <w:ind w:left="6975" w:hanging="180"/>
      </w:pPr>
    </w:lvl>
  </w:abstractNum>
  <w:abstractNum w:abstractNumId="70" w15:restartNumberingAfterBreak="0">
    <w:nsid w:val="4CF4041D"/>
    <w:multiLevelType w:val="hybridMultilevel"/>
    <w:tmpl w:val="EE8CFA4E"/>
    <w:lvl w:ilvl="0" w:tplc="58ECCFE6">
      <w:numFmt w:val="bullet"/>
      <w:lvlText w:val="-"/>
      <w:lvlJc w:val="left"/>
      <w:pPr>
        <w:ind w:left="405"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4ED913E3"/>
    <w:multiLevelType w:val="hybridMultilevel"/>
    <w:tmpl w:val="29FC1E48"/>
    <w:lvl w:ilvl="0" w:tplc="8F3A109C">
      <w:start w:val="13"/>
      <w:numFmt w:val="bullet"/>
      <w:lvlText w:val="-"/>
      <w:lvlJc w:val="left"/>
      <w:pPr>
        <w:ind w:left="1570" w:hanging="360"/>
      </w:pPr>
      <w:rPr>
        <w:rFonts w:ascii="Calibri" w:eastAsiaTheme="minorHAnsi" w:hAnsi="Calibri" w:cs="Calibri" w:hint="default"/>
        <w:sz w:val="16"/>
      </w:rPr>
    </w:lvl>
    <w:lvl w:ilvl="1" w:tplc="080C0003" w:tentative="1">
      <w:start w:val="1"/>
      <w:numFmt w:val="bullet"/>
      <w:lvlText w:val="o"/>
      <w:lvlJc w:val="left"/>
      <w:pPr>
        <w:ind w:left="2290" w:hanging="360"/>
      </w:pPr>
      <w:rPr>
        <w:rFonts w:ascii="Courier New" w:hAnsi="Courier New" w:cs="Courier New" w:hint="default"/>
      </w:rPr>
    </w:lvl>
    <w:lvl w:ilvl="2" w:tplc="080C0005" w:tentative="1">
      <w:start w:val="1"/>
      <w:numFmt w:val="bullet"/>
      <w:lvlText w:val=""/>
      <w:lvlJc w:val="left"/>
      <w:pPr>
        <w:ind w:left="3010" w:hanging="360"/>
      </w:pPr>
      <w:rPr>
        <w:rFonts w:ascii="Wingdings" w:hAnsi="Wingdings" w:hint="default"/>
      </w:rPr>
    </w:lvl>
    <w:lvl w:ilvl="3" w:tplc="080C0001" w:tentative="1">
      <w:start w:val="1"/>
      <w:numFmt w:val="bullet"/>
      <w:lvlText w:val=""/>
      <w:lvlJc w:val="left"/>
      <w:pPr>
        <w:ind w:left="3730" w:hanging="360"/>
      </w:pPr>
      <w:rPr>
        <w:rFonts w:ascii="Symbol" w:hAnsi="Symbol" w:hint="default"/>
      </w:rPr>
    </w:lvl>
    <w:lvl w:ilvl="4" w:tplc="080C0003" w:tentative="1">
      <w:start w:val="1"/>
      <w:numFmt w:val="bullet"/>
      <w:lvlText w:val="o"/>
      <w:lvlJc w:val="left"/>
      <w:pPr>
        <w:ind w:left="4450" w:hanging="360"/>
      </w:pPr>
      <w:rPr>
        <w:rFonts w:ascii="Courier New" w:hAnsi="Courier New" w:cs="Courier New" w:hint="default"/>
      </w:rPr>
    </w:lvl>
    <w:lvl w:ilvl="5" w:tplc="080C0005" w:tentative="1">
      <w:start w:val="1"/>
      <w:numFmt w:val="bullet"/>
      <w:lvlText w:val=""/>
      <w:lvlJc w:val="left"/>
      <w:pPr>
        <w:ind w:left="5170" w:hanging="360"/>
      </w:pPr>
      <w:rPr>
        <w:rFonts w:ascii="Wingdings" w:hAnsi="Wingdings" w:hint="default"/>
      </w:rPr>
    </w:lvl>
    <w:lvl w:ilvl="6" w:tplc="080C0001" w:tentative="1">
      <w:start w:val="1"/>
      <w:numFmt w:val="bullet"/>
      <w:lvlText w:val=""/>
      <w:lvlJc w:val="left"/>
      <w:pPr>
        <w:ind w:left="5890" w:hanging="360"/>
      </w:pPr>
      <w:rPr>
        <w:rFonts w:ascii="Symbol" w:hAnsi="Symbol" w:hint="default"/>
      </w:rPr>
    </w:lvl>
    <w:lvl w:ilvl="7" w:tplc="080C0003" w:tentative="1">
      <w:start w:val="1"/>
      <w:numFmt w:val="bullet"/>
      <w:lvlText w:val="o"/>
      <w:lvlJc w:val="left"/>
      <w:pPr>
        <w:ind w:left="6610" w:hanging="360"/>
      </w:pPr>
      <w:rPr>
        <w:rFonts w:ascii="Courier New" w:hAnsi="Courier New" w:cs="Courier New" w:hint="default"/>
      </w:rPr>
    </w:lvl>
    <w:lvl w:ilvl="8" w:tplc="080C0005" w:tentative="1">
      <w:start w:val="1"/>
      <w:numFmt w:val="bullet"/>
      <w:lvlText w:val=""/>
      <w:lvlJc w:val="left"/>
      <w:pPr>
        <w:ind w:left="7330" w:hanging="360"/>
      </w:pPr>
      <w:rPr>
        <w:rFonts w:ascii="Wingdings" w:hAnsi="Wingdings" w:hint="default"/>
      </w:rPr>
    </w:lvl>
  </w:abstractNum>
  <w:abstractNum w:abstractNumId="72" w15:restartNumberingAfterBreak="0">
    <w:nsid w:val="4EEB472B"/>
    <w:multiLevelType w:val="hybridMultilevel"/>
    <w:tmpl w:val="E9E81AFE"/>
    <w:lvl w:ilvl="0" w:tplc="D882AC22">
      <w:start w:val="30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50DF4857"/>
    <w:multiLevelType w:val="hybridMultilevel"/>
    <w:tmpl w:val="0172AA66"/>
    <w:lvl w:ilvl="0" w:tplc="A386FAB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0FF7B02"/>
    <w:multiLevelType w:val="multilevel"/>
    <w:tmpl w:val="900CA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3A31948"/>
    <w:multiLevelType w:val="hybridMultilevel"/>
    <w:tmpl w:val="FFFFFFFF"/>
    <w:lvl w:ilvl="0" w:tplc="844E27AE">
      <w:start w:val="1"/>
      <w:numFmt w:val="bullet"/>
      <w:lvlText w:val=""/>
      <w:lvlJc w:val="left"/>
      <w:pPr>
        <w:ind w:left="720" w:hanging="360"/>
      </w:pPr>
      <w:rPr>
        <w:rFonts w:ascii="Symbol" w:hAnsi="Symbol" w:hint="default"/>
      </w:rPr>
    </w:lvl>
    <w:lvl w:ilvl="1" w:tplc="BB72AB6E">
      <w:start w:val="1"/>
      <w:numFmt w:val="bullet"/>
      <w:lvlText w:val="o"/>
      <w:lvlJc w:val="left"/>
      <w:pPr>
        <w:ind w:left="1440" w:hanging="360"/>
      </w:pPr>
      <w:rPr>
        <w:rFonts w:ascii="Courier New" w:hAnsi="Courier New" w:hint="default"/>
      </w:rPr>
    </w:lvl>
    <w:lvl w:ilvl="2" w:tplc="3B58FE3C">
      <w:start w:val="1"/>
      <w:numFmt w:val="bullet"/>
      <w:lvlText w:val=""/>
      <w:lvlJc w:val="left"/>
      <w:pPr>
        <w:ind w:left="2160" w:hanging="360"/>
      </w:pPr>
      <w:rPr>
        <w:rFonts w:ascii="Wingdings" w:hAnsi="Wingdings" w:hint="default"/>
      </w:rPr>
    </w:lvl>
    <w:lvl w:ilvl="3" w:tplc="ECB21C46">
      <w:start w:val="1"/>
      <w:numFmt w:val="bullet"/>
      <w:lvlText w:val=""/>
      <w:lvlJc w:val="left"/>
      <w:pPr>
        <w:ind w:left="2880" w:hanging="360"/>
      </w:pPr>
      <w:rPr>
        <w:rFonts w:ascii="Symbol" w:hAnsi="Symbol" w:hint="default"/>
      </w:rPr>
    </w:lvl>
    <w:lvl w:ilvl="4" w:tplc="2D5EB83A">
      <w:start w:val="1"/>
      <w:numFmt w:val="bullet"/>
      <w:lvlText w:val="o"/>
      <w:lvlJc w:val="left"/>
      <w:pPr>
        <w:ind w:left="3600" w:hanging="360"/>
      </w:pPr>
      <w:rPr>
        <w:rFonts w:ascii="Courier New" w:hAnsi="Courier New" w:hint="default"/>
      </w:rPr>
    </w:lvl>
    <w:lvl w:ilvl="5" w:tplc="1324C7B4">
      <w:start w:val="1"/>
      <w:numFmt w:val="bullet"/>
      <w:lvlText w:val=""/>
      <w:lvlJc w:val="left"/>
      <w:pPr>
        <w:ind w:left="4320" w:hanging="360"/>
      </w:pPr>
      <w:rPr>
        <w:rFonts w:ascii="Wingdings" w:hAnsi="Wingdings" w:hint="default"/>
      </w:rPr>
    </w:lvl>
    <w:lvl w:ilvl="6" w:tplc="B7F48C60">
      <w:start w:val="1"/>
      <w:numFmt w:val="bullet"/>
      <w:lvlText w:val=""/>
      <w:lvlJc w:val="left"/>
      <w:pPr>
        <w:ind w:left="5040" w:hanging="360"/>
      </w:pPr>
      <w:rPr>
        <w:rFonts w:ascii="Symbol" w:hAnsi="Symbol" w:hint="default"/>
      </w:rPr>
    </w:lvl>
    <w:lvl w:ilvl="7" w:tplc="C3E4AD40">
      <w:start w:val="1"/>
      <w:numFmt w:val="bullet"/>
      <w:lvlText w:val="o"/>
      <w:lvlJc w:val="left"/>
      <w:pPr>
        <w:ind w:left="5760" w:hanging="360"/>
      </w:pPr>
      <w:rPr>
        <w:rFonts w:ascii="Courier New" w:hAnsi="Courier New" w:hint="default"/>
      </w:rPr>
    </w:lvl>
    <w:lvl w:ilvl="8" w:tplc="EED6377A">
      <w:start w:val="1"/>
      <w:numFmt w:val="bullet"/>
      <w:lvlText w:val=""/>
      <w:lvlJc w:val="left"/>
      <w:pPr>
        <w:ind w:left="6480" w:hanging="360"/>
      </w:pPr>
      <w:rPr>
        <w:rFonts w:ascii="Wingdings" w:hAnsi="Wingdings" w:hint="default"/>
      </w:rPr>
    </w:lvl>
  </w:abstractNum>
  <w:abstractNum w:abstractNumId="76" w15:restartNumberingAfterBreak="0">
    <w:nsid w:val="5477135F"/>
    <w:multiLevelType w:val="hybridMultilevel"/>
    <w:tmpl w:val="979A93EE"/>
    <w:lvl w:ilvl="0" w:tplc="C76CFAA8">
      <w:start w:val="1"/>
      <w:numFmt w:val="lowerRoman"/>
      <w:lvlText w:val="%1)"/>
      <w:lvlJc w:val="left"/>
      <w:pPr>
        <w:ind w:left="1571" w:hanging="360"/>
      </w:pPr>
      <w:rPr>
        <w:rFonts w:asciiTheme="minorHAnsi" w:hAnsiTheme="minorHAnsi" w:cstheme="minorHAnsi"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77" w15:restartNumberingAfterBreak="0">
    <w:nsid w:val="55006B23"/>
    <w:multiLevelType w:val="hybridMultilevel"/>
    <w:tmpl w:val="FFFFFFFF"/>
    <w:lvl w:ilvl="0" w:tplc="82F0A6AC">
      <w:start w:val="1"/>
      <w:numFmt w:val="bullet"/>
      <w:lvlText w:val=""/>
      <w:lvlJc w:val="left"/>
      <w:pPr>
        <w:ind w:left="720" w:hanging="360"/>
      </w:pPr>
      <w:rPr>
        <w:rFonts w:ascii="Symbol" w:hAnsi="Symbol" w:hint="default"/>
      </w:rPr>
    </w:lvl>
    <w:lvl w:ilvl="1" w:tplc="94FAD5C0">
      <w:start w:val="1"/>
      <w:numFmt w:val="bullet"/>
      <w:lvlText w:val="o"/>
      <w:lvlJc w:val="left"/>
      <w:pPr>
        <w:ind w:left="1440" w:hanging="360"/>
      </w:pPr>
      <w:rPr>
        <w:rFonts w:ascii="Courier New" w:hAnsi="Courier New" w:hint="default"/>
      </w:rPr>
    </w:lvl>
    <w:lvl w:ilvl="2" w:tplc="A336F4AE">
      <w:start w:val="1"/>
      <w:numFmt w:val="bullet"/>
      <w:lvlText w:val=""/>
      <w:lvlJc w:val="left"/>
      <w:pPr>
        <w:ind w:left="2160" w:hanging="360"/>
      </w:pPr>
      <w:rPr>
        <w:rFonts w:ascii="Wingdings" w:hAnsi="Wingdings" w:hint="default"/>
      </w:rPr>
    </w:lvl>
    <w:lvl w:ilvl="3" w:tplc="3C62CC2E">
      <w:start w:val="1"/>
      <w:numFmt w:val="bullet"/>
      <w:lvlText w:val=""/>
      <w:lvlJc w:val="left"/>
      <w:pPr>
        <w:ind w:left="2880" w:hanging="360"/>
      </w:pPr>
      <w:rPr>
        <w:rFonts w:ascii="Symbol" w:hAnsi="Symbol" w:hint="default"/>
      </w:rPr>
    </w:lvl>
    <w:lvl w:ilvl="4" w:tplc="B11032EA">
      <w:start w:val="1"/>
      <w:numFmt w:val="bullet"/>
      <w:lvlText w:val="o"/>
      <w:lvlJc w:val="left"/>
      <w:pPr>
        <w:ind w:left="3600" w:hanging="360"/>
      </w:pPr>
      <w:rPr>
        <w:rFonts w:ascii="Courier New" w:hAnsi="Courier New" w:hint="default"/>
      </w:rPr>
    </w:lvl>
    <w:lvl w:ilvl="5" w:tplc="A6B0330C">
      <w:start w:val="1"/>
      <w:numFmt w:val="bullet"/>
      <w:lvlText w:val=""/>
      <w:lvlJc w:val="left"/>
      <w:pPr>
        <w:ind w:left="4320" w:hanging="360"/>
      </w:pPr>
      <w:rPr>
        <w:rFonts w:ascii="Wingdings" w:hAnsi="Wingdings" w:hint="default"/>
      </w:rPr>
    </w:lvl>
    <w:lvl w:ilvl="6" w:tplc="C97C2AD2">
      <w:start w:val="1"/>
      <w:numFmt w:val="bullet"/>
      <w:lvlText w:val=""/>
      <w:lvlJc w:val="left"/>
      <w:pPr>
        <w:ind w:left="5040" w:hanging="360"/>
      </w:pPr>
      <w:rPr>
        <w:rFonts w:ascii="Symbol" w:hAnsi="Symbol" w:hint="default"/>
      </w:rPr>
    </w:lvl>
    <w:lvl w:ilvl="7" w:tplc="238619A2">
      <w:start w:val="1"/>
      <w:numFmt w:val="bullet"/>
      <w:lvlText w:val="o"/>
      <w:lvlJc w:val="left"/>
      <w:pPr>
        <w:ind w:left="5760" w:hanging="360"/>
      </w:pPr>
      <w:rPr>
        <w:rFonts w:ascii="Courier New" w:hAnsi="Courier New" w:hint="default"/>
      </w:rPr>
    </w:lvl>
    <w:lvl w:ilvl="8" w:tplc="D03C23A4">
      <w:start w:val="1"/>
      <w:numFmt w:val="bullet"/>
      <w:lvlText w:val=""/>
      <w:lvlJc w:val="left"/>
      <w:pPr>
        <w:ind w:left="6480" w:hanging="360"/>
      </w:pPr>
      <w:rPr>
        <w:rFonts w:ascii="Wingdings" w:hAnsi="Wingdings" w:hint="default"/>
      </w:rPr>
    </w:lvl>
  </w:abstractNum>
  <w:abstractNum w:abstractNumId="7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79" w15:restartNumberingAfterBreak="0">
    <w:nsid w:val="57ED755F"/>
    <w:multiLevelType w:val="hybridMultilevel"/>
    <w:tmpl w:val="8B8E680C"/>
    <w:lvl w:ilvl="0" w:tplc="D882AC22">
      <w:start w:val="300"/>
      <w:numFmt w:val="bullet"/>
      <w:lvlText w:val="-"/>
      <w:lvlJc w:val="left"/>
      <w:pPr>
        <w:ind w:left="720" w:hanging="360"/>
      </w:pPr>
      <w:rPr>
        <w:rFonts w:ascii="Times New Roman" w:eastAsiaTheme="minorHAnsi" w:hAnsi="Times New Roman" w:cs="Times New Roman" w:hint="default"/>
      </w:rPr>
    </w:lvl>
    <w:lvl w:ilvl="1" w:tplc="EDAEBDD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8C3067B"/>
    <w:multiLevelType w:val="hybridMultilevel"/>
    <w:tmpl w:val="63260CA6"/>
    <w:lvl w:ilvl="0" w:tplc="071E7442">
      <w:start w:val="1"/>
      <w:numFmt w:val="decimal"/>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81" w15:restartNumberingAfterBreak="0">
    <w:nsid w:val="5B3545EA"/>
    <w:multiLevelType w:val="hybridMultilevel"/>
    <w:tmpl w:val="C8645C78"/>
    <w:lvl w:ilvl="0" w:tplc="D882AC22">
      <w:start w:val="3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3" w15:restartNumberingAfterBreak="0">
    <w:nsid w:val="5B935A66"/>
    <w:multiLevelType w:val="hybridMultilevel"/>
    <w:tmpl w:val="96BC36F6"/>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B9D5293"/>
    <w:multiLevelType w:val="multilevel"/>
    <w:tmpl w:val="EF30A5B8"/>
    <w:lvl w:ilvl="0">
      <w:start w:val="3"/>
      <w:numFmt w:val="decimal"/>
      <w:lvlText w:val="%1."/>
      <w:lvlJc w:val="left"/>
      <w:pPr>
        <w:ind w:left="360" w:hanging="360"/>
      </w:pPr>
      <w:rPr>
        <w:rFonts w:ascii="Times New Roman" w:hAnsi="Times New Roman" w:cs="Times New Roman" w:hint="default"/>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86" w15:restartNumberingAfterBreak="0">
    <w:nsid w:val="5C1020B7"/>
    <w:multiLevelType w:val="hybridMultilevel"/>
    <w:tmpl w:val="6AACAEE8"/>
    <w:lvl w:ilvl="0" w:tplc="5D3A17C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C684C71"/>
    <w:multiLevelType w:val="hybridMultilevel"/>
    <w:tmpl w:val="94BEE072"/>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9" w15:restartNumberingAfterBreak="0">
    <w:nsid w:val="5CCD6F9A"/>
    <w:multiLevelType w:val="hybridMultilevel"/>
    <w:tmpl w:val="04F0CB5A"/>
    <w:lvl w:ilvl="0" w:tplc="BADE8FF4">
      <w:start w:val="1"/>
      <w:numFmt w:val="decimal"/>
      <w:lvlText w:val="%1)"/>
      <w:lvlJc w:val="left"/>
      <w:pPr>
        <w:ind w:left="720" w:hanging="360"/>
      </w:pPr>
    </w:lvl>
    <w:lvl w:ilvl="1" w:tplc="EAFE9634">
      <w:start w:val="1"/>
      <w:numFmt w:val="lowerLetter"/>
      <w:lvlText w:val="%2."/>
      <w:lvlJc w:val="left"/>
      <w:pPr>
        <w:ind w:left="1440" w:hanging="360"/>
      </w:pPr>
    </w:lvl>
    <w:lvl w:ilvl="2" w:tplc="DA164002">
      <w:start w:val="1"/>
      <w:numFmt w:val="lowerRoman"/>
      <w:lvlText w:val="%3."/>
      <w:lvlJc w:val="right"/>
      <w:pPr>
        <w:ind w:left="2160" w:hanging="180"/>
      </w:pPr>
    </w:lvl>
    <w:lvl w:ilvl="3" w:tplc="04CEA7F0">
      <w:start w:val="1"/>
      <w:numFmt w:val="decimal"/>
      <w:lvlText w:val="%4."/>
      <w:lvlJc w:val="left"/>
      <w:pPr>
        <w:ind w:left="2880" w:hanging="360"/>
      </w:pPr>
    </w:lvl>
    <w:lvl w:ilvl="4" w:tplc="1C2E908C">
      <w:start w:val="1"/>
      <w:numFmt w:val="lowerLetter"/>
      <w:lvlText w:val="%5."/>
      <w:lvlJc w:val="left"/>
      <w:pPr>
        <w:ind w:left="3600" w:hanging="360"/>
      </w:pPr>
    </w:lvl>
    <w:lvl w:ilvl="5" w:tplc="C598E4A0">
      <w:start w:val="1"/>
      <w:numFmt w:val="lowerRoman"/>
      <w:lvlText w:val="%6."/>
      <w:lvlJc w:val="right"/>
      <w:pPr>
        <w:ind w:left="4320" w:hanging="180"/>
      </w:pPr>
    </w:lvl>
    <w:lvl w:ilvl="6" w:tplc="71BCAF00">
      <w:start w:val="1"/>
      <w:numFmt w:val="decimal"/>
      <w:lvlText w:val="%7."/>
      <w:lvlJc w:val="left"/>
      <w:pPr>
        <w:ind w:left="5040" w:hanging="360"/>
      </w:pPr>
    </w:lvl>
    <w:lvl w:ilvl="7" w:tplc="2B5A7DE4">
      <w:start w:val="1"/>
      <w:numFmt w:val="lowerLetter"/>
      <w:lvlText w:val="%8."/>
      <w:lvlJc w:val="left"/>
      <w:pPr>
        <w:ind w:left="5760" w:hanging="360"/>
      </w:pPr>
    </w:lvl>
    <w:lvl w:ilvl="8" w:tplc="FA2AB408">
      <w:start w:val="1"/>
      <w:numFmt w:val="lowerRoman"/>
      <w:lvlText w:val="%9."/>
      <w:lvlJc w:val="right"/>
      <w:pPr>
        <w:ind w:left="6480" w:hanging="180"/>
      </w:pPr>
    </w:lvl>
  </w:abstractNum>
  <w:abstractNum w:abstractNumId="90" w15:restartNumberingAfterBreak="0">
    <w:nsid w:val="5FB55EED"/>
    <w:multiLevelType w:val="multilevel"/>
    <w:tmpl w:val="E162FDF2"/>
    <w:lvl w:ilvl="0">
      <w:start w:val="1"/>
      <w:numFmt w:val="decimal"/>
      <w:lvlRestart w:val="0"/>
      <w:lvlText w:val="%1."/>
      <w:lvlJc w:val="left"/>
      <w:pPr>
        <w:tabs>
          <w:tab w:val="num" w:pos="720"/>
        </w:tabs>
        <w:ind w:left="720" w:hanging="850"/>
      </w:pPr>
    </w:lvl>
    <w:lvl w:ilvl="1">
      <w:start w:val="1"/>
      <w:numFmt w:val="decimal"/>
      <w:lvlText w:val="%1.%2."/>
      <w:lvlJc w:val="left"/>
      <w:pPr>
        <w:tabs>
          <w:tab w:val="num" w:pos="720"/>
        </w:tabs>
        <w:ind w:left="720" w:hanging="850"/>
      </w:pPr>
    </w:lvl>
    <w:lvl w:ilvl="2">
      <w:start w:val="1"/>
      <w:numFmt w:val="lowerLetter"/>
      <w:lvlText w:val="%3."/>
      <w:lvlJc w:val="left"/>
      <w:pPr>
        <w:tabs>
          <w:tab w:val="num" w:pos="720"/>
        </w:tabs>
        <w:ind w:left="720" w:hanging="850"/>
      </w:pPr>
    </w:lvl>
    <w:lvl w:ilvl="3">
      <w:start w:val="1"/>
      <w:numFmt w:val="decimal"/>
      <w:lvlText w:val="%1.%2.%3.%4."/>
      <w:lvlJc w:val="left"/>
      <w:pPr>
        <w:tabs>
          <w:tab w:val="num" w:pos="720"/>
        </w:tabs>
        <w:ind w:left="720" w:hanging="850"/>
      </w:pPr>
    </w:lvl>
    <w:lvl w:ilvl="4">
      <w:start w:val="1"/>
      <w:numFmt w:val="lowerLetter"/>
      <w:lvlText w:val="(%5)"/>
      <w:lvlJc w:val="left"/>
      <w:pPr>
        <w:ind w:left="1670" w:hanging="360"/>
      </w:pPr>
    </w:lvl>
    <w:lvl w:ilvl="5">
      <w:start w:val="1"/>
      <w:numFmt w:val="lowerRoman"/>
      <w:lvlText w:val="(%6)"/>
      <w:lvlJc w:val="left"/>
      <w:pPr>
        <w:ind w:left="2030" w:hanging="360"/>
      </w:pPr>
    </w:lvl>
    <w:lvl w:ilvl="6">
      <w:start w:val="1"/>
      <w:numFmt w:val="decimal"/>
      <w:lvlText w:val="%7."/>
      <w:lvlJc w:val="left"/>
      <w:pPr>
        <w:ind w:left="2390" w:hanging="360"/>
      </w:pPr>
    </w:lvl>
    <w:lvl w:ilvl="7">
      <w:start w:val="1"/>
      <w:numFmt w:val="lowerLetter"/>
      <w:lvlText w:val="%8."/>
      <w:lvlJc w:val="left"/>
      <w:pPr>
        <w:ind w:left="2750" w:hanging="360"/>
      </w:pPr>
    </w:lvl>
    <w:lvl w:ilvl="8">
      <w:start w:val="1"/>
      <w:numFmt w:val="lowerRoman"/>
      <w:lvlText w:val="%9."/>
      <w:lvlJc w:val="left"/>
      <w:pPr>
        <w:ind w:left="3110" w:hanging="360"/>
      </w:pPr>
    </w:lvl>
  </w:abstractNum>
  <w:abstractNum w:abstractNumId="91" w15:restartNumberingAfterBreak="0">
    <w:nsid w:val="60A2739D"/>
    <w:multiLevelType w:val="hybridMultilevel"/>
    <w:tmpl w:val="43BE1CC4"/>
    <w:lvl w:ilvl="0" w:tplc="D882AC22">
      <w:start w:val="300"/>
      <w:numFmt w:val="bullet"/>
      <w:lvlText w:val="-"/>
      <w:lvlJc w:val="left"/>
      <w:pPr>
        <w:ind w:left="1210" w:hanging="360"/>
      </w:pPr>
      <w:rPr>
        <w:rFonts w:ascii="Times New Roman" w:eastAsiaTheme="minorHAnsi" w:hAnsi="Times New Roman" w:cs="Times New Roman" w:hint="default"/>
      </w:rPr>
    </w:lvl>
    <w:lvl w:ilvl="1" w:tplc="080C0003" w:tentative="1">
      <w:start w:val="1"/>
      <w:numFmt w:val="bullet"/>
      <w:lvlText w:val="o"/>
      <w:lvlJc w:val="left"/>
      <w:pPr>
        <w:ind w:left="1930" w:hanging="360"/>
      </w:pPr>
      <w:rPr>
        <w:rFonts w:ascii="Courier New" w:hAnsi="Courier New" w:cs="Courier New" w:hint="default"/>
      </w:rPr>
    </w:lvl>
    <w:lvl w:ilvl="2" w:tplc="080C0005" w:tentative="1">
      <w:start w:val="1"/>
      <w:numFmt w:val="bullet"/>
      <w:lvlText w:val=""/>
      <w:lvlJc w:val="left"/>
      <w:pPr>
        <w:ind w:left="2650" w:hanging="360"/>
      </w:pPr>
      <w:rPr>
        <w:rFonts w:ascii="Wingdings" w:hAnsi="Wingdings" w:hint="default"/>
      </w:rPr>
    </w:lvl>
    <w:lvl w:ilvl="3" w:tplc="080C0001" w:tentative="1">
      <w:start w:val="1"/>
      <w:numFmt w:val="bullet"/>
      <w:lvlText w:val=""/>
      <w:lvlJc w:val="left"/>
      <w:pPr>
        <w:ind w:left="3370" w:hanging="360"/>
      </w:pPr>
      <w:rPr>
        <w:rFonts w:ascii="Symbol" w:hAnsi="Symbol" w:hint="default"/>
      </w:rPr>
    </w:lvl>
    <w:lvl w:ilvl="4" w:tplc="080C0003" w:tentative="1">
      <w:start w:val="1"/>
      <w:numFmt w:val="bullet"/>
      <w:lvlText w:val="o"/>
      <w:lvlJc w:val="left"/>
      <w:pPr>
        <w:ind w:left="4090" w:hanging="360"/>
      </w:pPr>
      <w:rPr>
        <w:rFonts w:ascii="Courier New" w:hAnsi="Courier New" w:cs="Courier New" w:hint="default"/>
      </w:rPr>
    </w:lvl>
    <w:lvl w:ilvl="5" w:tplc="080C0005" w:tentative="1">
      <w:start w:val="1"/>
      <w:numFmt w:val="bullet"/>
      <w:lvlText w:val=""/>
      <w:lvlJc w:val="left"/>
      <w:pPr>
        <w:ind w:left="4810" w:hanging="360"/>
      </w:pPr>
      <w:rPr>
        <w:rFonts w:ascii="Wingdings" w:hAnsi="Wingdings" w:hint="default"/>
      </w:rPr>
    </w:lvl>
    <w:lvl w:ilvl="6" w:tplc="080C0001" w:tentative="1">
      <w:start w:val="1"/>
      <w:numFmt w:val="bullet"/>
      <w:lvlText w:val=""/>
      <w:lvlJc w:val="left"/>
      <w:pPr>
        <w:ind w:left="5530" w:hanging="360"/>
      </w:pPr>
      <w:rPr>
        <w:rFonts w:ascii="Symbol" w:hAnsi="Symbol" w:hint="default"/>
      </w:rPr>
    </w:lvl>
    <w:lvl w:ilvl="7" w:tplc="080C0003" w:tentative="1">
      <w:start w:val="1"/>
      <w:numFmt w:val="bullet"/>
      <w:lvlText w:val="o"/>
      <w:lvlJc w:val="left"/>
      <w:pPr>
        <w:ind w:left="6250" w:hanging="360"/>
      </w:pPr>
      <w:rPr>
        <w:rFonts w:ascii="Courier New" w:hAnsi="Courier New" w:cs="Courier New" w:hint="default"/>
      </w:rPr>
    </w:lvl>
    <w:lvl w:ilvl="8" w:tplc="080C0005" w:tentative="1">
      <w:start w:val="1"/>
      <w:numFmt w:val="bullet"/>
      <w:lvlText w:val=""/>
      <w:lvlJc w:val="left"/>
      <w:pPr>
        <w:ind w:left="6970" w:hanging="360"/>
      </w:pPr>
      <w:rPr>
        <w:rFonts w:ascii="Wingdings" w:hAnsi="Wingdings" w:hint="default"/>
      </w:rPr>
    </w:lvl>
  </w:abstractNum>
  <w:abstractNum w:abstractNumId="92" w15:restartNumberingAfterBreak="0">
    <w:nsid w:val="61AE1EA1"/>
    <w:multiLevelType w:val="hybridMultilevel"/>
    <w:tmpl w:val="9EE08A40"/>
    <w:lvl w:ilvl="0" w:tplc="BA807564">
      <w:start w:val="289"/>
      <w:numFmt w:val="bullet"/>
      <w:lvlText w:val="-"/>
      <w:lvlJc w:val="left"/>
      <w:pPr>
        <w:ind w:left="720" w:hanging="360"/>
      </w:pPr>
      <w:rPr>
        <w:rFonts w:ascii="Calibri" w:eastAsiaTheme="minorHAnsi" w:hAnsi="Calibri" w:cs="Calibri"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56642AA"/>
    <w:multiLevelType w:val="hybridMultilevel"/>
    <w:tmpl w:val="519C1E6A"/>
    <w:lvl w:ilvl="0" w:tplc="5D3A17C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6226580"/>
    <w:multiLevelType w:val="hybridMultilevel"/>
    <w:tmpl w:val="54887522"/>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6662D2F"/>
    <w:multiLevelType w:val="hybridMultilevel"/>
    <w:tmpl w:val="4A9467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7" w15:restartNumberingAfterBreak="0">
    <w:nsid w:val="6A3E1952"/>
    <w:multiLevelType w:val="hybridMultilevel"/>
    <w:tmpl w:val="492C974E"/>
    <w:lvl w:ilvl="0" w:tplc="BA807564">
      <w:start w:val="289"/>
      <w:numFmt w:val="bullet"/>
      <w:lvlText w:val="-"/>
      <w:lvlJc w:val="left"/>
      <w:pPr>
        <w:ind w:left="720" w:hanging="360"/>
      </w:pPr>
      <w:rPr>
        <w:rFonts w:ascii="Calibri" w:eastAsiaTheme="minorHAnsi" w:hAnsi="Calibri" w:cs="Calibri"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E9C36C9"/>
    <w:multiLevelType w:val="hybridMultilevel"/>
    <w:tmpl w:val="EEEED190"/>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0F94FEF"/>
    <w:multiLevelType w:val="hybridMultilevel"/>
    <w:tmpl w:val="AA9A4BD2"/>
    <w:lvl w:ilvl="0" w:tplc="D882AC22">
      <w:start w:val="3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0" w15:restartNumberingAfterBreak="0">
    <w:nsid w:val="72155DD3"/>
    <w:multiLevelType w:val="hybridMultilevel"/>
    <w:tmpl w:val="D48EF33A"/>
    <w:lvl w:ilvl="0" w:tplc="3B8CB6F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1" w15:restartNumberingAfterBreak="0">
    <w:nsid w:val="72B1525F"/>
    <w:multiLevelType w:val="hybridMultilevel"/>
    <w:tmpl w:val="D3D8C5EA"/>
    <w:lvl w:ilvl="0" w:tplc="5D3A17C2">
      <w:start w:val="3"/>
      <w:numFmt w:val="bullet"/>
      <w:lvlText w:val="-"/>
      <w:lvlJc w:val="left"/>
      <w:pPr>
        <w:ind w:left="360" w:hanging="360"/>
      </w:pPr>
      <w:rPr>
        <w:rFonts w:ascii="Calibri" w:eastAsiaTheme="minorHAnsi" w:hAnsi="Calibri" w:cs="Calibri"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2" w15:restartNumberingAfterBreak="0">
    <w:nsid w:val="72FF6569"/>
    <w:multiLevelType w:val="hybridMultilevel"/>
    <w:tmpl w:val="7E68EAA2"/>
    <w:lvl w:ilvl="0" w:tplc="8F3A109C">
      <w:start w:val="13"/>
      <w:numFmt w:val="bullet"/>
      <w:lvlText w:val="-"/>
      <w:lvlJc w:val="left"/>
      <w:pPr>
        <w:ind w:left="720" w:hanging="360"/>
      </w:pPr>
      <w:rPr>
        <w:rFonts w:ascii="Calibri" w:eastAsiaTheme="minorHAns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4023C4F"/>
    <w:multiLevelType w:val="hybridMultilevel"/>
    <w:tmpl w:val="CA3E652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791C5F05"/>
    <w:multiLevelType w:val="hybridMultilevel"/>
    <w:tmpl w:val="EC10A070"/>
    <w:lvl w:ilvl="0" w:tplc="870A1EF4">
      <w:start w:val="1"/>
      <w:numFmt w:val="bullet"/>
      <w:lvlText w:val=""/>
      <w:lvlJc w:val="left"/>
      <w:pPr>
        <w:ind w:left="366" w:hanging="360"/>
      </w:pPr>
      <w:rPr>
        <w:rFonts w:ascii="Symbol" w:hAnsi="Symbol" w:hint="default"/>
      </w:rPr>
    </w:lvl>
    <w:lvl w:ilvl="1" w:tplc="C4A81944">
      <w:start w:val="1"/>
      <w:numFmt w:val="bullet"/>
      <w:lvlText w:val="o"/>
      <w:lvlJc w:val="left"/>
      <w:pPr>
        <w:ind w:left="1086" w:hanging="360"/>
      </w:pPr>
      <w:rPr>
        <w:rFonts w:ascii="Courier New" w:hAnsi="Courier New" w:hint="default"/>
      </w:rPr>
    </w:lvl>
    <w:lvl w:ilvl="2" w:tplc="AEB86D4C">
      <w:start w:val="1"/>
      <w:numFmt w:val="bullet"/>
      <w:lvlText w:val=""/>
      <w:lvlJc w:val="left"/>
      <w:pPr>
        <w:ind w:left="1806" w:hanging="360"/>
      </w:pPr>
      <w:rPr>
        <w:rFonts w:ascii="Wingdings" w:hAnsi="Wingdings" w:hint="default"/>
      </w:rPr>
    </w:lvl>
    <w:lvl w:ilvl="3" w:tplc="7188FC04">
      <w:start w:val="1"/>
      <w:numFmt w:val="bullet"/>
      <w:lvlText w:val=""/>
      <w:lvlJc w:val="left"/>
      <w:pPr>
        <w:ind w:left="2526" w:hanging="360"/>
      </w:pPr>
      <w:rPr>
        <w:rFonts w:ascii="Symbol" w:hAnsi="Symbol" w:hint="default"/>
      </w:rPr>
    </w:lvl>
    <w:lvl w:ilvl="4" w:tplc="DB5AA0E0">
      <w:start w:val="1"/>
      <w:numFmt w:val="bullet"/>
      <w:lvlText w:val="o"/>
      <w:lvlJc w:val="left"/>
      <w:pPr>
        <w:ind w:left="3246" w:hanging="360"/>
      </w:pPr>
      <w:rPr>
        <w:rFonts w:ascii="Courier New" w:hAnsi="Courier New" w:hint="default"/>
      </w:rPr>
    </w:lvl>
    <w:lvl w:ilvl="5" w:tplc="3F282CF0">
      <w:start w:val="1"/>
      <w:numFmt w:val="bullet"/>
      <w:lvlText w:val=""/>
      <w:lvlJc w:val="left"/>
      <w:pPr>
        <w:ind w:left="3966" w:hanging="360"/>
      </w:pPr>
      <w:rPr>
        <w:rFonts w:ascii="Wingdings" w:hAnsi="Wingdings" w:hint="default"/>
      </w:rPr>
    </w:lvl>
    <w:lvl w:ilvl="6" w:tplc="65C0D9FE">
      <w:start w:val="1"/>
      <w:numFmt w:val="bullet"/>
      <w:lvlText w:val=""/>
      <w:lvlJc w:val="left"/>
      <w:pPr>
        <w:ind w:left="4686" w:hanging="360"/>
      </w:pPr>
      <w:rPr>
        <w:rFonts w:ascii="Symbol" w:hAnsi="Symbol" w:hint="default"/>
      </w:rPr>
    </w:lvl>
    <w:lvl w:ilvl="7" w:tplc="84705850">
      <w:start w:val="1"/>
      <w:numFmt w:val="bullet"/>
      <w:lvlText w:val="o"/>
      <w:lvlJc w:val="left"/>
      <w:pPr>
        <w:ind w:left="5406" w:hanging="360"/>
      </w:pPr>
      <w:rPr>
        <w:rFonts w:ascii="Courier New" w:hAnsi="Courier New" w:hint="default"/>
      </w:rPr>
    </w:lvl>
    <w:lvl w:ilvl="8" w:tplc="82F2F39C">
      <w:start w:val="1"/>
      <w:numFmt w:val="bullet"/>
      <w:lvlText w:val=""/>
      <w:lvlJc w:val="left"/>
      <w:pPr>
        <w:ind w:left="6126" w:hanging="360"/>
      </w:pPr>
      <w:rPr>
        <w:rFonts w:ascii="Wingdings" w:hAnsi="Wingdings" w:hint="default"/>
      </w:rPr>
    </w:lvl>
  </w:abstractNum>
  <w:abstractNum w:abstractNumId="105" w15:restartNumberingAfterBreak="0">
    <w:nsid w:val="7ACA593F"/>
    <w:multiLevelType w:val="hybridMultilevel"/>
    <w:tmpl w:val="54AE0644"/>
    <w:lvl w:ilvl="0" w:tplc="7612FEA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6" w15:restartNumberingAfterBreak="0">
    <w:nsid w:val="7B497586"/>
    <w:multiLevelType w:val="hybridMultilevel"/>
    <w:tmpl w:val="B1A0F714"/>
    <w:lvl w:ilvl="0" w:tplc="8F3A109C">
      <w:start w:val="13"/>
      <w:numFmt w:val="bullet"/>
      <w:lvlText w:val="-"/>
      <w:lvlJc w:val="left"/>
      <w:pPr>
        <w:ind w:left="720" w:hanging="360"/>
      </w:pPr>
      <w:rPr>
        <w:rFonts w:ascii="Calibri" w:eastAsiaTheme="minorHAnsi" w:hAnsi="Calibri" w:cs="Calibri" w:hint="default"/>
        <w:sz w:val="16"/>
      </w:rPr>
    </w:lvl>
    <w:lvl w:ilvl="1" w:tplc="E49CCB7E">
      <w:start w:val="1"/>
      <w:numFmt w:val="bullet"/>
      <w:lvlText w:val="o"/>
      <w:lvlJc w:val="left"/>
      <w:pPr>
        <w:ind w:left="1440" w:hanging="360"/>
      </w:pPr>
      <w:rPr>
        <w:rFonts w:ascii="Courier New" w:hAnsi="Courier New" w:hint="default"/>
      </w:rPr>
    </w:lvl>
    <w:lvl w:ilvl="2" w:tplc="32425FC0">
      <w:start w:val="1"/>
      <w:numFmt w:val="bullet"/>
      <w:lvlText w:val=""/>
      <w:lvlJc w:val="left"/>
      <w:pPr>
        <w:ind w:left="2160" w:hanging="360"/>
      </w:pPr>
      <w:rPr>
        <w:rFonts w:ascii="Wingdings" w:hAnsi="Wingdings" w:hint="default"/>
      </w:rPr>
    </w:lvl>
    <w:lvl w:ilvl="3" w:tplc="A6FA633C">
      <w:start w:val="1"/>
      <w:numFmt w:val="bullet"/>
      <w:lvlText w:val=""/>
      <w:lvlJc w:val="left"/>
      <w:pPr>
        <w:ind w:left="2880" w:hanging="360"/>
      </w:pPr>
      <w:rPr>
        <w:rFonts w:ascii="Symbol" w:hAnsi="Symbol" w:hint="default"/>
      </w:rPr>
    </w:lvl>
    <w:lvl w:ilvl="4" w:tplc="689A40DE">
      <w:start w:val="1"/>
      <w:numFmt w:val="bullet"/>
      <w:lvlText w:val="o"/>
      <w:lvlJc w:val="left"/>
      <w:pPr>
        <w:ind w:left="3600" w:hanging="360"/>
      </w:pPr>
      <w:rPr>
        <w:rFonts w:ascii="Courier New" w:hAnsi="Courier New" w:hint="default"/>
      </w:rPr>
    </w:lvl>
    <w:lvl w:ilvl="5" w:tplc="EC807EDC">
      <w:start w:val="1"/>
      <w:numFmt w:val="bullet"/>
      <w:lvlText w:val=""/>
      <w:lvlJc w:val="left"/>
      <w:pPr>
        <w:ind w:left="4320" w:hanging="360"/>
      </w:pPr>
      <w:rPr>
        <w:rFonts w:ascii="Wingdings" w:hAnsi="Wingdings" w:hint="default"/>
      </w:rPr>
    </w:lvl>
    <w:lvl w:ilvl="6" w:tplc="48BCD32C">
      <w:start w:val="1"/>
      <w:numFmt w:val="bullet"/>
      <w:lvlText w:val=""/>
      <w:lvlJc w:val="left"/>
      <w:pPr>
        <w:ind w:left="5040" w:hanging="360"/>
      </w:pPr>
      <w:rPr>
        <w:rFonts w:ascii="Symbol" w:hAnsi="Symbol" w:hint="default"/>
      </w:rPr>
    </w:lvl>
    <w:lvl w:ilvl="7" w:tplc="E8CECF1C">
      <w:start w:val="1"/>
      <w:numFmt w:val="bullet"/>
      <w:lvlText w:val="o"/>
      <w:lvlJc w:val="left"/>
      <w:pPr>
        <w:ind w:left="5760" w:hanging="360"/>
      </w:pPr>
      <w:rPr>
        <w:rFonts w:ascii="Courier New" w:hAnsi="Courier New" w:hint="default"/>
      </w:rPr>
    </w:lvl>
    <w:lvl w:ilvl="8" w:tplc="DC9E34F0">
      <w:start w:val="1"/>
      <w:numFmt w:val="bullet"/>
      <w:lvlText w:val=""/>
      <w:lvlJc w:val="left"/>
      <w:pPr>
        <w:ind w:left="6480" w:hanging="360"/>
      </w:pPr>
      <w:rPr>
        <w:rFonts w:ascii="Wingdings" w:hAnsi="Wingdings" w:hint="default"/>
      </w:rPr>
    </w:lvl>
  </w:abstractNum>
  <w:abstractNum w:abstractNumId="107" w15:restartNumberingAfterBreak="0">
    <w:nsid w:val="7B55AF37"/>
    <w:multiLevelType w:val="hybridMultilevel"/>
    <w:tmpl w:val="FFFFFFFF"/>
    <w:lvl w:ilvl="0" w:tplc="8B106F5C">
      <w:start w:val="1"/>
      <w:numFmt w:val="bullet"/>
      <w:lvlText w:val=""/>
      <w:lvlJc w:val="left"/>
      <w:pPr>
        <w:ind w:left="720" w:hanging="360"/>
      </w:pPr>
      <w:rPr>
        <w:rFonts w:ascii="Symbol" w:hAnsi="Symbol" w:hint="default"/>
      </w:rPr>
    </w:lvl>
    <w:lvl w:ilvl="1" w:tplc="A3E4D164">
      <w:start w:val="1"/>
      <w:numFmt w:val="bullet"/>
      <w:lvlText w:val="o"/>
      <w:lvlJc w:val="left"/>
      <w:pPr>
        <w:ind w:left="1440" w:hanging="360"/>
      </w:pPr>
      <w:rPr>
        <w:rFonts w:ascii="Courier New" w:hAnsi="Courier New" w:hint="default"/>
      </w:rPr>
    </w:lvl>
    <w:lvl w:ilvl="2" w:tplc="689CC046">
      <w:start w:val="1"/>
      <w:numFmt w:val="bullet"/>
      <w:lvlText w:val=""/>
      <w:lvlJc w:val="left"/>
      <w:pPr>
        <w:ind w:left="2160" w:hanging="360"/>
      </w:pPr>
      <w:rPr>
        <w:rFonts w:ascii="Wingdings" w:hAnsi="Wingdings" w:hint="default"/>
      </w:rPr>
    </w:lvl>
    <w:lvl w:ilvl="3" w:tplc="F1D4DC82">
      <w:start w:val="1"/>
      <w:numFmt w:val="bullet"/>
      <w:lvlText w:val=""/>
      <w:lvlJc w:val="left"/>
      <w:pPr>
        <w:ind w:left="2880" w:hanging="360"/>
      </w:pPr>
      <w:rPr>
        <w:rFonts w:ascii="Symbol" w:hAnsi="Symbol" w:hint="default"/>
      </w:rPr>
    </w:lvl>
    <w:lvl w:ilvl="4" w:tplc="1BD6689C">
      <w:start w:val="1"/>
      <w:numFmt w:val="bullet"/>
      <w:lvlText w:val="o"/>
      <w:lvlJc w:val="left"/>
      <w:pPr>
        <w:ind w:left="3600" w:hanging="360"/>
      </w:pPr>
      <w:rPr>
        <w:rFonts w:ascii="Courier New" w:hAnsi="Courier New" w:hint="default"/>
      </w:rPr>
    </w:lvl>
    <w:lvl w:ilvl="5" w:tplc="96E45866">
      <w:start w:val="1"/>
      <w:numFmt w:val="bullet"/>
      <w:lvlText w:val=""/>
      <w:lvlJc w:val="left"/>
      <w:pPr>
        <w:ind w:left="4320" w:hanging="360"/>
      </w:pPr>
      <w:rPr>
        <w:rFonts w:ascii="Wingdings" w:hAnsi="Wingdings" w:hint="default"/>
      </w:rPr>
    </w:lvl>
    <w:lvl w:ilvl="6" w:tplc="D1C03960">
      <w:start w:val="1"/>
      <w:numFmt w:val="bullet"/>
      <w:lvlText w:val=""/>
      <w:lvlJc w:val="left"/>
      <w:pPr>
        <w:ind w:left="5040" w:hanging="360"/>
      </w:pPr>
      <w:rPr>
        <w:rFonts w:ascii="Symbol" w:hAnsi="Symbol" w:hint="default"/>
      </w:rPr>
    </w:lvl>
    <w:lvl w:ilvl="7" w:tplc="9D5A0804">
      <w:start w:val="1"/>
      <w:numFmt w:val="bullet"/>
      <w:lvlText w:val="o"/>
      <w:lvlJc w:val="left"/>
      <w:pPr>
        <w:ind w:left="5760" w:hanging="360"/>
      </w:pPr>
      <w:rPr>
        <w:rFonts w:ascii="Courier New" w:hAnsi="Courier New" w:hint="default"/>
      </w:rPr>
    </w:lvl>
    <w:lvl w:ilvl="8" w:tplc="D712445A">
      <w:start w:val="1"/>
      <w:numFmt w:val="bullet"/>
      <w:lvlText w:val=""/>
      <w:lvlJc w:val="left"/>
      <w:pPr>
        <w:ind w:left="6480" w:hanging="360"/>
      </w:pPr>
      <w:rPr>
        <w:rFonts w:ascii="Wingdings" w:hAnsi="Wingdings" w:hint="default"/>
      </w:rPr>
    </w:lvl>
  </w:abstractNum>
  <w:abstractNum w:abstractNumId="10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109" w15:restartNumberingAfterBreak="0">
    <w:nsid w:val="7D190679"/>
    <w:multiLevelType w:val="hybridMultilevel"/>
    <w:tmpl w:val="3AE4C722"/>
    <w:lvl w:ilvl="0" w:tplc="54803D26">
      <w:start w:val="8"/>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0" w15:restartNumberingAfterBreak="0">
    <w:nsid w:val="7DF4564F"/>
    <w:multiLevelType w:val="hybridMultilevel"/>
    <w:tmpl w:val="DF682C34"/>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9"/>
  </w:num>
  <w:num w:numId="2">
    <w:abstractNumId w:val="91"/>
  </w:num>
  <w:num w:numId="3">
    <w:abstractNumId w:val="65"/>
  </w:num>
  <w:num w:numId="4">
    <w:abstractNumId w:val="16"/>
  </w:num>
  <w:num w:numId="5">
    <w:abstractNumId w:val="94"/>
  </w:num>
  <w:num w:numId="6">
    <w:abstractNumId w:val="31"/>
  </w:num>
  <w:num w:numId="7">
    <w:abstractNumId w:val="95"/>
  </w:num>
  <w:num w:numId="8">
    <w:abstractNumId w:val="66"/>
  </w:num>
  <w:num w:numId="9">
    <w:abstractNumId w:val="98"/>
  </w:num>
  <w:num w:numId="10">
    <w:abstractNumId w:val="34"/>
  </w:num>
  <w:num w:numId="11">
    <w:abstractNumId w:val="107"/>
  </w:num>
  <w:num w:numId="12">
    <w:abstractNumId w:val="77"/>
  </w:num>
  <w:num w:numId="13">
    <w:abstractNumId w:val="75"/>
  </w:num>
  <w:num w:numId="14">
    <w:abstractNumId w:val="89"/>
  </w:num>
  <w:num w:numId="15">
    <w:abstractNumId w:val="71"/>
  </w:num>
  <w:num w:numId="16">
    <w:abstractNumId w:val="102"/>
  </w:num>
  <w:num w:numId="17">
    <w:abstractNumId w:val="19"/>
  </w:num>
  <w:num w:numId="18">
    <w:abstractNumId w:val="46"/>
  </w:num>
  <w:num w:numId="19">
    <w:abstractNumId w:val="7"/>
  </w:num>
  <w:num w:numId="20">
    <w:abstractNumId w:val="5"/>
  </w:num>
  <w:num w:numId="21">
    <w:abstractNumId w:val="4"/>
  </w:num>
  <w:num w:numId="22">
    <w:abstractNumId w:val="3"/>
  </w:num>
  <w:num w:numId="23">
    <w:abstractNumId w:val="6"/>
  </w:num>
  <w:num w:numId="24">
    <w:abstractNumId w:val="2"/>
  </w:num>
  <w:num w:numId="25">
    <w:abstractNumId w:val="1"/>
  </w:num>
  <w:num w:numId="26">
    <w:abstractNumId w:val="0"/>
  </w:num>
  <w:num w:numId="27">
    <w:abstractNumId w:val="88"/>
  </w:num>
  <w:num w:numId="28">
    <w:abstractNumId w:val="59"/>
  </w:num>
  <w:num w:numId="29">
    <w:abstractNumId w:val="96"/>
  </w:num>
  <w:num w:numId="30">
    <w:abstractNumId w:val="42"/>
  </w:num>
  <w:num w:numId="31">
    <w:abstractNumId w:val="60"/>
  </w:num>
  <w:num w:numId="32">
    <w:abstractNumId w:val="24"/>
  </w:num>
  <w:num w:numId="33">
    <w:abstractNumId w:val="62"/>
  </w:num>
  <w:num w:numId="34">
    <w:abstractNumId w:val="82"/>
  </w:num>
  <w:num w:numId="35">
    <w:abstractNumId w:val="85"/>
  </w:num>
  <w:num w:numId="36">
    <w:abstractNumId w:val="41"/>
  </w:num>
  <w:num w:numId="37">
    <w:abstractNumId w:val="78"/>
  </w:num>
  <w:num w:numId="38">
    <w:abstractNumId w:val="108"/>
  </w:num>
  <w:num w:numId="39">
    <w:abstractNumId w:val="79"/>
  </w:num>
  <w:num w:numId="40">
    <w:abstractNumId w:val="22"/>
  </w:num>
  <w:num w:numId="41">
    <w:abstractNumId w:val="40"/>
  </w:num>
  <w:num w:numId="42">
    <w:abstractNumId w:val="43"/>
  </w:num>
  <w:num w:numId="43">
    <w:abstractNumId w:val="54"/>
  </w:num>
  <w:num w:numId="44">
    <w:abstractNumId w:val="35"/>
  </w:num>
  <w:num w:numId="45">
    <w:abstractNumId w:val="70"/>
  </w:num>
  <w:num w:numId="46">
    <w:abstractNumId w:val="109"/>
  </w:num>
  <w:num w:numId="47">
    <w:abstractNumId w:val="68"/>
  </w:num>
  <w:num w:numId="48">
    <w:abstractNumId w:val="15"/>
  </w:num>
  <w:num w:numId="49">
    <w:abstractNumId w:val="39"/>
  </w:num>
  <w:num w:numId="50">
    <w:abstractNumId w:val="51"/>
  </w:num>
  <w:num w:numId="51">
    <w:abstractNumId w:val="80"/>
  </w:num>
  <w:num w:numId="52">
    <w:abstractNumId w:val="28"/>
  </w:num>
  <w:num w:numId="53">
    <w:abstractNumId w:val="92"/>
  </w:num>
  <w:num w:numId="54">
    <w:abstractNumId w:val="97"/>
  </w:num>
  <w:num w:numId="55">
    <w:abstractNumId w:val="67"/>
  </w:num>
  <w:num w:numId="56">
    <w:abstractNumId w:val="56"/>
  </w:num>
  <w:num w:numId="57">
    <w:abstractNumId w:val="30"/>
  </w:num>
  <w:num w:numId="58">
    <w:abstractNumId w:val="57"/>
  </w:num>
  <w:num w:numId="59">
    <w:abstractNumId w:val="106"/>
  </w:num>
  <w:num w:numId="60">
    <w:abstractNumId w:val="12"/>
  </w:num>
  <w:num w:numId="61">
    <w:abstractNumId w:val="33"/>
  </w:num>
  <w:num w:numId="62">
    <w:abstractNumId w:val="13"/>
  </w:num>
  <w:num w:numId="63">
    <w:abstractNumId w:val="83"/>
  </w:num>
  <w:num w:numId="64">
    <w:abstractNumId w:val="48"/>
  </w:num>
  <w:num w:numId="65">
    <w:abstractNumId w:val="29"/>
  </w:num>
  <w:num w:numId="66">
    <w:abstractNumId w:val="76"/>
  </w:num>
  <w:num w:numId="67">
    <w:abstractNumId w:val="11"/>
  </w:num>
  <w:num w:numId="68">
    <w:abstractNumId w:val="63"/>
  </w:num>
  <w:num w:numId="69">
    <w:abstractNumId w:val="87"/>
  </w:num>
  <w:num w:numId="70">
    <w:abstractNumId w:val="45"/>
  </w:num>
  <w:num w:numId="71">
    <w:abstractNumId w:val="21"/>
  </w:num>
  <w:num w:numId="72">
    <w:abstractNumId w:val="23"/>
  </w:num>
  <w:num w:numId="73">
    <w:abstractNumId w:val="110"/>
  </w:num>
  <w:num w:numId="74">
    <w:abstractNumId w:val="17"/>
  </w:num>
  <w:num w:numId="75">
    <w:abstractNumId w:val="37"/>
  </w:num>
  <w:num w:numId="76">
    <w:abstractNumId w:val="47"/>
  </w:num>
  <w:num w:numId="77">
    <w:abstractNumId w:val="38"/>
  </w:num>
  <w:num w:numId="78">
    <w:abstractNumId w:val="53"/>
  </w:num>
  <w:num w:numId="79">
    <w:abstractNumId w:val="73"/>
  </w:num>
  <w:num w:numId="80">
    <w:abstractNumId w:val="32"/>
  </w:num>
  <w:num w:numId="81">
    <w:abstractNumId w:val="9"/>
  </w:num>
  <w:num w:numId="82">
    <w:abstractNumId w:val="86"/>
  </w:num>
  <w:num w:numId="83">
    <w:abstractNumId w:val="93"/>
  </w:num>
  <w:num w:numId="84">
    <w:abstractNumId w:val="101"/>
  </w:num>
  <w:num w:numId="85">
    <w:abstractNumId w:val="50"/>
  </w:num>
  <w:num w:numId="86">
    <w:abstractNumId w:val="64"/>
  </w:num>
  <w:num w:numId="87">
    <w:abstractNumId w:val="27"/>
  </w:num>
  <w:num w:numId="88">
    <w:abstractNumId w:val="18"/>
  </w:num>
  <w:num w:numId="89">
    <w:abstractNumId w:val="14"/>
  </w:num>
  <w:num w:numId="90">
    <w:abstractNumId w:val="104"/>
  </w:num>
  <w:num w:numId="91">
    <w:abstractNumId w:val="26"/>
  </w:num>
  <w:num w:numId="92">
    <w:abstractNumId w:val="74"/>
  </w:num>
  <w:num w:numId="93">
    <w:abstractNumId w:val="72"/>
  </w:num>
  <w:num w:numId="94">
    <w:abstractNumId w:val="44"/>
  </w:num>
  <w:num w:numId="95">
    <w:abstractNumId w:val="49"/>
  </w:num>
  <w:num w:numId="96">
    <w:abstractNumId w:val="52"/>
  </w:num>
  <w:num w:numId="97">
    <w:abstractNumId w:val="81"/>
  </w:num>
  <w:num w:numId="98">
    <w:abstractNumId w:val="99"/>
  </w:num>
  <w:num w:numId="99">
    <w:abstractNumId w:val="105"/>
  </w:num>
  <w:num w:numId="10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0"/>
  </w:num>
  <w:num w:numId="102">
    <w:abstractNumId w:val="10"/>
  </w:num>
  <w:num w:numId="103">
    <w:abstractNumId w:val="103"/>
  </w:num>
  <w:num w:numId="104">
    <w:abstractNumId w:val="20"/>
  </w:num>
  <w:num w:numId="105">
    <w:abstractNumId w:val="36"/>
  </w:num>
  <w:num w:numId="106">
    <w:abstractNumId w:val="8"/>
  </w:num>
  <w:num w:numId="107">
    <w:abstractNumId w:val="55"/>
  </w:num>
  <w:num w:numId="108">
    <w:abstractNumId w:val="25"/>
  </w:num>
  <w:num w:numId="109">
    <w:abstractNumId w:val="100"/>
  </w:num>
  <w:num w:numId="110">
    <w:abstractNumId w:val="84"/>
  </w:num>
  <w:num w:numId="111">
    <w:abstractNumId w:val="61"/>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de la "/>
    <w:docVar w:name="LW_ANNEX_NBR_FIRST" w:val="1"/>
    <w:docVar w:name="LW_ANNEX_NBR_LAST" w:val="1"/>
    <w:docVar w:name="LW_ANNEX_UNIQUE" w:val="1"/>
    <w:docVar w:name="LW_CORRIGENDUM" w:val="&lt;UNUSED&gt;"/>
    <w:docVar w:name="LW_COVERPAGE_EXISTS" w:val="True"/>
    <w:docVar w:name="LW_COVERPAGE_GUID" w:val="FF539699-4053-4CB8-8FEE-65103D8F11B5"/>
    <w:docVar w:name="LW_COVERPAGE_TYPE" w:val="1"/>
    <w:docVar w:name="LW_CROSSREFERENCE" w:val="{SWD(2026) 229 final}"/>
    <w:docVar w:name="LW_DocType" w:val="NORMAL"/>
    <w:docVar w:name="LW_EMISSION" w:val="13.7.2026"/>
    <w:docVar w:name="LW_EMISSION_ISODATE" w:val="2026-07-13"/>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29 octobre 2021 relative à l\u8217?approbation de l\u8217?évaluation du plan pour la reprise et la résilience pour la Roumanie"/>
    <w:docVar w:name="LW_PART_NBR" w:val="1"/>
    <w:docVar w:name="LW_PART_NBR_TOTAL" w:val="1"/>
    <w:docVar w:name="LW_REF.INST.NEW" w:val="COM"/>
    <w:docVar w:name="LW_REF.INST.NEW_ADOPTED" w:val="final"/>
    <w:docVar w:name="LW_REF.INST.NEW_TEXT" w:val="(2026) 37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36D76E44"/>
    <w:rsid w:val="000000ED"/>
    <w:rsid w:val="00000B51"/>
    <w:rsid w:val="00001328"/>
    <w:rsid w:val="0000146C"/>
    <w:rsid w:val="00002CF5"/>
    <w:rsid w:val="00002F3C"/>
    <w:rsid w:val="000045F6"/>
    <w:rsid w:val="0000479D"/>
    <w:rsid w:val="00004870"/>
    <w:rsid w:val="000074EC"/>
    <w:rsid w:val="000109C6"/>
    <w:rsid w:val="00010D40"/>
    <w:rsid w:val="00011C76"/>
    <w:rsid w:val="00011DC9"/>
    <w:rsid w:val="0001275D"/>
    <w:rsid w:val="000128A7"/>
    <w:rsid w:val="00013E47"/>
    <w:rsid w:val="000140C3"/>
    <w:rsid w:val="00014BD1"/>
    <w:rsid w:val="000156E5"/>
    <w:rsid w:val="00015BE7"/>
    <w:rsid w:val="0001622C"/>
    <w:rsid w:val="00017329"/>
    <w:rsid w:val="0001754C"/>
    <w:rsid w:val="00017AA7"/>
    <w:rsid w:val="00017EC5"/>
    <w:rsid w:val="00020901"/>
    <w:rsid w:val="0002194B"/>
    <w:rsid w:val="0002212B"/>
    <w:rsid w:val="000222A5"/>
    <w:rsid w:val="00022600"/>
    <w:rsid w:val="000230A3"/>
    <w:rsid w:val="00023BD2"/>
    <w:rsid w:val="0002502A"/>
    <w:rsid w:val="00025BE0"/>
    <w:rsid w:val="00026902"/>
    <w:rsid w:val="00026D0D"/>
    <w:rsid w:val="0002758A"/>
    <w:rsid w:val="00030188"/>
    <w:rsid w:val="0003039B"/>
    <w:rsid w:val="0003297A"/>
    <w:rsid w:val="00032C8B"/>
    <w:rsid w:val="00032E4C"/>
    <w:rsid w:val="00034AE2"/>
    <w:rsid w:val="0003548D"/>
    <w:rsid w:val="00036C4E"/>
    <w:rsid w:val="000371DE"/>
    <w:rsid w:val="00037374"/>
    <w:rsid w:val="00042A9C"/>
    <w:rsid w:val="00042BFB"/>
    <w:rsid w:val="000431DB"/>
    <w:rsid w:val="00043702"/>
    <w:rsid w:val="000438F2"/>
    <w:rsid w:val="00043C1C"/>
    <w:rsid w:val="00043E2D"/>
    <w:rsid w:val="000445A7"/>
    <w:rsid w:val="00044DC7"/>
    <w:rsid w:val="00045076"/>
    <w:rsid w:val="00046ADD"/>
    <w:rsid w:val="0004717E"/>
    <w:rsid w:val="000473D2"/>
    <w:rsid w:val="00047554"/>
    <w:rsid w:val="0005026F"/>
    <w:rsid w:val="000506A7"/>
    <w:rsid w:val="00050B9C"/>
    <w:rsid w:val="00051D88"/>
    <w:rsid w:val="0005340E"/>
    <w:rsid w:val="00053EFE"/>
    <w:rsid w:val="0005645D"/>
    <w:rsid w:val="00056974"/>
    <w:rsid w:val="00056B96"/>
    <w:rsid w:val="00057315"/>
    <w:rsid w:val="0006241F"/>
    <w:rsid w:val="00062588"/>
    <w:rsid w:val="000626F4"/>
    <w:rsid w:val="00062C17"/>
    <w:rsid w:val="00063B28"/>
    <w:rsid w:val="000646A8"/>
    <w:rsid w:val="000652A9"/>
    <w:rsid w:val="00066491"/>
    <w:rsid w:val="0006660B"/>
    <w:rsid w:val="000679E2"/>
    <w:rsid w:val="000719AE"/>
    <w:rsid w:val="00071A4F"/>
    <w:rsid w:val="00071B84"/>
    <w:rsid w:val="00071B85"/>
    <w:rsid w:val="00071DBF"/>
    <w:rsid w:val="00072317"/>
    <w:rsid w:val="00072A1A"/>
    <w:rsid w:val="00073762"/>
    <w:rsid w:val="00074C1D"/>
    <w:rsid w:val="0007787D"/>
    <w:rsid w:val="000800EC"/>
    <w:rsid w:val="000813F9"/>
    <w:rsid w:val="00081C8B"/>
    <w:rsid w:val="000830FE"/>
    <w:rsid w:val="00083897"/>
    <w:rsid w:val="00084B90"/>
    <w:rsid w:val="00085AB5"/>
    <w:rsid w:val="0008645E"/>
    <w:rsid w:val="000867F0"/>
    <w:rsid w:val="000869E8"/>
    <w:rsid w:val="00086EC5"/>
    <w:rsid w:val="000877F5"/>
    <w:rsid w:val="000878CB"/>
    <w:rsid w:val="00087B8C"/>
    <w:rsid w:val="00091707"/>
    <w:rsid w:val="0009410B"/>
    <w:rsid w:val="000945E6"/>
    <w:rsid w:val="000949AC"/>
    <w:rsid w:val="00095577"/>
    <w:rsid w:val="0009673A"/>
    <w:rsid w:val="000968F6"/>
    <w:rsid w:val="00097A88"/>
    <w:rsid w:val="000A0331"/>
    <w:rsid w:val="000A0F5B"/>
    <w:rsid w:val="000A1431"/>
    <w:rsid w:val="000A36BB"/>
    <w:rsid w:val="000A4598"/>
    <w:rsid w:val="000A502B"/>
    <w:rsid w:val="000A536D"/>
    <w:rsid w:val="000A5C8D"/>
    <w:rsid w:val="000A5F22"/>
    <w:rsid w:val="000A60F7"/>
    <w:rsid w:val="000A680B"/>
    <w:rsid w:val="000A6E29"/>
    <w:rsid w:val="000A736F"/>
    <w:rsid w:val="000A783C"/>
    <w:rsid w:val="000B1924"/>
    <w:rsid w:val="000B1E47"/>
    <w:rsid w:val="000B269E"/>
    <w:rsid w:val="000B3AA3"/>
    <w:rsid w:val="000B3F0E"/>
    <w:rsid w:val="000B468D"/>
    <w:rsid w:val="000B4852"/>
    <w:rsid w:val="000B4BB8"/>
    <w:rsid w:val="000B6243"/>
    <w:rsid w:val="000B65E3"/>
    <w:rsid w:val="000B69F4"/>
    <w:rsid w:val="000B7B6B"/>
    <w:rsid w:val="000C0F5D"/>
    <w:rsid w:val="000C12C4"/>
    <w:rsid w:val="000C14E7"/>
    <w:rsid w:val="000C23F8"/>
    <w:rsid w:val="000C5224"/>
    <w:rsid w:val="000C54CA"/>
    <w:rsid w:val="000C55B6"/>
    <w:rsid w:val="000C5AE8"/>
    <w:rsid w:val="000C6284"/>
    <w:rsid w:val="000C6947"/>
    <w:rsid w:val="000C6A03"/>
    <w:rsid w:val="000C6C3D"/>
    <w:rsid w:val="000C7ED8"/>
    <w:rsid w:val="000D121D"/>
    <w:rsid w:val="000D1FCE"/>
    <w:rsid w:val="000D2E14"/>
    <w:rsid w:val="000D3B9C"/>
    <w:rsid w:val="000D4308"/>
    <w:rsid w:val="000D4687"/>
    <w:rsid w:val="000D606E"/>
    <w:rsid w:val="000D6ABD"/>
    <w:rsid w:val="000E1005"/>
    <w:rsid w:val="000E398C"/>
    <w:rsid w:val="000E43D5"/>
    <w:rsid w:val="000E51A0"/>
    <w:rsid w:val="000E6917"/>
    <w:rsid w:val="000F02EA"/>
    <w:rsid w:val="000F11E4"/>
    <w:rsid w:val="000F3185"/>
    <w:rsid w:val="000F4174"/>
    <w:rsid w:val="000F4D85"/>
    <w:rsid w:val="000F4E06"/>
    <w:rsid w:val="000F54F4"/>
    <w:rsid w:val="000F5587"/>
    <w:rsid w:val="000F5D6E"/>
    <w:rsid w:val="000F6809"/>
    <w:rsid w:val="000F7265"/>
    <w:rsid w:val="00100D2F"/>
    <w:rsid w:val="00100EDD"/>
    <w:rsid w:val="001015F0"/>
    <w:rsid w:val="00102146"/>
    <w:rsid w:val="00102227"/>
    <w:rsid w:val="00102ACE"/>
    <w:rsid w:val="00102C50"/>
    <w:rsid w:val="00103219"/>
    <w:rsid w:val="0010345B"/>
    <w:rsid w:val="00105D0D"/>
    <w:rsid w:val="00106005"/>
    <w:rsid w:val="001060B6"/>
    <w:rsid w:val="001068FC"/>
    <w:rsid w:val="00111B04"/>
    <w:rsid w:val="00113131"/>
    <w:rsid w:val="00113255"/>
    <w:rsid w:val="0011428F"/>
    <w:rsid w:val="00114539"/>
    <w:rsid w:val="00115D8A"/>
    <w:rsid w:val="001161A1"/>
    <w:rsid w:val="0011633D"/>
    <w:rsid w:val="00117256"/>
    <w:rsid w:val="00117560"/>
    <w:rsid w:val="00117940"/>
    <w:rsid w:val="00117C50"/>
    <w:rsid w:val="00117E74"/>
    <w:rsid w:val="0012014F"/>
    <w:rsid w:val="00120FC4"/>
    <w:rsid w:val="001212B0"/>
    <w:rsid w:val="00122F34"/>
    <w:rsid w:val="00123A66"/>
    <w:rsid w:val="00124781"/>
    <w:rsid w:val="00125222"/>
    <w:rsid w:val="0012522C"/>
    <w:rsid w:val="00125400"/>
    <w:rsid w:val="001260B0"/>
    <w:rsid w:val="0013160A"/>
    <w:rsid w:val="00131BA9"/>
    <w:rsid w:val="00132AAF"/>
    <w:rsid w:val="00133417"/>
    <w:rsid w:val="00134534"/>
    <w:rsid w:val="001345F8"/>
    <w:rsid w:val="00134DF4"/>
    <w:rsid w:val="00135383"/>
    <w:rsid w:val="001359BA"/>
    <w:rsid w:val="00135FCE"/>
    <w:rsid w:val="001372C9"/>
    <w:rsid w:val="00137D7A"/>
    <w:rsid w:val="00141938"/>
    <w:rsid w:val="001427C1"/>
    <w:rsid w:val="00142F61"/>
    <w:rsid w:val="00142FAC"/>
    <w:rsid w:val="00143CD8"/>
    <w:rsid w:val="00143F68"/>
    <w:rsid w:val="00145434"/>
    <w:rsid w:val="001460A9"/>
    <w:rsid w:val="001466C3"/>
    <w:rsid w:val="001467BF"/>
    <w:rsid w:val="00150523"/>
    <w:rsid w:val="00150DDF"/>
    <w:rsid w:val="00152B36"/>
    <w:rsid w:val="00155FCE"/>
    <w:rsid w:val="00156127"/>
    <w:rsid w:val="001566D8"/>
    <w:rsid w:val="00157121"/>
    <w:rsid w:val="001602EC"/>
    <w:rsid w:val="00160919"/>
    <w:rsid w:val="00160F82"/>
    <w:rsid w:val="00161DFE"/>
    <w:rsid w:val="001627F2"/>
    <w:rsid w:val="00163548"/>
    <w:rsid w:val="001648E1"/>
    <w:rsid w:val="00165ED1"/>
    <w:rsid w:val="00166865"/>
    <w:rsid w:val="001669DC"/>
    <w:rsid w:val="0016774A"/>
    <w:rsid w:val="00167E99"/>
    <w:rsid w:val="0017170B"/>
    <w:rsid w:val="00172576"/>
    <w:rsid w:val="00174ADA"/>
    <w:rsid w:val="00175209"/>
    <w:rsid w:val="00175934"/>
    <w:rsid w:val="00177559"/>
    <w:rsid w:val="00177F29"/>
    <w:rsid w:val="00181A06"/>
    <w:rsid w:val="00182965"/>
    <w:rsid w:val="00182A29"/>
    <w:rsid w:val="00184447"/>
    <w:rsid w:val="0018522B"/>
    <w:rsid w:val="00186345"/>
    <w:rsid w:val="001863EE"/>
    <w:rsid w:val="00192C63"/>
    <w:rsid w:val="00192F81"/>
    <w:rsid w:val="001935CB"/>
    <w:rsid w:val="00193EC6"/>
    <w:rsid w:val="00195A3A"/>
    <w:rsid w:val="00196411"/>
    <w:rsid w:val="0019675C"/>
    <w:rsid w:val="001976B4"/>
    <w:rsid w:val="00197A74"/>
    <w:rsid w:val="00197F84"/>
    <w:rsid w:val="001A1EB7"/>
    <w:rsid w:val="001A1F0D"/>
    <w:rsid w:val="001A2876"/>
    <w:rsid w:val="001A2AE4"/>
    <w:rsid w:val="001A3299"/>
    <w:rsid w:val="001A411F"/>
    <w:rsid w:val="001A45CF"/>
    <w:rsid w:val="001A6407"/>
    <w:rsid w:val="001A7361"/>
    <w:rsid w:val="001A74DE"/>
    <w:rsid w:val="001B0FF5"/>
    <w:rsid w:val="001B1306"/>
    <w:rsid w:val="001B145F"/>
    <w:rsid w:val="001B1E82"/>
    <w:rsid w:val="001B2527"/>
    <w:rsid w:val="001B258E"/>
    <w:rsid w:val="001B28D1"/>
    <w:rsid w:val="001B3717"/>
    <w:rsid w:val="001B395B"/>
    <w:rsid w:val="001B3A84"/>
    <w:rsid w:val="001B440B"/>
    <w:rsid w:val="001C0829"/>
    <w:rsid w:val="001C096B"/>
    <w:rsid w:val="001C153A"/>
    <w:rsid w:val="001C17BC"/>
    <w:rsid w:val="001C1BC0"/>
    <w:rsid w:val="001C1D42"/>
    <w:rsid w:val="001C33E4"/>
    <w:rsid w:val="001C381F"/>
    <w:rsid w:val="001C43BF"/>
    <w:rsid w:val="001C453A"/>
    <w:rsid w:val="001C5A96"/>
    <w:rsid w:val="001C70B1"/>
    <w:rsid w:val="001D03E3"/>
    <w:rsid w:val="001D04D4"/>
    <w:rsid w:val="001D18BC"/>
    <w:rsid w:val="001D1FE0"/>
    <w:rsid w:val="001D2A11"/>
    <w:rsid w:val="001D452E"/>
    <w:rsid w:val="001D4A41"/>
    <w:rsid w:val="001D5211"/>
    <w:rsid w:val="001D65BA"/>
    <w:rsid w:val="001D6CB1"/>
    <w:rsid w:val="001D6F3B"/>
    <w:rsid w:val="001E0019"/>
    <w:rsid w:val="001E259C"/>
    <w:rsid w:val="001E3BFA"/>
    <w:rsid w:val="001E3DB3"/>
    <w:rsid w:val="001E3DB7"/>
    <w:rsid w:val="001E40B0"/>
    <w:rsid w:val="001E43E5"/>
    <w:rsid w:val="001E47B8"/>
    <w:rsid w:val="001E4F6F"/>
    <w:rsid w:val="001E5820"/>
    <w:rsid w:val="001E58BB"/>
    <w:rsid w:val="001E6606"/>
    <w:rsid w:val="001E70EF"/>
    <w:rsid w:val="001E7224"/>
    <w:rsid w:val="001E7678"/>
    <w:rsid w:val="001E7B3C"/>
    <w:rsid w:val="001F1E5A"/>
    <w:rsid w:val="001F1F6A"/>
    <w:rsid w:val="001F57A5"/>
    <w:rsid w:val="001F5A3B"/>
    <w:rsid w:val="001F5C1B"/>
    <w:rsid w:val="001F6A03"/>
    <w:rsid w:val="002007EC"/>
    <w:rsid w:val="0020212E"/>
    <w:rsid w:val="002021CF"/>
    <w:rsid w:val="00202653"/>
    <w:rsid w:val="00202C43"/>
    <w:rsid w:val="00203655"/>
    <w:rsid w:val="002040B4"/>
    <w:rsid w:val="00205160"/>
    <w:rsid w:val="00206ECD"/>
    <w:rsid w:val="00207A7B"/>
    <w:rsid w:val="0021018E"/>
    <w:rsid w:val="00210522"/>
    <w:rsid w:val="0021061B"/>
    <w:rsid w:val="00210E71"/>
    <w:rsid w:val="002113BF"/>
    <w:rsid w:val="00212EF3"/>
    <w:rsid w:val="002139CE"/>
    <w:rsid w:val="00214207"/>
    <w:rsid w:val="0021461F"/>
    <w:rsid w:val="00214629"/>
    <w:rsid w:val="00214F4D"/>
    <w:rsid w:val="002153EB"/>
    <w:rsid w:val="00217053"/>
    <w:rsid w:val="00220930"/>
    <w:rsid w:val="00221B38"/>
    <w:rsid w:val="00222054"/>
    <w:rsid w:val="00222873"/>
    <w:rsid w:val="00222877"/>
    <w:rsid w:val="0022331C"/>
    <w:rsid w:val="002238B3"/>
    <w:rsid w:val="0022413F"/>
    <w:rsid w:val="00224141"/>
    <w:rsid w:val="002241F2"/>
    <w:rsid w:val="00224C73"/>
    <w:rsid w:val="00225512"/>
    <w:rsid w:val="002260B0"/>
    <w:rsid w:val="00226855"/>
    <w:rsid w:val="0023099F"/>
    <w:rsid w:val="00232A27"/>
    <w:rsid w:val="00234665"/>
    <w:rsid w:val="00236343"/>
    <w:rsid w:val="00236355"/>
    <w:rsid w:val="00236384"/>
    <w:rsid w:val="0023734D"/>
    <w:rsid w:val="00240655"/>
    <w:rsid w:val="00240ABA"/>
    <w:rsid w:val="00240C71"/>
    <w:rsid w:val="002411F8"/>
    <w:rsid w:val="00241231"/>
    <w:rsid w:val="00241B6B"/>
    <w:rsid w:val="00243CF1"/>
    <w:rsid w:val="0024537F"/>
    <w:rsid w:val="00246087"/>
    <w:rsid w:val="00246B22"/>
    <w:rsid w:val="00246F55"/>
    <w:rsid w:val="002500F7"/>
    <w:rsid w:val="00250992"/>
    <w:rsid w:val="0025186F"/>
    <w:rsid w:val="00252357"/>
    <w:rsid w:val="00252675"/>
    <w:rsid w:val="002527C2"/>
    <w:rsid w:val="002528BB"/>
    <w:rsid w:val="00252F8F"/>
    <w:rsid w:val="00252F95"/>
    <w:rsid w:val="00253D96"/>
    <w:rsid w:val="002546E7"/>
    <w:rsid w:val="00254FC0"/>
    <w:rsid w:val="00255043"/>
    <w:rsid w:val="002553C8"/>
    <w:rsid w:val="00255A88"/>
    <w:rsid w:val="00256348"/>
    <w:rsid w:val="00257DF3"/>
    <w:rsid w:val="00260C4E"/>
    <w:rsid w:val="002615A1"/>
    <w:rsid w:val="002632D0"/>
    <w:rsid w:val="00263498"/>
    <w:rsid w:val="00263798"/>
    <w:rsid w:val="002639CB"/>
    <w:rsid w:val="00264F52"/>
    <w:rsid w:val="00266172"/>
    <w:rsid w:val="00266784"/>
    <w:rsid w:val="002668F8"/>
    <w:rsid w:val="00267BEA"/>
    <w:rsid w:val="00270B0B"/>
    <w:rsid w:val="002714B4"/>
    <w:rsid w:val="0027152C"/>
    <w:rsid w:val="00272604"/>
    <w:rsid w:val="00272622"/>
    <w:rsid w:val="002728F3"/>
    <w:rsid w:val="00272C5E"/>
    <w:rsid w:val="00272EC1"/>
    <w:rsid w:val="002735E8"/>
    <w:rsid w:val="00274033"/>
    <w:rsid w:val="00274282"/>
    <w:rsid w:val="002747D0"/>
    <w:rsid w:val="002758AF"/>
    <w:rsid w:val="00276C0D"/>
    <w:rsid w:val="00281181"/>
    <w:rsid w:val="00283CDA"/>
    <w:rsid w:val="002846B0"/>
    <w:rsid w:val="00284764"/>
    <w:rsid w:val="00284C22"/>
    <w:rsid w:val="0028701D"/>
    <w:rsid w:val="002879A0"/>
    <w:rsid w:val="00290679"/>
    <w:rsid w:val="00290957"/>
    <w:rsid w:val="00291374"/>
    <w:rsid w:val="00293472"/>
    <w:rsid w:val="00293B54"/>
    <w:rsid w:val="00294BA3"/>
    <w:rsid w:val="00295B5E"/>
    <w:rsid w:val="002974B2"/>
    <w:rsid w:val="00297690"/>
    <w:rsid w:val="002A0491"/>
    <w:rsid w:val="002A04F9"/>
    <w:rsid w:val="002A0D0E"/>
    <w:rsid w:val="002A0D30"/>
    <w:rsid w:val="002A1A08"/>
    <w:rsid w:val="002A2A89"/>
    <w:rsid w:val="002A2D71"/>
    <w:rsid w:val="002A3978"/>
    <w:rsid w:val="002A471B"/>
    <w:rsid w:val="002A4C3B"/>
    <w:rsid w:val="002A4DB0"/>
    <w:rsid w:val="002A57D2"/>
    <w:rsid w:val="002A7039"/>
    <w:rsid w:val="002B1D4E"/>
    <w:rsid w:val="002B3CDB"/>
    <w:rsid w:val="002B425A"/>
    <w:rsid w:val="002B5D9E"/>
    <w:rsid w:val="002B6DE6"/>
    <w:rsid w:val="002B6F1D"/>
    <w:rsid w:val="002B6FA7"/>
    <w:rsid w:val="002C060B"/>
    <w:rsid w:val="002C0C50"/>
    <w:rsid w:val="002C17FA"/>
    <w:rsid w:val="002C2258"/>
    <w:rsid w:val="002C2916"/>
    <w:rsid w:val="002C4B9F"/>
    <w:rsid w:val="002C5AB6"/>
    <w:rsid w:val="002C5DD2"/>
    <w:rsid w:val="002C60EF"/>
    <w:rsid w:val="002C7BE3"/>
    <w:rsid w:val="002D0515"/>
    <w:rsid w:val="002D0B57"/>
    <w:rsid w:val="002D0FC2"/>
    <w:rsid w:val="002D2922"/>
    <w:rsid w:val="002D339E"/>
    <w:rsid w:val="002D4BE7"/>
    <w:rsid w:val="002D5BF5"/>
    <w:rsid w:val="002D5F47"/>
    <w:rsid w:val="002D6FEA"/>
    <w:rsid w:val="002D7E19"/>
    <w:rsid w:val="002D7F3B"/>
    <w:rsid w:val="002E0DEB"/>
    <w:rsid w:val="002E1809"/>
    <w:rsid w:val="002E195D"/>
    <w:rsid w:val="002E2DA9"/>
    <w:rsid w:val="002E344C"/>
    <w:rsid w:val="002E448D"/>
    <w:rsid w:val="002E4785"/>
    <w:rsid w:val="002E4A7E"/>
    <w:rsid w:val="002E593B"/>
    <w:rsid w:val="002E5DF4"/>
    <w:rsid w:val="002E742C"/>
    <w:rsid w:val="002E7F8E"/>
    <w:rsid w:val="002F008A"/>
    <w:rsid w:val="002F0469"/>
    <w:rsid w:val="002F1319"/>
    <w:rsid w:val="002F187E"/>
    <w:rsid w:val="002F37D8"/>
    <w:rsid w:val="002F3B09"/>
    <w:rsid w:val="0030187C"/>
    <w:rsid w:val="00301ABB"/>
    <w:rsid w:val="00301AEB"/>
    <w:rsid w:val="003044C0"/>
    <w:rsid w:val="0030505A"/>
    <w:rsid w:val="00305BAA"/>
    <w:rsid w:val="00306401"/>
    <w:rsid w:val="0030687D"/>
    <w:rsid w:val="00306D09"/>
    <w:rsid w:val="00307300"/>
    <w:rsid w:val="00307333"/>
    <w:rsid w:val="00311E58"/>
    <w:rsid w:val="00312A0C"/>
    <w:rsid w:val="00313764"/>
    <w:rsid w:val="00315256"/>
    <w:rsid w:val="00315639"/>
    <w:rsid w:val="00315FFA"/>
    <w:rsid w:val="00316394"/>
    <w:rsid w:val="00316A8A"/>
    <w:rsid w:val="003221A9"/>
    <w:rsid w:val="003232CF"/>
    <w:rsid w:val="003234C9"/>
    <w:rsid w:val="003238AD"/>
    <w:rsid w:val="00323D53"/>
    <w:rsid w:val="00325FE4"/>
    <w:rsid w:val="0032644D"/>
    <w:rsid w:val="00326998"/>
    <w:rsid w:val="00327D9F"/>
    <w:rsid w:val="00330282"/>
    <w:rsid w:val="00330A46"/>
    <w:rsid w:val="003312AF"/>
    <w:rsid w:val="00331BEB"/>
    <w:rsid w:val="0033384D"/>
    <w:rsid w:val="00333F70"/>
    <w:rsid w:val="003364DB"/>
    <w:rsid w:val="003372D8"/>
    <w:rsid w:val="00337476"/>
    <w:rsid w:val="003375D5"/>
    <w:rsid w:val="003403D0"/>
    <w:rsid w:val="003417C1"/>
    <w:rsid w:val="00341852"/>
    <w:rsid w:val="00342E34"/>
    <w:rsid w:val="003459BE"/>
    <w:rsid w:val="00346088"/>
    <w:rsid w:val="00346B2B"/>
    <w:rsid w:val="0035332B"/>
    <w:rsid w:val="003535BE"/>
    <w:rsid w:val="00353F1E"/>
    <w:rsid w:val="003555E7"/>
    <w:rsid w:val="0035713B"/>
    <w:rsid w:val="0035790D"/>
    <w:rsid w:val="00361014"/>
    <w:rsid w:val="0036124F"/>
    <w:rsid w:val="003613BF"/>
    <w:rsid w:val="0036254B"/>
    <w:rsid w:val="00363841"/>
    <w:rsid w:val="00364C3E"/>
    <w:rsid w:val="0036525C"/>
    <w:rsid w:val="00365AA9"/>
    <w:rsid w:val="003665CF"/>
    <w:rsid w:val="00366603"/>
    <w:rsid w:val="00366B49"/>
    <w:rsid w:val="00366C9C"/>
    <w:rsid w:val="003733EA"/>
    <w:rsid w:val="003746EC"/>
    <w:rsid w:val="00376C4E"/>
    <w:rsid w:val="003777BC"/>
    <w:rsid w:val="00377CB4"/>
    <w:rsid w:val="00380001"/>
    <w:rsid w:val="003811C3"/>
    <w:rsid w:val="0038124C"/>
    <w:rsid w:val="0038160C"/>
    <w:rsid w:val="00381CF1"/>
    <w:rsid w:val="00382753"/>
    <w:rsid w:val="00382D78"/>
    <w:rsid w:val="00383070"/>
    <w:rsid w:val="00383815"/>
    <w:rsid w:val="00384084"/>
    <w:rsid w:val="0038497F"/>
    <w:rsid w:val="00387B27"/>
    <w:rsid w:val="00390303"/>
    <w:rsid w:val="00391636"/>
    <w:rsid w:val="00391F9E"/>
    <w:rsid w:val="00392861"/>
    <w:rsid w:val="003943A4"/>
    <w:rsid w:val="003946C1"/>
    <w:rsid w:val="0039482C"/>
    <w:rsid w:val="00394D3E"/>
    <w:rsid w:val="00395403"/>
    <w:rsid w:val="003955DD"/>
    <w:rsid w:val="00395E9A"/>
    <w:rsid w:val="003967FD"/>
    <w:rsid w:val="003968CE"/>
    <w:rsid w:val="003968DA"/>
    <w:rsid w:val="00397565"/>
    <w:rsid w:val="003977D9"/>
    <w:rsid w:val="003977E8"/>
    <w:rsid w:val="003A05DE"/>
    <w:rsid w:val="003A0DB0"/>
    <w:rsid w:val="003A12B5"/>
    <w:rsid w:val="003A1784"/>
    <w:rsid w:val="003A1794"/>
    <w:rsid w:val="003A1E4A"/>
    <w:rsid w:val="003A29D5"/>
    <w:rsid w:val="003A2AEB"/>
    <w:rsid w:val="003A352C"/>
    <w:rsid w:val="003A3BC7"/>
    <w:rsid w:val="003A45AD"/>
    <w:rsid w:val="003A58F3"/>
    <w:rsid w:val="003A6363"/>
    <w:rsid w:val="003A6582"/>
    <w:rsid w:val="003A69E7"/>
    <w:rsid w:val="003A7544"/>
    <w:rsid w:val="003A7CB5"/>
    <w:rsid w:val="003B099B"/>
    <w:rsid w:val="003B1E51"/>
    <w:rsid w:val="003B2912"/>
    <w:rsid w:val="003B2975"/>
    <w:rsid w:val="003B32A3"/>
    <w:rsid w:val="003B3A5F"/>
    <w:rsid w:val="003B5171"/>
    <w:rsid w:val="003B71D2"/>
    <w:rsid w:val="003B7B0C"/>
    <w:rsid w:val="003C00E7"/>
    <w:rsid w:val="003C3A2B"/>
    <w:rsid w:val="003C4552"/>
    <w:rsid w:val="003C4FEE"/>
    <w:rsid w:val="003C7876"/>
    <w:rsid w:val="003D1201"/>
    <w:rsid w:val="003D1777"/>
    <w:rsid w:val="003D190B"/>
    <w:rsid w:val="003D2D4B"/>
    <w:rsid w:val="003D3040"/>
    <w:rsid w:val="003D41D5"/>
    <w:rsid w:val="003D5070"/>
    <w:rsid w:val="003D6BB4"/>
    <w:rsid w:val="003E0143"/>
    <w:rsid w:val="003E0A8C"/>
    <w:rsid w:val="003E195E"/>
    <w:rsid w:val="003E1A24"/>
    <w:rsid w:val="003E1F05"/>
    <w:rsid w:val="003E2740"/>
    <w:rsid w:val="003E3F89"/>
    <w:rsid w:val="003E4425"/>
    <w:rsid w:val="003F033F"/>
    <w:rsid w:val="003F0994"/>
    <w:rsid w:val="003F1CBA"/>
    <w:rsid w:val="003F1D01"/>
    <w:rsid w:val="003F4566"/>
    <w:rsid w:val="003F47F9"/>
    <w:rsid w:val="003F5317"/>
    <w:rsid w:val="003F5C5D"/>
    <w:rsid w:val="003F5C8E"/>
    <w:rsid w:val="003F5EFB"/>
    <w:rsid w:val="003F67AE"/>
    <w:rsid w:val="003F70AE"/>
    <w:rsid w:val="00400F33"/>
    <w:rsid w:val="004010FA"/>
    <w:rsid w:val="0040126A"/>
    <w:rsid w:val="00401C2A"/>
    <w:rsid w:val="00402779"/>
    <w:rsid w:val="00402C69"/>
    <w:rsid w:val="0040309F"/>
    <w:rsid w:val="00403354"/>
    <w:rsid w:val="00403704"/>
    <w:rsid w:val="0040431D"/>
    <w:rsid w:val="0040434E"/>
    <w:rsid w:val="00404B9B"/>
    <w:rsid w:val="00404EC7"/>
    <w:rsid w:val="0040577E"/>
    <w:rsid w:val="004068A7"/>
    <w:rsid w:val="00407CEF"/>
    <w:rsid w:val="00407E95"/>
    <w:rsid w:val="00410C6C"/>
    <w:rsid w:val="00411CED"/>
    <w:rsid w:val="00413445"/>
    <w:rsid w:val="00413742"/>
    <w:rsid w:val="004138A7"/>
    <w:rsid w:val="00413A6D"/>
    <w:rsid w:val="00413E66"/>
    <w:rsid w:val="00416F83"/>
    <w:rsid w:val="00417292"/>
    <w:rsid w:val="00421530"/>
    <w:rsid w:val="00421B3B"/>
    <w:rsid w:val="0042232E"/>
    <w:rsid w:val="00424CF8"/>
    <w:rsid w:val="00425811"/>
    <w:rsid w:val="0043035B"/>
    <w:rsid w:val="0043081B"/>
    <w:rsid w:val="00430BA6"/>
    <w:rsid w:val="00432188"/>
    <w:rsid w:val="0043221B"/>
    <w:rsid w:val="00432A7E"/>
    <w:rsid w:val="00432EF4"/>
    <w:rsid w:val="00434724"/>
    <w:rsid w:val="00434F83"/>
    <w:rsid w:val="0043662D"/>
    <w:rsid w:val="004366B2"/>
    <w:rsid w:val="00436896"/>
    <w:rsid w:val="00436C75"/>
    <w:rsid w:val="00436E2F"/>
    <w:rsid w:val="00436F45"/>
    <w:rsid w:val="00440FE2"/>
    <w:rsid w:val="0044231D"/>
    <w:rsid w:val="0044271B"/>
    <w:rsid w:val="0044492C"/>
    <w:rsid w:val="00447282"/>
    <w:rsid w:val="00447A58"/>
    <w:rsid w:val="00447C12"/>
    <w:rsid w:val="0045028D"/>
    <w:rsid w:val="00450785"/>
    <w:rsid w:val="00450B92"/>
    <w:rsid w:val="00450D82"/>
    <w:rsid w:val="004510C3"/>
    <w:rsid w:val="004524EA"/>
    <w:rsid w:val="00452E61"/>
    <w:rsid w:val="0045347A"/>
    <w:rsid w:val="004534D1"/>
    <w:rsid w:val="004543E1"/>
    <w:rsid w:val="00455DF0"/>
    <w:rsid w:val="00456089"/>
    <w:rsid w:val="00457326"/>
    <w:rsid w:val="00457947"/>
    <w:rsid w:val="004579CB"/>
    <w:rsid w:val="00457B5A"/>
    <w:rsid w:val="004602F5"/>
    <w:rsid w:val="00463750"/>
    <w:rsid w:val="004650B9"/>
    <w:rsid w:val="00466522"/>
    <w:rsid w:val="00466A5C"/>
    <w:rsid w:val="00466F73"/>
    <w:rsid w:val="00467B6D"/>
    <w:rsid w:val="00467F77"/>
    <w:rsid w:val="00470EF2"/>
    <w:rsid w:val="00474671"/>
    <w:rsid w:val="00474E23"/>
    <w:rsid w:val="00475739"/>
    <w:rsid w:val="00476231"/>
    <w:rsid w:val="00476C09"/>
    <w:rsid w:val="00477075"/>
    <w:rsid w:val="0047720C"/>
    <w:rsid w:val="0047749A"/>
    <w:rsid w:val="00477DC6"/>
    <w:rsid w:val="00481F2D"/>
    <w:rsid w:val="004826E3"/>
    <w:rsid w:val="004828ED"/>
    <w:rsid w:val="00482945"/>
    <w:rsid w:val="00482D50"/>
    <w:rsid w:val="00483334"/>
    <w:rsid w:val="00485E1E"/>
    <w:rsid w:val="00485F2C"/>
    <w:rsid w:val="00486786"/>
    <w:rsid w:val="004926F1"/>
    <w:rsid w:val="004927DF"/>
    <w:rsid w:val="004935F1"/>
    <w:rsid w:val="00493DDF"/>
    <w:rsid w:val="00495F6E"/>
    <w:rsid w:val="004962F5"/>
    <w:rsid w:val="004968F1"/>
    <w:rsid w:val="004973EB"/>
    <w:rsid w:val="004977E1"/>
    <w:rsid w:val="004A2DCC"/>
    <w:rsid w:val="004A5034"/>
    <w:rsid w:val="004A647E"/>
    <w:rsid w:val="004A7372"/>
    <w:rsid w:val="004B013D"/>
    <w:rsid w:val="004B082A"/>
    <w:rsid w:val="004B159A"/>
    <w:rsid w:val="004B210F"/>
    <w:rsid w:val="004B2877"/>
    <w:rsid w:val="004B44C0"/>
    <w:rsid w:val="004B67F9"/>
    <w:rsid w:val="004B7407"/>
    <w:rsid w:val="004B79B8"/>
    <w:rsid w:val="004C214F"/>
    <w:rsid w:val="004C2661"/>
    <w:rsid w:val="004C2F48"/>
    <w:rsid w:val="004C590F"/>
    <w:rsid w:val="004C63A1"/>
    <w:rsid w:val="004C6892"/>
    <w:rsid w:val="004D1416"/>
    <w:rsid w:val="004D1CCF"/>
    <w:rsid w:val="004D1E3F"/>
    <w:rsid w:val="004D3328"/>
    <w:rsid w:val="004D4541"/>
    <w:rsid w:val="004D4E45"/>
    <w:rsid w:val="004D5332"/>
    <w:rsid w:val="004E0034"/>
    <w:rsid w:val="004E0232"/>
    <w:rsid w:val="004E06CC"/>
    <w:rsid w:val="004E0EA6"/>
    <w:rsid w:val="004E0F8B"/>
    <w:rsid w:val="004E12C6"/>
    <w:rsid w:val="004E1E1D"/>
    <w:rsid w:val="004E31A5"/>
    <w:rsid w:val="004E3414"/>
    <w:rsid w:val="004E384E"/>
    <w:rsid w:val="004E3B7F"/>
    <w:rsid w:val="004E4AC2"/>
    <w:rsid w:val="004E60E0"/>
    <w:rsid w:val="004E628C"/>
    <w:rsid w:val="004E6539"/>
    <w:rsid w:val="004F008A"/>
    <w:rsid w:val="004F0217"/>
    <w:rsid w:val="004F0C94"/>
    <w:rsid w:val="004F1660"/>
    <w:rsid w:val="004F1D5E"/>
    <w:rsid w:val="004F21C6"/>
    <w:rsid w:val="004F4D40"/>
    <w:rsid w:val="004F4EB6"/>
    <w:rsid w:val="004F5975"/>
    <w:rsid w:val="004F5CEA"/>
    <w:rsid w:val="004F6D04"/>
    <w:rsid w:val="004F7384"/>
    <w:rsid w:val="004F7570"/>
    <w:rsid w:val="00501216"/>
    <w:rsid w:val="00501B14"/>
    <w:rsid w:val="00502838"/>
    <w:rsid w:val="00502D13"/>
    <w:rsid w:val="00503453"/>
    <w:rsid w:val="00503F05"/>
    <w:rsid w:val="00504C09"/>
    <w:rsid w:val="005071D5"/>
    <w:rsid w:val="00507F19"/>
    <w:rsid w:val="00510662"/>
    <w:rsid w:val="00512845"/>
    <w:rsid w:val="00512936"/>
    <w:rsid w:val="00512A2C"/>
    <w:rsid w:val="0051368E"/>
    <w:rsid w:val="005142D6"/>
    <w:rsid w:val="005144F6"/>
    <w:rsid w:val="00514AB4"/>
    <w:rsid w:val="00514EAF"/>
    <w:rsid w:val="005153D3"/>
    <w:rsid w:val="00516BA6"/>
    <w:rsid w:val="00516C24"/>
    <w:rsid w:val="005173D2"/>
    <w:rsid w:val="00520229"/>
    <w:rsid w:val="00520A24"/>
    <w:rsid w:val="00521B6B"/>
    <w:rsid w:val="005221D4"/>
    <w:rsid w:val="005233B8"/>
    <w:rsid w:val="0052392A"/>
    <w:rsid w:val="0052449F"/>
    <w:rsid w:val="00525B75"/>
    <w:rsid w:val="00525E44"/>
    <w:rsid w:val="005277BD"/>
    <w:rsid w:val="00530BE8"/>
    <w:rsid w:val="00530CE4"/>
    <w:rsid w:val="005326D2"/>
    <w:rsid w:val="00532AFE"/>
    <w:rsid w:val="00534E18"/>
    <w:rsid w:val="00535681"/>
    <w:rsid w:val="005360ED"/>
    <w:rsid w:val="005362B9"/>
    <w:rsid w:val="00537A5F"/>
    <w:rsid w:val="00540509"/>
    <w:rsid w:val="00541583"/>
    <w:rsid w:val="00541E59"/>
    <w:rsid w:val="00541ECC"/>
    <w:rsid w:val="005427FE"/>
    <w:rsid w:val="00542BB5"/>
    <w:rsid w:val="00543EEC"/>
    <w:rsid w:val="00544A94"/>
    <w:rsid w:val="00546263"/>
    <w:rsid w:val="00546A41"/>
    <w:rsid w:val="00547480"/>
    <w:rsid w:val="005474AB"/>
    <w:rsid w:val="005503B7"/>
    <w:rsid w:val="00550810"/>
    <w:rsid w:val="005508EA"/>
    <w:rsid w:val="00550A54"/>
    <w:rsid w:val="00551692"/>
    <w:rsid w:val="00552A44"/>
    <w:rsid w:val="00553E1A"/>
    <w:rsid w:val="00554054"/>
    <w:rsid w:val="005540E9"/>
    <w:rsid w:val="00554BFD"/>
    <w:rsid w:val="00554C03"/>
    <w:rsid w:val="00554D1B"/>
    <w:rsid w:val="00555186"/>
    <w:rsid w:val="00555CEC"/>
    <w:rsid w:val="00555E0A"/>
    <w:rsid w:val="005606AE"/>
    <w:rsid w:val="005610E4"/>
    <w:rsid w:val="00561D1A"/>
    <w:rsid w:val="0056235E"/>
    <w:rsid w:val="00563437"/>
    <w:rsid w:val="0056343E"/>
    <w:rsid w:val="00563D6A"/>
    <w:rsid w:val="00564896"/>
    <w:rsid w:val="00564C16"/>
    <w:rsid w:val="00565174"/>
    <w:rsid w:val="00565658"/>
    <w:rsid w:val="00566EDE"/>
    <w:rsid w:val="00567929"/>
    <w:rsid w:val="00570FBA"/>
    <w:rsid w:val="00571CFD"/>
    <w:rsid w:val="00573266"/>
    <w:rsid w:val="0057340D"/>
    <w:rsid w:val="0057381B"/>
    <w:rsid w:val="00573883"/>
    <w:rsid w:val="005740F8"/>
    <w:rsid w:val="0057466C"/>
    <w:rsid w:val="005748BB"/>
    <w:rsid w:val="00575879"/>
    <w:rsid w:val="00575A0B"/>
    <w:rsid w:val="00575C51"/>
    <w:rsid w:val="0057712E"/>
    <w:rsid w:val="00580F24"/>
    <w:rsid w:val="00582DF8"/>
    <w:rsid w:val="00583270"/>
    <w:rsid w:val="00583FC8"/>
    <w:rsid w:val="00584352"/>
    <w:rsid w:val="00585D08"/>
    <w:rsid w:val="0058638D"/>
    <w:rsid w:val="00586A62"/>
    <w:rsid w:val="0058730A"/>
    <w:rsid w:val="00590A67"/>
    <w:rsid w:val="00590D55"/>
    <w:rsid w:val="0059112F"/>
    <w:rsid w:val="005919A5"/>
    <w:rsid w:val="005919C8"/>
    <w:rsid w:val="00592A36"/>
    <w:rsid w:val="00592C0C"/>
    <w:rsid w:val="00594999"/>
    <w:rsid w:val="00595532"/>
    <w:rsid w:val="00596B8C"/>
    <w:rsid w:val="00596C40"/>
    <w:rsid w:val="00596D7D"/>
    <w:rsid w:val="005A19EF"/>
    <w:rsid w:val="005A2583"/>
    <w:rsid w:val="005A33D5"/>
    <w:rsid w:val="005A4470"/>
    <w:rsid w:val="005A4CB8"/>
    <w:rsid w:val="005A5C68"/>
    <w:rsid w:val="005A5E41"/>
    <w:rsid w:val="005A5ED3"/>
    <w:rsid w:val="005A6AA1"/>
    <w:rsid w:val="005A6C3E"/>
    <w:rsid w:val="005A6E94"/>
    <w:rsid w:val="005A79E4"/>
    <w:rsid w:val="005B0DFC"/>
    <w:rsid w:val="005B0E0B"/>
    <w:rsid w:val="005B117D"/>
    <w:rsid w:val="005B1279"/>
    <w:rsid w:val="005B29C4"/>
    <w:rsid w:val="005B2C67"/>
    <w:rsid w:val="005B2F92"/>
    <w:rsid w:val="005B351B"/>
    <w:rsid w:val="005B3D5C"/>
    <w:rsid w:val="005B54F4"/>
    <w:rsid w:val="005B5649"/>
    <w:rsid w:val="005B604B"/>
    <w:rsid w:val="005B614A"/>
    <w:rsid w:val="005B6B85"/>
    <w:rsid w:val="005B6E06"/>
    <w:rsid w:val="005B71A5"/>
    <w:rsid w:val="005C005B"/>
    <w:rsid w:val="005C0418"/>
    <w:rsid w:val="005C0B61"/>
    <w:rsid w:val="005C2911"/>
    <w:rsid w:val="005C3959"/>
    <w:rsid w:val="005C5CF6"/>
    <w:rsid w:val="005C6CA5"/>
    <w:rsid w:val="005D04B4"/>
    <w:rsid w:val="005D0C58"/>
    <w:rsid w:val="005D0EB4"/>
    <w:rsid w:val="005D242D"/>
    <w:rsid w:val="005D289C"/>
    <w:rsid w:val="005D2E14"/>
    <w:rsid w:val="005D34EB"/>
    <w:rsid w:val="005D3D3F"/>
    <w:rsid w:val="005D3E6B"/>
    <w:rsid w:val="005D4628"/>
    <w:rsid w:val="005D49F9"/>
    <w:rsid w:val="005D5DD6"/>
    <w:rsid w:val="005D6812"/>
    <w:rsid w:val="005D71B5"/>
    <w:rsid w:val="005D7A6B"/>
    <w:rsid w:val="005E140D"/>
    <w:rsid w:val="005E1669"/>
    <w:rsid w:val="005E1674"/>
    <w:rsid w:val="005E1BD3"/>
    <w:rsid w:val="005E2D4E"/>
    <w:rsid w:val="005E3148"/>
    <w:rsid w:val="005E3158"/>
    <w:rsid w:val="005E3264"/>
    <w:rsid w:val="005E500B"/>
    <w:rsid w:val="005E50E0"/>
    <w:rsid w:val="005E5BAA"/>
    <w:rsid w:val="005E633A"/>
    <w:rsid w:val="005E7019"/>
    <w:rsid w:val="005E7044"/>
    <w:rsid w:val="005E70EA"/>
    <w:rsid w:val="005E7A24"/>
    <w:rsid w:val="005E7B9F"/>
    <w:rsid w:val="005F0AE8"/>
    <w:rsid w:val="005F1134"/>
    <w:rsid w:val="005F339B"/>
    <w:rsid w:val="005F37F2"/>
    <w:rsid w:val="005F4B20"/>
    <w:rsid w:val="005F59FB"/>
    <w:rsid w:val="005F6A9D"/>
    <w:rsid w:val="005F71C3"/>
    <w:rsid w:val="005F7606"/>
    <w:rsid w:val="005F7D99"/>
    <w:rsid w:val="00602282"/>
    <w:rsid w:val="0060261E"/>
    <w:rsid w:val="006039E7"/>
    <w:rsid w:val="00603B39"/>
    <w:rsid w:val="00603C22"/>
    <w:rsid w:val="00605214"/>
    <w:rsid w:val="00610474"/>
    <w:rsid w:val="0061094C"/>
    <w:rsid w:val="0061151E"/>
    <w:rsid w:val="00612FF8"/>
    <w:rsid w:val="00613155"/>
    <w:rsid w:val="006143A6"/>
    <w:rsid w:val="0061489A"/>
    <w:rsid w:val="006152EA"/>
    <w:rsid w:val="00615519"/>
    <w:rsid w:val="00615A70"/>
    <w:rsid w:val="00615AEB"/>
    <w:rsid w:val="00616559"/>
    <w:rsid w:val="0061782C"/>
    <w:rsid w:val="00620CBC"/>
    <w:rsid w:val="00620F42"/>
    <w:rsid w:val="0062157A"/>
    <w:rsid w:val="00621CB2"/>
    <w:rsid w:val="0062345B"/>
    <w:rsid w:val="006238A5"/>
    <w:rsid w:val="00624B33"/>
    <w:rsid w:val="00625B47"/>
    <w:rsid w:val="00625BAC"/>
    <w:rsid w:val="00625E7D"/>
    <w:rsid w:val="00626B4C"/>
    <w:rsid w:val="00630193"/>
    <w:rsid w:val="0063036B"/>
    <w:rsid w:val="006305A8"/>
    <w:rsid w:val="006318FE"/>
    <w:rsid w:val="0063203F"/>
    <w:rsid w:val="0063205F"/>
    <w:rsid w:val="00633641"/>
    <w:rsid w:val="00633E3D"/>
    <w:rsid w:val="00634CA1"/>
    <w:rsid w:val="0063510E"/>
    <w:rsid w:val="00635F21"/>
    <w:rsid w:val="00636AF8"/>
    <w:rsid w:val="00636FD7"/>
    <w:rsid w:val="0064089D"/>
    <w:rsid w:val="0064289F"/>
    <w:rsid w:val="00644683"/>
    <w:rsid w:val="00644E9F"/>
    <w:rsid w:val="006451AB"/>
    <w:rsid w:val="0064526B"/>
    <w:rsid w:val="006454D6"/>
    <w:rsid w:val="00646225"/>
    <w:rsid w:val="006465E8"/>
    <w:rsid w:val="00646694"/>
    <w:rsid w:val="006467B8"/>
    <w:rsid w:val="00646D1E"/>
    <w:rsid w:val="00646E13"/>
    <w:rsid w:val="0064748E"/>
    <w:rsid w:val="00647D54"/>
    <w:rsid w:val="0065052A"/>
    <w:rsid w:val="00650ADB"/>
    <w:rsid w:val="006524DD"/>
    <w:rsid w:val="00653619"/>
    <w:rsid w:val="006567E3"/>
    <w:rsid w:val="0066047F"/>
    <w:rsid w:val="0066053B"/>
    <w:rsid w:val="00660C41"/>
    <w:rsid w:val="006621E4"/>
    <w:rsid w:val="00663E75"/>
    <w:rsid w:val="00663F2E"/>
    <w:rsid w:val="00664708"/>
    <w:rsid w:val="00665CBE"/>
    <w:rsid w:val="00670A44"/>
    <w:rsid w:val="00670B61"/>
    <w:rsid w:val="00670F75"/>
    <w:rsid w:val="006711B1"/>
    <w:rsid w:val="00674467"/>
    <w:rsid w:val="00674597"/>
    <w:rsid w:val="0067475A"/>
    <w:rsid w:val="00674C7C"/>
    <w:rsid w:val="006757A8"/>
    <w:rsid w:val="0067588B"/>
    <w:rsid w:val="00675D91"/>
    <w:rsid w:val="00676024"/>
    <w:rsid w:val="00676A66"/>
    <w:rsid w:val="006775C3"/>
    <w:rsid w:val="006818E7"/>
    <w:rsid w:val="00683674"/>
    <w:rsid w:val="006838D0"/>
    <w:rsid w:val="00683AA3"/>
    <w:rsid w:val="00683DEC"/>
    <w:rsid w:val="00684D89"/>
    <w:rsid w:val="00684EB9"/>
    <w:rsid w:val="006854DA"/>
    <w:rsid w:val="00685999"/>
    <w:rsid w:val="00685B2C"/>
    <w:rsid w:val="006907B9"/>
    <w:rsid w:val="00691352"/>
    <w:rsid w:val="0069200F"/>
    <w:rsid w:val="006921CA"/>
    <w:rsid w:val="00692D1D"/>
    <w:rsid w:val="00692F07"/>
    <w:rsid w:val="00693729"/>
    <w:rsid w:val="0069391B"/>
    <w:rsid w:val="00693BEC"/>
    <w:rsid w:val="0069440F"/>
    <w:rsid w:val="0069448C"/>
    <w:rsid w:val="00694E71"/>
    <w:rsid w:val="0069503B"/>
    <w:rsid w:val="00695048"/>
    <w:rsid w:val="00695197"/>
    <w:rsid w:val="0069536B"/>
    <w:rsid w:val="00695EFB"/>
    <w:rsid w:val="006971A1"/>
    <w:rsid w:val="006A0218"/>
    <w:rsid w:val="006A0590"/>
    <w:rsid w:val="006A0CBC"/>
    <w:rsid w:val="006A1391"/>
    <w:rsid w:val="006A1530"/>
    <w:rsid w:val="006A15EB"/>
    <w:rsid w:val="006A2C43"/>
    <w:rsid w:val="006A2D9E"/>
    <w:rsid w:val="006A2FDD"/>
    <w:rsid w:val="006A33F0"/>
    <w:rsid w:val="006A3A59"/>
    <w:rsid w:val="006A3C70"/>
    <w:rsid w:val="006A40A1"/>
    <w:rsid w:val="006A4356"/>
    <w:rsid w:val="006A4721"/>
    <w:rsid w:val="006A68A8"/>
    <w:rsid w:val="006A7D50"/>
    <w:rsid w:val="006B0CBA"/>
    <w:rsid w:val="006B10DE"/>
    <w:rsid w:val="006B12BA"/>
    <w:rsid w:val="006B2605"/>
    <w:rsid w:val="006B339A"/>
    <w:rsid w:val="006B3BB9"/>
    <w:rsid w:val="006B453A"/>
    <w:rsid w:val="006B4AB3"/>
    <w:rsid w:val="006B5543"/>
    <w:rsid w:val="006B59E7"/>
    <w:rsid w:val="006C09E1"/>
    <w:rsid w:val="006C0F70"/>
    <w:rsid w:val="006C1C59"/>
    <w:rsid w:val="006C284A"/>
    <w:rsid w:val="006C2C05"/>
    <w:rsid w:val="006C37D0"/>
    <w:rsid w:val="006C4DE5"/>
    <w:rsid w:val="006C5234"/>
    <w:rsid w:val="006C649B"/>
    <w:rsid w:val="006C6C41"/>
    <w:rsid w:val="006C6F29"/>
    <w:rsid w:val="006C7F72"/>
    <w:rsid w:val="006D1592"/>
    <w:rsid w:val="006D2869"/>
    <w:rsid w:val="006D29F1"/>
    <w:rsid w:val="006D5B79"/>
    <w:rsid w:val="006D5E9C"/>
    <w:rsid w:val="006D6403"/>
    <w:rsid w:val="006D64E1"/>
    <w:rsid w:val="006D67AE"/>
    <w:rsid w:val="006D6D0A"/>
    <w:rsid w:val="006D71CE"/>
    <w:rsid w:val="006D7813"/>
    <w:rsid w:val="006D7ABB"/>
    <w:rsid w:val="006D7AEB"/>
    <w:rsid w:val="006E0234"/>
    <w:rsid w:val="006E097B"/>
    <w:rsid w:val="006E226A"/>
    <w:rsid w:val="006E2382"/>
    <w:rsid w:val="006E5E5B"/>
    <w:rsid w:val="006E5F9F"/>
    <w:rsid w:val="006E60DF"/>
    <w:rsid w:val="006E6892"/>
    <w:rsid w:val="006E7B16"/>
    <w:rsid w:val="006E7E40"/>
    <w:rsid w:val="006F081D"/>
    <w:rsid w:val="006F295E"/>
    <w:rsid w:val="006F2E09"/>
    <w:rsid w:val="006F3BD5"/>
    <w:rsid w:val="006F422D"/>
    <w:rsid w:val="006F4909"/>
    <w:rsid w:val="006F5948"/>
    <w:rsid w:val="006F6472"/>
    <w:rsid w:val="006F7761"/>
    <w:rsid w:val="007015DD"/>
    <w:rsid w:val="00701B12"/>
    <w:rsid w:val="007033BD"/>
    <w:rsid w:val="007054BD"/>
    <w:rsid w:val="00706298"/>
    <w:rsid w:val="00707166"/>
    <w:rsid w:val="007077B4"/>
    <w:rsid w:val="007078B1"/>
    <w:rsid w:val="00710A8D"/>
    <w:rsid w:val="007115B4"/>
    <w:rsid w:val="00711676"/>
    <w:rsid w:val="00711A48"/>
    <w:rsid w:val="0071281E"/>
    <w:rsid w:val="007128FA"/>
    <w:rsid w:val="0071407D"/>
    <w:rsid w:val="007144A1"/>
    <w:rsid w:val="007157CF"/>
    <w:rsid w:val="00716FCB"/>
    <w:rsid w:val="00717D31"/>
    <w:rsid w:val="00720C72"/>
    <w:rsid w:val="00720D06"/>
    <w:rsid w:val="007212FE"/>
    <w:rsid w:val="00723841"/>
    <w:rsid w:val="0072553E"/>
    <w:rsid w:val="00726A1E"/>
    <w:rsid w:val="00727372"/>
    <w:rsid w:val="007300AC"/>
    <w:rsid w:val="00731E4B"/>
    <w:rsid w:val="00732A84"/>
    <w:rsid w:val="0073329D"/>
    <w:rsid w:val="007337B6"/>
    <w:rsid w:val="007339DC"/>
    <w:rsid w:val="0073676E"/>
    <w:rsid w:val="00737B23"/>
    <w:rsid w:val="0074010B"/>
    <w:rsid w:val="00740F46"/>
    <w:rsid w:val="007423BB"/>
    <w:rsid w:val="007456E5"/>
    <w:rsid w:val="00746D88"/>
    <w:rsid w:val="0075024B"/>
    <w:rsid w:val="00751512"/>
    <w:rsid w:val="00751BAB"/>
    <w:rsid w:val="007523C1"/>
    <w:rsid w:val="00752634"/>
    <w:rsid w:val="00752755"/>
    <w:rsid w:val="007529F7"/>
    <w:rsid w:val="00752DD5"/>
    <w:rsid w:val="0075315B"/>
    <w:rsid w:val="00753931"/>
    <w:rsid w:val="0075416A"/>
    <w:rsid w:val="007546B9"/>
    <w:rsid w:val="0075498F"/>
    <w:rsid w:val="00755857"/>
    <w:rsid w:val="00756311"/>
    <w:rsid w:val="00756796"/>
    <w:rsid w:val="00756A50"/>
    <w:rsid w:val="00756E80"/>
    <w:rsid w:val="00757200"/>
    <w:rsid w:val="0075769B"/>
    <w:rsid w:val="007608D0"/>
    <w:rsid w:val="00761330"/>
    <w:rsid w:val="0076186C"/>
    <w:rsid w:val="00761E3D"/>
    <w:rsid w:val="00761FE4"/>
    <w:rsid w:val="00762AB8"/>
    <w:rsid w:val="00762CAF"/>
    <w:rsid w:val="00765879"/>
    <w:rsid w:val="007658F3"/>
    <w:rsid w:val="00765DB3"/>
    <w:rsid w:val="00765F07"/>
    <w:rsid w:val="0076662C"/>
    <w:rsid w:val="00767413"/>
    <w:rsid w:val="00770F80"/>
    <w:rsid w:val="00771684"/>
    <w:rsid w:val="0077371C"/>
    <w:rsid w:val="007753C5"/>
    <w:rsid w:val="00775F17"/>
    <w:rsid w:val="007763FE"/>
    <w:rsid w:val="007765B9"/>
    <w:rsid w:val="007769C3"/>
    <w:rsid w:val="00776B8A"/>
    <w:rsid w:val="00777F3C"/>
    <w:rsid w:val="007825EB"/>
    <w:rsid w:val="007833AE"/>
    <w:rsid w:val="0078343C"/>
    <w:rsid w:val="00783F54"/>
    <w:rsid w:val="007856E0"/>
    <w:rsid w:val="007868B2"/>
    <w:rsid w:val="00786B73"/>
    <w:rsid w:val="00786C3F"/>
    <w:rsid w:val="0078790C"/>
    <w:rsid w:val="00787B5C"/>
    <w:rsid w:val="00791C40"/>
    <w:rsid w:val="00792A7A"/>
    <w:rsid w:val="00792BB8"/>
    <w:rsid w:val="00792D46"/>
    <w:rsid w:val="00796640"/>
    <w:rsid w:val="007966D5"/>
    <w:rsid w:val="0079673D"/>
    <w:rsid w:val="00796D48"/>
    <w:rsid w:val="007971EE"/>
    <w:rsid w:val="0079747B"/>
    <w:rsid w:val="007975AB"/>
    <w:rsid w:val="00797B2D"/>
    <w:rsid w:val="007A0A68"/>
    <w:rsid w:val="007A0BDF"/>
    <w:rsid w:val="007A1117"/>
    <w:rsid w:val="007A200F"/>
    <w:rsid w:val="007A25A1"/>
    <w:rsid w:val="007A3673"/>
    <w:rsid w:val="007A3C9F"/>
    <w:rsid w:val="007A43C3"/>
    <w:rsid w:val="007A45A4"/>
    <w:rsid w:val="007A4D72"/>
    <w:rsid w:val="007A5AF1"/>
    <w:rsid w:val="007A65A2"/>
    <w:rsid w:val="007A767F"/>
    <w:rsid w:val="007A7FDD"/>
    <w:rsid w:val="007B0647"/>
    <w:rsid w:val="007B27F4"/>
    <w:rsid w:val="007B2E6C"/>
    <w:rsid w:val="007B3444"/>
    <w:rsid w:val="007B372B"/>
    <w:rsid w:val="007B39B9"/>
    <w:rsid w:val="007B4A6E"/>
    <w:rsid w:val="007B4CD9"/>
    <w:rsid w:val="007B6A38"/>
    <w:rsid w:val="007B6EAD"/>
    <w:rsid w:val="007B76E5"/>
    <w:rsid w:val="007C020A"/>
    <w:rsid w:val="007C03E1"/>
    <w:rsid w:val="007C0A77"/>
    <w:rsid w:val="007C0D62"/>
    <w:rsid w:val="007C2A29"/>
    <w:rsid w:val="007C2D48"/>
    <w:rsid w:val="007C301F"/>
    <w:rsid w:val="007C52FF"/>
    <w:rsid w:val="007C54C7"/>
    <w:rsid w:val="007C7B1C"/>
    <w:rsid w:val="007C7F71"/>
    <w:rsid w:val="007D03A3"/>
    <w:rsid w:val="007D061C"/>
    <w:rsid w:val="007D08D4"/>
    <w:rsid w:val="007D1220"/>
    <w:rsid w:val="007D173B"/>
    <w:rsid w:val="007D18E5"/>
    <w:rsid w:val="007D1A2D"/>
    <w:rsid w:val="007D1C9B"/>
    <w:rsid w:val="007D3428"/>
    <w:rsid w:val="007D42BD"/>
    <w:rsid w:val="007D490B"/>
    <w:rsid w:val="007D4A21"/>
    <w:rsid w:val="007D523F"/>
    <w:rsid w:val="007D5DA9"/>
    <w:rsid w:val="007E0039"/>
    <w:rsid w:val="007E0909"/>
    <w:rsid w:val="007E1541"/>
    <w:rsid w:val="007E2B4F"/>
    <w:rsid w:val="007E2BE4"/>
    <w:rsid w:val="007E3CE5"/>
    <w:rsid w:val="007E447C"/>
    <w:rsid w:val="007E4BFB"/>
    <w:rsid w:val="007E4CAE"/>
    <w:rsid w:val="007E5BD6"/>
    <w:rsid w:val="007E5F4F"/>
    <w:rsid w:val="007E75FF"/>
    <w:rsid w:val="007E76F3"/>
    <w:rsid w:val="007F0133"/>
    <w:rsid w:val="007F0C9C"/>
    <w:rsid w:val="007F0FC8"/>
    <w:rsid w:val="007F12EC"/>
    <w:rsid w:val="007F1CF2"/>
    <w:rsid w:val="007F2592"/>
    <w:rsid w:val="007F4014"/>
    <w:rsid w:val="007F47C3"/>
    <w:rsid w:val="007F4BE4"/>
    <w:rsid w:val="00800CB9"/>
    <w:rsid w:val="00800E2A"/>
    <w:rsid w:val="00801C4D"/>
    <w:rsid w:val="00802CD1"/>
    <w:rsid w:val="00803989"/>
    <w:rsid w:val="00803FA3"/>
    <w:rsid w:val="00803FE8"/>
    <w:rsid w:val="00804171"/>
    <w:rsid w:val="00804EFC"/>
    <w:rsid w:val="0080529D"/>
    <w:rsid w:val="0080608C"/>
    <w:rsid w:val="00807525"/>
    <w:rsid w:val="00807A36"/>
    <w:rsid w:val="00810A80"/>
    <w:rsid w:val="008125CA"/>
    <w:rsid w:val="00812CE6"/>
    <w:rsid w:val="00813E3F"/>
    <w:rsid w:val="00813F3A"/>
    <w:rsid w:val="0081690A"/>
    <w:rsid w:val="0081743A"/>
    <w:rsid w:val="008179E8"/>
    <w:rsid w:val="00817FE2"/>
    <w:rsid w:val="008200DD"/>
    <w:rsid w:val="008201CA"/>
    <w:rsid w:val="00822F4A"/>
    <w:rsid w:val="00823434"/>
    <w:rsid w:val="00823600"/>
    <w:rsid w:val="00823693"/>
    <w:rsid w:val="00824245"/>
    <w:rsid w:val="008242B3"/>
    <w:rsid w:val="008252E9"/>
    <w:rsid w:val="00826E2A"/>
    <w:rsid w:val="00832626"/>
    <w:rsid w:val="00832C1A"/>
    <w:rsid w:val="00833FD8"/>
    <w:rsid w:val="00835B0B"/>
    <w:rsid w:val="008372BE"/>
    <w:rsid w:val="00837713"/>
    <w:rsid w:val="00840998"/>
    <w:rsid w:val="00840C6A"/>
    <w:rsid w:val="008415A4"/>
    <w:rsid w:val="00842155"/>
    <w:rsid w:val="00842BA5"/>
    <w:rsid w:val="008440D9"/>
    <w:rsid w:val="00846158"/>
    <w:rsid w:val="00847108"/>
    <w:rsid w:val="008501D4"/>
    <w:rsid w:val="008502B2"/>
    <w:rsid w:val="008514F6"/>
    <w:rsid w:val="00851AF8"/>
    <w:rsid w:val="00851CDE"/>
    <w:rsid w:val="00852517"/>
    <w:rsid w:val="00852A4A"/>
    <w:rsid w:val="00853D1C"/>
    <w:rsid w:val="00854433"/>
    <w:rsid w:val="008552AF"/>
    <w:rsid w:val="008553C5"/>
    <w:rsid w:val="00855ABD"/>
    <w:rsid w:val="00856230"/>
    <w:rsid w:val="00856326"/>
    <w:rsid w:val="008571B8"/>
    <w:rsid w:val="00857F5C"/>
    <w:rsid w:val="008615DC"/>
    <w:rsid w:val="008626FD"/>
    <w:rsid w:val="008628AD"/>
    <w:rsid w:val="00863001"/>
    <w:rsid w:val="00863552"/>
    <w:rsid w:val="008637D8"/>
    <w:rsid w:val="00863BD7"/>
    <w:rsid w:val="00864155"/>
    <w:rsid w:val="0086428C"/>
    <w:rsid w:val="00864A82"/>
    <w:rsid w:val="008658AE"/>
    <w:rsid w:val="0086671C"/>
    <w:rsid w:val="0086721B"/>
    <w:rsid w:val="008705B1"/>
    <w:rsid w:val="00870A4C"/>
    <w:rsid w:val="00870ABF"/>
    <w:rsid w:val="00872924"/>
    <w:rsid w:val="00873922"/>
    <w:rsid w:val="00873E35"/>
    <w:rsid w:val="00874B6D"/>
    <w:rsid w:val="00875191"/>
    <w:rsid w:val="0087618F"/>
    <w:rsid w:val="00876363"/>
    <w:rsid w:val="00877039"/>
    <w:rsid w:val="0087789B"/>
    <w:rsid w:val="0088036D"/>
    <w:rsid w:val="008808E6"/>
    <w:rsid w:val="0088437B"/>
    <w:rsid w:val="00884FE6"/>
    <w:rsid w:val="00885642"/>
    <w:rsid w:val="00885A34"/>
    <w:rsid w:val="0088647A"/>
    <w:rsid w:val="00886BA7"/>
    <w:rsid w:val="0088733C"/>
    <w:rsid w:val="00887937"/>
    <w:rsid w:val="0089024F"/>
    <w:rsid w:val="00890D58"/>
    <w:rsid w:val="008915F6"/>
    <w:rsid w:val="008924DA"/>
    <w:rsid w:val="00892514"/>
    <w:rsid w:val="00892545"/>
    <w:rsid w:val="00893094"/>
    <w:rsid w:val="00893A6A"/>
    <w:rsid w:val="00893DDC"/>
    <w:rsid w:val="0089561B"/>
    <w:rsid w:val="00895636"/>
    <w:rsid w:val="00895EE8"/>
    <w:rsid w:val="0089700E"/>
    <w:rsid w:val="00897371"/>
    <w:rsid w:val="00897E23"/>
    <w:rsid w:val="008A021B"/>
    <w:rsid w:val="008A0CE7"/>
    <w:rsid w:val="008A0FBA"/>
    <w:rsid w:val="008A1481"/>
    <w:rsid w:val="008A14E6"/>
    <w:rsid w:val="008A17E7"/>
    <w:rsid w:val="008A3142"/>
    <w:rsid w:val="008A3C7B"/>
    <w:rsid w:val="008A3DA5"/>
    <w:rsid w:val="008A5215"/>
    <w:rsid w:val="008A5552"/>
    <w:rsid w:val="008A576F"/>
    <w:rsid w:val="008A62DC"/>
    <w:rsid w:val="008A6662"/>
    <w:rsid w:val="008A68C0"/>
    <w:rsid w:val="008A77C4"/>
    <w:rsid w:val="008A7DD3"/>
    <w:rsid w:val="008A7F1F"/>
    <w:rsid w:val="008B0042"/>
    <w:rsid w:val="008B0626"/>
    <w:rsid w:val="008B0B0C"/>
    <w:rsid w:val="008B12E8"/>
    <w:rsid w:val="008B1941"/>
    <w:rsid w:val="008B3DB3"/>
    <w:rsid w:val="008B5355"/>
    <w:rsid w:val="008B54E0"/>
    <w:rsid w:val="008B5DB9"/>
    <w:rsid w:val="008B6AD0"/>
    <w:rsid w:val="008B6C11"/>
    <w:rsid w:val="008C108D"/>
    <w:rsid w:val="008C1EF9"/>
    <w:rsid w:val="008C3967"/>
    <w:rsid w:val="008C3AA0"/>
    <w:rsid w:val="008C40F0"/>
    <w:rsid w:val="008C464C"/>
    <w:rsid w:val="008C4C19"/>
    <w:rsid w:val="008C5433"/>
    <w:rsid w:val="008C63CA"/>
    <w:rsid w:val="008C6712"/>
    <w:rsid w:val="008D0346"/>
    <w:rsid w:val="008D0389"/>
    <w:rsid w:val="008D2938"/>
    <w:rsid w:val="008D3620"/>
    <w:rsid w:val="008D37C1"/>
    <w:rsid w:val="008D5EA2"/>
    <w:rsid w:val="008D6C6B"/>
    <w:rsid w:val="008D6D49"/>
    <w:rsid w:val="008D71D6"/>
    <w:rsid w:val="008E00BB"/>
    <w:rsid w:val="008E299C"/>
    <w:rsid w:val="008E4D48"/>
    <w:rsid w:val="008E59D4"/>
    <w:rsid w:val="008E7FCB"/>
    <w:rsid w:val="008F015B"/>
    <w:rsid w:val="008F01A5"/>
    <w:rsid w:val="008F02D3"/>
    <w:rsid w:val="008F0C08"/>
    <w:rsid w:val="008F2FC5"/>
    <w:rsid w:val="008F3C81"/>
    <w:rsid w:val="008F3E9C"/>
    <w:rsid w:val="008F4607"/>
    <w:rsid w:val="008F5579"/>
    <w:rsid w:val="008F6B95"/>
    <w:rsid w:val="008F6EB0"/>
    <w:rsid w:val="008F7375"/>
    <w:rsid w:val="008F7A25"/>
    <w:rsid w:val="008F7C97"/>
    <w:rsid w:val="008F7F77"/>
    <w:rsid w:val="008F7FF7"/>
    <w:rsid w:val="009007D7"/>
    <w:rsid w:val="009019FD"/>
    <w:rsid w:val="009037BD"/>
    <w:rsid w:val="00904909"/>
    <w:rsid w:val="00905A89"/>
    <w:rsid w:val="00906922"/>
    <w:rsid w:val="009076AC"/>
    <w:rsid w:val="0091080A"/>
    <w:rsid w:val="00910A45"/>
    <w:rsid w:val="00911EB2"/>
    <w:rsid w:val="00912A6F"/>
    <w:rsid w:val="009134C4"/>
    <w:rsid w:val="00914FB9"/>
    <w:rsid w:val="0091576E"/>
    <w:rsid w:val="00916298"/>
    <w:rsid w:val="009206BD"/>
    <w:rsid w:val="0092169D"/>
    <w:rsid w:val="009218CF"/>
    <w:rsid w:val="00921E6E"/>
    <w:rsid w:val="00922519"/>
    <w:rsid w:val="00922621"/>
    <w:rsid w:val="00924A18"/>
    <w:rsid w:val="009258A8"/>
    <w:rsid w:val="00925929"/>
    <w:rsid w:val="00926B46"/>
    <w:rsid w:val="00927117"/>
    <w:rsid w:val="009273D7"/>
    <w:rsid w:val="0093094B"/>
    <w:rsid w:val="009319F6"/>
    <w:rsid w:val="009325A7"/>
    <w:rsid w:val="009328C3"/>
    <w:rsid w:val="00932D63"/>
    <w:rsid w:val="00932F41"/>
    <w:rsid w:val="0093337E"/>
    <w:rsid w:val="009348C9"/>
    <w:rsid w:val="0093499C"/>
    <w:rsid w:val="009349B5"/>
    <w:rsid w:val="00936F3E"/>
    <w:rsid w:val="00937AD4"/>
    <w:rsid w:val="00940DA9"/>
    <w:rsid w:val="009416C4"/>
    <w:rsid w:val="0094317F"/>
    <w:rsid w:val="00944AA7"/>
    <w:rsid w:val="0094572A"/>
    <w:rsid w:val="009457F5"/>
    <w:rsid w:val="00947281"/>
    <w:rsid w:val="0094756C"/>
    <w:rsid w:val="00950319"/>
    <w:rsid w:val="00950C49"/>
    <w:rsid w:val="00950F11"/>
    <w:rsid w:val="00951D43"/>
    <w:rsid w:val="00951DD0"/>
    <w:rsid w:val="00951F3D"/>
    <w:rsid w:val="00952C1A"/>
    <w:rsid w:val="009533F8"/>
    <w:rsid w:val="009564E2"/>
    <w:rsid w:val="0095666C"/>
    <w:rsid w:val="00957FB4"/>
    <w:rsid w:val="00960440"/>
    <w:rsid w:val="00961885"/>
    <w:rsid w:val="00962EDA"/>
    <w:rsid w:val="00962FA1"/>
    <w:rsid w:val="009632AF"/>
    <w:rsid w:val="009639E6"/>
    <w:rsid w:val="00964A14"/>
    <w:rsid w:val="00965EE8"/>
    <w:rsid w:val="00966902"/>
    <w:rsid w:val="0096709D"/>
    <w:rsid w:val="0096737A"/>
    <w:rsid w:val="00967640"/>
    <w:rsid w:val="00971175"/>
    <w:rsid w:val="00971389"/>
    <w:rsid w:val="009723A4"/>
    <w:rsid w:val="00972750"/>
    <w:rsid w:val="00973F28"/>
    <w:rsid w:val="00975D7E"/>
    <w:rsid w:val="0098180F"/>
    <w:rsid w:val="00982617"/>
    <w:rsid w:val="00982D0C"/>
    <w:rsid w:val="00983724"/>
    <w:rsid w:val="00983AF9"/>
    <w:rsid w:val="00985698"/>
    <w:rsid w:val="0098597B"/>
    <w:rsid w:val="0099103F"/>
    <w:rsid w:val="009910E8"/>
    <w:rsid w:val="00991939"/>
    <w:rsid w:val="00992856"/>
    <w:rsid w:val="009928B4"/>
    <w:rsid w:val="00992A0B"/>
    <w:rsid w:val="00992AB5"/>
    <w:rsid w:val="0099598E"/>
    <w:rsid w:val="00995BFD"/>
    <w:rsid w:val="009A2B8C"/>
    <w:rsid w:val="009A2E2B"/>
    <w:rsid w:val="009A4C60"/>
    <w:rsid w:val="009A508F"/>
    <w:rsid w:val="009A5CC9"/>
    <w:rsid w:val="009A5EBD"/>
    <w:rsid w:val="009A6F96"/>
    <w:rsid w:val="009A7149"/>
    <w:rsid w:val="009A7843"/>
    <w:rsid w:val="009A7C57"/>
    <w:rsid w:val="009B11AB"/>
    <w:rsid w:val="009B196C"/>
    <w:rsid w:val="009B4282"/>
    <w:rsid w:val="009B445B"/>
    <w:rsid w:val="009B6031"/>
    <w:rsid w:val="009B6A7B"/>
    <w:rsid w:val="009B721C"/>
    <w:rsid w:val="009B7B01"/>
    <w:rsid w:val="009B7CD4"/>
    <w:rsid w:val="009B7D73"/>
    <w:rsid w:val="009C2B36"/>
    <w:rsid w:val="009C3AF4"/>
    <w:rsid w:val="009C5567"/>
    <w:rsid w:val="009C55B5"/>
    <w:rsid w:val="009C5ECF"/>
    <w:rsid w:val="009C6D9D"/>
    <w:rsid w:val="009C7343"/>
    <w:rsid w:val="009D12FE"/>
    <w:rsid w:val="009D21AF"/>
    <w:rsid w:val="009D29D0"/>
    <w:rsid w:val="009D3488"/>
    <w:rsid w:val="009D3EE5"/>
    <w:rsid w:val="009D4D43"/>
    <w:rsid w:val="009D5741"/>
    <w:rsid w:val="009D79EC"/>
    <w:rsid w:val="009E0608"/>
    <w:rsid w:val="009E2202"/>
    <w:rsid w:val="009E28D8"/>
    <w:rsid w:val="009E357C"/>
    <w:rsid w:val="009E38AD"/>
    <w:rsid w:val="009E3B26"/>
    <w:rsid w:val="009E4D39"/>
    <w:rsid w:val="009E5748"/>
    <w:rsid w:val="009E7E5C"/>
    <w:rsid w:val="009F0A4D"/>
    <w:rsid w:val="009F1872"/>
    <w:rsid w:val="009F34D8"/>
    <w:rsid w:val="009F48CF"/>
    <w:rsid w:val="009F5717"/>
    <w:rsid w:val="009F5E22"/>
    <w:rsid w:val="009F7C39"/>
    <w:rsid w:val="00A001B3"/>
    <w:rsid w:val="00A001F6"/>
    <w:rsid w:val="00A005B8"/>
    <w:rsid w:val="00A019F3"/>
    <w:rsid w:val="00A025C9"/>
    <w:rsid w:val="00A02738"/>
    <w:rsid w:val="00A03341"/>
    <w:rsid w:val="00A0425F"/>
    <w:rsid w:val="00A045C5"/>
    <w:rsid w:val="00A04F8E"/>
    <w:rsid w:val="00A05D6D"/>
    <w:rsid w:val="00A06E42"/>
    <w:rsid w:val="00A07398"/>
    <w:rsid w:val="00A07F28"/>
    <w:rsid w:val="00A07F94"/>
    <w:rsid w:val="00A1086F"/>
    <w:rsid w:val="00A110EA"/>
    <w:rsid w:val="00A11DC9"/>
    <w:rsid w:val="00A13949"/>
    <w:rsid w:val="00A13BE6"/>
    <w:rsid w:val="00A1528E"/>
    <w:rsid w:val="00A155A9"/>
    <w:rsid w:val="00A15D1F"/>
    <w:rsid w:val="00A17131"/>
    <w:rsid w:val="00A22BF5"/>
    <w:rsid w:val="00A24FEA"/>
    <w:rsid w:val="00A251B3"/>
    <w:rsid w:val="00A26376"/>
    <w:rsid w:val="00A26CC7"/>
    <w:rsid w:val="00A26E44"/>
    <w:rsid w:val="00A276F1"/>
    <w:rsid w:val="00A27D1A"/>
    <w:rsid w:val="00A302E8"/>
    <w:rsid w:val="00A304B5"/>
    <w:rsid w:val="00A3127D"/>
    <w:rsid w:val="00A31E3F"/>
    <w:rsid w:val="00A32247"/>
    <w:rsid w:val="00A32E61"/>
    <w:rsid w:val="00A33385"/>
    <w:rsid w:val="00A345F4"/>
    <w:rsid w:val="00A346A0"/>
    <w:rsid w:val="00A3546B"/>
    <w:rsid w:val="00A36F1D"/>
    <w:rsid w:val="00A37347"/>
    <w:rsid w:val="00A37ADF"/>
    <w:rsid w:val="00A40BF7"/>
    <w:rsid w:val="00A42B0C"/>
    <w:rsid w:val="00A434E8"/>
    <w:rsid w:val="00A437C8"/>
    <w:rsid w:val="00A44535"/>
    <w:rsid w:val="00A44682"/>
    <w:rsid w:val="00A46482"/>
    <w:rsid w:val="00A47170"/>
    <w:rsid w:val="00A47266"/>
    <w:rsid w:val="00A50105"/>
    <w:rsid w:val="00A50AE8"/>
    <w:rsid w:val="00A50C15"/>
    <w:rsid w:val="00A51015"/>
    <w:rsid w:val="00A5206F"/>
    <w:rsid w:val="00A543A6"/>
    <w:rsid w:val="00A5478D"/>
    <w:rsid w:val="00A54EF5"/>
    <w:rsid w:val="00A57BEB"/>
    <w:rsid w:val="00A57DAF"/>
    <w:rsid w:val="00A609F3"/>
    <w:rsid w:val="00A6128C"/>
    <w:rsid w:val="00A6272F"/>
    <w:rsid w:val="00A655E1"/>
    <w:rsid w:val="00A6698F"/>
    <w:rsid w:val="00A67D10"/>
    <w:rsid w:val="00A70544"/>
    <w:rsid w:val="00A70CB4"/>
    <w:rsid w:val="00A71A2F"/>
    <w:rsid w:val="00A71DC0"/>
    <w:rsid w:val="00A72017"/>
    <w:rsid w:val="00A72B18"/>
    <w:rsid w:val="00A766D2"/>
    <w:rsid w:val="00A767B6"/>
    <w:rsid w:val="00A7690D"/>
    <w:rsid w:val="00A7753A"/>
    <w:rsid w:val="00A777CD"/>
    <w:rsid w:val="00A777F3"/>
    <w:rsid w:val="00A77ABC"/>
    <w:rsid w:val="00A8003E"/>
    <w:rsid w:val="00A80218"/>
    <w:rsid w:val="00A80797"/>
    <w:rsid w:val="00A81090"/>
    <w:rsid w:val="00A81DB5"/>
    <w:rsid w:val="00A82D0E"/>
    <w:rsid w:val="00A8402D"/>
    <w:rsid w:val="00A85246"/>
    <w:rsid w:val="00A85275"/>
    <w:rsid w:val="00A86168"/>
    <w:rsid w:val="00A870F8"/>
    <w:rsid w:val="00A87D06"/>
    <w:rsid w:val="00A921F8"/>
    <w:rsid w:val="00A93804"/>
    <w:rsid w:val="00A941BF"/>
    <w:rsid w:val="00A950F0"/>
    <w:rsid w:val="00A95C0E"/>
    <w:rsid w:val="00A96628"/>
    <w:rsid w:val="00A96AF0"/>
    <w:rsid w:val="00A97352"/>
    <w:rsid w:val="00A97D70"/>
    <w:rsid w:val="00A97DB3"/>
    <w:rsid w:val="00AA05B3"/>
    <w:rsid w:val="00AA1312"/>
    <w:rsid w:val="00AA2988"/>
    <w:rsid w:val="00AA2DD1"/>
    <w:rsid w:val="00AA3598"/>
    <w:rsid w:val="00AA375F"/>
    <w:rsid w:val="00AA39B1"/>
    <w:rsid w:val="00AA4101"/>
    <w:rsid w:val="00AA638F"/>
    <w:rsid w:val="00AA65C6"/>
    <w:rsid w:val="00AA6EC5"/>
    <w:rsid w:val="00AA72C4"/>
    <w:rsid w:val="00AA7909"/>
    <w:rsid w:val="00AA793A"/>
    <w:rsid w:val="00AB29B0"/>
    <w:rsid w:val="00AB4879"/>
    <w:rsid w:val="00AB4D1D"/>
    <w:rsid w:val="00AB5715"/>
    <w:rsid w:val="00AB6093"/>
    <w:rsid w:val="00AB74A1"/>
    <w:rsid w:val="00AB7B17"/>
    <w:rsid w:val="00AC0616"/>
    <w:rsid w:val="00AC1C68"/>
    <w:rsid w:val="00AC3AFC"/>
    <w:rsid w:val="00AC4000"/>
    <w:rsid w:val="00AC45B7"/>
    <w:rsid w:val="00AC4C36"/>
    <w:rsid w:val="00AC5A9B"/>
    <w:rsid w:val="00AC76FE"/>
    <w:rsid w:val="00AC7774"/>
    <w:rsid w:val="00AD142A"/>
    <w:rsid w:val="00AD3067"/>
    <w:rsid w:val="00AD4054"/>
    <w:rsid w:val="00AD54CE"/>
    <w:rsid w:val="00AD5849"/>
    <w:rsid w:val="00AD5EDB"/>
    <w:rsid w:val="00AD7374"/>
    <w:rsid w:val="00AD77D4"/>
    <w:rsid w:val="00AD7A29"/>
    <w:rsid w:val="00AE01BC"/>
    <w:rsid w:val="00AE1CCC"/>
    <w:rsid w:val="00AE201E"/>
    <w:rsid w:val="00AE33AB"/>
    <w:rsid w:val="00AE474C"/>
    <w:rsid w:val="00AE4FC0"/>
    <w:rsid w:val="00AE608D"/>
    <w:rsid w:val="00AE6436"/>
    <w:rsid w:val="00AE66FC"/>
    <w:rsid w:val="00AE74B3"/>
    <w:rsid w:val="00AF0541"/>
    <w:rsid w:val="00AF0CFC"/>
    <w:rsid w:val="00AF1F26"/>
    <w:rsid w:val="00AF24A1"/>
    <w:rsid w:val="00AF2D45"/>
    <w:rsid w:val="00AF2DC1"/>
    <w:rsid w:val="00AF57F8"/>
    <w:rsid w:val="00AF67E4"/>
    <w:rsid w:val="00AF745C"/>
    <w:rsid w:val="00B0018B"/>
    <w:rsid w:val="00B007B6"/>
    <w:rsid w:val="00B013DF"/>
    <w:rsid w:val="00B016E9"/>
    <w:rsid w:val="00B02607"/>
    <w:rsid w:val="00B036CB"/>
    <w:rsid w:val="00B03C60"/>
    <w:rsid w:val="00B051ED"/>
    <w:rsid w:val="00B053A2"/>
    <w:rsid w:val="00B0607F"/>
    <w:rsid w:val="00B0636C"/>
    <w:rsid w:val="00B069AE"/>
    <w:rsid w:val="00B07F45"/>
    <w:rsid w:val="00B11035"/>
    <w:rsid w:val="00B11AC3"/>
    <w:rsid w:val="00B120A7"/>
    <w:rsid w:val="00B12A33"/>
    <w:rsid w:val="00B14556"/>
    <w:rsid w:val="00B1526B"/>
    <w:rsid w:val="00B1527D"/>
    <w:rsid w:val="00B16D44"/>
    <w:rsid w:val="00B16DBB"/>
    <w:rsid w:val="00B172B1"/>
    <w:rsid w:val="00B17380"/>
    <w:rsid w:val="00B1767A"/>
    <w:rsid w:val="00B17DC6"/>
    <w:rsid w:val="00B20224"/>
    <w:rsid w:val="00B20BE7"/>
    <w:rsid w:val="00B22A76"/>
    <w:rsid w:val="00B23F04"/>
    <w:rsid w:val="00B24816"/>
    <w:rsid w:val="00B273A8"/>
    <w:rsid w:val="00B27EA0"/>
    <w:rsid w:val="00B30227"/>
    <w:rsid w:val="00B3097E"/>
    <w:rsid w:val="00B30AF6"/>
    <w:rsid w:val="00B33C1C"/>
    <w:rsid w:val="00B36785"/>
    <w:rsid w:val="00B408AA"/>
    <w:rsid w:val="00B4161A"/>
    <w:rsid w:val="00B41A91"/>
    <w:rsid w:val="00B4213A"/>
    <w:rsid w:val="00B42B1E"/>
    <w:rsid w:val="00B430CC"/>
    <w:rsid w:val="00B43172"/>
    <w:rsid w:val="00B4491A"/>
    <w:rsid w:val="00B45362"/>
    <w:rsid w:val="00B474E4"/>
    <w:rsid w:val="00B478FC"/>
    <w:rsid w:val="00B509C5"/>
    <w:rsid w:val="00B50A21"/>
    <w:rsid w:val="00B518C1"/>
    <w:rsid w:val="00B53858"/>
    <w:rsid w:val="00B53C83"/>
    <w:rsid w:val="00B53E6A"/>
    <w:rsid w:val="00B559FD"/>
    <w:rsid w:val="00B602AF"/>
    <w:rsid w:val="00B60C20"/>
    <w:rsid w:val="00B617DB"/>
    <w:rsid w:val="00B617E0"/>
    <w:rsid w:val="00B6266C"/>
    <w:rsid w:val="00B63813"/>
    <w:rsid w:val="00B650AC"/>
    <w:rsid w:val="00B65150"/>
    <w:rsid w:val="00B65F11"/>
    <w:rsid w:val="00B66850"/>
    <w:rsid w:val="00B668B0"/>
    <w:rsid w:val="00B715FC"/>
    <w:rsid w:val="00B72883"/>
    <w:rsid w:val="00B72C25"/>
    <w:rsid w:val="00B72CF5"/>
    <w:rsid w:val="00B7338F"/>
    <w:rsid w:val="00B73453"/>
    <w:rsid w:val="00B73938"/>
    <w:rsid w:val="00B73A82"/>
    <w:rsid w:val="00B7450A"/>
    <w:rsid w:val="00B7642C"/>
    <w:rsid w:val="00B764D4"/>
    <w:rsid w:val="00B76E99"/>
    <w:rsid w:val="00B770B6"/>
    <w:rsid w:val="00B803E9"/>
    <w:rsid w:val="00B80ECC"/>
    <w:rsid w:val="00B81C65"/>
    <w:rsid w:val="00B82BBC"/>
    <w:rsid w:val="00B837E7"/>
    <w:rsid w:val="00B83BCF"/>
    <w:rsid w:val="00B83C09"/>
    <w:rsid w:val="00B850C3"/>
    <w:rsid w:val="00B85C34"/>
    <w:rsid w:val="00B864F5"/>
    <w:rsid w:val="00B90C35"/>
    <w:rsid w:val="00B9147B"/>
    <w:rsid w:val="00B915B1"/>
    <w:rsid w:val="00B91711"/>
    <w:rsid w:val="00B92A90"/>
    <w:rsid w:val="00B92CA4"/>
    <w:rsid w:val="00B930DD"/>
    <w:rsid w:val="00B9478C"/>
    <w:rsid w:val="00B950AE"/>
    <w:rsid w:val="00B955D7"/>
    <w:rsid w:val="00B956EA"/>
    <w:rsid w:val="00B9620E"/>
    <w:rsid w:val="00B96A94"/>
    <w:rsid w:val="00B97311"/>
    <w:rsid w:val="00BA040A"/>
    <w:rsid w:val="00BA0C71"/>
    <w:rsid w:val="00BA1EBF"/>
    <w:rsid w:val="00BA26EA"/>
    <w:rsid w:val="00BA2C4C"/>
    <w:rsid w:val="00BA2CB4"/>
    <w:rsid w:val="00BA38EF"/>
    <w:rsid w:val="00BA3AFE"/>
    <w:rsid w:val="00BA5FAE"/>
    <w:rsid w:val="00BA78D5"/>
    <w:rsid w:val="00BA7BD5"/>
    <w:rsid w:val="00BB0769"/>
    <w:rsid w:val="00BB0D8B"/>
    <w:rsid w:val="00BB1145"/>
    <w:rsid w:val="00BB1CE3"/>
    <w:rsid w:val="00BB2031"/>
    <w:rsid w:val="00BB2508"/>
    <w:rsid w:val="00BB29E4"/>
    <w:rsid w:val="00BB3143"/>
    <w:rsid w:val="00BB3AC3"/>
    <w:rsid w:val="00BB4C84"/>
    <w:rsid w:val="00BB5503"/>
    <w:rsid w:val="00BB5622"/>
    <w:rsid w:val="00BB60D1"/>
    <w:rsid w:val="00BB7F68"/>
    <w:rsid w:val="00BC0E43"/>
    <w:rsid w:val="00BC121B"/>
    <w:rsid w:val="00BC1EBB"/>
    <w:rsid w:val="00BC2B7C"/>
    <w:rsid w:val="00BC2E39"/>
    <w:rsid w:val="00BC38B7"/>
    <w:rsid w:val="00BC4125"/>
    <w:rsid w:val="00BC4E54"/>
    <w:rsid w:val="00BC4EDD"/>
    <w:rsid w:val="00BC4FE7"/>
    <w:rsid w:val="00BC513E"/>
    <w:rsid w:val="00BC52F1"/>
    <w:rsid w:val="00BC63E0"/>
    <w:rsid w:val="00BC75E4"/>
    <w:rsid w:val="00BC7B97"/>
    <w:rsid w:val="00BD01A2"/>
    <w:rsid w:val="00BD025F"/>
    <w:rsid w:val="00BD09A6"/>
    <w:rsid w:val="00BD1573"/>
    <w:rsid w:val="00BD18BB"/>
    <w:rsid w:val="00BD1DA5"/>
    <w:rsid w:val="00BD1F48"/>
    <w:rsid w:val="00BD2EFD"/>
    <w:rsid w:val="00BD5FF7"/>
    <w:rsid w:val="00BD6A85"/>
    <w:rsid w:val="00BD79EC"/>
    <w:rsid w:val="00BD7EF0"/>
    <w:rsid w:val="00BE10FC"/>
    <w:rsid w:val="00BE1716"/>
    <w:rsid w:val="00BE1A15"/>
    <w:rsid w:val="00BE21BA"/>
    <w:rsid w:val="00BE2BAC"/>
    <w:rsid w:val="00BE3F16"/>
    <w:rsid w:val="00BE41E3"/>
    <w:rsid w:val="00BE45B0"/>
    <w:rsid w:val="00BE4919"/>
    <w:rsid w:val="00BE4971"/>
    <w:rsid w:val="00BE4EEA"/>
    <w:rsid w:val="00BE5872"/>
    <w:rsid w:val="00BE5B32"/>
    <w:rsid w:val="00BE60BF"/>
    <w:rsid w:val="00BE631E"/>
    <w:rsid w:val="00BE78B1"/>
    <w:rsid w:val="00BE7B77"/>
    <w:rsid w:val="00BF1E3E"/>
    <w:rsid w:val="00BF245B"/>
    <w:rsid w:val="00BF25B3"/>
    <w:rsid w:val="00BF2DEF"/>
    <w:rsid w:val="00BF3A2C"/>
    <w:rsid w:val="00BF3B69"/>
    <w:rsid w:val="00BF4CF8"/>
    <w:rsid w:val="00BF5959"/>
    <w:rsid w:val="00BF6184"/>
    <w:rsid w:val="00BF6A46"/>
    <w:rsid w:val="00BF6DF3"/>
    <w:rsid w:val="00BF6F74"/>
    <w:rsid w:val="00BF7453"/>
    <w:rsid w:val="00C002BC"/>
    <w:rsid w:val="00C014B2"/>
    <w:rsid w:val="00C02076"/>
    <w:rsid w:val="00C03368"/>
    <w:rsid w:val="00C047BB"/>
    <w:rsid w:val="00C06250"/>
    <w:rsid w:val="00C0704F"/>
    <w:rsid w:val="00C07858"/>
    <w:rsid w:val="00C10BF2"/>
    <w:rsid w:val="00C10C29"/>
    <w:rsid w:val="00C13018"/>
    <w:rsid w:val="00C13AC2"/>
    <w:rsid w:val="00C1448D"/>
    <w:rsid w:val="00C154EA"/>
    <w:rsid w:val="00C162C9"/>
    <w:rsid w:val="00C1662E"/>
    <w:rsid w:val="00C204CB"/>
    <w:rsid w:val="00C2087C"/>
    <w:rsid w:val="00C20DB7"/>
    <w:rsid w:val="00C24310"/>
    <w:rsid w:val="00C25669"/>
    <w:rsid w:val="00C262B2"/>
    <w:rsid w:val="00C26D92"/>
    <w:rsid w:val="00C278C0"/>
    <w:rsid w:val="00C3079E"/>
    <w:rsid w:val="00C30A57"/>
    <w:rsid w:val="00C318F1"/>
    <w:rsid w:val="00C3292C"/>
    <w:rsid w:val="00C3311B"/>
    <w:rsid w:val="00C333FB"/>
    <w:rsid w:val="00C33E06"/>
    <w:rsid w:val="00C3425E"/>
    <w:rsid w:val="00C35176"/>
    <w:rsid w:val="00C35188"/>
    <w:rsid w:val="00C35621"/>
    <w:rsid w:val="00C35B8C"/>
    <w:rsid w:val="00C37034"/>
    <w:rsid w:val="00C372D5"/>
    <w:rsid w:val="00C379EA"/>
    <w:rsid w:val="00C37EC7"/>
    <w:rsid w:val="00C4084F"/>
    <w:rsid w:val="00C40989"/>
    <w:rsid w:val="00C4214A"/>
    <w:rsid w:val="00C428E4"/>
    <w:rsid w:val="00C432EC"/>
    <w:rsid w:val="00C437B0"/>
    <w:rsid w:val="00C43C3F"/>
    <w:rsid w:val="00C43D00"/>
    <w:rsid w:val="00C44A49"/>
    <w:rsid w:val="00C46D0D"/>
    <w:rsid w:val="00C515F1"/>
    <w:rsid w:val="00C51C66"/>
    <w:rsid w:val="00C53098"/>
    <w:rsid w:val="00C53681"/>
    <w:rsid w:val="00C5405C"/>
    <w:rsid w:val="00C55364"/>
    <w:rsid w:val="00C55FB1"/>
    <w:rsid w:val="00C56442"/>
    <w:rsid w:val="00C5772C"/>
    <w:rsid w:val="00C61FE5"/>
    <w:rsid w:val="00C62825"/>
    <w:rsid w:val="00C636D0"/>
    <w:rsid w:val="00C64996"/>
    <w:rsid w:val="00C64D3D"/>
    <w:rsid w:val="00C6512A"/>
    <w:rsid w:val="00C65C98"/>
    <w:rsid w:val="00C65E38"/>
    <w:rsid w:val="00C672B0"/>
    <w:rsid w:val="00C673A8"/>
    <w:rsid w:val="00C6740A"/>
    <w:rsid w:val="00C704B2"/>
    <w:rsid w:val="00C70530"/>
    <w:rsid w:val="00C71180"/>
    <w:rsid w:val="00C71DB5"/>
    <w:rsid w:val="00C7222E"/>
    <w:rsid w:val="00C7261A"/>
    <w:rsid w:val="00C72BF7"/>
    <w:rsid w:val="00C73629"/>
    <w:rsid w:val="00C75084"/>
    <w:rsid w:val="00C7587C"/>
    <w:rsid w:val="00C77053"/>
    <w:rsid w:val="00C777EE"/>
    <w:rsid w:val="00C77BF0"/>
    <w:rsid w:val="00C80200"/>
    <w:rsid w:val="00C81381"/>
    <w:rsid w:val="00C816B3"/>
    <w:rsid w:val="00C81EC7"/>
    <w:rsid w:val="00C820BC"/>
    <w:rsid w:val="00C82F63"/>
    <w:rsid w:val="00C84518"/>
    <w:rsid w:val="00C846E6"/>
    <w:rsid w:val="00C85F1D"/>
    <w:rsid w:val="00C8611D"/>
    <w:rsid w:val="00C8622E"/>
    <w:rsid w:val="00C8662A"/>
    <w:rsid w:val="00C87D8F"/>
    <w:rsid w:val="00C91F0B"/>
    <w:rsid w:val="00C92D6A"/>
    <w:rsid w:val="00C92F3A"/>
    <w:rsid w:val="00C947B7"/>
    <w:rsid w:val="00C9495F"/>
    <w:rsid w:val="00C96B6F"/>
    <w:rsid w:val="00C97BE7"/>
    <w:rsid w:val="00CA0080"/>
    <w:rsid w:val="00CA2FF0"/>
    <w:rsid w:val="00CA3E14"/>
    <w:rsid w:val="00CA47EC"/>
    <w:rsid w:val="00CA4D98"/>
    <w:rsid w:val="00CA67D4"/>
    <w:rsid w:val="00CA695B"/>
    <w:rsid w:val="00CA69E3"/>
    <w:rsid w:val="00CB0A8A"/>
    <w:rsid w:val="00CB11E3"/>
    <w:rsid w:val="00CB16B6"/>
    <w:rsid w:val="00CB1B3C"/>
    <w:rsid w:val="00CB2543"/>
    <w:rsid w:val="00CB25A0"/>
    <w:rsid w:val="00CB2BFC"/>
    <w:rsid w:val="00CB352D"/>
    <w:rsid w:val="00CB377D"/>
    <w:rsid w:val="00CB3CDA"/>
    <w:rsid w:val="00CB3FD2"/>
    <w:rsid w:val="00CB5B55"/>
    <w:rsid w:val="00CB643E"/>
    <w:rsid w:val="00CB75B0"/>
    <w:rsid w:val="00CB7CD7"/>
    <w:rsid w:val="00CC0A38"/>
    <w:rsid w:val="00CC2DCF"/>
    <w:rsid w:val="00CC37A7"/>
    <w:rsid w:val="00CC58EE"/>
    <w:rsid w:val="00CC64AA"/>
    <w:rsid w:val="00CC668A"/>
    <w:rsid w:val="00CC7A21"/>
    <w:rsid w:val="00CD06F2"/>
    <w:rsid w:val="00CD1297"/>
    <w:rsid w:val="00CD21AB"/>
    <w:rsid w:val="00CD306B"/>
    <w:rsid w:val="00CD46CE"/>
    <w:rsid w:val="00CD52E6"/>
    <w:rsid w:val="00CD5554"/>
    <w:rsid w:val="00CD7AC9"/>
    <w:rsid w:val="00CD7C55"/>
    <w:rsid w:val="00CD7FA5"/>
    <w:rsid w:val="00CE06DB"/>
    <w:rsid w:val="00CE103C"/>
    <w:rsid w:val="00CE284A"/>
    <w:rsid w:val="00CE40D7"/>
    <w:rsid w:val="00CE5D28"/>
    <w:rsid w:val="00CE6627"/>
    <w:rsid w:val="00CE716C"/>
    <w:rsid w:val="00CE799F"/>
    <w:rsid w:val="00CF110A"/>
    <w:rsid w:val="00CF1245"/>
    <w:rsid w:val="00CF2651"/>
    <w:rsid w:val="00CF2B75"/>
    <w:rsid w:val="00CF2C1F"/>
    <w:rsid w:val="00CF2FEA"/>
    <w:rsid w:val="00CF3200"/>
    <w:rsid w:val="00CF3841"/>
    <w:rsid w:val="00CF44C4"/>
    <w:rsid w:val="00CF4C3A"/>
    <w:rsid w:val="00CF5E9D"/>
    <w:rsid w:val="00CF793A"/>
    <w:rsid w:val="00CF7A8F"/>
    <w:rsid w:val="00D00EA9"/>
    <w:rsid w:val="00D01882"/>
    <w:rsid w:val="00D01E23"/>
    <w:rsid w:val="00D02E4A"/>
    <w:rsid w:val="00D03BFE"/>
    <w:rsid w:val="00D0563D"/>
    <w:rsid w:val="00D05E68"/>
    <w:rsid w:val="00D07399"/>
    <w:rsid w:val="00D1027A"/>
    <w:rsid w:val="00D10337"/>
    <w:rsid w:val="00D10A78"/>
    <w:rsid w:val="00D11473"/>
    <w:rsid w:val="00D1158F"/>
    <w:rsid w:val="00D11E4E"/>
    <w:rsid w:val="00D12417"/>
    <w:rsid w:val="00D12BFE"/>
    <w:rsid w:val="00D13DF9"/>
    <w:rsid w:val="00D15369"/>
    <w:rsid w:val="00D169ED"/>
    <w:rsid w:val="00D175D1"/>
    <w:rsid w:val="00D211C1"/>
    <w:rsid w:val="00D21D4E"/>
    <w:rsid w:val="00D21DB2"/>
    <w:rsid w:val="00D220DA"/>
    <w:rsid w:val="00D23D91"/>
    <w:rsid w:val="00D2430F"/>
    <w:rsid w:val="00D25CB6"/>
    <w:rsid w:val="00D26568"/>
    <w:rsid w:val="00D271DD"/>
    <w:rsid w:val="00D303B2"/>
    <w:rsid w:val="00D316E3"/>
    <w:rsid w:val="00D31BA9"/>
    <w:rsid w:val="00D31C47"/>
    <w:rsid w:val="00D34B7B"/>
    <w:rsid w:val="00D35647"/>
    <w:rsid w:val="00D35665"/>
    <w:rsid w:val="00D370DD"/>
    <w:rsid w:val="00D37C26"/>
    <w:rsid w:val="00D40E95"/>
    <w:rsid w:val="00D420B8"/>
    <w:rsid w:val="00D42AA1"/>
    <w:rsid w:val="00D42D53"/>
    <w:rsid w:val="00D43FA7"/>
    <w:rsid w:val="00D4447E"/>
    <w:rsid w:val="00D451AB"/>
    <w:rsid w:val="00D45635"/>
    <w:rsid w:val="00D47EBA"/>
    <w:rsid w:val="00D51E3B"/>
    <w:rsid w:val="00D5340F"/>
    <w:rsid w:val="00D54D6C"/>
    <w:rsid w:val="00D56D18"/>
    <w:rsid w:val="00D57C9B"/>
    <w:rsid w:val="00D60F02"/>
    <w:rsid w:val="00D62760"/>
    <w:rsid w:val="00D64855"/>
    <w:rsid w:val="00D651F4"/>
    <w:rsid w:val="00D66903"/>
    <w:rsid w:val="00D6691A"/>
    <w:rsid w:val="00D66BE4"/>
    <w:rsid w:val="00D672FD"/>
    <w:rsid w:val="00D67E83"/>
    <w:rsid w:val="00D702E8"/>
    <w:rsid w:val="00D713E3"/>
    <w:rsid w:val="00D7229D"/>
    <w:rsid w:val="00D73777"/>
    <w:rsid w:val="00D73CA7"/>
    <w:rsid w:val="00D74D76"/>
    <w:rsid w:val="00D751FA"/>
    <w:rsid w:val="00D7646B"/>
    <w:rsid w:val="00D764C2"/>
    <w:rsid w:val="00D770C3"/>
    <w:rsid w:val="00D7730F"/>
    <w:rsid w:val="00D77C33"/>
    <w:rsid w:val="00D8123C"/>
    <w:rsid w:val="00D81950"/>
    <w:rsid w:val="00D81A1E"/>
    <w:rsid w:val="00D81FF1"/>
    <w:rsid w:val="00D8208B"/>
    <w:rsid w:val="00D82DC9"/>
    <w:rsid w:val="00D83EFC"/>
    <w:rsid w:val="00D848FA"/>
    <w:rsid w:val="00D860F8"/>
    <w:rsid w:val="00D861CE"/>
    <w:rsid w:val="00D864AD"/>
    <w:rsid w:val="00D87AF4"/>
    <w:rsid w:val="00D901D6"/>
    <w:rsid w:val="00D910A0"/>
    <w:rsid w:val="00D92331"/>
    <w:rsid w:val="00D92D36"/>
    <w:rsid w:val="00D934CF"/>
    <w:rsid w:val="00D9382C"/>
    <w:rsid w:val="00D93D53"/>
    <w:rsid w:val="00D93EF9"/>
    <w:rsid w:val="00D9632A"/>
    <w:rsid w:val="00D97099"/>
    <w:rsid w:val="00D976C3"/>
    <w:rsid w:val="00DA17FF"/>
    <w:rsid w:val="00DA26C9"/>
    <w:rsid w:val="00DA4D8B"/>
    <w:rsid w:val="00DA57EF"/>
    <w:rsid w:val="00DA5BCF"/>
    <w:rsid w:val="00DA68F4"/>
    <w:rsid w:val="00DB04A1"/>
    <w:rsid w:val="00DB1738"/>
    <w:rsid w:val="00DB1ABC"/>
    <w:rsid w:val="00DB2ABE"/>
    <w:rsid w:val="00DB4200"/>
    <w:rsid w:val="00DB5418"/>
    <w:rsid w:val="00DB6024"/>
    <w:rsid w:val="00DB7B69"/>
    <w:rsid w:val="00DC01B3"/>
    <w:rsid w:val="00DC0A9B"/>
    <w:rsid w:val="00DC1F6C"/>
    <w:rsid w:val="00DC2659"/>
    <w:rsid w:val="00DC2D7F"/>
    <w:rsid w:val="00DC2DCE"/>
    <w:rsid w:val="00DC3892"/>
    <w:rsid w:val="00DC3D2B"/>
    <w:rsid w:val="00DC4E45"/>
    <w:rsid w:val="00DC534F"/>
    <w:rsid w:val="00DC5E2E"/>
    <w:rsid w:val="00DC61C1"/>
    <w:rsid w:val="00DC65DB"/>
    <w:rsid w:val="00DC6959"/>
    <w:rsid w:val="00DC711A"/>
    <w:rsid w:val="00DC773E"/>
    <w:rsid w:val="00DC795A"/>
    <w:rsid w:val="00DC7B72"/>
    <w:rsid w:val="00DD1CC0"/>
    <w:rsid w:val="00DD2056"/>
    <w:rsid w:val="00DD3A7A"/>
    <w:rsid w:val="00DD4DEB"/>
    <w:rsid w:val="00DD6A65"/>
    <w:rsid w:val="00DD6B68"/>
    <w:rsid w:val="00DD6D22"/>
    <w:rsid w:val="00DD700E"/>
    <w:rsid w:val="00DD701C"/>
    <w:rsid w:val="00DD74CD"/>
    <w:rsid w:val="00DE0DD9"/>
    <w:rsid w:val="00DE3380"/>
    <w:rsid w:val="00DE43EE"/>
    <w:rsid w:val="00DE4809"/>
    <w:rsid w:val="00DE5C18"/>
    <w:rsid w:val="00DE7C16"/>
    <w:rsid w:val="00DF0017"/>
    <w:rsid w:val="00DF286B"/>
    <w:rsid w:val="00DF567D"/>
    <w:rsid w:val="00DF59A2"/>
    <w:rsid w:val="00DF6A66"/>
    <w:rsid w:val="00DF6B33"/>
    <w:rsid w:val="00DF6E5C"/>
    <w:rsid w:val="00DF71FB"/>
    <w:rsid w:val="00DF77FF"/>
    <w:rsid w:val="00DF7841"/>
    <w:rsid w:val="00DF7C3E"/>
    <w:rsid w:val="00E00039"/>
    <w:rsid w:val="00E01865"/>
    <w:rsid w:val="00E01A3D"/>
    <w:rsid w:val="00E01B6B"/>
    <w:rsid w:val="00E03209"/>
    <w:rsid w:val="00E03583"/>
    <w:rsid w:val="00E036C1"/>
    <w:rsid w:val="00E0539F"/>
    <w:rsid w:val="00E05B0A"/>
    <w:rsid w:val="00E05C43"/>
    <w:rsid w:val="00E07062"/>
    <w:rsid w:val="00E07CB9"/>
    <w:rsid w:val="00E07E90"/>
    <w:rsid w:val="00E10C80"/>
    <w:rsid w:val="00E10E96"/>
    <w:rsid w:val="00E10EF6"/>
    <w:rsid w:val="00E1138F"/>
    <w:rsid w:val="00E11529"/>
    <w:rsid w:val="00E12E5B"/>
    <w:rsid w:val="00E1314F"/>
    <w:rsid w:val="00E131E0"/>
    <w:rsid w:val="00E13220"/>
    <w:rsid w:val="00E132C7"/>
    <w:rsid w:val="00E1344E"/>
    <w:rsid w:val="00E138BC"/>
    <w:rsid w:val="00E13B73"/>
    <w:rsid w:val="00E155D1"/>
    <w:rsid w:val="00E1686B"/>
    <w:rsid w:val="00E17689"/>
    <w:rsid w:val="00E176BC"/>
    <w:rsid w:val="00E22A70"/>
    <w:rsid w:val="00E2305B"/>
    <w:rsid w:val="00E231F0"/>
    <w:rsid w:val="00E2360D"/>
    <w:rsid w:val="00E23EF9"/>
    <w:rsid w:val="00E24E96"/>
    <w:rsid w:val="00E255AD"/>
    <w:rsid w:val="00E25DB1"/>
    <w:rsid w:val="00E26036"/>
    <w:rsid w:val="00E26352"/>
    <w:rsid w:val="00E26EDA"/>
    <w:rsid w:val="00E27534"/>
    <w:rsid w:val="00E2787E"/>
    <w:rsid w:val="00E300EB"/>
    <w:rsid w:val="00E30522"/>
    <w:rsid w:val="00E30565"/>
    <w:rsid w:val="00E3121A"/>
    <w:rsid w:val="00E32159"/>
    <w:rsid w:val="00E3376F"/>
    <w:rsid w:val="00E338C6"/>
    <w:rsid w:val="00E3414C"/>
    <w:rsid w:val="00E35279"/>
    <w:rsid w:val="00E36B91"/>
    <w:rsid w:val="00E36FD8"/>
    <w:rsid w:val="00E37FFB"/>
    <w:rsid w:val="00E40399"/>
    <w:rsid w:val="00E409D0"/>
    <w:rsid w:val="00E41428"/>
    <w:rsid w:val="00E424D3"/>
    <w:rsid w:val="00E427AF"/>
    <w:rsid w:val="00E43C50"/>
    <w:rsid w:val="00E43EA9"/>
    <w:rsid w:val="00E44183"/>
    <w:rsid w:val="00E442CC"/>
    <w:rsid w:val="00E453D1"/>
    <w:rsid w:val="00E45F57"/>
    <w:rsid w:val="00E46220"/>
    <w:rsid w:val="00E476F7"/>
    <w:rsid w:val="00E505EE"/>
    <w:rsid w:val="00E51A4F"/>
    <w:rsid w:val="00E527A9"/>
    <w:rsid w:val="00E52E74"/>
    <w:rsid w:val="00E53419"/>
    <w:rsid w:val="00E554FE"/>
    <w:rsid w:val="00E56D6A"/>
    <w:rsid w:val="00E5709B"/>
    <w:rsid w:val="00E579B3"/>
    <w:rsid w:val="00E61209"/>
    <w:rsid w:val="00E6179A"/>
    <w:rsid w:val="00E63E38"/>
    <w:rsid w:val="00E64570"/>
    <w:rsid w:val="00E66C20"/>
    <w:rsid w:val="00E66CB2"/>
    <w:rsid w:val="00E70474"/>
    <w:rsid w:val="00E705EF"/>
    <w:rsid w:val="00E7080B"/>
    <w:rsid w:val="00E70FC7"/>
    <w:rsid w:val="00E724DE"/>
    <w:rsid w:val="00E72E92"/>
    <w:rsid w:val="00E73D3C"/>
    <w:rsid w:val="00E73DEF"/>
    <w:rsid w:val="00E74EEC"/>
    <w:rsid w:val="00E75F9B"/>
    <w:rsid w:val="00E80C76"/>
    <w:rsid w:val="00E810A1"/>
    <w:rsid w:val="00E8262A"/>
    <w:rsid w:val="00E82E78"/>
    <w:rsid w:val="00E82F89"/>
    <w:rsid w:val="00E83863"/>
    <w:rsid w:val="00E83BB1"/>
    <w:rsid w:val="00E84FC7"/>
    <w:rsid w:val="00E87FBA"/>
    <w:rsid w:val="00E93859"/>
    <w:rsid w:val="00E94DF2"/>
    <w:rsid w:val="00E94F14"/>
    <w:rsid w:val="00E95969"/>
    <w:rsid w:val="00E95CE0"/>
    <w:rsid w:val="00E96447"/>
    <w:rsid w:val="00EA056C"/>
    <w:rsid w:val="00EA07BB"/>
    <w:rsid w:val="00EA07F9"/>
    <w:rsid w:val="00EA1492"/>
    <w:rsid w:val="00EA322B"/>
    <w:rsid w:val="00EA3880"/>
    <w:rsid w:val="00EA3F3C"/>
    <w:rsid w:val="00EA562C"/>
    <w:rsid w:val="00EA56DD"/>
    <w:rsid w:val="00EB1AB4"/>
    <w:rsid w:val="00EB231E"/>
    <w:rsid w:val="00EB2570"/>
    <w:rsid w:val="00EB292D"/>
    <w:rsid w:val="00EB366B"/>
    <w:rsid w:val="00EB3F38"/>
    <w:rsid w:val="00EB534D"/>
    <w:rsid w:val="00EB538A"/>
    <w:rsid w:val="00EB56AE"/>
    <w:rsid w:val="00EB5BCD"/>
    <w:rsid w:val="00EB7C82"/>
    <w:rsid w:val="00EC0AAF"/>
    <w:rsid w:val="00EC0C7C"/>
    <w:rsid w:val="00EC147C"/>
    <w:rsid w:val="00EC1585"/>
    <w:rsid w:val="00EC16E6"/>
    <w:rsid w:val="00EC2589"/>
    <w:rsid w:val="00EC3C0C"/>
    <w:rsid w:val="00EC5B95"/>
    <w:rsid w:val="00EC7081"/>
    <w:rsid w:val="00EC78CB"/>
    <w:rsid w:val="00EC7DC3"/>
    <w:rsid w:val="00ED0A44"/>
    <w:rsid w:val="00ED14BE"/>
    <w:rsid w:val="00ED21ED"/>
    <w:rsid w:val="00ED2452"/>
    <w:rsid w:val="00ED4AAA"/>
    <w:rsid w:val="00ED5A2F"/>
    <w:rsid w:val="00ED6140"/>
    <w:rsid w:val="00ED6D02"/>
    <w:rsid w:val="00ED70F0"/>
    <w:rsid w:val="00EE0476"/>
    <w:rsid w:val="00EE16F3"/>
    <w:rsid w:val="00EE175A"/>
    <w:rsid w:val="00EE24F4"/>
    <w:rsid w:val="00EE2891"/>
    <w:rsid w:val="00EE301E"/>
    <w:rsid w:val="00EE378F"/>
    <w:rsid w:val="00EE3A08"/>
    <w:rsid w:val="00EE4C12"/>
    <w:rsid w:val="00EE5871"/>
    <w:rsid w:val="00EE7E10"/>
    <w:rsid w:val="00EF0335"/>
    <w:rsid w:val="00EF0A7D"/>
    <w:rsid w:val="00EF0D6F"/>
    <w:rsid w:val="00EF1D0F"/>
    <w:rsid w:val="00EF1F6A"/>
    <w:rsid w:val="00EF21F7"/>
    <w:rsid w:val="00EF3AA4"/>
    <w:rsid w:val="00EF4369"/>
    <w:rsid w:val="00EF4AC2"/>
    <w:rsid w:val="00EF56BA"/>
    <w:rsid w:val="00F0192B"/>
    <w:rsid w:val="00F01EB5"/>
    <w:rsid w:val="00F0233F"/>
    <w:rsid w:val="00F02941"/>
    <w:rsid w:val="00F0380B"/>
    <w:rsid w:val="00F0412F"/>
    <w:rsid w:val="00F055C3"/>
    <w:rsid w:val="00F06B5A"/>
    <w:rsid w:val="00F06BBE"/>
    <w:rsid w:val="00F0759C"/>
    <w:rsid w:val="00F07B9A"/>
    <w:rsid w:val="00F101AD"/>
    <w:rsid w:val="00F11B71"/>
    <w:rsid w:val="00F11C7E"/>
    <w:rsid w:val="00F127B1"/>
    <w:rsid w:val="00F136DB"/>
    <w:rsid w:val="00F1460B"/>
    <w:rsid w:val="00F14748"/>
    <w:rsid w:val="00F159D9"/>
    <w:rsid w:val="00F17DF5"/>
    <w:rsid w:val="00F205FA"/>
    <w:rsid w:val="00F21273"/>
    <w:rsid w:val="00F21442"/>
    <w:rsid w:val="00F228C2"/>
    <w:rsid w:val="00F22A23"/>
    <w:rsid w:val="00F24C8E"/>
    <w:rsid w:val="00F24FBA"/>
    <w:rsid w:val="00F2781A"/>
    <w:rsid w:val="00F279B5"/>
    <w:rsid w:val="00F30B86"/>
    <w:rsid w:val="00F32AEF"/>
    <w:rsid w:val="00F3434A"/>
    <w:rsid w:val="00F343D3"/>
    <w:rsid w:val="00F37034"/>
    <w:rsid w:val="00F3724C"/>
    <w:rsid w:val="00F37339"/>
    <w:rsid w:val="00F379D4"/>
    <w:rsid w:val="00F37CA8"/>
    <w:rsid w:val="00F40753"/>
    <w:rsid w:val="00F417CF"/>
    <w:rsid w:val="00F41CD3"/>
    <w:rsid w:val="00F41DC2"/>
    <w:rsid w:val="00F41E65"/>
    <w:rsid w:val="00F4235E"/>
    <w:rsid w:val="00F423E1"/>
    <w:rsid w:val="00F4315F"/>
    <w:rsid w:val="00F44310"/>
    <w:rsid w:val="00F44FAE"/>
    <w:rsid w:val="00F45488"/>
    <w:rsid w:val="00F45F16"/>
    <w:rsid w:val="00F46337"/>
    <w:rsid w:val="00F464AF"/>
    <w:rsid w:val="00F501D2"/>
    <w:rsid w:val="00F51995"/>
    <w:rsid w:val="00F52CE8"/>
    <w:rsid w:val="00F53BB4"/>
    <w:rsid w:val="00F548C2"/>
    <w:rsid w:val="00F54DA9"/>
    <w:rsid w:val="00F54E9F"/>
    <w:rsid w:val="00F556B2"/>
    <w:rsid w:val="00F56D02"/>
    <w:rsid w:val="00F57760"/>
    <w:rsid w:val="00F57E3B"/>
    <w:rsid w:val="00F60BF8"/>
    <w:rsid w:val="00F61061"/>
    <w:rsid w:val="00F614F9"/>
    <w:rsid w:val="00F621D9"/>
    <w:rsid w:val="00F63B53"/>
    <w:rsid w:val="00F64C50"/>
    <w:rsid w:val="00F651A8"/>
    <w:rsid w:val="00F65D7D"/>
    <w:rsid w:val="00F66554"/>
    <w:rsid w:val="00F677E8"/>
    <w:rsid w:val="00F67E1E"/>
    <w:rsid w:val="00F70443"/>
    <w:rsid w:val="00F70780"/>
    <w:rsid w:val="00F70851"/>
    <w:rsid w:val="00F70EC0"/>
    <w:rsid w:val="00F71D06"/>
    <w:rsid w:val="00F71D59"/>
    <w:rsid w:val="00F72551"/>
    <w:rsid w:val="00F72FB2"/>
    <w:rsid w:val="00F739D6"/>
    <w:rsid w:val="00F745E6"/>
    <w:rsid w:val="00F746BA"/>
    <w:rsid w:val="00F76388"/>
    <w:rsid w:val="00F76FDF"/>
    <w:rsid w:val="00F777B7"/>
    <w:rsid w:val="00F7793F"/>
    <w:rsid w:val="00F77AA6"/>
    <w:rsid w:val="00F77CBB"/>
    <w:rsid w:val="00F80333"/>
    <w:rsid w:val="00F80A29"/>
    <w:rsid w:val="00F80C41"/>
    <w:rsid w:val="00F81409"/>
    <w:rsid w:val="00F81CE6"/>
    <w:rsid w:val="00F82034"/>
    <w:rsid w:val="00F822FC"/>
    <w:rsid w:val="00F82FCA"/>
    <w:rsid w:val="00F85000"/>
    <w:rsid w:val="00F85A08"/>
    <w:rsid w:val="00F85C65"/>
    <w:rsid w:val="00F85CD9"/>
    <w:rsid w:val="00F860F7"/>
    <w:rsid w:val="00F86A7F"/>
    <w:rsid w:val="00F87C64"/>
    <w:rsid w:val="00F90B9E"/>
    <w:rsid w:val="00F928BB"/>
    <w:rsid w:val="00F939F7"/>
    <w:rsid w:val="00F93B03"/>
    <w:rsid w:val="00F94086"/>
    <w:rsid w:val="00F94B2A"/>
    <w:rsid w:val="00F94EE8"/>
    <w:rsid w:val="00F953EF"/>
    <w:rsid w:val="00F9598D"/>
    <w:rsid w:val="00F97F59"/>
    <w:rsid w:val="00FA1B05"/>
    <w:rsid w:val="00FA1DD3"/>
    <w:rsid w:val="00FA5703"/>
    <w:rsid w:val="00FA58D2"/>
    <w:rsid w:val="00FA72B5"/>
    <w:rsid w:val="00FB05DF"/>
    <w:rsid w:val="00FB0C35"/>
    <w:rsid w:val="00FB0F1E"/>
    <w:rsid w:val="00FB1578"/>
    <w:rsid w:val="00FB1D0B"/>
    <w:rsid w:val="00FB2C3C"/>
    <w:rsid w:val="00FB354C"/>
    <w:rsid w:val="00FB37BF"/>
    <w:rsid w:val="00FB3B61"/>
    <w:rsid w:val="00FB714B"/>
    <w:rsid w:val="00FC01B9"/>
    <w:rsid w:val="00FC178D"/>
    <w:rsid w:val="00FC35C4"/>
    <w:rsid w:val="00FC568D"/>
    <w:rsid w:val="00FC61A1"/>
    <w:rsid w:val="00FC7D08"/>
    <w:rsid w:val="00FD1532"/>
    <w:rsid w:val="00FD1CB8"/>
    <w:rsid w:val="00FD1F26"/>
    <w:rsid w:val="00FD2624"/>
    <w:rsid w:val="00FD39CF"/>
    <w:rsid w:val="00FD3D34"/>
    <w:rsid w:val="00FD4512"/>
    <w:rsid w:val="00FD6710"/>
    <w:rsid w:val="00FD70AB"/>
    <w:rsid w:val="00FD719D"/>
    <w:rsid w:val="00FD7EB0"/>
    <w:rsid w:val="00FE116B"/>
    <w:rsid w:val="00FE16E9"/>
    <w:rsid w:val="00FE47C8"/>
    <w:rsid w:val="00FE5BC2"/>
    <w:rsid w:val="00FE6018"/>
    <w:rsid w:val="00FE64D1"/>
    <w:rsid w:val="00FF11F3"/>
    <w:rsid w:val="00FF18B2"/>
    <w:rsid w:val="00FF257B"/>
    <w:rsid w:val="00FF2BA0"/>
    <w:rsid w:val="00FF3238"/>
    <w:rsid w:val="00FF3D4E"/>
    <w:rsid w:val="00FF444C"/>
    <w:rsid w:val="00FF47A1"/>
    <w:rsid w:val="00FF4FA4"/>
    <w:rsid w:val="00FF5AAB"/>
    <w:rsid w:val="00FF7123"/>
    <w:rsid w:val="048F4A4A"/>
    <w:rsid w:val="049CF563"/>
    <w:rsid w:val="078879D0"/>
    <w:rsid w:val="09E4E8D3"/>
    <w:rsid w:val="0FBDEAB9"/>
    <w:rsid w:val="111E89B0"/>
    <w:rsid w:val="13A7F372"/>
    <w:rsid w:val="1D0B8B80"/>
    <w:rsid w:val="25C17D70"/>
    <w:rsid w:val="2758C537"/>
    <w:rsid w:val="28E83CCE"/>
    <w:rsid w:val="29053C6D"/>
    <w:rsid w:val="2AB60CFF"/>
    <w:rsid w:val="2E99DD98"/>
    <w:rsid w:val="31325C56"/>
    <w:rsid w:val="36D76E44"/>
    <w:rsid w:val="36E62B44"/>
    <w:rsid w:val="39B5DFFB"/>
    <w:rsid w:val="3A7BA59D"/>
    <w:rsid w:val="3E252908"/>
    <w:rsid w:val="41469CFE"/>
    <w:rsid w:val="45DE955F"/>
    <w:rsid w:val="45F8C5A5"/>
    <w:rsid w:val="4EBD6172"/>
    <w:rsid w:val="4FBD7C7B"/>
    <w:rsid w:val="5318B75A"/>
    <w:rsid w:val="5ACE1A85"/>
    <w:rsid w:val="5B859C7A"/>
    <w:rsid w:val="5BA4EC49"/>
    <w:rsid w:val="5E10B1C4"/>
    <w:rsid w:val="6082B7ED"/>
    <w:rsid w:val="61594188"/>
    <w:rsid w:val="689A42BB"/>
    <w:rsid w:val="741355C6"/>
    <w:rsid w:val="7520688D"/>
    <w:rsid w:val="753C1539"/>
    <w:rsid w:val="7B625384"/>
    <w:rsid w:val="7C265B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4853C24"/>
  <w15:chartTrackingRefBased/>
  <w15:docId w15:val="{EB6EB41B-C6AB-470E-A391-764178A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 w:eastAsia="fr-BE"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w:basedOn w:val="Normal"/>
    <w:next w:val="Normal"/>
    <w:link w:val="Heading1Char"/>
    <w:uiPriority w:val="9"/>
    <w:qFormat/>
    <w:rsid w:val="00A437C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A437C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A437C8"/>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A437C8"/>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437C8"/>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437C8"/>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437C8"/>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437C8"/>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437C8"/>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A50"/>
    <w:pPr>
      <w:tabs>
        <w:tab w:val="center" w:pos="4513"/>
        <w:tab w:val="right" w:pos="9026"/>
      </w:tabs>
      <w:spacing w:after="0" w:line="240" w:lineRule="auto"/>
    </w:pPr>
    <w:rPr>
      <w:rFonts w:eastAsiaTheme="minorHAnsi"/>
      <w:kern w:val="2"/>
      <w:sz w:val="22"/>
      <w:szCs w:val="22"/>
      <w14:ligatures w14:val="standardContextual"/>
    </w:rPr>
  </w:style>
  <w:style w:type="character" w:customStyle="1" w:styleId="HeaderChar">
    <w:name w:val="Header Char"/>
    <w:basedOn w:val="DefaultParagraphFont"/>
    <w:link w:val="Header"/>
    <w:uiPriority w:val="99"/>
    <w:rsid w:val="00756A50"/>
    <w:rPr>
      <w:rFonts w:eastAsiaTheme="minorHAnsi"/>
      <w:kern w:val="2"/>
      <w:sz w:val="22"/>
      <w:szCs w:val="22"/>
      <w14:ligatures w14:val="standardContextual"/>
    </w:rPr>
  </w:style>
  <w:style w:type="paragraph" w:styleId="Footer">
    <w:name w:val="footer"/>
    <w:basedOn w:val="Normal"/>
    <w:link w:val="FooterChar"/>
    <w:uiPriority w:val="99"/>
    <w:unhideWhenUsed/>
    <w:rsid w:val="00756A50"/>
    <w:pPr>
      <w:tabs>
        <w:tab w:val="center" w:pos="4513"/>
        <w:tab w:val="right" w:pos="9026"/>
      </w:tabs>
      <w:spacing w:after="0" w:line="240" w:lineRule="auto"/>
    </w:pPr>
    <w:rPr>
      <w:rFonts w:eastAsiaTheme="minorHAnsi"/>
      <w:kern w:val="2"/>
      <w:sz w:val="22"/>
      <w:szCs w:val="22"/>
      <w14:ligatures w14:val="standardContextual"/>
    </w:rPr>
  </w:style>
  <w:style w:type="character" w:customStyle="1" w:styleId="FooterChar">
    <w:name w:val="Footer Char"/>
    <w:basedOn w:val="DefaultParagraphFont"/>
    <w:link w:val="Footer"/>
    <w:uiPriority w:val="99"/>
    <w:rsid w:val="00756A50"/>
    <w:rPr>
      <w:rFonts w:eastAsiaTheme="minorHAnsi"/>
      <w:kern w:val="2"/>
      <w:sz w:val="22"/>
      <w:szCs w:val="22"/>
      <w14:ligatures w14:val="standardContextual"/>
    </w:rPr>
  </w:style>
  <w:style w:type="paragraph" w:customStyle="1" w:styleId="FooterCoverPage">
    <w:name w:val="Footer Cover Page"/>
    <w:basedOn w:val="Normal"/>
    <w:link w:val="FooterCoverPageChar"/>
    <w:rsid w:val="00756A50"/>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756A50"/>
    <w:rPr>
      <w:rFonts w:ascii="Times New Roman" w:hAnsi="Times New Roman" w:cs="Times New Roman"/>
    </w:rPr>
  </w:style>
  <w:style w:type="paragraph" w:customStyle="1" w:styleId="FooterCouncil">
    <w:name w:val="Footer Council"/>
    <w:basedOn w:val="Normal"/>
    <w:link w:val="FooterCouncilChar"/>
    <w:rsid w:val="00756A50"/>
    <w:pPr>
      <w:spacing w:after="0" w:line="276" w:lineRule="auto"/>
    </w:pPr>
    <w:rPr>
      <w:rFonts w:ascii="Times New Roman" w:eastAsiaTheme="minorHAnsi" w:hAnsi="Times New Roman"/>
      <w:sz w:val="2"/>
      <w:szCs w:val="22"/>
      <w14:ligatures w14:val="standardContextual"/>
    </w:rPr>
  </w:style>
  <w:style w:type="character" w:customStyle="1" w:styleId="FooterCouncilChar">
    <w:name w:val="Footer Council Char"/>
    <w:basedOn w:val="DefaultParagraphFont"/>
    <w:link w:val="FooterCouncil"/>
    <w:rsid w:val="00756A50"/>
    <w:rPr>
      <w:rFonts w:ascii="Times New Roman" w:eastAsiaTheme="minorHAnsi" w:hAnsi="Times New Roman"/>
      <w:sz w:val="2"/>
      <w:szCs w:val="22"/>
      <w14:ligatures w14:val="standardContextual"/>
    </w:rPr>
  </w:style>
  <w:style w:type="paragraph" w:customStyle="1" w:styleId="FooterText">
    <w:name w:val="Footer Text"/>
    <w:basedOn w:val="Normal"/>
    <w:rsid w:val="00756A50"/>
    <w:pPr>
      <w:spacing w:after="0" w:line="240" w:lineRule="auto"/>
    </w:pPr>
    <w:rPr>
      <w:rFonts w:ascii="Times New Roman" w:eastAsia="Times New Roman" w:hAnsi="Times New Roman" w:cs="Times New Roman"/>
      <w14:ligatures w14:val="standardContextual"/>
    </w:rPr>
  </w:style>
  <w:style w:type="character" w:styleId="CommentReference">
    <w:name w:val="annotation reference"/>
    <w:basedOn w:val="DefaultParagraphFont"/>
    <w:uiPriority w:val="99"/>
    <w:unhideWhenUsed/>
    <w:rsid w:val="00756A50"/>
    <w:rPr>
      <w:sz w:val="16"/>
      <w:szCs w:val="16"/>
    </w:rPr>
  </w:style>
  <w:style w:type="table" w:styleId="TableGridLight">
    <w:name w:val="Grid Table Light"/>
    <w:basedOn w:val="TableNormal"/>
    <w:uiPriority w:val="40"/>
    <w:rsid w:val="004C590F"/>
    <w:pPr>
      <w:spacing w:after="0" w:line="240" w:lineRule="auto"/>
    </w:pPr>
    <w:rPr>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0A4598"/>
    <w:pPr>
      <w:spacing w:line="259" w:lineRule="auto"/>
      <w:ind w:left="720"/>
      <w:contextualSpacing/>
    </w:pPr>
    <w:rPr>
      <w:rFonts w:eastAsiaTheme="minorHAnsi"/>
      <w:kern w:val="2"/>
      <w:sz w:val="22"/>
      <w:szCs w:val="22"/>
      <w14:ligatures w14:val="standardContextual"/>
    </w:rPr>
  </w:style>
  <w:style w:type="character" w:customStyle="1" w:styleId="Heading1Char">
    <w:name w:val="Heading 1 Char"/>
    <w:aliases w:val="Heading Char"/>
    <w:basedOn w:val="DefaultParagraphFont"/>
    <w:link w:val="Heading1"/>
    <w:uiPriority w:val="9"/>
    <w:rsid w:val="00A437C8"/>
    <w:rPr>
      <w:rFonts w:asciiTheme="majorHAnsi" w:eastAsiaTheme="majorEastAsia" w:hAnsiTheme="majorHAnsi" w:cstheme="majorBidi"/>
      <w:color w:val="0F4761"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A437C8"/>
    <w:rPr>
      <w:rFonts w:asciiTheme="majorHAnsi" w:eastAsiaTheme="majorEastAsia" w:hAnsiTheme="majorHAnsi" w:cstheme="majorBidi"/>
      <w:color w:val="0F4761"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A437C8"/>
    <w:rPr>
      <w:rFonts w:eastAsiaTheme="majorEastAsia" w:cstheme="majorBidi"/>
      <w:color w:val="0F4761" w:themeColor="accent1" w:themeShade="BF"/>
      <w:kern w:val="2"/>
      <w:sz w:val="28"/>
      <w:szCs w:val="28"/>
      <w14:ligatures w14:val="standardContextual"/>
    </w:rPr>
  </w:style>
  <w:style w:type="character" w:customStyle="1" w:styleId="Heading4Char">
    <w:name w:val="Heading 4 Char"/>
    <w:basedOn w:val="DefaultParagraphFont"/>
    <w:link w:val="Heading4"/>
    <w:uiPriority w:val="9"/>
    <w:rsid w:val="00A437C8"/>
    <w:rPr>
      <w:rFonts w:eastAsiaTheme="majorEastAsia" w:cstheme="majorBidi"/>
      <w:i/>
      <w:iCs/>
      <w:color w:val="0F4761" w:themeColor="accent1" w:themeShade="BF"/>
      <w:kern w:val="2"/>
      <w:sz w:val="22"/>
      <w:szCs w:val="22"/>
      <w14:ligatures w14:val="standardContextual"/>
    </w:rPr>
  </w:style>
  <w:style w:type="character" w:customStyle="1" w:styleId="Heading5Char">
    <w:name w:val="Heading 5 Char"/>
    <w:basedOn w:val="DefaultParagraphFont"/>
    <w:link w:val="Heading5"/>
    <w:uiPriority w:val="9"/>
    <w:semiHidden/>
    <w:rsid w:val="00A437C8"/>
    <w:rPr>
      <w:rFonts w:eastAsiaTheme="majorEastAsia" w:cstheme="majorBidi"/>
      <w:color w:val="0F4761" w:themeColor="accent1" w:themeShade="BF"/>
      <w:kern w:val="2"/>
      <w:sz w:val="22"/>
      <w:szCs w:val="22"/>
      <w14:ligatures w14:val="standardContextual"/>
    </w:rPr>
  </w:style>
  <w:style w:type="character" w:customStyle="1" w:styleId="Heading6Char">
    <w:name w:val="Heading 6 Char"/>
    <w:basedOn w:val="DefaultParagraphFont"/>
    <w:link w:val="Heading6"/>
    <w:uiPriority w:val="9"/>
    <w:semiHidden/>
    <w:rsid w:val="00A437C8"/>
    <w:rPr>
      <w:rFonts w:eastAsiaTheme="majorEastAsia" w:cstheme="majorBidi"/>
      <w:i/>
      <w:iCs/>
      <w:color w:val="595959" w:themeColor="text1" w:themeTint="A6"/>
      <w:kern w:val="2"/>
      <w:sz w:val="22"/>
      <w:szCs w:val="22"/>
      <w14:ligatures w14:val="standardContextual"/>
    </w:rPr>
  </w:style>
  <w:style w:type="character" w:customStyle="1" w:styleId="Heading7Char">
    <w:name w:val="Heading 7 Char"/>
    <w:basedOn w:val="DefaultParagraphFont"/>
    <w:link w:val="Heading7"/>
    <w:uiPriority w:val="9"/>
    <w:semiHidden/>
    <w:rsid w:val="00A437C8"/>
    <w:rPr>
      <w:rFonts w:eastAsiaTheme="majorEastAsia" w:cstheme="majorBidi"/>
      <w:color w:val="595959" w:themeColor="text1" w:themeTint="A6"/>
      <w:kern w:val="2"/>
      <w:sz w:val="22"/>
      <w:szCs w:val="22"/>
      <w14:ligatures w14:val="standardContextual"/>
    </w:rPr>
  </w:style>
  <w:style w:type="character" w:customStyle="1" w:styleId="Heading8Char">
    <w:name w:val="Heading 8 Char"/>
    <w:basedOn w:val="DefaultParagraphFont"/>
    <w:link w:val="Heading8"/>
    <w:uiPriority w:val="9"/>
    <w:semiHidden/>
    <w:rsid w:val="00A437C8"/>
    <w:rPr>
      <w:rFonts w:eastAsiaTheme="majorEastAsia" w:cstheme="majorBidi"/>
      <w:i/>
      <w:iCs/>
      <w:color w:val="272727" w:themeColor="text1" w:themeTint="D8"/>
      <w:kern w:val="2"/>
      <w:sz w:val="22"/>
      <w:szCs w:val="22"/>
      <w14:ligatures w14:val="standardContextual"/>
    </w:rPr>
  </w:style>
  <w:style w:type="character" w:customStyle="1" w:styleId="Heading9Char">
    <w:name w:val="Heading 9 Char"/>
    <w:basedOn w:val="DefaultParagraphFont"/>
    <w:link w:val="Heading9"/>
    <w:uiPriority w:val="9"/>
    <w:semiHidden/>
    <w:rsid w:val="00A437C8"/>
    <w:rPr>
      <w:rFonts w:eastAsiaTheme="majorEastAsia" w:cstheme="majorBidi"/>
      <w:color w:val="272727" w:themeColor="text1" w:themeTint="D8"/>
      <w:kern w:val="2"/>
      <w:sz w:val="22"/>
      <w:szCs w:val="22"/>
      <w14:ligatures w14:val="standardContextual"/>
    </w:rPr>
  </w:style>
  <w:style w:type="paragraph" w:styleId="Title">
    <w:name w:val="Title"/>
    <w:basedOn w:val="Normal"/>
    <w:next w:val="Normal"/>
    <w:link w:val="TitleChar"/>
    <w:uiPriority w:val="10"/>
    <w:qFormat/>
    <w:rsid w:val="00A437C8"/>
    <w:pPr>
      <w:spacing w:after="80" w:line="240" w:lineRule="auto"/>
      <w:contextualSpacing/>
    </w:pPr>
    <w:rPr>
      <w:rFonts w:asciiTheme="majorHAnsi" w:eastAsiaTheme="majorEastAsia" w:hAnsiTheme="majorHAnsi" w:cstheme="majorBidi"/>
      <w:kern w:val="28"/>
      <w:sz w:val="56"/>
      <w:szCs w:val="56"/>
      <w14:ligatures w14:val="standardContextual"/>
    </w:rPr>
  </w:style>
  <w:style w:type="character" w:customStyle="1" w:styleId="TitleChar">
    <w:name w:val="Title Char"/>
    <w:basedOn w:val="DefaultParagraphFont"/>
    <w:link w:val="Title"/>
    <w:uiPriority w:val="10"/>
    <w:rsid w:val="00A437C8"/>
    <w:rPr>
      <w:rFonts w:asciiTheme="majorHAnsi" w:eastAsiaTheme="majorEastAsia" w:hAnsiTheme="majorHAnsi" w:cstheme="majorBidi"/>
      <w:kern w:val="28"/>
      <w:sz w:val="56"/>
      <w:szCs w:val="56"/>
      <w14:ligatures w14:val="standardContextual"/>
    </w:rPr>
  </w:style>
  <w:style w:type="paragraph" w:styleId="Subtitle">
    <w:name w:val="Subtitle"/>
    <w:basedOn w:val="Normal"/>
    <w:next w:val="Normal"/>
    <w:link w:val="SubtitleChar"/>
    <w:uiPriority w:val="11"/>
    <w:qFormat/>
    <w:rsid w:val="00A437C8"/>
    <w:pPr>
      <w:numPr>
        <w:ilvl w:val="1"/>
      </w:numPr>
      <w:spacing w:line="259" w:lineRule="auto"/>
    </w:pPr>
    <w:rPr>
      <w:rFonts w:eastAsiaTheme="majorEastAsia" w:cstheme="majorBidi"/>
      <w:color w:val="595959" w:themeColor="text1" w:themeTint="A6"/>
      <w:kern w:val="2"/>
      <w:sz w:val="28"/>
      <w:szCs w:val="28"/>
      <w14:ligatures w14:val="standardContextual"/>
    </w:rPr>
  </w:style>
  <w:style w:type="character" w:customStyle="1" w:styleId="SubtitleChar">
    <w:name w:val="Subtitle Char"/>
    <w:basedOn w:val="DefaultParagraphFont"/>
    <w:link w:val="Subtitle"/>
    <w:uiPriority w:val="11"/>
    <w:rsid w:val="00A437C8"/>
    <w:rPr>
      <w:rFonts w:eastAsiaTheme="majorEastAsia" w:cstheme="majorBidi"/>
      <w:color w:val="595959" w:themeColor="text1" w:themeTint="A6"/>
      <w:kern w:val="2"/>
      <w:sz w:val="28"/>
      <w:szCs w:val="28"/>
      <w14:ligatures w14:val="standardContextual"/>
    </w:rPr>
  </w:style>
  <w:style w:type="paragraph" w:styleId="Quote">
    <w:name w:val="Quote"/>
    <w:basedOn w:val="Normal"/>
    <w:next w:val="Normal"/>
    <w:link w:val="QuoteChar"/>
    <w:uiPriority w:val="29"/>
    <w:qFormat/>
    <w:rsid w:val="00A437C8"/>
    <w:pPr>
      <w:spacing w:before="160" w:line="259" w:lineRule="auto"/>
      <w:jc w:val="center"/>
    </w:pPr>
    <w:rPr>
      <w:rFonts w:eastAsia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437C8"/>
    <w:rPr>
      <w:rFonts w:eastAsiaTheme="minorHAnsi"/>
      <w:i/>
      <w:iCs/>
      <w:color w:val="404040" w:themeColor="text1" w:themeTint="BF"/>
      <w:kern w:val="2"/>
      <w:sz w:val="22"/>
      <w:szCs w:val="22"/>
      <w14:ligatures w14:val="standardContextual"/>
    </w:rPr>
  </w:style>
  <w:style w:type="character" w:styleId="IntenseEmphasis">
    <w:name w:val="Intense Emphasis"/>
    <w:basedOn w:val="DefaultParagraphFont"/>
    <w:uiPriority w:val="21"/>
    <w:qFormat/>
    <w:rsid w:val="00A437C8"/>
    <w:rPr>
      <w:i/>
      <w:iCs/>
      <w:color w:val="0F4761" w:themeColor="accent1" w:themeShade="BF"/>
    </w:rPr>
  </w:style>
  <w:style w:type="paragraph" w:styleId="IntenseQuote">
    <w:name w:val="Intense Quote"/>
    <w:basedOn w:val="Normal"/>
    <w:next w:val="Normal"/>
    <w:link w:val="IntenseQuoteChar"/>
    <w:uiPriority w:val="30"/>
    <w:qFormat/>
    <w:rsid w:val="00A437C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437C8"/>
    <w:rPr>
      <w:rFonts w:eastAsiaTheme="minorHAnsi"/>
      <w:i/>
      <w:iCs/>
      <w:color w:val="0F4761" w:themeColor="accent1" w:themeShade="BF"/>
      <w:kern w:val="2"/>
      <w:sz w:val="22"/>
      <w:szCs w:val="22"/>
      <w14:ligatures w14:val="standardContextual"/>
    </w:rPr>
  </w:style>
  <w:style w:type="character" w:styleId="IntenseReference">
    <w:name w:val="Intense Reference"/>
    <w:basedOn w:val="DefaultParagraphFont"/>
    <w:uiPriority w:val="32"/>
    <w:qFormat/>
    <w:rsid w:val="00A437C8"/>
    <w:rPr>
      <w:b/>
      <w:bCs/>
      <w:smallCaps/>
      <w:color w:val="0F4761" w:themeColor="accent1" w:themeShade="BF"/>
    </w:rPr>
  </w:style>
  <w:style w:type="paragraph" w:customStyle="1" w:styleId="TechnicalBlockBase">
    <w:name w:val="TechnicalBlockBase"/>
    <w:link w:val="TechnicalBlockBaseChar"/>
    <w:rsid w:val="00A437C8"/>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14:ligatures w14:val="standardContextual"/>
    </w:rPr>
  </w:style>
  <w:style w:type="character" w:customStyle="1" w:styleId="TechnicalBlockBaseChar">
    <w:name w:val="TechnicalBlockBase Char"/>
    <w:basedOn w:val="EntInstitChar"/>
    <w:link w:val="TechnicalBlockBase"/>
    <w:rsid w:val="00A437C8"/>
    <w:rPr>
      <w:rFonts w:ascii="Arial New Roman" w:eastAsia="Times New Roman" w:hAnsi="Arial New Roman" w:cs="Arial"/>
      <w:b/>
      <w:i/>
      <w:dstrike/>
      <w:color w:val="606060"/>
      <w:sz w:val="10"/>
      <w:szCs w:val="20"/>
      <w:u w:val="words" w:color="606060"/>
      <w14:ligatures w14:val="standardContextual"/>
    </w:rPr>
  </w:style>
  <w:style w:type="paragraph" w:customStyle="1" w:styleId="TBEntRefer">
    <w:name w:val="TBEntRefer"/>
    <w:basedOn w:val="TechnicalBlockBase"/>
    <w:link w:val="EntReferChar"/>
    <w:rsid w:val="00A437C8"/>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7C8"/>
    <w:rPr>
      <w:rFonts w:ascii="Arial" w:eastAsia="Times New Roman" w:hAnsi="Arial" w:cs="Arial"/>
      <w:b/>
      <w:sz w:val="23"/>
      <w:szCs w:val="20"/>
      <w:u w:color="606060"/>
      <w14:ligatures w14:val="standardContextual"/>
    </w:rPr>
  </w:style>
  <w:style w:type="paragraph" w:customStyle="1" w:styleId="TBDistrbMarkers">
    <w:name w:val="TBDistrbMarkers"/>
    <w:basedOn w:val="TBEntRefer"/>
    <w:qFormat/>
    <w:rsid w:val="00A437C8"/>
    <w:pPr>
      <w:tabs>
        <w:tab w:val="left" w:pos="2262"/>
      </w:tabs>
    </w:pPr>
    <w:rPr>
      <w:i/>
      <w:iCs/>
      <w:szCs w:val="23"/>
    </w:rPr>
  </w:style>
  <w:style w:type="paragraph" w:customStyle="1" w:styleId="TBEntACP">
    <w:name w:val="TBEntACP"/>
    <w:basedOn w:val="TechnicalBlockBase"/>
    <w:rsid w:val="00A437C8"/>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7C8"/>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A437C8"/>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A437C8"/>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A437C8"/>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A437C8"/>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A437C8"/>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A437C8"/>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A437C8"/>
    <w:rPr>
      <w:rFonts w:ascii="Arial" w:eastAsia="Times New Roman" w:hAnsi="Arial" w:cs="Arial"/>
      <w:b/>
      <w:sz w:val="23"/>
      <w:szCs w:val="20"/>
      <w:u w:color="606060"/>
      <w14:ligatures w14:val="standardContextual"/>
    </w:rPr>
  </w:style>
  <w:style w:type="paragraph" w:customStyle="1" w:styleId="TBSubjectTable">
    <w:name w:val="TBSubjectTable"/>
    <w:basedOn w:val="TechnicalBlockBase"/>
    <w:rsid w:val="00A437C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A437C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A437C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A437C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A437C8"/>
    <w:pPr>
      <w:widowControl/>
      <w:spacing w:before="40" w:after="40" w:line="240" w:lineRule="auto"/>
      <w:ind w:left="0" w:right="0"/>
    </w:pPr>
    <w:rPr>
      <w:rFonts w:ascii="Arial" w:hAnsi="Arial"/>
      <w:b w:val="0"/>
      <w:i w:val="0"/>
      <w:dstrike w:val="0"/>
      <w:color w:val="auto"/>
      <w:sz w:val="23"/>
      <w:u w:val="none"/>
    </w:rPr>
  </w:style>
  <w:style w:type="character" w:customStyle="1" w:styleId="Marker">
    <w:name w:val="Marker"/>
    <w:basedOn w:val="DefaultParagraphFont"/>
    <w:rsid w:val="00A437C8"/>
    <w:rPr>
      <w:color w:val="0000FF"/>
      <w:shd w:val="clear" w:color="auto" w:fill="auto"/>
    </w:rPr>
  </w:style>
  <w:style w:type="paragraph" w:customStyle="1" w:styleId="Pagedecouverture">
    <w:name w:val="Page de couverture"/>
    <w:basedOn w:val="Normal"/>
    <w:next w:val="Normal"/>
    <w:rsid w:val="00A437C8"/>
    <w:pPr>
      <w:spacing w:after="0" w:line="240" w:lineRule="auto"/>
      <w:jc w:val="both"/>
    </w:pPr>
    <w:rPr>
      <w:rFonts w:ascii="Times New Roman" w:eastAsiaTheme="minorHAnsi" w:hAnsi="Times New Roman" w:cs="Times New Roman"/>
      <w:szCs w:val="22"/>
      <w14:ligatures w14:val="standardContextual"/>
    </w:rPr>
  </w:style>
  <w:style w:type="paragraph" w:customStyle="1" w:styleId="FooterSensitivity">
    <w:name w:val="Footer Sensitivity"/>
    <w:basedOn w:val="Normal"/>
    <w:link w:val="FooterSensitivityChar"/>
    <w:rsid w:val="00A437C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437C8"/>
    <w:rPr>
      <w:rFonts w:ascii="Times New Roman" w:hAnsi="Times New Roman" w:cs="Times New Roman"/>
      <w:b/>
      <w:sz w:val="32"/>
    </w:rPr>
  </w:style>
  <w:style w:type="paragraph" w:customStyle="1" w:styleId="HeaderCoverPage">
    <w:name w:val="Header Cover Page"/>
    <w:basedOn w:val="Normal"/>
    <w:link w:val="HeaderCoverPageChar"/>
    <w:rsid w:val="00A437C8"/>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437C8"/>
    <w:rPr>
      <w:rFonts w:ascii="Times New Roman" w:hAnsi="Times New Roman" w:cs="Times New Roman"/>
    </w:rPr>
  </w:style>
  <w:style w:type="paragraph" w:customStyle="1" w:styleId="HeaderSensitivity">
    <w:name w:val="Header Sensitivity"/>
    <w:basedOn w:val="Normal"/>
    <w:link w:val="HeaderSensitivityChar"/>
    <w:rsid w:val="00A437C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437C8"/>
    <w:rPr>
      <w:rFonts w:ascii="Times New Roman" w:hAnsi="Times New Roman" w:cs="Times New Roman"/>
      <w:b/>
      <w:sz w:val="32"/>
    </w:rPr>
  </w:style>
  <w:style w:type="paragraph" w:customStyle="1" w:styleId="HeaderSensitivityRight">
    <w:name w:val="Header Sensitivity Right"/>
    <w:basedOn w:val="Normal"/>
    <w:link w:val="HeaderSensitivityRightChar"/>
    <w:rsid w:val="00A437C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437C8"/>
    <w:rPr>
      <w:rFonts w:ascii="Times New Roman" w:hAnsi="Times New Roman" w:cs="Times New Roman"/>
      <w:sz w:val="28"/>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A437C8"/>
    <w:rPr>
      <w:rFonts w:eastAsiaTheme="minorHAnsi"/>
      <w:kern w:val="2"/>
      <w:sz w:val="22"/>
      <w:szCs w:val="22"/>
      <w14:ligatures w14:val="standardContextual"/>
    </w:rPr>
  </w:style>
  <w:style w:type="paragraph" w:customStyle="1" w:styleId="Standard">
    <w:name w:val="Standard"/>
    <w:qFormat/>
    <w:rsid w:val="00A437C8"/>
    <w:pPr>
      <w:suppressAutoHyphens/>
      <w:autoSpaceDN w:val="0"/>
      <w:spacing w:after="0" w:line="240" w:lineRule="auto"/>
      <w:textAlignment w:val="baseline"/>
    </w:pPr>
    <w:rPr>
      <w:rFonts w:ascii="Liberation Serif" w:eastAsia="NSimSun" w:hAnsi="Liberation Serif" w:cs="Arial"/>
      <w:kern w:val="3"/>
      <w14:ligatures w14:val="standardContextual"/>
    </w:rPr>
  </w:style>
  <w:style w:type="paragraph" w:styleId="CommentText">
    <w:name w:val="annotation text"/>
    <w:basedOn w:val="Normal"/>
    <w:link w:val="CommentTextChar"/>
    <w:uiPriority w:val="99"/>
    <w:unhideWhenUsed/>
    <w:rsid w:val="00A437C8"/>
    <w:pPr>
      <w:spacing w:line="240" w:lineRule="auto"/>
    </w:pPr>
    <w:rPr>
      <w:sz w:val="20"/>
      <w:szCs w:val="20"/>
      <w14:ligatures w14:val="standardContextual"/>
    </w:rPr>
  </w:style>
  <w:style w:type="character" w:customStyle="1" w:styleId="CommentTextChar">
    <w:name w:val="Comment Text Char"/>
    <w:basedOn w:val="DefaultParagraphFont"/>
    <w:link w:val="CommentText"/>
    <w:uiPriority w:val="99"/>
    <w:rsid w:val="00A437C8"/>
    <w:rPr>
      <w:sz w:val="20"/>
      <w:szCs w:val="20"/>
      <w14:ligatures w14:val="standardContextual"/>
    </w:rPr>
  </w:style>
  <w:style w:type="paragraph" w:customStyle="1" w:styleId="TechnicalBlock">
    <w:name w:val="Technical Block"/>
    <w:basedOn w:val="Normal"/>
    <w:link w:val="TechnicalBlockChar"/>
    <w:rsid w:val="00A437C8"/>
    <w:pPr>
      <w:spacing w:after="240" w:line="240" w:lineRule="auto"/>
      <w:jc w:val="center"/>
    </w:pPr>
    <w:rPr>
      <w:rFonts w:eastAsiaTheme="minorHAnsi"/>
      <w:sz w:val="22"/>
      <w:szCs w:val="22"/>
      <w14:ligatures w14:val="standardContextual"/>
    </w:rPr>
  </w:style>
  <w:style w:type="character" w:customStyle="1" w:styleId="TechnicalBlockChar">
    <w:name w:val="Technical Block Char"/>
    <w:basedOn w:val="DefaultParagraphFont"/>
    <w:link w:val="TechnicalBlock"/>
    <w:rsid w:val="00A437C8"/>
    <w:rPr>
      <w:rFonts w:eastAsiaTheme="minorHAnsi"/>
      <w:sz w:val="22"/>
      <w:szCs w:val="22"/>
      <w14:ligatures w14:val="standardContextual"/>
    </w:rPr>
  </w:style>
  <w:style w:type="paragraph" w:customStyle="1" w:styleId="Lignefinal">
    <w:name w:val="Ligne final"/>
    <w:basedOn w:val="Normal"/>
    <w:next w:val="Normal"/>
    <w:rsid w:val="00A437C8"/>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14:ligatures w14:val="standardContextual"/>
    </w:rPr>
  </w:style>
  <w:style w:type="paragraph" w:customStyle="1" w:styleId="pj">
    <w:name w:val="p.j."/>
    <w:basedOn w:val="Normal"/>
    <w:link w:val="pjChar"/>
    <w:rsid w:val="00A437C8"/>
    <w:pPr>
      <w:spacing w:before="1200" w:after="120" w:line="240" w:lineRule="auto"/>
      <w:ind w:left="1440" w:hanging="1440"/>
    </w:pPr>
    <w:rPr>
      <w:rFonts w:ascii="Times New Roman" w:eastAsiaTheme="minorHAnsi" w:hAnsi="Times New Roman" w:cs="Times New Roman"/>
      <w:sz w:val="22"/>
      <w:szCs w:val="22"/>
      <w14:ligatures w14:val="standardContextual"/>
    </w:rPr>
  </w:style>
  <w:style w:type="character" w:customStyle="1" w:styleId="pjChar">
    <w:name w:val="p.j. Char"/>
    <w:basedOn w:val="TechnicalBlockChar"/>
    <w:link w:val="pj"/>
    <w:rsid w:val="00A437C8"/>
    <w:rPr>
      <w:rFonts w:ascii="Times New Roman" w:eastAsiaTheme="minorHAnsi" w:hAnsi="Times New Roman" w:cs="Times New Roman"/>
      <w:sz w:val="22"/>
      <w:szCs w:val="22"/>
      <w14:ligatures w14:val="standardContextual"/>
    </w:rPr>
  </w:style>
  <w:style w:type="paragraph" w:customStyle="1" w:styleId="HeaderCouncil">
    <w:name w:val="Header Council"/>
    <w:basedOn w:val="Normal"/>
    <w:link w:val="HeaderCouncilChar"/>
    <w:rsid w:val="00A437C8"/>
    <w:pPr>
      <w:spacing w:after="0" w:line="276" w:lineRule="auto"/>
    </w:pPr>
    <w:rPr>
      <w:rFonts w:ascii="Times New Roman" w:eastAsiaTheme="minorHAnsi" w:hAnsi="Times New Roman"/>
      <w:sz w:val="2"/>
      <w:szCs w:val="22"/>
      <w14:ligatures w14:val="standardContextual"/>
    </w:rPr>
  </w:style>
  <w:style w:type="character" w:customStyle="1" w:styleId="HeaderCouncilChar">
    <w:name w:val="Header Council Char"/>
    <w:basedOn w:val="DefaultParagraphFont"/>
    <w:link w:val="HeaderCouncil"/>
    <w:rsid w:val="00A437C8"/>
    <w:rPr>
      <w:rFonts w:ascii="Times New Roman" w:eastAsiaTheme="minorHAnsi" w:hAnsi="Times New Roman"/>
      <w:sz w:val="2"/>
      <w:szCs w:val="22"/>
      <w14:ligatures w14:val="standardContextual"/>
    </w:rPr>
  </w:style>
  <w:style w:type="paragraph" w:customStyle="1" w:styleId="HeaderCouncilLarge">
    <w:name w:val="Header Council Large"/>
    <w:basedOn w:val="Normal"/>
    <w:link w:val="HeaderCouncilLargeChar"/>
    <w:rsid w:val="00A437C8"/>
    <w:pPr>
      <w:spacing w:after="440" w:line="276" w:lineRule="auto"/>
    </w:pPr>
    <w:rPr>
      <w:rFonts w:ascii="Times New Roman" w:eastAsiaTheme="minorHAnsi" w:hAnsi="Times New Roman"/>
      <w:sz w:val="2"/>
      <w:szCs w:val="22"/>
      <w14:ligatures w14:val="standardContextual"/>
    </w:rPr>
  </w:style>
  <w:style w:type="character" w:customStyle="1" w:styleId="HeaderCouncilLargeChar">
    <w:name w:val="Header Council Large Char"/>
    <w:basedOn w:val="DefaultParagraphFont"/>
    <w:link w:val="HeaderCouncilLarge"/>
    <w:rsid w:val="00A437C8"/>
    <w:rPr>
      <w:rFonts w:ascii="Times New Roman" w:eastAsiaTheme="minorHAnsi" w:hAnsi="Times New Roman"/>
      <w:sz w:val="2"/>
      <w:szCs w:val="22"/>
      <w14:ligatures w14:val="standardContextual"/>
    </w:rPr>
  </w:style>
  <w:style w:type="character" w:customStyle="1" w:styleId="normaltextrun">
    <w:name w:val="normaltextrun"/>
    <w:basedOn w:val="DefaultParagraphFont"/>
    <w:rsid w:val="00A437C8"/>
  </w:style>
  <w:style w:type="character" w:customStyle="1" w:styleId="Mention1">
    <w:name w:val="Mention1"/>
    <w:basedOn w:val="DefaultParagraphFont"/>
    <w:uiPriority w:val="99"/>
    <w:unhideWhenUsed/>
    <w:rsid w:val="00A437C8"/>
    <w:rPr>
      <w:color w:val="2B579A"/>
      <w:shd w:val="clear" w:color="auto" w:fill="E6E6E6"/>
    </w:rPr>
  </w:style>
  <w:style w:type="paragraph" w:styleId="Revision">
    <w:name w:val="Revision"/>
    <w:hidden/>
    <w:uiPriority w:val="99"/>
    <w:semiHidden/>
    <w:rsid w:val="00A437C8"/>
    <w:pPr>
      <w:spacing w:after="0" w:line="240" w:lineRule="auto"/>
    </w:pPr>
    <w:rPr>
      <w:sz w:val="22"/>
      <w:szCs w:val="22"/>
      <w14:ligatures w14:val="standardContextual"/>
    </w:rPr>
  </w:style>
  <w:style w:type="paragraph" w:customStyle="1" w:styleId="HeaderLandscape">
    <w:name w:val="HeaderLandscape"/>
    <w:basedOn w:val="Normal"/>
    <w:rsid w:val="00A437C8"/>
    <w:pPr>
      <w:tabs>
        <w:tab w:val="center" w:pos="7285"/>
        <w:tab w:val="right" w:pos="14003"/>
      </w:tabs>
      <w:spacing w:after="120" w:line="240" w:lineRule="auto"/>
      <w:jc w:val="both"/>
    </w:pPr>
    <w:rPr>
      <w:rFonts w:ascii="Times New Roman" w:eastAsiaTheme="minorHAnsi" w:hAnsi="Times New Roman" w:cs="Times New Roman"/>
      <w:szCs w:val="22"/>
      <w14:ligatures w14:val="standardContextual"/>
    </w:rPr>
  </w:style>
  <w:style w:type="paragraph" w:customStyle="1" w:styleId="FooterLandscape">
    <w:name w:val="FooterLandscape"/>
    <w:basedOn w:val="Normal"/>
    <w:rsid w:val="00A437C8"/>
    <w:pPr>
      <w:tabs>
        <w:tab w:val="center" w:pos="7285"/>
        <w:tab w:val="center" w:pos="10913"/>
        <w:tab w:val="right" w:pos="15137"/>
      </w:tabs>
      <w:spacing w:before="360" w:after="0" w:line="240" w:lineRule="auto"/>
      <w:ind w:left="-567" w:right="-567"/>
    </w:pPr>
    <w:rPr>
      <w:rFonts w:ascii="Times New Roman" w:eastAsiaTheme="minorHAnsi" w:hAnsi="Times New Roman" w:cs="Times New Roman"/>
      <w:szCs w:val="22"/>
      <w14:ligatures w14:val="standardContextual"/>
    </w:rPr>
  </w:style>
  <w:style w:type="numbering" w:customStyle="1" w:styleId="NoList1">
    <w:name w:val="No List1"/>
    <w:next w:val="NoList"/>
    <w:uiPriority w:val="99"/>
    <w:semiHidden/>
    <w:unhideWhenUsed/>
    <w:rsid w:val="00A437C8"/>
  </w:style>
  <w:style w:type="paragraph" w:styleId="BalloonText">
    <w:name w:val="Balloon Text"/>
    <w:basedOn w:val="Normal"/>
    <w:link w:val="BalloonTextChar"/>
    <w:uiPriority w:val="99"/>
    <w:semiHidden/>
    <w:unhideWhenUsed/>
    <w:rsid w:val="00A437C8"/>
    <w:pPr>
      <w:spacing w:after="0" w:line="240" w:lineRule="auto"/>
      <w:jc w:val="both"/>
    </w:pPr>
    <w:rPr>
      <w:rFonts w:ascii="Segoe UI" w:eastAsiaTheme="minorHAnsi" w:hAnsi="Segoe UI" w:cs="Segoe UI"/>
      <w:sz w:val="18"/>
      <w:szCs w:val="18"/>
      <w14:ligatures w14:val="standardContextual"/>
    </w:rPr>
  </w:style>
  <w:style w:type="character" w:customStyle="1" w:styleId="BalloonTextChar">
    <w:name w:val="Balloon Text Char"/>
    <w:basedOn w:val="DefaultParagraphFont"/>
    <w:link w:val="BalloonText"/>
    <w:uiPriority w:val="99"/>
    <w:semiHidden/>
    <w:rsid w:val="00A437C8"/>
    <w:rPr>
      <w:rFonts w:ascii="Segoe UI" w:eastAsiaTheme="minorHAnsi" w:hAnsi="Segoe UI" w:cs="Segoe UI"/>
      <w:sz w:val="18"/>
      <w:szCs w:val="18"/>
      <w14:ligatures w14:val="standardContextual"/>
    </w:rPr>
  </w:style>
  <w:style w:type="paragraph" w:styleId="ListBullet">
    <w:name w:val="List Bullet"/>
    <w:basedOn w:val="Normal"/>
    <w:uiPriority w:val="99"/>
    <w:unhideWhenUsed/>
    <w:rsid w:val="00A437C8"/>
    <w:pPr>
      <w:numPr>
        <w:numId w:val="19"/>
      </w:numPr>
      <w:tabs>
        <w:tab w:val="clear" w:pos="360"/>
        <w:tab w:val="num" w:pos="850"/>
      </w:tabs>
      <w:spacing w:before="120" w:after="120" w:line="240" w:lineRule="auto"/>
      <w:ind w:left="0" w:firstLine="0"/>
      <w:contextualSpacing/>
      <w:jc w:val="both"/>
    </w:pPr>
    <w:rPr>
      <w:rFonts w:ascii="Times New Roman" w:eastAsiaTheme="minorHAnsi" w:hAnsi="Times New Roman" w:cs="Times New Roman"/>
      <w:szCs w:val="22"/>
      <w14:ligatures w14:val="standardContextual"/>
    </w:rPr>
  </w:style>
  <w:style w:type="paragraph" w:styleId="ListBullet2">
    <w:name w:val="List Bullet 2"/>
    <w:basedOn w:val="Normal"/>
    <w:uiPriority w:val="99"/>
    <w:semiHidden/>
    <w:unhideWhenUsed/>
    <w:rsid w:val="00A437C8"/>
    <w:pPr>
      <w:numPr>
        <w:numId w:val="20"/>
      </w:numPr>
      <w:tabs>
        <w:tab w:val="clear" w:pos="643"/>
        <w:tab w:val="num" w:pos="1417"/>
      </w:tabs>
      <w:spacing w:before="120" w:after="120" w:line="240" w:lineRule="auto"/>
      <w:ind w:left="0" w:firstLine="0"/>
      <w:contextualSpacing/>
      <w:jc w:val="both"/>
    </w:pPr>
    <w:rPr>
      <w:rFonts w:ascii="Times New Roman" w:eastAsiaTheme="minorHAnsi" w:hAnsi="Times New Roman" w:cs="Times New Roman"/>
      <w:szCs w:val="22"/>
      <w14:ligatures w14:val="standardContextual"/>
    </w:rPr>
  </w:style>
  <w:style w:type="paragraph" w:styleId="ListBullet3">
    <w:name w:val="List Bullet 3"/>
    <w:basedOn w:val="Normal"/>
    <w:uiPriority w:val="99"/>
    <w:semiHidden/>
    <w:unhideWhenUsed/>
    <w:rsid w:val="00A437C8"/>
    <w:pPr>
      <w:numPr>
        <w:numId w:val="21"/>
      </w:numPr>
      <w:tabs>
        <w:tab w:val="clear" w:pos="926"/>
        <w:tab w:val="num" w:pos="1984"/>
      </w:tabs>
      <w:spacing w:before="120" w:after="120" w:line="240" w:lineRule="auto"/>
      <w:ind w:left="0" w:firstLine="0"/>
      <w:contextualSpacing/>
      <w:jc w:val="both"/>
    </w:pPr>
    <w:rPr>
      <w:rFonts w:ascii="Times New Roman" w:eastAsiaTheme="minorHAnsi" w:hAnsi="Times New Roman" w:cs="Times New Roman"/>
      <w:szCs w:val="22"/>
      <w14:ligatures w14:val="standardContextual"/>
    </w:rPr>
  </w:style>
  <w:style w:type="paragraph" w:styleId="ListBullet4">
    <w:name w:val="List Bullet 4"/>
    <w:basedOn w:val="Normal"/>
    <w:uiPriority w:val="99"/>
    <w:semiHidden/>
    <w:unhideWhenUsed/>
    <w:rsid w:val="00A437C8"/>
    <w:pPr>
      <w:numPr>
        <w:numId w:val="22"/>
      </w:numPr>
      <w:tabs>
        <w:tab w:val="clear" w:pos="1209"/>
      </w:tabs>
      <w:spacing w:before="120" w:after="120" w:line="240" w:lineRule="auto"/>
      <w:ind w:left="0" w:firstLine="0"/>
      <w:contextualSpacing/>
      <w:jc w:val="both"/>
    </w:pPr>
    <w:rPr>
      <w:rFonts w:ascii="Times New Roman" w:eastAsiaTheme="minorHAnsi" w:hAnsi="Times New Roman" w:cs="Times New Roman"/>
      <w:szCs w:val="22"/>
      <w14:ligatures w14:val="standardContextual"/>
    </w:rPr>
  </w:style>
  <w:style w:type="paragraph" w:styleId="CommentSubject">
    <w:name w:val="annotation subject"/>
    <w:basedOn w:val="CommentText"/>
    <w:next w:val="CommentText"/>
    <w:link w:val="CommentSubjectChar"/>
    <w:uiPriority w:val="99"/>
    <w:semiHidden/>
    <w:unhideWhenUsed/>
    <w:rsid w:val="00A437C8"/>
    <w:pPr>
      <w:spacing w:before="120" w:after="120"/>
      <w:jc w:val="both"/>
    </w:pPr>
    <w:rPr>
      <w:rFonts w:ascii="Times New Roman" w:eastAsiaTheme="minorHAnsi" w:hAnsi="Times New Roman" w:cs="Times New Roman"/>
      <w:b/>
      <w:bCs/>
    </w:rPr>
  </w:style>
  <w:style w:type="character" w:customStyle="1" w:styleId="CommentSubjectChar">
    <w:name w:val="Comment Subject Char"/>
    <w:basedOn w:val="CommentTextChar"/>
    <w:link w:val="CommentSubject"/>
    <w:uiPriority w:val="99"/>
    <w:semiHidden/>
    <w:rsid w:val="00A437C8"/>
    <w:rPr>
      <w:rFonts w:ascii="Times New Roman" w:eastAsiaTheme="minorHAnsi" w:hAnsi="Times New Roman" w:cs="Times New Roman"/>
      <w:b/>
      <w:bCs/>
      <w:sz w:val="20"/>
      <w:szCs w:val="20"/>
      <w14:ligatures w14:val="standardContextual"/>
    </w:rPr>
  </w:style>
  <w:style w:type="paragraph" w:styleId="Caption">
    <w:name w:val="caption"/>
    <w:basedOn w:val="Normal"/>
    <w:next w:val="Normal"/>
    <w:uiPriority w:val="35"/>
    <w:semiHidden/>
    <w:unhideWhenUsed/>
    <w:qFormat/>
    <w:rsid w:val="00A437C8"/>
    <w:pPr>
      <w:spacing w:after="200" w:line="240" w:lineRule="auto"/>
      <w:jc w:val="both"/>
    </w:pPr>
    <w:rPr>
      <w:rFonts w:ascii="Times New Roman" w:eastAsiaTheme="minorHAnsi" w:hAnsi="Times New Roman" w:cs="Times New Roman"/>
      <w:i/>
      <w:iCs/>
      <w:color w:val="0E2841" w:themeColor="text2"/>
      <w:sz w:val="18"/>
      <w:szCs w:val="18"/>
      <w14:ligatures w14:val="standardContextual"/>
    </w:rPr>
  </w:style>
  <w:style w:type="paragraph" w:styleId="TableofFigures">
    <w:name w:val="table of figures"/>
    <w:basedOn w:val="Normal"/>
    <w:next w:val="Normal"/>
    <w:uiPriority w:val="99"/>
    <w:semiHidden/>
    <w:unhideWhenUsed/>
    <w:rsid w:val="00A437C8"/>
    <w:pPr>
      <w:spacing w:before="120" w:after="0" w:line="240" w:lineRule="auto"/>
      <w:jc w:val="both"/>
    </w:pPr>
    <w:rPr>
      <w:rFonts w:ascii="Times New Roman" w:eastAsiaTheme="minorHAnsi" w:hAnsi="Times New Roman" w:cs="Times New Roman"/>
      <w:szCs w:val="22"/>
      <w14:ligatures w14:val="standardContextual"/>
    </w:rPr>
  </w:style>
  <w:style w:type="paragraph" w:styleId="ListNumber">
    <w:name w:val="List Number"/>
    <w:basedOn w:val="Normal"/>
    <w:uiPriority w:val="99"/>
    <w:semiHidden/>
    <w:unhideWhenUsed/>
    <w:rsid w:val="00A437C8"/>
    <w:pPr>
      <w:numPr>
        <w:numId w:val="23"/>
      </w:numPr>
      <w:tabs>
        <w:tab w:val="clear" w:pos="360"/>
        <w:tab w:val="num" w:pos="3118"/>
      </w:tabs>
      <w:spacing w:before="120" w:after="120" w:line="240" w:lineRule="auto"/>
      <w:ind w:left="0" w:firstLine="0"/>
      <w:contextualSpacing/>
      <w:jc w:val="both"/>
    </w:pPr>
    <w:rPr>
      <w:rFonts w:ascii="Times New Roman" w:eastAsiaTheme="minorHAnsi" w:hAnsi="Times New Roman" w:cs="Times New Roman"/>
      <w:szCs w:val="22"/>
      <w14:ligatures w14:val="standardContextual"/>
    </w:rPr>
  </w:style>
  <w:style w:type="paragraph" w:styleId="ListNumber2">
    <w:name w:val="List Number 2"/>
    <w:basedOn w:val="Normal"/>
    <w:uiPriority w:val="99"/>
    <w:semiHidden/>
    <w:unhideWhenUsed/>
    <w:rsid w:val="00A437C8"/>
    <w:pPr>
      <w:numPr>
        <w:numId w:val="24"/>
      </w:numPr>
      <w:tabs>
        <w:tab w:val="clear" w:pos="643"/>
        <w:tab w:val="num" w:pos="850"/>
      </w:tabs>
      <w:spacing w:before="120" w:after="120" w:line="240" w:lineRule="auto"/>
      <w:ind w:left="0" w:firstLine="0"/>
      <w:contextualSpacing/>
      <w:jc w:val="both"/>
    </w:pPr>
    <w:rPr>
      <w:rFonts w:ascii="Times New Roman" w:eastAsiaTheme="minorHAnsi" w:hAnsi="Times New Roman" w:cs="Times New Roman"/>
      <w:szCs w:val="22"/>
      <w14:ligatures w14:val="standardContextual"/>
    </w:rPr>
  </w:style>
  <w:style w:type="paragraph" w:styleId="ListNumber3">
    <w:name w:val="List Number 3"/>
    <w:basedOn w:val="Normal"/>
    <w:uiPriority w:val="99"/>
    <w:semiHidden/>
    <w:unhideWhenUsed/>
    <w:rsid w:val="00A437C8"/>
    <w:pPr>
      <w:numPr>
        <w:numId w:val="25"/>
      </w:numPr>
      <w:tabs>
        <w:tab w:val="clear" w:pos="926"/>
        <w:tab w:val="num" w:pos="850"/>
      </w:tabs>
      <w:spacing w:before="120" w:after="120" w:line="240" w:lineRule="auto"/>
      <w:ind w:left="0" w:firstLine="0"/>
      <w:contextualSpacing/>
      <w:jc w:val="both"/>
    </w:pPr>
    <w:rPr>
      <w:rFonts w:ascii="Times New Roman" w:eastAsiaTheme="minorHAnsi" w:hAnsi="Times New Roman" w:cs="Times New Roman"/>
      <w:szCs w:val="22"/>
      <w14:ligatures w14:val="standardContextual"/>
    </w:rPr>
  </w:style>
  <w:style w:type="paragraph" w:styleId="ListNumber4">
    <w:name w:val="List Number 4"/>
    <w:basedOn w:val="Normal"/>
    <w:uiPriority w:val="99"/>
    <w:semiHidden/>
    <w:unhideWhenUsed/>
    <w:rsid w:val="00A437C8"/>
    <w:pPr>
      <w:numPr>
        <w:numId w:val="26"/>
      </w:numPr>
      <w:tabs>
        <w:tab w:val="clear" w:pos="5888"/>
        <w:tab w:val="num" w:pos="850"/>
      </w:tabs>
      <w:spacing w:before="120" w:after="120" w:line="240" w:lineRule="auto"/>
      <w:ind w:left="0" w:firstLine="0"/>
      <w:contextualSpacing/>
      <w:jc w:val="both"/>
    </w:pPr>
    <w:rPr>
      <w:rFonts w:ascii="Times New Roman" w:eastAsiaTheme="minorHAnsi" w:hAnsi="Times New Roman" w:cs="Times New Roman"/>
      <w:szCs w:val="22"/>
      <w14:ligatures w14:val="standardContextual"/>
    </w:rPr>
  </w:style>
  <w:style w:type="character" w:styleId="Hyperlink">
    <w:name w:val="Hyperlink"/>
    <w:basedOn w:val="DefaultParagraphFont"/>
    <w:uiPriority w:val="99"/>
    <w:unhideWhenUsed/>
    <w:rsid w:val="00A437C8"/>
    <w:rPr>
      <w:color w:val="467886" w:themeColor="hyperlink"/>
      <w:u w:val="single"/>
    </w:rPr>
  </w:style>
  <w:style w:type="paragraph" w:styleId="FootnoteText">
    <w:name w:val="footnote text"/>
    <w:aliases w:val="Char1,Footnote Text Char3 Char,Footnote Text Char1 Char1 Char,Footnote Text Char2 Char Char Char,Footnote Text Char1 Char1 Char Char Char,Footnote Text Char2 Char Char Char Char Char,Footnote Text Char3,fn,Plonk,o,f,Ch,single space,ft,Plo"/>
    <w:basedOn w:val="Normal"/>
    <w:link w:val="FootnoteTextChar"/>
    <w:uiPriority w:val="99"/>
    <w:unhideWhenUsed/>
    <w:qFormat/>
    <w:rsid w:val="00A437C8"/>
    <w:pPr>
      <w:spacing w:after="0" w:line="240" w:lineRule="auto"/>
      <w:ind w:left="720" w:hanging="720"/>
      <w:jc w:val="both"/>
    </w:pPr>
    <w:rPr>
      <w:rFonts w:ascii="Times New Roman" w:eastAsiaTheme="minorHAnsi" w:hAnsi="Times New Roman" w:cs="Times New Roman"/>
      <w:sz w:val="20"/>
      <w:szCs w:val="20"/>
      <w14:ligatures w14:val="standardContextual"/>
    </w:rPr>
  </w:style>
  <w:style w:type="character" w:customStyle="1" w:styleId="FootnoteTextChar">
    <w:name w:val="Footnote Text Char"/>
    <w:aliases w:val="Char1 Char,Footnote Text Char3 Char Char,Footnote Text Char1 Char1 Char Char,Footnote Text Char2 Char Char Char Char,Footnote Text Char1 Char1 Char Char Char Char,Footnote Text Char2 Char Char Char Char Char Char,fn Char,Plonk Char"/>
    <w:basedOn w:val="DefaultParagraphFont"/>
    <w:link w:val="FootnoteText"/>
    <w:uiPriority w:val="99"/>
    <w:rsid w:val="00A437C8"/>
    <w:rPr>
      <w:rFonts w:ascii="Times New Roman" w:eastAsiaTheme="minorHAnsi" w:hAnsi="Times New Roman" w:cs="Times New Roman"/>
      <w:sz w:val="20"/>
      <w:szCs w:val="20"/>
      <w14:ligatures w14:val="standardContextual"/>
    </w:rPr>
  </w:style>
  <w:style w:type="paragraph" w:styleId="TOCHeading">
    <w:name w:val="TOC Heading"/>
    <w:basedOn w:val="Normal"/>
    <w:next w:val="Normal"/>
    <w:uiPriority w:val="39"/>
    <w:semiHidden/>
    <w:unhideWhenUsed/>
    <w:qFormat/>
    <w:rsid w:val="00A437C8"/>
    <w:pPr>
      <w:spacing w:before="120" w:after="240" w:line="240" w:lineRule="auto"/>
      <w:jc w:val="center"/>
    </w:pPr>
    <w:rPr>
      <w:rFonts w:ascii="Times New Roman" w:eastAsiaTheme="minorHAnsi" w:hAnsi="Times New Roman" w:cs="Times New Roman"/>
      <w:b/>
      <w:sz w:val="28"/>
      <w:szCs w:val="22"/>
      <w14:ligatures w14:val="standardContextual"/>
    </w:rPr>
  </w:style>
  <w:style w:type="paragraph" w:styleId="TOC1">
    <w:name w:val="toc 1"/>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14:ligatures w14:val="standardContextual"/>
    </w:rPr>
  </w:style>
  <w:style w:type="paragraph" w:styleId="TOC2">
    <w:name w:val="toc 2"/>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14:ligatures w14:val="standardContextual"/>
    </w:rPr>
  </w:style>
  <w:style w:type="paragraph" w:styleId="TOC3">
    <w:name w:val="toc 3"/>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14:ligatures w14:val="standardContextual"/>
    </w:rPr>
  </w:style>
  <w:style w:type="paragraph" w:styleId="TOC4">
    <w:name w:val="toc 4"/>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14:ligatures w14:val="standardContextual"/>
    </w:rPr>
  </w:style>
  <w:style w:type="paragraph" w:styleId="TOC5">
    <w:name w:val="toc 5"/>
    <w:basedOn w:val="Normal"/>
    <w:next w:val="Normal"/>
    <w:uiPriority w:val="39"/>
    <w:semiHidden/>
    <w:unhideWhenUsed/>
    <w:rsid w:val="00A437C8"/>
    <w:pPr>
      <w:tabs>
        <w:tab w:val="right" w:leader="dot" w:pos="9071"/>
      </w:tabs>
      <w:spacing w:before="300" w:after="120" w:line="240" w:lineRule="auto"/>
    </w:pPr>
    <w:rPr>
      <w:rFonts w:ascii="Times New Roman" w:eastAsiaTheme="minorHAnsi" w:hAnsi="Times New Roman" w:cs="Times New Roman"/>
      <w:szCs w:val="22"/>
      <w14:ligatures w14:val="standardContextual"/>
    </w:rPr>
  </w:style>
  <w:style w:type="paragraph" w:styleId="TOC6">
    <w:name w:val="toc 6"/>
    <w:basedOn w:val="Normal"/>
    <w:next w:val="Normal"/>
    <w:uiPriority w:val="39"/>
    <w:semiHidden/>
    <w:unhideWhenUsed/>
    <w:rsid w:val="00A437C8"/>
    <w:pPr>
      <w:tabs>
        <w:tab w:val="right" w:leader="dot" w:pos="9071"/>
      </w:tabs>
      <w:spacing w:before="240" w:after="120" w:line="240" w:lineRule="auto"/>
    </w:pPr>
    <w:rPr>
      <w:rFonts w:ascii="Times New Roman" w:eastAsiaTheme="minorHAnsi" w:hAnsi="Times New Roman" w:cs="Times New Roman"/>
      <w:szCs w:val="22"/>
      <w14:ligatures w14:val="standardContextual"/>
    </w:rPr>
  </w:style>
  <w:style w:type="paragraph" w:styleId="TOC7">
    <w:name w:val="toc 7"/>
    <w:basedOn w:val="Normal"/>
    <w:next w:val="Normal"/>
    <w:uiPriority w:val="39"/>
    <w:semiHidden/>
    <w:unhideWhenUsed/>
    <w:rsid w:val="00A437C8"/>
    <w:pPr>
      <w:tabs>
        <w:tab w:val="right" w:leader="dot" w:pos="9071"/>
      </w:tabs>
      <w:spacing w:before="180" w:after="120" w:line="240" w:lineRule="auto"/>
    </w:pPr>
    <w:rPr>
      <w:rFonts w:ascii="Times New Roman" w:eastAsiaTheme="minorHAnsi" w:hAnsi="Times New Roman" w:cs="Times New Roman"/>
      <w:szCs w:val="22"/>
      <w14:ligatures w14:val="standardContextual"/>
    </w:rPr>
  </w:style>
  <w:style w:type="paragraph" w:styleId="TOC8">
    <w:name w:val="toc 8"/>
    <w:basedOn w:val="Normal"/>
    <w:next w:val="Normal"/>
    <w:uiPriority w:val="39"/>
    <w:semiHidden/>
    <w:unhideWhenUsed/>
    <w:rsid w:val="00A437C8"/>
    <w:pPr>
      <w:tabs>
        <w:tab w:val="right" w:leader="dot" w:pos="9071"/>
      </w:tabs>
      <w:spacing w:before="120" w:after="120" w:line="240" w:lineRule="auto"/>
    </w:pPr>
    <w:rPr>
      <w:rFonts w:ascii="Times New Roman" w:eastAsiaTheme="minorHAnsi" w:hAnsi="Times New Roman" w:cs="Times New Roman"/>
      <w:szCs w:val="22"/>
      <w14:ligatures w14:val="standardContextual"/>
    </w:rPr>
  </w:style>
  <w:style w:type="paragraph" w:styleId="TOC9">
    <w:name w:val="toc 9"/>
    <w:basedOn w:val="Normal"/>
    <w:next w:val="Normal"/>
    <w:uiPriority w:val="39"/>
    <w:semiHidden/>
    <w:unhideWhenUsed/>
    <w:rsid w:val="00A437C8"/>
    <w:pPr>
      <w:tabs>
        <w:tab w:val="right" w:leader="dot" w:pos="9071"/>
      </w:tabs>
      <w:spacing w:before="120" w:after="120" w:line="240" w:lineRule="auto"/>
      <w:jc w:val="both"/>
    </w:pPr>
    <w:rPr>
      <w:rFonts w:ascii="Times New Roman" w:eastAsiaTheme="minorHAnsi" w:hAnsi="Times New Roman" w:cs="Times New Roman"/>
      <w:szCs w:val="22"/>
      <w14:ligatures w14:val="standardContextual"/>
    </w:rPr>
  </w:style>
  <w:style w:type="character" w:styleId="FootnoteReference">
    <w:name w:val="footnote reference"/>
    <w:basedOn w:val="DefaultParagraphFont"/>
    <w:uiPriority w:val="99"/>
    <w:unhideWhenUsed/>
    <w:rsid w:val="00A437C8"/>
    <w:rPr>
      <w:shd w:val="clear" w:color="auto" w:fill="auto"/>
      <w:vertAlign w:val="superscript"/>
    </w:rPr>
  </w:style>
  <w:style w:type="paragraph" w:customStyle="1" w:styleId="Text1">
    <w:name w:val="Text 1"/>
    <w:basedOn w:val="Normal"/>
    <w:rsid w:val="00A437C8"/>
    <w:pPr>
      <w:spacing w:before="120" w:after="120" w:line="240" w:lineRule="auto"/>
      <w:ind w:left="850"/>
      <w:jc w:val="both"/>
    </w:pPr>
    <w:rPr>
      <w:rFonts w:ascii="Times New Roman" w:eastAsiaTheme="minorHAnsi" w:hAnsi="Times New Roman" w:cs="Times New Roman"/>
      <w:szCs w:val="22"/>
      <w14:ligatures w14:val="standardContextual"/>
    </w:rPr>
  </w:style>
  <w:style w:type="paragraph" w:customStyle="1" w:styleId="Text2">
    <w:name w:val="Text 2"/>
    <w:basedOn w:val="Normal"/>
    <w:rsid w:val="00A437C8"/>
    <w:pPr>
      <w:spacing w:before="120" w:after="120" w:line="240" w:lineRule="auto"/>
      <w:ind w:left="1417"/>
      <w:jc w:val="both"/>
    </w:pPr>
    <w:rPr>
      <w:rFonts w:ascii="Times New Roman" w:eastAsiaTheme="minorHAnsi" w:hAnsi="Times New Roman" w:cs="Times New Roman"/>
      <w:szCs w:val="22"/>
      <w14:ligatures w14:val="standardContextual"/>
    </w:rPr>
  </w:style>
  <w:style w:type="paragraph" w:customStyle="1" w:styleId="Text3">
    <w:name w:val="Text 3"/>
    <w:basedOn w:val="Normal"/>
    <w:rsid w:val="00A437C8"/>
    <w:pPr>
      <w:spacing w:before="120" w:after="120" w:line="240" w:lineRule="auto"/>
      <w:ind w:left="1984"/>
      <w:jc w:val="both"/>
    </w:pPr>
    <w:rPr>
      <w:rFonts w:ascii="Times New Roman" w:eastAsiaTheme="minorHAnsi" w:hAnsi="Times New Roman" w:cs="Times New Roman"/>
      <w:szCs w:val="22"/>
      <w14:ligatures w14:val="standardContextual"/>
    </w:rPr>
  </w:style>
  <w:style w:type="paragraph" w:customStyle="1" w:styleId="Text4">
    <w:name w:val="Text 4"/>
    <w:basedOn w:val="Normal"/>
    <w:rsid w:val="00A437C8"/>
    <w:pPr>
      <w:spacing w:before="120" w:after="120" w:line="240" w:lineRule="auto"/>
      <w:ind w:left="2551"/>
      <w:jc w:val="both"/>
    </w:pPr>
    <w:rPr>
      <w:rFonts w:ascii="Times New Roman" w:eastAsiaTheme="minorHAnsi" w:hAnsi="Times New Roman" w:cs="Times New Roman"/>
      <w:szCs w:val="22"/>
      <w14:ligatures w14:val="standardContextual"/>
    </w:rPr>
  </w:style>
  <w:style w:type="paragraph" w:customStyle="1" w:styleId="NormalCentered">
    <w:name w:val="Normal Centered"/>
    <w:basedOn w:val="Normal"/>
    <w:rsid w:val="00A437C8"/>
    <w:pPr>
      <w:spacing w:before="120" w:after="120" w:line="240" w:lineRule="auto"/>
      <w:jc w:val="center"/>
    </w:pPr>
    <w:rPr>
      <w:rFonts w:ascii="Times New Roman" w:eastAsiaTheme="minorHAnsi" w:hAnsi="Times New Roman" w:cs="Times New Roman"/>
      <w:szCs w:val="22"/>
      <w14:ligatures w14:val="standardContextual"/>
    </w:rPr>
  </w:style>
  <w:style w:type="paragraph" w:customStyle="1" w:styleId="NormalLeft">
    <w:name w:val="Normal Left"/>
    <w:basedOn w:val="Normal"/>
    <w:rsid w:val="00A437C8"/>
    <w:pPr>
      <w:spacing w:before="120" w:after="120" w:line="240" w:lineRule="auto"/>
    </w:pPr>
    <w:rPr>
      <w:rFonts w:ascii="Times New Roman" w:eastAsiaTheme="minorHAnsi" w:hAnsi="Times New Roman" w:cs="Times New Roman"/>
      <w:szCs w:val="22"/>
      <w14:ligatures w14:val="standardContextual"/>
    </w:rPr>
  </w:style>
  <w:style w:type="paragraph" w:customStyle="1" w:styleId="NormalRight">
    <w:name w:val="Normal Right"/>
    <w:basedOn w:val="Normal"/>
    <w:rsid w:val="00A437C8"/>
    <w:pPr>
      <w:spacing w:before="120" w:after="120" w:line="240" w:lineRule="auto"/>
      <w:jc w:val="right"/>
    </w:pPr>
    <w:rPr>
      <w:rFonts w:ascii="Times New Roman" w:eastAsiaTheme="minorHAnsi" w:hAnsi="Times New Roman" w:cs="Times New Roman"/>
      <w:szCs w:val="22"/>
      <w14:ligatures w14:val="standardContextual"/>
    </w:rPr>
  </w:style>
  <w:style w:type="paragraph" w:customStyle="1" w:styleId="QuotedText">
    <w:name w:val="Quoted Text"/>
    <w:basedOn w:val="Normal"/>
    <w:rsid w:val="00A437C8"/>
    <w:pPr>
      <w:spacing w:before="120" w:after="120" w:line="240" w:lineRule="auto"/>
      <w:ind w:left="1417"/>
      <w:jc w:val="both"/>
    </w:pPr>
    <w:rPr>
      <w:rFonts w:ascii="Times New Roman" w:eastAsiaTheme="minorHAnsi" w:hAnsi="Times New Roman" w:cs="Times New Roman"/>
      <w:szCs w:val="22"/>
      <w14:ligatures w14:val="standardContextual"/>
    </w:rPr>
  </w:style>
  <w:style w:type="paragraph" w:customStyle="1" w:styleId="Point0">
    <w:name w:val="Point 0"/>
    <w:basedOn w:val="Normal"/>
    <w:rsid w:val="00A437C8"/>
    <w:pPr>
      <w:spacing w:before="120" w:after="120" w:line="240" w:lineRule="auto"/>
      <w:ind w:left="850" w:hanging="850"/>
      <w:jc w:val="both"/>
    </w:pPr>
    <w:rPr>
      <w:rFonts w:ascii="Times New Roman" w:eastAsiaTheme="minorHAnsi" w:hAnsi="Times New Roman" w:cs="Times New Roman"/>
      <w:szCs w:val="22"/>
      <w14:ligatures w14:val="standardContextual"/>
    </w:rPr>
  </w:style>
  <w:style w:type="paragraph" w:customStyle="1" w:styleId="Point1">
    <w:name w:val="Point 1"/>
    <w:basedOn w:val="Normal"/>
    <w:rsid w:val="00A437C8"/>
    <w:pPr>
      <w:spacing w:before="120" w:after="120" w:line="240" w:lineRule="auto"/>
      <w:ind w:left="1417" w:hanging="567"/>
      <w:jc w:val="both"/>
    </w:pPr>
    <w:rPr>
      <w:rFonts w:ascii="Times New Roman" w:eastAsiaTheme="minorHAnsi" w:hAnsi="Times New Roman" w:cs="Times New Roman"/>
      <w:szCs w:val="22"/>
      <w14:ligatures w14:val="standardContextual"/>
    </w:rPr>
  </w:style>
  <w:style w:type="paragraph" w:customStyle="1" w:styleId="Point2">
    <w:name w:val="Point 2"/>
    <w:basedOn w:val="Normal"/>
    <w:rsid w:val="00A437C8"/>
    <w:pPr>
      <w:spacing w:before="120" w:after="120" w:line="240" w:lineRule="auto"/>
      <w:ind w:left="1984" w:hanging="567"/>
      <w:jc w:val="both"/>
    </w:pPr>
    <w:rPr>
      <w:rFonts w:ascii="Times New Roman" w:eastAsiaTheme="minorHAnsi" w:hAnsi="Times New Roman" w:cs="Times New Roman"/>
      <w:szCs w:val="22"/>
      <w14:ligatures w14:val="standardContextual"/>
    </w:rPr>
  </w:style>
  <w:style w:type="paragraph" w:customStyle="1" w:styleId="Point3">
    <w:name w:val="Point 3"/>
    <w:basedOn w:val="Normal"/>
    <w:rsid w:val="00A437C8"/>
    <w:pPr>
      <w:spacing w:before="120" w:after="120" w:line="240" w:lineRule="auto"/>
      <w:ind w:left="2551" w:hanging="567"/>
      <w:jc w:val="both"/>
    </w:pPr>
    <w:rPr>
      <w:rFonts w:ascii="Times New Roman" w:eastAsiaTheme="minorHAnsi" w:hAnsi="Times New Roman" w:cs="Times New Roman"/>
      <w:szCs w:val="22"/>
      <w14:ligatures w14:val="standardContextual"/>
    </w:rPr>
  </w:style>
  <w:style w:type="paragraph" w:customStyle="1" w:styleId="Point4">
    <w:name w:val="Point 4"/>
    <w:basedOn w:val="Normal"/>
    <w:rsid w:val="00A437C8"/>
    <w:pPr>
      <w:spacing w:before="120" w:after="120" w:line="240" w:lineRule="auto"/>
      <w:ind w:left="3118" w:hanging="567"/>
      <w:jc w:val="both"/>
    </w:pPr>
    <w:rPr>
      <w:rFonts w:ascii="Times New Roman" w:eastAsiaTheme="minorHAnsi" w:hAnsi="Times New Roman" w:cs="Times New Roman"/>
      <w:szCs w:val="22"/>
      <w14:ligatures w14:val="standardContextual"/>
    </w:rPr>
  </w:style>
  <w:style w:type="paragraph" w:customStyle="1" w:styleId="Tiret0">
    <w:name w:val="Tiret 0"/>
    <w:basedOn w:val="Point0"/>
    <w:rsid w:val="00A437C8"/>
    <w:pPr>
      <w:numPr>
        <w:numId w:val="27"/>
      </w:numPr>
      <w:tabs>
        <w:tab w:val="clear" w:pos="850"/>
        <w:tab w:val="num" w:pos="1417"/>
      </w:tabs>
      <w:ind w:left="0" w:firstLine="0"/>
    </w:pPr>
  </w:style>
  <w:style w:type="paragraph" w:customStyle="1" w:styleId="Tiret1">
    <w:name w:val="Tiret 1"/>
    <w:basedOn w:val="Point1"/>
    <w:rsid w:val="00A437C8"/>
    <w:pPr>
      <w:numPr>
        <w:numId w:val="28"/>
      </w:numPr>
      <w:tabs>
        <w:tab w:val="clear" w:pos="1417"/>
        <w:tab w:val="num" w:pos="1984"/>
      </w:tabs>
      <w:ind w:left="0" w:firstLine="0"/>
    </w:pPr>
  </w:style>
  <w:style w:type="paragraph" w:customStyle="1" w:styleId="Tiret2">
    <w:name w:val="Tiret 2"/>
    <w:basedOn w:val="Point2"/>
    <w:rsid w:val="00A437C8"/>
    <w:pPr>
      <w:numPr>
        <w:numId w:val="29"/>
      </w:numPr>
      <w:tabs>
        <w:tab w:val="clear" w:pos="1984"/>
        <w:tab w:val="num" w:pos="2551"/>
      </w:tabs>
      <w:ind w:left="0" w:firstLine="0"/>
    </w:pPr>
  </w:style>
  <w:style w:type="paragraph" w:customStyle="1" w:styleId="Tiret3">
    <w:name w:val="Tiret 3"/>
    <w:basedOn w:val="Point3"/>
    <w:rsid w:val="00A437C8"/>
    <w:pPr>
      <w:numPr>
        <w:numId w:val="30"/>
      </w:numPr>
      <w:tabs>
        <w:tab w:val="clear" w:pos="2551"/>
        <w:tab w:val="num" w:pos="3118"/>
      </w:tabs>
      <w:ind w:left="0" w:firstLine="0"/>
    </w:pPr>
  </w:style>
  <w:style w:type="paragraph" w:customStyle="1" w:styleId="Tiret4">
    <w:name w:val="Tiret 4"/>
    <w:basedOn w:val="Point4"/>
    <w:rsid w:val="00A437C8"/>
    <w:pPr>
      <w:numPr>
        <w:numId w:val="31"/>
      </w:numPr>
      <w:tabs>
        <w:tab w:val="clear" w:pos="3118"/>
        <w:tab w:val="num" w:pos="709"/>
      </w:tabs>
      <w:ind w:left="0" w:firstLine="0"/>
    </w:pPr>
  </w:style>
  <w:style w:type="paragraph" w:customStyle="1" w:styleId="PointDouble0">
    <w:name w:val="PointDouble 0"/>
    <w:basedOn w:val="Normal"/>
    <w:rsid w:val="00A437C8"/>
    <w:pPr>
      <w:tabs>
        <w:tab w:val="left" w:pos="850"/>
      </w:tabs>
      <w:spacing w:before="120" w:after="120" w:line="240" w:lineRule="auto"/>
      <w:ind w:left="1417" w:hanging="1417"/>
      <w:jc w:val="both"/>
    </w:pPr>
    <w:rPr>
      <w:rFonts w:ascii="Times New Roman" w:eastAsiaTheme="minorHAnsi" w:hAnsi="Times New Roman" w:cs="Times New Roman"/>
      <w:szCs w:val="22"/>
      <w14:ligatures w14:val="standardContextual"/>
    </w:rPr>
  </w:style>
  <w:style w:type="paragraph" w:customStyle="1" w:styleId="PointDouble1">
    <w:name w:val="PointDouble 1"/>
    <w:basedOn w:val="Normal"/>
    <w:rsid w:val="00A437C8"/>
    <w:pPr>
      <w:tabs>
        <w:tab w:val="left" w:pos="1417"/>
      </w:tabs>
      <w:spacing w:before="120" w:after="120" w:line="240" w:lineRule="auto"/>
      <w:ind w:left="1984" w:hanging="1134"/>
      <w:jc w:val="both"/>
    </w:pPr>
    <w:rPr>
      <w:rFonts w:ascii="Times New Roman" w:eastAsiaTheme="minorHAnsi" w:hAnsi="Times New Roman" w:cs="Times New Roman"/>
      <w:szCs w:val="22"/>
      <w14:ligatures w14:val="standardContextual"/>
    </w:rPr>
  </w:style>
  <w:style w:type="paragraph" w:customStyle="1" w:styleId="PointDouble2">
    <w:name w:val="PointDouble 2"/>
    <w:basedOn w:val="Normal"/>
    <w:rsid w:val="00A437C8"/>
    <w:pPr>
      <w:tabs>
        <w:tab w:val="left" w:pos="1984"/>
      </w:tabs>
      <w:spacing w:before="120" w:after="120" w:line="240" w:lineRule="auto"/>
      <w:ind w:left="2551" w:hanging="1134"/>
      <w:jc w:val="both"/>
    </w:pPr>
    <w:rPr>
      <w:rFonts w:ascii="Times New Roman" w:eastAsiaTheme="minorHAnsi" w:hAnsi="Times New Roman" w:cs="Times New Roman"/>
      <w:szCs w:val="22"/>
      <w14:ligatures w14:val="standardContextual"/>
    </w:rPr>
  </w:style>
  <w:style w:type="paragraph" w:customStyle="1" w:styleId="PointDouble3">
    <w:name w:val="PointDouble 3"/>
    <w:basedOn w:val="Normal"/>
    <w:rsid w:val="00A437C8"/>
    <w:pPr>
      <w:tabs>
        <w:tab w:val="left" w:pos="2551"/>
      </w:tabs>
      <w:spacing w:before="120" w:after="120" w:line="240" w:lineRule="auto"/>
      <w:ind w:left="3118" w:hanging="1134"/>
      <w:jc w:val="both"/>
    </w:pPr>
    <w:rPr>
      <w:rFonts w:ascii="Times New Roman" w:eastAsiaTheme="minorHAnsi" w:hAnsi="Times New Roman" w:cs="Times New Roman"/>
      <w:szCs w:val="22"/>
      <w14:ligatures w14:val="standardContextual"/>
    </w:rPr>
  </w:style>
  <w:style w:type="paragraph" w:customStyle="1" w:styleId="PointDouble4">
    <w:name w:val="PointDouble 4"/>
    <w:basedOn w:val="Normal"/>
    <w:rsid w:val="00A437C8"/>
    <w:pPr>
      <w:tabs>
        <w:tab w:val="left" w:pos="3118"/>
      </w:tabs>
      <w:spacing w:before="120" w:after="120" w:line="240" w:lineRule="auto"/>
      <w:ind w:left="3685" w:hanging="1134"/>
      <w:jc w:val="both"/>
    </w:pPr>
    <w:rPr>
      <w:rFonts w:ascii="Times New Roman" w:eastAsiaTheme="minorHAnsi" w:hAnsi="Times New Roman" w:cs="Times New Roman"/>
      <w:szCs w:val="22"/>
      <w14:ligatures w14:val="standardContextual"/>
    </w:rPr>
  </w:style>
  <w:style w:type="paragraph" w:customStyle="1" w:styleId="PointTriple0">
    <w:name w:val="PointTriple 0"/>
    <w:basedOn w:val="Normal"/>
    <w:rsid w:val="00A437C8"/>
    <w:pPr>
      <w:tabs>
        <w:tab w:val="left" w:pos="850"/>
        <w:tab w:val="left" w:pos="1417"/>
      </w:tabs>
      <w:spacing w:before="120" w:after="120" w:line="240" w:lineRule="auto"/>
      <w:ind w:left="1984" w:hanging="1984"/>
      <w:jc w:val="both"/>
    </w:pPr>
    <w:rPr>
      <w:rFonts w:ascii="Times New Roman" w:eastAsiaTheme="minorHAnsi" w:hAnsi="Times New Roman" w:cs="Times New Roman"/>
      <w:szCs w:val="22"/>
      <w14:ligatures w14:val="standardContextual"/>
    </w:rPr>
  </w:style>
  <w:style w:type="paragraph" w:customStyle="1" w:styleId="PointTriple1">
    <w:name w:val="PointTriple 1"/>
    <w:basedOn w:val="Normal"/>
    <w:rsid w:val="00A437C8"/>
    <w:pPr>
      <w:tabs>
        <w:tab w:val="left" w:pos="1417"/>
        <w:tab w:val="left" w:pos="1984"/>
      </w:tabs>
      <w:spacing w:before="120" w:after="120" w:line="240" w:lineRule="auto"/>
      <w:ind w:left="2551" w:hanging="1701"/>
      <w:jc w:val="both"/>
    </w:pPr>
    <w:rPr>
      <w:rFonts w:ascii="Times New Roman" w:eastAsiaTheme="minorHAnsi" w:hAnsi="Times New Roman" w:cs="Times New Roman"/>
      <w:szCs w:val="22"/>
      <w14:ligatures w14:val="standardContextual"/>
    </w:rPr>
  </w:style>
  <w:style w:type="paragraph" w:customStyle="1" w:styleId="PointTriple2">
    <w:name w:val="PointTriple 2"/>
    <w:basedOn w:val="Normal"/>
    <w:rsid w:val="00A437C8"/>
    <w:pPr>
      <w:tabs>
        <w:tab w:val="left" w:pos="1984"/>
        <w:tab w:val="left" w:pos="2551"/>
      </w:tabs>
      <w:spacing w:before="120" w:after="120" w:line="240" w:lineRule="auto"/>
      <w:ind w:left="3118" w:hanging="1701"/>
      <w:jc w:val="both"/>
    </w:pPr>
    <w:rPr>
      <w:rFonts w:ascii="Times New Roman" w:eastAsiaTheme="minorHAnsi" w:hAnsi="Times New Roman" w:cs="Times New Roman"/>
      <w:szCs w:val="22"/>
      <w14:ligatures w14:val="standardContextual"/>
    </w:rPr>
  </w:style>
  <w:style w:type="paragraph" w:customStyle="1" w:styleId="PointTriple3">
    <w:name w:val="PointTriple 3"/>
    <w:basedOn w:val="Normal"/>
    <w:rsid w:val="00A437C8"/>
    <w:pPr>
      <w:tabs>
        <w:tab w:val="left" w:pos="2551"/>
        <w:tab w:val="left" w:pos="3118"/>
      </w:tabs>
      <w:spacing w:before="120" w:after="120" w:line="240" w:lineRule="auto"/>
      <w:ind w:left="3685" w:hanging="1701"/>
      <w:jc w:val="both"/>
    </w:pPr>
    <w:rPr>
      <w:rFonts w:ascii="Times New Roman" w:eastAsiaTheme="minorHAnsi" w:hAnsi="Times New Roman" w:cs="Times New Roman"/>
      <w:szCs w:val="22"/>
      <w14:ligatures w14:val="standardContextual"/>
    </w:rPr>
  </w:style>
  <w:style w:type="paragraph" w:customStyle="1" w:styleId="PointTriple4">
    <w:name w:val="PointTriple 4"/>
    <w:basedOn w:val="Normal"/>
    <w:rsid w:val="00A437C8"/>
    <w:pPr>
      <w:tabs>
        <w:tab w:val="left" w:pos="3118"/>
        <w:tab w:val="left" w:pos="3685"/>
      </w:tabs>
      <w:spacing w:before="120" w:after="120" w:line="240" w:lineRule="auto"/>
      <w:ind w:left="4252" w:hanging="1701"/>
      <w:jc w:val="both"/>
    </w:pPr>
    <w:rPr>
      <w:rFonts w:ascii="Times New Roman" w:eastAsiaTheme="minorHAnsi" w:hAnsi="Times New Roman" w:cs="Times New Roman"/>
      <w:szCs w:val="22"/>
      <w14:ligatures w14:val="standardContextual"/>
    </w:rPr>
  </w:style>
  <w:style w:type="paragraph" w:customStyle="1" w:styleId="NumPar1">
    <w:name w:val="NumPar 1"/>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14:ligatures w14:val="standardContextual"/>
    </w:rPr>
  </w:style>
  <w:style w:type="paragraph" w:customStyle="1" w:styleId="NumPar2">
    <w:name w:val="NumPar 2"/>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14:ligatures w14:val="standardContextual"/>
    </w:rPr>
  </w:style>
  <w:style w:type="paragraph" w:customStyle="1" w:styleId="NumPar3">
    <w:name w:val="NumPar 3"/>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14:ligatures w14:val="standardContextual"/>
    </w:rPr>
  </w:style>
  <w:style w:type="paragraph" w:customStyle="1" w:styleId="NumPar4">
    <w:name w:val="NumPar 4"/>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14:ligatures w14:val="standardContextual"/>
    </w:rPr>
  </w:style>
  <w:style w:type="paragraph" w:customStyle="1" w:styleId="ManualNumPar1">
    <w:name w:val="Manual NumPar 1"/>
    <w:basedOn w:val="Normal"/>
    <w:next w:val="Text1"/>
    <w:rsid w:val="00A437C8"/>
    <w:pPr>
      <w:spacing w:before="120" w:after="120" w:line="240" w:lineRule="auto"/>
      <w:ind w:left="850" w:hanging="850"/>
      <w:jc w:val="both"/>
    </w:pPr>
    <w:rPr>
      <w:rFonts w:ascii="Times New Roman" w:eastAsiaTheme="minorHAnsi" w:hAnsi="Times New Roman" w:cs="Times New Roman"/>
      <w:szCs w:val="22"/>
      <w14:ligatures w14:val="standardContextual"/>
    </w:rPr>
  </w:style>
  <w:style w:type="paragraph" w:customStyle="1" w:styleId="ManualNumPar2">
    <w:name w:val="Manual NumPar 2"/>
    <w:basedOn w:val="Normal"/>
    <w:next w:val="Text1"/>
    <w:rsid w:val="00A437C8"/>
    <w:pPr>
      <w:spacing w:before="120" w:after="120" w:line="240" w:lineRule="auto"/>
      <w:ind w:left="850" w:hanging="850"/>
      <w:jc w:val="both"/>
    </w:pPr>
    <w:rPr>
      <w:rFonts w:ascii="Times New Roman" w:eastAsiaTheme="minorHAnsi" w:hAnsi="Times New Roman" w:cs="Times New Roman"/>
      <w:szCs w:val="22"/>
      <w14:ligatures w14:val="standardContextual"/>
    </w:rPr>
  </w:style>
  <w:style w:type="paragraph" w:customStyle="1" w:styleId="ManualNumPar3">
    <w:name w:val="Manual NumPar 3"/>
    <w:basedOn w:val="Normal"/>
    <w:next w:val="Text1"/>
    <w:rsid w:val="00A437C8"/>
    <w:pPr>
      <w:spacing w:before="120" w:after="120" w:line="240" w:lineRule="auto"/>
      <w:ind w:left="850" w:hanging="850"/>
      <w:jc w:val="both"/>
    </w:pPr>
    <w:rPr>
      <w:rFonts w:ascii="Times New Roman" w:eastAsiaTheme="minorHAnsi" w:hAnsi="Times New Roman" w:cs="Times New Roman"/>
      <w:szCs w:val="22"/>
      <w14:ligatures w14:val="standardContextual"/>
    </w:rPr>
  </w:style>
  <w:style w:type="paragraph" w:customStyle="1" w:styleId="ManualNumPar4">
    <w:name w:val="Manual NumPar 4"/>
    <w:basedOn w:val="Normal"/>
    <w:next w:val="Text1"/>
    <w:rsid w:val="00A437C8"/>
    <w:pPr>
      <w:spacing w:before="120" w:after="120" w:line="240" w:lineRule="auto"/>
      <w:ind w:left="850" w:hanging="850"/>
      <w:jc w:val="both"/>
    </w:pPr>
    <w:rPr>
      <w:rFonts w:ascii="Times New Roman" w:eastAsiaTheme="minorHAnsi" w:hAnsi="Times New Roman" w:cs="Times New Roman"/>
      <w:szCs w:val="22"/>
      <w14:ligatures w14:val="standardContextual"/>
    </w:rPr>
  </w:style>
  <w:style w:type="paragraph" w:customStyle="1" w:styleId="QuotedNumPar">
    <w:name w:val="Quoted NumPar"/>
    <w:basedOn w:val="Normal"/>
    <w:rsid w:val="00A437C8"/>
    <w:pPr>
      <w:spacing w:before="120" w:after="120" w:line="240" w:lineRule="auto"/>
      <w:ind w:left="1417" w:hanging="567"/>
      <w:jc w:val="both"/>
    </w:pPr>
    <w:rPr>
      <w:rFonts w:ascii="Times New Roman" w:eastAsiaTheme="minorHAnsi" w:hAnsi="Times New Roman" w:cs="Times New Roman"/>
      <w:szCs w:val="22"/>
      <w14:ligatures w14:val="standardContextual"/>
    </w:rPr>
  </w:style>
  <w:style w:type="paragraph" w:customStyle="1" w:styleId="ManualHeading1">
    <w:name w:val="Manual Heading 1"/>
    <w:basedOn w:val="Normal"/>
    <w:next w:val="Text1"/>
    <w:rsid w:val="00A437C8"/>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14:ligatures w14:val="standardContextual"/>
    </w:rPr>
  </w:style>
  <w:style w:type="paragraph" w:customStyle="1" w:styleId="ManualHeading2">
    <w:name w:val="Manual Heading 2"/>
    <w:basedOn w:val="Normal"/>
    <w:next w:val="Text1"/>
    <w:rsid w:val="00A437C8"/>
    <w:pPr>
      <w:keepNext/>
      <w:tabs>
        <w:tab w:val="left" w:pos="850"/>
      </w:tabs>
      <w:spacing w:before="120" w:after="120" w:line="240" w:lineRule="auto"/>
      <w:ind w:left="850" w:hanging="850"/>
      <w:jc w:val="both"/>
      <w:outlineLvl w:val="1"/>
    </w:pPr>
    <w:rPr>
      <w:rFonts w:ascii="Times New Roman" w:eastAsiaTheme="minorHAnsi" w:hAnsi="Times New Roman" w:cs="Times New Roman"/>
      <w:b/>
      <w:szCs w:val="22"/>
      <w14:ligatures w14:val="standardContextual"/>
    </w:rPr>
  </w:style>
  <w:style w:type="paragraph" w:customStyle="1" w:styleId="ManualHeading3">
    <w:name w:val="Manual Heading 3"/>
    <w:basedOn w:val="Normal"/>
    <w:next w:val="Text1"/>
    <w:rsid w:val="00A437C8"/>
    <w:pPr>
      <w:keepNext/>
      <w:tabs>
        <w:tab w:val="left" w:pos="850"/>
      </w:tabs>
      <w:spacing w:before="120" w:after="120" w:line="240" w:lineRule="auto"/>
      <w:ind w:left="850" w:hanging="850"/>
      <w:jc w:val="both"/>
      <w:outlineLvl w:val="2"/>
    </w:pPr>
    <w:rPr>
      <w:rFonts w:ascii="Times New Roman" w:eastAsiaTheme="minorHAnsi" w:hAnsi="Times New Roman" w:cs="Times New Roman"/>
      <w:i/>
      <w:szCs w:val="22"/>
      <w14:ligatures w14:val="standardContextual"/>
    </w:rPr>
  </w:style>
  <w:style w:type="paragraph" w:customStyle="1" w:styleId="ManualHeading4">
    <w:name w:val="Manual Heading 4"/>
    <w:basedOn w:val="Normal"/>
    <w:next w:val="Text1"/>
    <w:rsid w:val="00A437C8"/>
    <w:pPr>
      <w:keepNext/>
      <w:tabs>
        <w:tab w:val="left" w:pos="850"/>
      </w:tabs>
      <w:spacing w:before="120" w:after="120" w:line="240" w:lineRule="auto"/>
      <w:ind w:left="850" w:hanging="850"/>
      <w:jc w:val="both"/>
      <w:outlineLvl w:val="3"/>
    </w:pPr>
    <w:rPr>
      <w:rFonts w:ascii="Times New Roman" w:eastAsiaTheme="minorHAnsi" w:hAnsi="Times New Roman" w:cs="Times New Roman"/>
      <w:szCs w:val="22"/>
      <w14:ligatures w14:val="standardContextual"/>
    </w:rPr>
  </w:style>
  <w:style w:type="paragraph" w:customStyle="1" w:styleId="ChapterTitle">
    <w:name w:val="ChapterTitle"/>
    <w:basedOn w:val="Normal"/>
    <w:next w:val="Normal"/>
    <w:rsid w:val="00A437C8"/>
    <w:pPr>
      <w:keepNext/>
      <w:spacing w:before="120" w:after="360" w:line="240" w:lineRule="auto"/>
      <w:jc w:val="center"/>
    </w:pPr>
    <w:rPr>
      <w:rFonts w:ascii="Times New Roman" w:eastAsiaTheme="minorHAnsi" w:hAnsi="Times New Roman" w:cs="Times New Roman"/>
      <w:b/>
      <w:sz w:val="32"/>
      <w:szCs w:val="22"/>
      <w14:ligatures w14:val="standardContextual"/>
    </w:rPr>
  </w:style>
  <w:style w:type="paragraph" w:customStyle="1" w:styleId="PartTitle">
    <w:name w:val="PartTitle"/>
    <w:basedOn w:val="Normal"/>
    <w:next w:val="ChapterTitle"/>
    <w:rsid w:val="00A437C8"/>
    <w:pPr>
      <w:keepNext/>
      <w:pageBreakBefore/>
      <w:spacing w:before="120" w:after="360" w:line="240" w:lineRule="auto"/>
      <w:jc w:val="center"/>
    </w:pPr>
    <w:rPr>
      <w:rFonts w:ascii="Times New Roman" w:eastAsiaTheme="minorHAnsi" w:hAnsi="Times New Roman" w:cs="Times New Roman"/>
      <w:b/>
      <w:sz w:val="36"/>
      <w:szCs w:val="22"/>
      <w14:ligatures w14:val="standardContextual"/>
    </w:rPr>
  </w:style>
  <w:style w:type="paragraph" w:customStyle="1" w:styleId="SectionTitle">
    <w:name w:val="SectionTitle"/>
    <w:basedOn w:val="Normal"/>
    <w:next w:val="Heading1"/>
    <w:rsid w:val="00A437C8"/>
    <w:pPr>
      <w:keepNext/>
      <w:spacing w:before="120" w:after="360" w:line="240" w:lineRule="auto"/>
      <w:jc w:val="center"/>
    </w:pPr>
    <w:rPr>
      <w:rFonts w:ascii="Times New Roman" w:eastAsiaTheme="minorHAnsi" w:hAnsi="Times New Roman" w:cs="Times New Roman"/>
      <w:b/>
      <w:smallCaps/>
      <w:sz w:val="28"/>
      <w:szCs w:val="22"/>
      <w14:ligatures w14:val="standardContextual"/>
    </w:rPr>
  </w:style>
  <w:style w:type="paragraph" w:customStyle="1" w:styleId="TableTitle">
    <w:name w:val="Table Title"/>
    <w:basedOn w:val="Normal"/>
    <w:next w:val="Normal"/>
    <w:rsid w:val="00A437C8"/>
    <w:pPr>
      <w:spacing w:before="120" w:after="120" w:line="240" w:lineRule="auto"/>
      <w:jc w:val="center"/>
    </w:pPr>
    <w:rPr>
      <w:rFonts w:ascii="Times New Roman" w:eastAsiaTheme="minorHAnsi" w:hAnsi="Times New Roman" w:cs="Times New Roman"/>
      <w:b/>
      <w:szCs w:val="22"/>
      <w14:ligatures w14:val="standardContextual"/>
    </w:rPr>
  </w:style>
  <w:style w:type="character" w:customStyle="1" w:styleId="Marker1">
    <w:name w:val="Marker1"/>
    <w:basedOn w:val="DefaultParagraphFont"/>
    <w:rsid w:val="00A437C8"/>
    <w:rPr>
      <w:color w:val="008000"/>
      <w:shd w:val="clear" w:color="auto" w:fill="auto"/>
    </w:rPr>
  </w:style>
  <w:style w:type="character" w:customStyle="1" w:styleId="Marker2">
    <w:name w:val="Marker2"/>
    <w:basedOn w:val="DefaultParagraphFont"/>
    <w:rsid w:val="00A437C8"/>
    <w:rPr>
      <w:color w:val="FF0000"/>
      <w:shd w:val="clear" w:color="auto" w:fill="auto"/>
    </w:rPr>
  </w:style>
  <w:style w:type="paragraph" w:customStyle="1" w:styleId="Point0number">
    <w:name w:val="Point 0 (number)"/>
    <w:basedOn w:val="Normal"/>
    <w:rsid w:val="00A437C8"/>
    <w:pPr>
      <w:numPr>
        <w:numId w:val="32"/>
      </w:numPr>
      <w:tabs>
        <w:tab w:val="clear" w:pos="850"/>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Point1number">
    <w:name w:val="Point 1 (number)"/>
    <w:basedOn w:val="Normal"/>
    <w:rsid w:val="00A437C8"/>
    <w:pPr>
      <w:numPr>
        <w:ilvl w:val="2"/>
        <w:numId w:val="32"/>
      </w:numPr>
      <w:tabs>
        <w:tab w:val="clear" w:pos="1417"/>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Point2number">
    <w:name w:val="Point 2 (number)"/>
    <w:basedOn w:val="Normal"/>
    <w:rsid w:val="00A437C8"/>
    <w:pPr>
      <w:numPr>
        <w:ilvl w:val="4"/>
        <w:numId w:val="32"/>
      </w:numPr>
      <w:tabs>
        <w:tab w:val="clear" w:pos="1984"/>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Point3number">
    <w:name w:val="Point 3 (number)"/>
    <w:basedOn w:val="Normal"/>
    <w:rsid w:val="00A437C8"/>
    <w:pPr>
      <w:numPr>
        <w:ilvl w:val="6"/>
        <w:numId w:val="32"/>
      </w:numPr>
      <w:tabs>
        <w:tab w:val="clear" w:pos="2551"/>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Point0letter">
    <w:name w:val="Point 0 (letter)"/>
    <w:basedOn w:val="Normal"/>
    <w:rsid w:val="00A437C8"/>
    <w:pPr>
      <w:numPr>
        <w:ilvl w:val="1"/>
        <w:numId w:val="32"/>
      </w:numPr>
      <w:tabs>
        <w:tab w:val="clear" w:pos="850"/>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Point1letter">
    <w:name w:val="Point 1 (letter)"/>
    <w:basedOn w:val="Normal"/>
    <w:rsid w:val="00A437C8"/>
    <w:pPr>
      <w:numPr>
        <w:ilvl w:val="3"/>
        <w:numId w:val="32"/>
      </w:numPr>
      <w:tabs>
        <w:tab w:val="clear" w:pos="1417"/>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Point2letter">
    <w:name w:val="Point 2 (letter)"/>
    <w:basedOn w:val="Normal"/>
    <w:rsid w:val="00A437C8"/>
    <w:pPr>
      <w:numPr>
        <w:ilvl w:val="5"/>
        <w:numId w:val="32"/>
      </w:numPr>
      <w:tabs>
        <w:tab w:val="clear" w:pos="1984"/>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Point3letter">
    <w:name w:val="Point 3 (letter)"/>
    <w:basedOn w:val="Normal"/>
    <w:rsid w:val="00A437C8"/>
    <w:pPr>
      <w:numPr>
        <w:ilvl w:val="7"/>
        <w:numId w:val="32"/>
      </w:numPr>
      <w:tabs>
        <w:tab w:val="clear" w:pos="2551"/>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Point4letter">
    <w:name w:val="Point 4 (letter)"/>
    <w:basedOn w:val="Normal"/>
    <w:rsid w:val="00A437C8"/>
    <w:pPr>
      <w:numPr>
        <w:ilvl w:val="8"/>
        <w:numId w:val="32"/>
      </w:numPr>
      <w:tabs>
        <w:tab w:val="clear" w:pos="3118"/>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Bullet0">
    <w:name w:val="Bullet 0"/>
    <w:basedOn w:val="Normal"/>
    <w:rsid w:val="00A437C8"/>
    <w:pPr>
      <w:numPr>
        <w:numId w:val="33"/>
      </w:numPr>
      <w:tabs>
        <w:tab w:val="clear" w:pos="850"/>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Bullet1">
    <w:name w:val="Bullet 1"/>
    <w:basedOn w:val="Normal"/>
    <w:rsid w:val="00A437C8"/>
    <w:pPr>
      <w:numPr>
        <w:numId w:val="34"/>
      </w:numPr>
      <w:tabs>
        <w:tab w:val="clear" w:pos="1417"/>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Bullet2">
    <w:name w:val="Bullet 2"/>
    <w:basedOn w:val="Normal"/>
    <w:rsid w:val="00A437C8"/>
    <w:pPr>
      <w:numPr>
        <w:numId w:val="35"/>
      </w:numPr>
      <w:tabs>
        <w:tab w:val="clear" w:pos="1984"/>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Bullet3">
    <w:name w:val="Bullet 3"/>
    <w:basedOn w:val="Normal"/>
    <w:rsid w:val="00A437C8"/>
    <w:pPr>
      <w:numPr>
        <w:numId w:val="36"/>
      </w:numPr>
      <w:tabs>
        <w:tab w:val="clear" w:pos="2551"/>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Bullet4">
    <w:name w:val="Bullet 4"/>
    <w:basedOn w:val="Normal"/>
    <w:rsid w:val="00A437C8"/>
    <w:pPr>
      <w:numPr>
        <w:numId w:val="37"/>
      </w:numPr>
      <w:tabs>
        <w:tab w:val="clear" w:pos="3118"/>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Langue">
    <w:name w:val="Langue"/>
    <w:basedOn w:val="Normal"/>
    <w:next w:val="Rfrenceinterne"/>
    <w:rsid w:val="00A437C8"/>
    <w:pPr>
      <w:framePr w:wrap="around" w:vAnchor="page" w:hAnchor="text" w:xAlign="center" w:y="14741"/>
      <w:spacing w:after="600" w:line="240" w:lineRule="auto"/>
      <w:jc w:val="center"/>
    </w:pPr>
    <w:rPr>
      <w:rFonts w:ascii="Times New Roman" w:eastAsiaTheme="minorHAnsi" w:hAnsi="Times New Roman" w:cs="Times New Roman"/>
      <w:b/>
      <w:caps/>
      <w:szCs w:val="22"/>
      <w14:ligatures w14:val="standardContextual"/>
    </w:rPr>
  </w:style>
  <w:style w:type="paragraph" w:customStyle="1" w:styleId="Nomdelinstitution">
    <w:name w:val="Nom de l'institution"/>
    <w:basedOn w:val="Normal"/>
    <w:next w:val="Emission"/>
    <w:rsid w:val="00A437C8"/>
    <w:pPr>
      <w:spacing w:after="0" w:line="240" w:lineRule="auto"/>
    </w:pPr>
    <w:rPr>
      <w:rFonts w:ascii="Arial" w:eastAsiaTheme="minorHAnsi" w:hAnsi="Arial" w:cs="Arial"/>
      <w:szCs w:val="22"/>
      <w14:ligatures w14:val="standardContextual"/>
    </w:rPr>
  </w:style>
  <w:style w:type="paragraph" w:customStyle="1" w:styleId="Emission">
    <w:name w:val="Emission"/>
    <w:basedOn w:val="Normal"/>
    <w:next w:val="Rfrenceinstitutionnelle"/>
    <w:rsid w:val="00A437C8"/>
    <w:pPr>
      <w:spacing w:after="0" w:line="240" w:lineRule="auto"/>
      <w:ind w:left="5103"/>
    </w:pPr>
    <w:rPr>
      <w:rFonts w:ascii="Times New Roman" w:eastAsiaTheme="minorHAnsi" w:hAnsi="Times New Roman" w:cs="Times New Roman"/>
      <w:szCs w:val="22"/>
      <w14:ligatures w14:val="standardContextual"/>
    </w:rPr>
  </w:style>
  <w:style w:type="paragraph" w:customStyle="1" w:styleId="Rfrenceinstitutionnelle">
    <w:name w:val="Référence institutionnelle"/>
    <w:basedOn w:val="Normal"/>
    <w:next w:val="Confidentialit"/>
    <w:rsid w:val="00A437C8"/>
    <w:pPr>
      <w:spacing w:after="240" w:line="240" w:lineRule="auto"/>
      <w:ind w:left="5103"/>
    </w:pPr>
    <w:rPr>
      <w:rFonts w:ascii="Times New Roman" w:eastAsiaTheme="minorHAnsi" w:hAnsi="Times New Roman" w:cs="Times New Roman"/>
      <w:szCs w:val="22"/>
      <w14:ligatures w14:val="standardContextual"/>
    </w:rPr>
  </w:style>
  <w:style w:type="paragraph" w:customStyle="1" w:styleId="Declassification">
    <w:name w:val="Declassification"/>
    <w:basedOn w:val="Normal"/>
    <w:next w:val="Normal"/>
    <w:rsid w:val="00A437C8"/>
    <w:pPr>
      <w:spacing w:after="0" w:line="240" w:lineRule="auto"/>
      <w:jc w:val="both"/>
    </w:pPr>
    <w:rPr>
      <w:rFonts w:ascii="Times New Roman" w:eastAsiaTheme="minorHAnsi" w:hAnsi="Times New Roman" w:cs="Times New Roman"/>
      <w:szCs w:val="22"/>
      <w14:ligatures w14:val="standardContextual"/>
    </w:rPr>
  </w:style>
  <w:style w:type="paragraph" w:customStyle="1" w:styleId="Disclaimer">
    <w:name w:val="Disclaimer"/>
    <w:basedOn w:val="Normal"/>
    <w:rsid w:val="00A437C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14:ligatures w14:val="standardContextual"/>
    </w:rPr>
  </w:style>
  <w:style w:type="paragraph" w:customStyle="1" w:styleId="SecurityMarking">
    <w:name w:val="SecurityMarking"/>
    <w:basedOn w:val="Normal"/>
    <w:rsid w:val="00A437C8"/>
    <w:pPr>
      <w:spacing w:after="0" w:line="276" w:lineRule="auto"/>
      <w:ind w:left="5103"/>
    </w:pPr>
    <w:rPr>
      <w:rFonts w:ascii="Times New Roman" w:eastAsiaTheme="minorHAnsi" w:hAnsi="Times New Roman" w:cs="Times New Roman"/>
      <w:sz w:val="28"/>
      <w:szCs w:val="22"/>
      <w14:ligatures w14:val="standardContextual"/>
    </w:rPr>
  </w:style>
  <w:style w:type="paragraph" w:customStyle="1" w:styleId="DateMarking">
    <w:name w:val="DateMarking"/>
    <w:basedOn w:val="Normal"/>
    <w:rsid w:val="00A437C8"/>
    <w:pPr>
      <w:spacing w:after="0" w:line="276" w:lineRule="auto"/>
      <w:ind w:left="5103"/>
    </w:pPr>
    <w:rPr>
      <w:rFonts w:ascii="Times New Roman" w:eastAsiaTheme="minorHAnsi" w:hAnsi="Times New Roman" w:cs="Times New Roman"/>
      <w:i/>
      <w:sz w:val="28"/>
      <w:szCs w:val="22"/>
      <w14:ligatures w14:val="standardContextual"/>
    </w:rPr>
  </w:style>
  <w:style w:type="paragraph" w:customStyle="1" w:styleId="ReleasableTo">
    <w:name w:val="ReleasableTo"/>
    <w:basedOn w:val="Normal"/>
    <w:rsid w:val="00A437C8"/>
    <w:pPr>
      <w:spacing w:after="0" w:line="276" w:lineRule="auto"/>
      <w:ind w:left="5103"/>
    </w:pPr>
    <w:rPr>
      <w:rFonts w:ascii="Times New Roman" w:eastAsiaTheme="minorHAnsi" w:hAnsi="Times New Roman" w:cs="Times New Roman"/>
      <w:i/>
      <w:sz w:val="28"/>
      <w:szCs w:val="22"/>
      <w14:ligatures w14:val="standardContextual"/>
    </w:rPr>
  </w:style>
  <w:style w:type="paragraph" w:customStyle="1" w:styleId="Annexetitreexpos">
    <w:name w:val="Annexe titre (exposé)"/>
    <w:basedOn w:val="Normal"/>
    <w:next w:val="Normal"/>
    <w:rsid w:val="00A437C8"/>
    <w:pPr>
      <w:spacing w:before="120" w:after="120" w:line="240" w:lineRule="auto"/>
      <w:jc w:val="center"/>
    </w:pPr>
    <w:rPr>
      <w:rFonts w:ascii="Times New Roman" w:eastAsiaTheme="minorHAnsi" w:hAnsi="Times New Roman" w:cs="Times New Roman"/>
      <w:b/>
      <w:szCs w:val="22"/>
      <w:u w:val="single"/>
      <w14:ligatures w14:val="standardContextual"/>
    </w:rPr>
  </w:style>
  <w:style w:type="paragraph" w:customStyle="1" w:styleId="Annexetitre">
    <w:name w:val="Annexe titre"/>
    <w:basedOn w:val="Normal"/>
    <w:next w:val="Normal"/>
    <w:rsid w:val="00A437C8"/>
    <w:pPr>
      <w:spacing w:before="120" w:after="120" w:line="240" w:lineRule="auto"/>
      <w:jc w:val="center"/>
    </w:pPr>
    <w:rPr>
      <w:rFonts w:ascii="Times New Roman" w:eastAsiaTheme="minorHAnsi" w:hAnsi="Times New Roman" w:cs="Times New Roman"/>
      <w:b/>
      <w:szCs w:val="22"/>
      <w:u w:val="single"/>
      <w14:ligatures w14:val="standardContextual"/>
    </w:rPr>
  </w:style>
  <w:style w:type="paragraph" w:customStyle="1" w:styleId="Annexetitrefichefinancire">
    <w:name w:val="Annexe titre (fiche financière)"/>
    <w:basedOn w:val="Normal"/>
    <w:next w:val="Normal"/>
    <w:rsid w:val="00A437C8"/>
    <w:pPr>
      <w:spacing w:before="120" w:after="120" w:line="240" w:lineRule="auto"/>
      <w:jc w:val="center"/>
    </w:pPr>
    <w:rPr>
      <w:rFonts w:ascii="Times New Roman" w:eastAsiaTheme="minorHAnsi" w:hAnsi="Times New Roman" w:cs="Times New Roman"/>
      <w:b/>
      <w:szCs w:val="22"/>
      <w:u w:val="single"/>
      <w14:ligatures w14:val="standardContextual"/>
    </w:rPr>
  </w:style>
  <w:style w:type="paragraph" w:customStyle="1" w:styleId="Applicationdirecte">
    <w:name w:val="Application directe"/>
    <w:basedOn w:val="Normal"/>
    <w:next w:val="Fait"/>
    <w:rsid w:val="00A437C8"/>
    <w:pPr>
      <w:spacing w:before="480" w:after="120" w:line="240" w:lineRule="auto"/>
      <w:jc w:val="both"/>
    </w:pPr>
    <w:rPr>
      <w:rFonts w:ascii="Times New Roman" w:eastAsiaTheme="minorHAnsi" w:hAnsi="Times New Roman" w:cs="Times New Roman"/>
      <w:szCs w:val="22"/>
      <w14:ligatures w14:val="standardContextual"/>
    </w:rPr>
  </w:style>
  <w:style w:type="paragraph" w:customStyle="1" w:styleId="Avertissementtitre">
    <w:name w:val="Avertissement titre"/>
    <w:basedOn w:val="Normal"/>
    <w:next w:val="Normal"/>
    <w:rsid w:val="00A437C8"/>
    <w:pPr>
      <w:keepNext/>
      <w:spacing w:before="480" w:after="120" w:line="240" w:lineRule="auto"/>
      <w:jc w:val="both"/>
    </w:pPr>
    <w:rPr>
      <w:rFonts w:ascii="Times New Roman" w:eastAsiaTheme="minorHAnsi" w:hAnsi="Times New Roman" w:cs="Times New Roman"/>
      <w:szCs w:val="22"/>
      <w:u w:val="single"/>
      <w14:ligatures w14:val="standardContextual"/>
    </w:rPr>
  </w:style>
  <w:style w:type="paragraph" w:customStyle="1" w:styleId="Confidence">
    <w:name w:val="Confidence"/>
    <w:basedOn w:val="Normal"/>
    <w:next w:val="Normal"/>
    <w:rsid w:val="00A437C8"/>
    <w:pPr>
      <w:spacing w:before="360" w:after="120" w:line="240" w:lineRule="auto"/>
      <w:jc w:val="center"/>
    </w:pPr>
    <w:rPr>
      <w:rFonts w:ascii="Times New Roman" w:eastAsiaTheme="minorHAnsi" w:hAnsi="Times New Roman" w:cs="Times New Roman"/>
      <w:szCs w:val="22"/>
      <w14:ligatures w14:val="standardContextual"/>
    </w:rPr>
  </w:style>
  <w:style w:type="paragraph" w:customStyle="1" w:styleId="Confidentialit">
    <w:name w:val="Confidentialité"/>
    <w:basedOn w:val="Normal"/>
    <w:next w:val="TypedudocumentPagedecouverture"/>
    <w:rsid w:val="00A437C8"/>
    <w:pPr>
      <w:spacing w:before="240" w:after="240" w:line="240" w:lineRule="auto"/>
      <w:ind w:left="5103"/>
    </w:pPr>
    <w:rPr>
      <w:rFonts w:ascii="Times New Roman" w:eastAsiaTheme="minorHAnsi" w:hAnsi="Times New Roman" w:cs="Times New Roman"/>
      <w:i/>
      <w:sz w:val="32"/>
      <w:szCs w:val="22"/>
      <w14:ligatures w14:val="standardContextual"/>
    </w:rPr>
  </w:style>
  <w:style w:type="paragraph" w:customStyle="1" w:styleId="Considrant">
    <w:name w:val="Considérant"/>
    <w:basedOn w:val="Normal"/>
    <w:rsid w:val="00A437C8"/>
    <w:pPr>
      <w:numPr>
        <w:numId w:val="38"/>
      </w:numPr>
      <w:tabs>
        <w:tab w:val="clear" w:pos="709"/>
      </w:tabs>
      <w:spacing w:before="120" w:after="120" w:line="240" w:lineRule="auto"/>
      <w:ind w:left="0" w:firstLine="0"/>
      <w:jc w:val="both"/>
    </w:pPr>
    <w:rPr>
      <w:rFonts w:ascii="Times New Roman" w:eastAsiaTheme="minorHAnsi" w:hAnsi="Times New Roman" w:cs="Times New Roman"/>
      <w:szCs w:val="22"/>
      <w14:ligatures w14:val="standardContextual"/>
    </w:rPr>
  </w:style>
  <w:style w:type="paragraph" w:customStyle="1" w:styleId="Corrigendum">
    <w:name w:val="Corrigendum"/>
    <w:basedOn w:val="Normal"/>
    <w:next w:val="Normal"/>
    <w:rsid w:val="00A437C8"/>
    <w:pPr>
      <w:spacing w:after="240" w:line="240" w:lineRule="auto"/>
    </w:pPr>
    <w:rPr>
      <w:rFonts w:ascii="Times New Roman" w:eastAsiaTheme="minorHAnsi" w:hAnsi="Times New Roman" w:cs="Times New Roman"/>
      <w:szCs w:val="22"/>
      <w14:ligatures w14:val="standardContextual"/>
    </w:rPr>
  </w:style>
  <w:style w:type="paragraph" w:customStyle="1" w:styleId="Datedadoption">
    <w:name w:val="Date d'adoption"/>
    <w:basedOn w:val="Normal"/>
    <w:next w:val="IntrtEEE"/>
    <w:rsid w:val="00A437C8"/>
    <w:pPr>
      <w:spacing w:before="360" w:after="0" w:line="240" w:lineRule="auto"/>
      <w:jc w:val="center"/>
    </w:pPr>
    <w:rPr>
      <w:rFonts w:ascii="Times New Roman" w:eastAsiaTheme="minorHAnsi" w:hAnsi="Times New Roman" w:cs="Times New Roman"/>
      <w:b/>
      <w:szCs w:val="22"/>
      <w14:ligatures w14:val="standardContextual"/>
    </w:rPr>
  </w:style>
  <w:style w:type="paragraph" w:customStyle="1" w:styleId="Exposdesmotifstitre">
    <w:name w:val="Exposé des motifs titre"/>
    <w:basedOn w:val="Normal"/>
    <w:next w:val="Normal"/>
    <w:rsid w:val="00A437C8"/>
    <w:pPr>
      <w:spacing w:before="120" w:after="120" w:line="240" w:lineRule="auto"/>
      <w:jc w:val="center"/>
    </w:pPr>
    <w:rPr>
      <w:rFonts w:ascii="Times New Roman" w:eastAsiaTheme="minorHAnsi" w:hAnsi="Times New Roman" w:cs="Times New Roman"/>
      <w:b/>
      <w:szCs w:val="22"/>
      <w:u w:val="single"/>
      <w14:ligatures w14:val="standardContextual"/>
    </w:rPr>
  </w:style>
  <w:style w:type="paragraph" w:customStyle="1" w:styleId="Fait">
    <w:name w:val="Fait à"/>
    <w:basedOn w:val="Normal"/>
    <w:next w:val="Institutionquisigne"/>
    <w:rsid w:val="00A437C8"/>
    <w:pPr>
      <w:keepNext/>
      <w:spacing w:before="120" w:after="0" w:line="240" w:lineRule="auto"/>
      <w:jc w:val="both"/>
    </w:pPr>
    <w:rPr>
      <w:rFonts w:ascii="Times New Roman" w:eastAsiaTheme="minorHAnsi" w:hAnsi="Times New Roman" w:cs="Times New Roman"/>
      <w:szCs w:val="22"/>
      <w14:ligatures w14:val="standardContextual"/>
    </w:rPr>
  </w:style>
  <w:style w:type="paragraph" w:customStyle="1" w:styleId="Formuledadoption">
    <w:name w:val="Formule d'adoption"/>
    <w:basedOn w:val="Normal"/>
    <w:next w:val="Titrearticle"/>
    <w:rsid w:val="00A437C8"/>
    <w:pPr>
      <w:keepNext/>
      <w:spacing w:before="120" w:after="120" w:line="240" w:lineRule="auto"/>
      <w:jc w:val="both"/>
    </w:pPr>
    <w:rPr>
      <w:rFonts w:ascii="Times New Roman" w:eastAsiaTheme="minorHAnsi" w:hAnsi="Times New Roman" w:cs="Times New Roman"/>
      <w:szCs w:val="22"/>
      <w14:ligatures w14:val="standardContextual"/>
    </w:rPr>
  </w:style>
  <w:style w:type="paragraph" w:customStyle="1" w:styleId="Institutionquiagit">
    <w:name w:val="Institution qui agit"/>
    <w:basedOn w:val="Normal"/>
    <w:next w:val="Normal"/>
    <w:rsid w:val="00A437C8"/>
    <w:pPr>
      <w:keepNext/>
      <w:spacing w:before="600" w:after="120" w:line="240" w:lineRule="auto"/>
      <w:jc w:val="both"/>
    </w:pPr>
    <w:rPr>
      <w:rFonts w:ascii="Times New Roman" w:eastAsiaTheme="minorHAnsi" w:hAnsi="Times New Roman" w:cs="Times New Roman"/>
      <w:szCs w:val="22"/>
      <w14:ligatures w14:val="standardContextual"/>
    </w:rPr>
  </w:style>
  <w:style w:type="paragraph" w:customStyle="1" w:styleId="Institutionquisigne">
    <w:name w:val="Institution qui signe"/>
    <w:basedOn w:val="Normal"/>
    <w:next w:val="Personnequisigne"/>
    <w:rsid w:val="00A437C8"/>
    <w:pPr>
      <w:keepNext/>
      <w:tabs>
        <w:tab w:val="left" w:pos="4252"/>
      </w:tabs>
      <w:spacing w:before="720" w:after="0" w:line="240" w:lineRule="auto"/>
      <w:jc w:val="both"/>
    </w:pPr>
    <w:rPr>
      <w:rFonts w:ascii="Times New Roman" w:eastAsiaTheme="minorHAnsi" w:hAnsi="Times New Roman" w:cs="Times New Roman"/>
      <w:i/>
      <w:szCs w:val="22"/>
      <w14:ligatures w14:val="standardContextual"/>
    </w:rPr>
  </w:style>
  <w:style w:type="paragraph" w:customStyle="1" w:styleId="ManualConsidrant">
    <w:name w:val="Manual Considérant"/>
    <w:basedOn w:val="Normal"/>
    <w:rsid w:val="00A437C8"/>
    <w:pPr>
      <w:spacing w:before="120" w:after="120" w:line="240" w:lineRule="auto"/>
      <w:ind w:left="709" w:hanging="709"/>
      <w:jc w:val="both"/>
    </w:pPr>
    <w:rPr>
      <w:rFonts w:ascii="Times New Roman" w:eastAsiaTheme="minorHAnsi" w:hAnsi="Times New Roman" w:cs="Times New Roman"/>
      <w:szCs w:val="22"/>
      <w14:ligatures w14:val="standardContextual"/>
    </w:rPr>
  </w:style>
  <w:style w:type="paragraph" w:customStyle="1" w:styleId="Personnequisigne">
    <w:name w:val="Personne qui signe"/>
    <w:basedOn w:val="Normal"/>
    <w:next w:val="Institutionquisigne"/>
    <w:rsid w:val="00A437C8"/>
    <w:pPr>
      <w:tabs>
        <w:tab w:val="left" w:pos="4252"/>
      </w:tabs>
      <w:spacing w:after="0" w:line="240" w:lineRule="auto"/>
    </w:pPr>
    <w:rPr>
      <w:rFonts w:ascii="Times New Roman" w:eastAsiaTheme="minorHAnsi" w:hAnsi="Times New Roman" w:cs="Times New Roman"/>
      <w:i/>
      <w:szCs w:val="22"/>
      <w14:ligatures w14:val="standardContextual"/>
    </w:rPr>
  </w:style>
  <w:style w:type="paragraph" w:customStyle="1" w:styleId="Rfrenceinterinstitutionnelle">
    <w:name w:val="Référence interinstitutionnelle"/>
    <w:basedOn w:val="Normal"/>
    <w:next w:val="Statut"/>
    <w:rsid w:val="00A437C8"/>
    <w:pPr>
      <w:spacing w:after="0" w:line="240" w:lineRule="auto"/>
      <w:ind w:left="5103"/>
    </w:pPr>
    <w:rPr>
      <w:rFonts w:ascii="Times New Roman" w:eastAsiaTheme="minorHAnsi" w:hAnsi="Times New Roman" w:cs="Times New Roman"/>
      <w:szCs w:val="22"/>
      <w14:ligatures w14:val="standardContextual"/>
    </w:rPr>
  </w:style>
  <w:style w:type="paragraph" w:customStyle="1" w:styleId="Rfrenceinterne">
    <w:name w:val="Référence interne"/>
    <w:basedOn w:val="Normal"/>
    <w:next w:val="Rfrenceinterinstitutionnelle"/>
    <w:rsid w:val="00A437C8"/>
    <w:pPr>
      <w:spacing w:after="0" w:line="240" w:lineRule="auto"/>
      <w:ind w:left="5103"/>
    </w:pPr>
    <w:rPr>
      <w:rFonts w:ascii="Times New Roman" w:eastAsiaTheme="minorHAnsi" w:hAnsi="Times New Roman" w:cs="Times New Roman"/>
      <w:szCs w:val="22"/>
      <w14:ligatures w14:val="standardContextual"/>
    </w:rPr>
  </w:style>
  <w:style w:type="paragraph" w:customStyle="1" w:styleId="Statut">
    <w:name w:val="Statut"/>
    <w:basedOn w:val="Normal"/>
    <w:next w:val="Typedudocument"/>
    <w:rsid w:val="00A437C8"/>
    <w:pPr>
      <w:spacing w:after="240" w:line="240" w:lineRule="auto"/>
      <w:jc w:val="center"/>
    </w:pPr>
    <w:rPr>
      <w:rFonts w:ascii="Times New Roman" w:eastAsiaTheme="minorHAnsi" w:hAnsi="Times New Roman" w:cs="Times New Roman"/>
      <w:szCs w:val="22"/>
      <w14:ligatures w14:val="standardContextual"/>
    </w:rPr>
  </w:style>
  <w:style w:type="paragraph" w:customStyle="1" w:styleId="Titrearticle">
    <w:name w:val="Titre article"/>
    <w:basedOn w:val="Normal"/>
    <w:next w:val="Normal"/>
    <w:rsid w:val="00A437C8"/>
    <w:pPr>
      <w:keepNext/>
      <w:spacing w:before="360" w:after="120" w:line="240" w:lineRule="auto"/>
      <w:jc w:val="center"/>
    </w:pPr>
    <w:rPr>
      <w:rFonts w:ascii="Times New Roman" w:eastAsiaTheme="minorHAnsi" w:hAnsi="Times New Roman" w:cs="Times New Roman"/>
      <w:i/>
      <w:szCs w:val="22"/>
      <w14:ligatures w14:val="standardContextual"/>
    </w:rPr>
  </w:style>
  <w:style w:type="paragraph" w:customStyle="1" w:styleId="Typedudocument">
    <w:name w:val="Type du document"/>
    <w:basedOn w:val="Normal"/>
    <w:next w:val="Accompagnant"/>
    <w:rsid w:val="00A437C8"/>
    <w:pPr>
      <w:spacing w:before="360" w:after="180" w:line="240" w:lineRule="auto"/>
      <w:jc w:val="center"/>
    </w:pPr>
    <w:rPr>
      <w:rFonts w:ascii="Times New Roman" w:eastAsiaTheme="minorHAnsi" w:hAnsi="Times New Roman" w:cs="Times New Roman"/>
      <w:b/>
      <w:szCs w:val="22"/>
      <w14:ligatures w14:val="standardContextual"/>
    </w:rPr>
  </w:style>
  <w:style w:type="character" w:customStyle="1" w:styleId="Added">
    <w:name w:val="Added"/>
    <w:basedOn w:val="DefaultParagraphFont"/>
    <w:rsid w:val="00A437C8"/>
    <w:rPr>
      <w:b/>
      <w:u w:val="single"/>
      <w:shd w:val="clear" w:color="auto" w:fill="auto"/>
    </w:rPr>
  </w:style>
  <w:style w:type="character" w:customStyle="1" w:styleId="Deleted">
    <w:name w:val="Deleted"/>
    <w:basedOn w:val="DefaultParagraphFont"/>
    <w:rsid w:val="00A437C8"/>
    <w:rPr>
      <w:strike/>
      <w:dstrike w:val="0"/>
      <w:shd w:val="clear" w:color="auto" w:fill="auto"/>
    </w:rPr>
  </w:style>
  <w:style w:type="paragraph" w:customStyle="1" w:styleId="Address">
    <w:name w:val="Address"/>
    <w:basedOn w:val="Normal"/>
    <w:next w:val="Normal"/>
    <w:rsid w:val="00A437C8"/>
    <w:pPr>
      <w:keepLines/>
      <w:spacing w:before="120" w:after="120" w:line="360" w:lineRule="auto"/>
      <w:ind w:left="3402"/>
    </w:pPr>
    <w:rPr>
      <w:rFonts w:ascii="Times New Roman" w:eastAsiaTheme="minorHAnsi" w:hAnsi="Times New Roman" w:cs="Times New Roman"/>
      <w:szCs w:val="22"/>
      <w14:ligatures w14:val="standardContextual"/>
    </w:rPr>
  </w:style>
  <w:style w:type="paragraph" w:customStyle="1" w:styleId="Objetexterne">
    <w:name w:val="Objet externe"/>
    <w:basedOn w:val="Normal"/>
    <w:next w:val="Normal"/>
    <w:rsid w:val="00A437C8"/>
    <w:pPr>
      <w:spacing w:before="120" w:after="120" w:line="240" w:lineRule="auto"/>
      <w:jc w:val="both"/>
    </w:pPr>
    <w:rPr>
      <w:rFonts w:ascii="Times New Roman" w:eastAsiaTheme="minorHAnsi" w:hAnsi="Times New Roman" w:cs="Times New Roman"/>
      <w:i/>
      <w:caps/>
      <w:szCs w:val="22"/>
      <w14:ligatures w14:val="standardContextual"/>
    </w:rPr>
  </w:style>
  <w:style w:type="paragraph" w:customStyle="1" w:styleId="Supertitre">
    <w:name w:val="Supertitre"/>
    <w:basedOn w:val="Normal"/>
    <w:next w:val="Normal"/>
    <w:rsid w:val="00A437C8"/>
    <w:pPr>
      <w:spacing w:after="600" w:line="240" w:lineRule="auto"/>
      <w:jc w:val="center"/>
    </w:pPr>
    <w:rPr>
      <w:rFonts w:ascii="Times New Roman" w:eastAsiaTheme="minorHAnsi" w:hAnsi="Times New Roman" w:cs="Times New Roman"/>
      <w:b/>
      <w:szCs w:val="22"/>
      <w14:ligatures w14:val="standardContextual"/>
    </w:rPr>
  </w:style>
  <w:style w:type="paragraph" w:customStyle="1" w:styleId="Languesfaisantfoi">
    <w:name w:val="Langues faisant foi"/>
    <w:basedOn w:val="Normal"/>
    <w:next w:val="Normal"/>
    <w:rsid w:val="00A437C8"/>
    <w:pPr>
      <w:spacing w:before="360" w:after="0" w:line="240" w:lineRule="auto"/>
      <w:jc w:val="center"/>
    </w:pPr>
    <w:rPr>
      <w:rFonts w:ascii="Times New Roman" w:eastAsiaTheme="minorHAnsi" w:hAnsi="Times New Roman" w:cs="Times New Roman"/>
      <w:szCs w:val="22"/>
      <w14:ligatures w14:val="standardContextual"/>
    </w:rPr>
  </w:style>
  <w:style w:type="paragraph" w:customStyle="1" w:styleId="Rfrencecroise">
    <w:name w:val="Référence croisée"/>
    <w:basedOn w:val="Normal"/>
    <w:rsid w:val="00A437C8"/>
    <w:pPr>
      <w:spacing w:after="0" w:line="240" w:lineRule="auto"/>
      <w:jc w:val="center"/>
    </w:pPr>
    <w:rPr>
      <w:rFonts w:ascii="Times New Roman" w:eastAsiaTheme="minorHAnsi" w:hAnsi="Times New Roman" w:cs="Times New Roman"/>
      <w:szCs w:val="22"/>
      <w14:ligatures w14:val="standardContextual"/>
    </w:rPr>
  </w:style>
  <w:style w:type="paragraph" w:customStyle="1" w:styleId="Fichefinanciretitre">
    <w:name w:val="Fiche financière titre"/>
    <w:basedOn w:val="Normal"/>
    <w:next w:val="Normal"/>
    <w:rsid w:val="00A437C8"/>
    <w:pPr>
      <w:spacing w:before="120" w:after="120" w:line="240" w:lineRule="auto"/>
      <w:jc w:val="center"/>
    </w:pPr>
    <w:rPr>
      <w:rFonts w:ascii="Times New Roman" w:eastAsiaTheme="minorHAnsi" w:hAnsi="Times New Roman" w:cs="Times New Roman"/>
      <w:b/>
      <w:szCs w:val="22"/>
      <w:u w:val="single"/>
      <w14:ligatures w14:val="standardContextual"/>
    </w:rPr>
  </w:style>
  <w:style w:type="paragraph" w:customStyle="1" w:styleId="DatedadoptionPagedecouverture">
    <w:name w:val="Date d'adoption (Page de couverture)"/>
    <w:basedOn w:val="Datedadoption"/>
    <w:next w:val="IntrtEEEPagedecouverture"/>
    <w:rsid w:val="00A437C8"/>
  </w:style>
  <w:style w:type="paragraph" w:customStyle="1" w:styleId="RfrenceinterinstitutionnellePagedecouverture">
    <w:name w:val="Référence interinstitutionnelle (Page de couverture)"/>
    <w:basedOn w:val="Rfrenceinterinstitutionnelle"/>
    <w:next w:val="Confidentialit"/>
    <w:rsid w:val="00A437C8"/>
  </w:style>
  <w:style w:type="paragraph" w:customStyle="1" w:styleId="StatutPagedecouverture">
    <w:name w:val="Statut (Page de couverture)"/>
    <w:basedOn w:val="Statut"/>
    <w:next w:val="TypedudocumentPagedecouverture"/>
    <w:rsid w:val="00A437C8"/>
  </w:style>
  <w:style w:type="paragraph" w:customStyle="1" w:styleId="TypedudocumentPagedecouverture">
    <w:name w:val="Type du document (Page de couverture)"/>
    <w:basedOn w:val="Typedudocument"/>
    <w:next w:val="AccompagnantPagedecouverture"/>
    <w:rsid w:val="00A437C8"/>
  </w:style>
  <w:style w:type="paragraph" w:customStyle="1" w:styleId="Volume">
    <w:name w:val="Volume"/>
    <w:basedOn w:val="Normal"/>
    <w:next w:val="Confidentialit"/>
    <w:rsid w:val="00A437C8"/>
    <w:pPr>
      <w:spacing w:after="240" w:line="240" w:lineRule="auto"/>
      <w:ind w:left="5103"/>
    </w:pPr>
    <w:rPr>
      <w:rFonts w:ascii="Times New Roman" w:eastAsiaTheme="minorHAnsi" w:hAnsi="Times New Roman" w:cs="Times New Roman"/>
      <w:szCs w:val="22"/>
      <w14:ligatures w14:val="standardContextual"/>
    </w:rPr>
  </w:style>
  <w:style w:type="paragraph" w:customStyle="1" w:styleId="IntrtEEE">
    <w:name w:val="Intérêt EEE"/>
    <w:basedOn w:val="Languesfaisantfoi"/>
    <w:next w:val="Normal"/>
    <w:rsid w:val="00A437C8"/>
    <w:pPr>
      <w:spacing w:after="240"/>
    </w:pPr>
  </w:style>
  <w:style w:type="paragraph" w:customStyle="1" w:styleId="Accompagnant">
    <w:name w:val="Accompagnant"/>
    <w:basedOn w:val="Normal"/>
    <w:next w:val="Typeacteprincipal"/>
    <w:rsid w:val="00A437C8"/>
    <w:pPr>
      <w:spacing w:before="180" w:after="240" w:line="240" w:lineRule="auto"/>
      <w:jc w:val="center"/>
    </w:pPr>
    <w:rPr>
      <w:rFonts w:ascii="Times New Roman" w:eastAsiaTheme="minorHAnsi" w:hAnsi="Times New Roman" w:cs="Times New Roman"/>
      <w:b/>
      <w:szCs w:val="22"/>
      <w14:ligatures w14:val="standardContextual"/>
    </w:rPr>
  </w:style>
  <w:style w:type="paragraph" w:customStyle="1" w:styleId="Typeacteprincipal">
    <w:name w:val="Type acte principal"/>
    <w:basedOn w:val="Normal"/>
    <w:next w:val="Objetacteprincipal"/>
    <w:rsid w:val="00A437C8"/>
    <w:pPr>
      <w:spacing w:after="240" w:line="240" w:lineRule="auto"/>
      <w:jc w:val="center"/>
    </w:pPr>
    <w:rPr>
      <w:rFonts w:ascii="Times New Roman" w:eastAsiaTheme="minorHAnsi" w:hAnsi="Times New Roman" w:cs="Times New Roman"/>
      <w:b/>
      <w:szCs w:val="22"/>
      <w14:ligatures w14:val="standardContextual"/>
    </w:rPr>
  </w:style>
  <w:style w:type="paragraph" w:customStyle="1" w:styleId="Objetacteprincipal">
    <w:name w:val="Objet acte principal"/>
    <w:basedOn w:val="Normal"/>
    <w:next w:val="Titrearticle"/>
    <w:rsid w:val="00A437C8"/>
    <w:pPr>
      <w:spacing w:after="360" w:line="240" w:lineRule="auto"/>
      <w:jc w:val="center"/>
    </w:pPr>
    <w:rPr>
      <w:rFonts w:ascii="Times New Roman" w:eastAsiaTheme="minorHAnsi" w:hAnsi="Times New Roman" w:cs="Times New Roman"/>
      <w:b/>
      <w:szCs w:val="22"/>
      <w14:ligatures w14:val="standardContextual"/>
    </w:rPr>
  </w:style>
  <w:style w:type="paragraph" w:customStyle="1" w:styleId="IntrtEEEPagedecouverture">
    <w:name w:val="Intérêt EEE (Page de couverture)"/>
    <w:basedOn w:val="IntrtEEE"/>
    <w:next w:val="Rfrencecroise"/>
    <w:rsid w:val="00A437C8"/>
  </w:style>
  <w:style w:type="paragraph" w:customStyle="1" w:styleId="AccompagnantPagedecouverture">
    <w:name w:val="Accompagnant (Page de couverture)"/>
    <w:basedOn w:val="Accompagnant"/>
    <w:next w:val="TypeacteprincipalPagedecouverture"/>
    <w:rsid w:val="00A437C8"/>
  </w:style>
  <w:style w:type="paragraph" w:customStyle="1" w:styleId="TypeacteprincipalPagedecouverture">
    <w:name w:val="Type acte principal (Page de couverture)"/>
    <w:basedOn w:val="Typeacteprincipal"/>
    <w:next w:val="ObjetacteprincipalPagedecouverture"/>
    <w:rsid w:val="00A437C8"/>
  </w:style>
  <w:style w:type="paragraph" w:customStyle="1" w:styleId="ObjetacteprincipalPagedecouverture">
    <w:name w:val="Objet acte principal (Page de couverture)"/>
    <w:basedOn w:val="Objetacteprincipal"/>
    <w:next w:val="Rfrencecroise"/>
    <w:rsid w:val="00A437C8"/>
  </w:style>
  <w:style w:type="paragraph" w:customStyle="1" w:styleId="LanguesfaisantfoiPagedecouverture">
    <w:name w:val="Langues faisant foi (Page de couverture)"/>
    <w:basedOn w:val="Normal"/>
    <w:next w:val="Normal"/>
    <w:rsid w:val="00A437C8"/>
    <w:pPr>
      <w:spacing w:before="360" w:after="0" w:line="240" w:lineRule="auto"/>
      <w:jc w:val="center"/>
    </w:pPr>
    <w:rPr>
      <w:rFonts w:ascii="Times New Roman" w:eastAsiaTheme="minorHAnsi" w:hAnsi="Times New Roman" w:cs="Times New Roman"/>
      <w:szCs w:val="22"/>
      <w14:ligatures w14:val="standardContextual"/>
    </w:rPr>
  </w:style>
  <w:style w:type="character" w:styleId="FollowedHyperlink">
    <w:name w:val="FollowedHyperlink"/>
    <w:basedOn w:val="DefaultParagraphFont"/>
    <w:uiPriority w:val="99"/>
    <w:semiHidden/>
    <w:unhideWhenUsed/>
    <w:rsid w:val="00A437C8"/>
    <w:rPr>
      <w:color w:val="954F72"/>
      <w:u w:val="single"/>
    </w:rPr>
  </w:style>
  <w:style w:type="paragraph" w:customStyle="1" w:styleId="msonormal0">
    <w:name w:val="msonormal"/>
    <w:basedOn w:val="Normal"/>
    <w:rsid w:val="00A437C8"/>
    <w:pPr>
      <w:spacing w:before="100" w:beforeAutospacing="1" w:after="100" w:afterAutospacing="1" w:line="240" w:lineRule="auto"/>
    </w:pPr>
    <w:rPr>
      <w:rFonts w:ascii="Times New Roman" w:eastAsia="Times New Roman" w:hAnsi="Times New Roman" w:cs="Times New Roman"/>
      <w14:ligatures w14:val="standardContextual"/>
    </w:rPr>
  </w:style>
  <w:style w:type="paragraph" w:customStyle="1" w:styleId="font5">
    <w:name w:val="font5"/>
    <w:basedOn w:val="Normal"/>
    <w:rsid w:val="00A437C8"/>
    <w:pPr>
      <w:spacing w:before="100" w:beforeAutospacing="1" w:after="100" w:afterAutospacing="1" w:line="240" w:lineRule="auto"/>
    </w:pPr>
    <w:rPr>
      <w:rFonts w:ascii="Calibri" w:eastAsia="Times New Roman" w:hAnsi="Calibri" w:cs="Calibri"/>
      <w:color w:val="006100"/>
      <w:sz w:val="22"/>
      <w:szCs w:val="22"/>
      <w14:ligatures w14:val="standardContextual"/>
    </w:rPr>
  </w:style>
  <w:style w:type="paragraph" w:customStyle="1" w:styleId="font6">
    <w:name w:val="font6"/>
    <w:basedOn w:val="Normal"/>
    <w:rsid w:val="00A437C8"/>
    <w:pPr>
      <w:spacing w:before="100" w:beforeAutospacing="1" w:after="100" w:afterAutospacing="1" w:line="240" w:lineRule="auto"/>
    </w:pPr>
    <w:rPr>
      <w:rFonts w:ascii="Calibri" w:eastAsia="Times New Roman" w:hAnsi="Calibri" w:cs="Calibri"/>
      <w:b/>
      <w:bCs/>
      <w:color w:val="006100"/>
      <w:sz w:val="22"/>
      <w:szCs w:val="22"/>
      <w14:ligatures w14:val="standardContextual"/>
    </w:rPr>
  </w:style>
  <w:style w:type="paragraph" w:customStyle="1" w:styleId="font7">
    <w:name w:val="font7"/>
    <w:basedOn w:val="Normal"/>
    <w:rsid w:val="00A437C8"/>
    <w:pPr>
      <w:spacing w:before="100" w:beforeAutospacing="1" w:after="100" w:afterAutospacing="1" w:line="240" w:lineRule="auto"/>
    </w:pPr>
    <w:rPr>
      <w:rFonts w:ascii="Tahoma" w:eastAsia="Times New Roman" w:hAnsi="Tahoma" w:cs="Tahoma"/>
      <w:b/>
      <w:bCs/>
      <w:color w:val="000000"/>
      <w:sz w:val="18"/>
      <w:szCs w:val="18"/>
      <w14:ligatures w14:val="standardContextual"/>
    </w:rPr>
  </w:style>
  <w:style w:type="paragraph" w:customStyle="1" w:styleId="font8">
    <w:name w:val="font8"/>
    <w:basedOn w:val="Normal"/>
    <w:rsid w:val="00A437C8"/>
    <w:pPr>
      <w:spacing w:before="100" w:beforeAutospacing="1" w:after="100" w:afterAutospacing="1" w:line="240" w:lineRule="auto"/>
    </w:pPr>
    <w:rPr>
      <w:rFonts w:ascii="Tahoma" w:eastAsia="Times New Roman" w:hAnsi="Tahoma" w:cs="Tahoma"/>
      <w:color w:val="000000"/>
      <w:sz w:val="18"/>
      <w:szCs w:val="18"/>
      <w14:ligatures w14:val="standardContextual"/>
    </w:rPr>
  </w:style>
  <w:style w:type="paragraph" w:customStyle="1" w:styleId="xl68">
    <w:name w:val="xl68"/>
    <w:basedOn w:val="Normal"/>
    <w:rsid w:val="00A437C8"/>
    <w:pPr>
      <w:spacing w:before="100" w:beforeAutospacing="1" w:after="100" w:afterAutospacing="1" w:line="240" w:lineRule="auto"/>
    </w:pPr>
    <w:rPr>
      <w:rFonts w:ascii="Times New Roman" w:eastAsia="Times New Roman" w:hAnsi="Times New Roman" w:cs="Times New Roman"/>
      <w14:ligatures w14:val="standardContextual"/>
    </w:rPr>
  </w:style>
  <w:style w:type="paragraph" w:customStyle="1" w:styleId="xl69">
    <w:name w:val="xl69"/>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14:ligatures w14:val="standardContextual"/>
    </w:rPr>
  </w:style>
  <w:style w:type="paragraph" w:customStyle="1" w:styleId="xl70">
    <w:name w:val="xl70"/>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71">
    <w:name w:val="xl71"/>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72">
    <w:name w:val="xl72"/>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73">
    <w:name w:val="xl73"/>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14:ligatures w14:val="standardContextual"/>
    </w:rPr>
  </w:style>
  <w:style w:type="paragraph" w:customStyle="1" w:styleId="xl74">
    <w:name w:val="xl74"/>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14:ligatures w14:val="standardContextual"/>
    </w:rPr>
  </w:style>
  <w:style w:type="paragraph" w:customStyle="1" w:styleId="xl75">
    <w:name w:val="xl75"/>
    <w:basedOn w:val="Normal"/>
    <w:rsid w:val="00A437C8"/>
    <w:pPr>
      <w:spacing w:before="100" w:beforeAutospacing="1" w:after="100" w:afterAutospacing="1" w:line="240" w:lineRule="auto"/>
      <w:jc w:val="center"/>
      <w:textAlignment w:val="top"/>
    </w:pPr>
    <w:rPr>
      <w:rFonts w:ascii="Times New Roman" w:eastAsia="Times New Roman" w:hAnsi="Times New Roman" w:cs="Times New Roman"/>
      <w14:ligatures w14:val="standardContextual"/>
    </w:rPr>
  </w:style>
  <w:style w:type="paragraph" w:customStyle="1" w:styleId="xl76">
    <w:name w:val="xl76"/>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77">
    <w:name w:val="xl77"/>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3A3838"/>
      <w14:ligatures w14:val="standardContextual"/>
    </w:rPr>
  </w:style>
  <w:style w:type="paragraph" w:customStyle="1" w:styleId="xl78">
    <w:name w:val="xl78"/>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79">
    <w:name w:val="xl79"/>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80">
    <w:name w:val="xl80"/>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3A3838"/>
      <w14:ligatures w14:val="standardContextual"/>
    </w:rPr>
  </w:style>
  <w:style w:type="paragraph" w:customStyle="1" w:styleId="xl81">
    <w:name w:val="xl81"/>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82">
    <w:name w:val="xl82"/>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83">
    <w:name w:val="xl83"/>
    <w:basedOn w:val="Normal"/>
    <w:rsid w:val="00A437C8"/>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84">
    <w:name w:val="xl84"/>
    <w:basedOn w:val="Normal"/>
    <w:rsid w:val="00A437C8"/>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14:ligatures w14:val="standardContextual"/>
    </w:rPr>
  </w:style>
  <w:style w:type="paragraph" w:customStyle="1" w:styleId="xl85">
    <w:name w:val="xl85"/>
    <w:basedOn w:val="Normal"/>
    <w:rsid w:val="00A437C8"/>
    <w:pPr>
      <w:pBdr>
        <w:top w:val="single" w:sz="4" w:space="0" w:color="auto"/>
        <w:left w:val="single" w:sz="4" w:space="0" w:color="auto"/>
        <w:bottom w:val="single" w:sz="8"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86">
    <w:name w:val="xl86"/>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14:ligatures w14:val="standardContextual"/>
    </w:rPr>
  </w:style>
  <w:style w:type="paragraph" w:customStyle="1" w:styleId="xl87">
    <w:name w:val="xl87"/>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14:ligatures w14:val="standardContextual"/>
    </w:rPr>
  </w:style>
  <w:style w:type="paragraph" w:customStyle="1" w:styleId="xl88">
    <w:name w:val="xl88"/>
    <w:basedOn w:val="Normal"/>
    <w:rsid w:val="00A437C8"/>
    <w:pPr>
      <w:spacing w:before="100" w:beforeAutospacing="1" w:after="100" w:afterAutospacing="1" w:line="240" w:lineRule="auto"/>
      <w:jc w:val="center"/>
    </w:pPr>
    <w:rPr>
      <w:rFonts w:ascii="Times New Roman" w:eastAsia="Times New Roman" w:hAnsi="Times New Roman" w:cs="Times New Roman"/>
      <w14:ligatures w14:val="standardContextual"/>
    </w:rPr>
  </w:style>
  <w:style w:type="paragraph" w:customStyle="1" w:styleId="xl89">
    <w:name w:val="xl89"/>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14:ligatures w14:val="standardContextual"/>
    </w:rPr>
  </w:style>
  <w:style w:type="paragraph" w:customStyle="1" w:styleId="xl90">
    <w:name w:val="xl90"/>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14:ligatures w14:val="standardContextual"/>
    </w:rPr>
  </w:style>
  <w:style w:type="paragraph" w:customStyle="1" w:styleId="xl91">
    <w:name w:val="xl91"/>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3A3838"/>
      <w14:ligatures w14:val="standardContextual"/>
    </w:rPr>
  </w:style>
  <w:style w:type="paragraph" w:customStyle="1" w:styleId="xl92">
    <w:name w:val="xl92"/>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3A3838"/>
      <w14:ligatures w14:val="standardContextual"/>
    </w:rPr>
  </w:style>
  <w:style w:type="paragraph" w:customStyle="1" w:styleId="xl93">
    <w:name w:val="xl93"/>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14:ligatures w14:val="standardContextual"/>
    </w:rPr>
  </w:style>
  <w:style w:type="paragraph" w:customStyle="1" w:styleId="xl94">
    <w:name w:val="xl94"/>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14:ligatures w14:val="standardContextual"/>
    </w:rPr>
  </w:style>
  <w:style w:type="paragraph" w:customStyle="1" w:styleId="xl95">
    <w:name w:val="xl95"/>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14:ligatures w14:val="standardContextual"/>
    </w:rPr>
  </w:style>
  <w:style w:type="paragraph" w:customStyle="1" w:styleId="xl96">
    <w:name w:val="xl96"/>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14:ligatures w14:val="standardContextual"/>
    </w:rPr>
  </w:style>
  <w:style w:type="paragraph" w:customStyle="1" w:styleId="xl97">
    <w:name w:val="xl97"/>
    <w:basedOn w:val="Normal"/>
    <w:rsid w:val="00A437C8"/>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b/>
      <w:bCs/>
      <w14:ligatures w14:val="standardContextual"/>
    </w:rPr>
  </w:style>
  <w:style w:type="paragraph" w:customStyle="1" w:styleId="xl98">
    <w:name w:val="xl98"/>
    <w:basedOn w:val="Normal"/>
    <w:rsid w:val="00A437C8"/>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b/>
      <w:bCs/>
      <w14:ligatures w14:val="standardContextual"/>
    </w:rPr>
  </w:style>
  <w:style w:type="paragraph" w:customStyle="1" w:styleId="xl99">
    <w:name w:val="xl99"/>
    <w:basedOn w:val="Normal"/>
    <w:rsid w:val="00A437C8"/>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14:ligatures w14:val="standardContextual"/>
    </w:rPr>
  </w:style>
  <w:style w:type="paragraph" w:customStyle="1" w:styleId="xl100">
    <w:name w:val="xl100"/>
    <w:basedOn w:val="Normal"/>
    <w:rsid w:val="00A437C8"/>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14:ligatures w14:val="standardContextual"/>
    </w:rPr>
  </w:style>
  <w:style w:type="paragraph" w:customStyle="1" w:styleId="xl101">
    <w:name w:val="xl101"/>
    <w:basedOn w:val="Normal"/>
    <w:rsid w:val="00A437C8"/>
    <w:pPr>
      <w:pBdr>
        <w:top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14:ligatures w14:val="standardContextual"/>
    </w:rPr>
  </w:style>
  <w:style w:type="paragraph" w:customStyle="1" w:styleId="xl102">
    <w:name w:val="xl102"/>
    <w:basedOn w:val="Normal"/>
    <w:rsid w:val="00A437C8"/>
    <w:pPr>
      <w:pBdr>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14:ligatures w14:val="standardContextual"/>
    </w:rPr>
  </w:style>
  <w:style w:type="paragraph" w:customStyle="1" w:styleId="xl103">
    <w:name w:val="xl103"/>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14:ligatures w14:val="standardContextual"/>
    </w:rPr>
  </w:style>
  <w:style w:type="paragraph" w:customStyle="1" w:styleId="ManualHeading">
    <w:name w:val="Manual Heading é"/>
    <w:basedOn w:val="Normal"/>
    <w:rsid w:val="00A437C8"/>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14:ligatures w14:val="standardContextual"/>
    </w:rPr>
  </w:style>
  <w:style w:type="character" w:customStyle="1" w:styleId="findhit">
    <w:name w:val="findhit"/>
    <w:basedOn w:val="DefaultParagraphFont"/>
    <w:rsid w:val="00A437C8"/>
  </w:style>
  <w:style w:type="numbering" w:customStyle="1" w:styleId="NoList2">
    <w:name w:val="No List2"/>
    <w:next w:val="NoList"/>
    <w:uiPriority w:val="99"/>
    <w:semiHidden/>
    <w:unhideWhenUsed/>
    <w:rsid w:val="00A437C8"/>
  </w:style>
  <w:style w:type="paragraph" w:styleId="NormalWeb">
    <w:name w:val="Normal (Web)"/>
    <w:basedOn w:val="Normal"/>
    <w:uiPriority w:val="99"/>
    <w:unhideWhenUsed/>
    <w:rsid w:val="00A437C8"/>
    <w:pPr>
      <w:spacing w:before="100" w:beforeAutospacing="1" w:after="100" w:afterAutospacing="1" w:line="240" w:lineRule="auto"/>
    </w:pPr>
    <w:rPr>
      <w:rFonts w:ascii="Times New Roman" w:eastAsia="Times New Roman" w:hAnsi="Times New Roman" w:cs="Times New Roman"/>
      <w14:ligatures w14:val="standardContextual"/>
    </w:rPr>
  </w:style>
  <w:style w:type="paragraph" w:customStyle="1" w:styleId="paragraph">
    <w:name w:val="paragraph"/>
    <w:basedOn w:val="Normal"/>
    <w:rsid w:val="00A437C8"/>
    <w:pPr>
      <w:spacing w:before="100" w:beforeAutospacing="1" w:after="100" w:afterAutospacing="1" w:line="240" w:lineRule="auto"/>
    </w:pPr>
    <w:rPr>
      <w:rFonts w:ascii="Times New Roman" w:eastAsia="Calibri" w:hAnsi="Times New Roman" w:cs="Times New Roman"/>
      <w14:ligatures w14:val="standardContextual"/>
    </w:rPr>
  </w:style>
  <w:style w:type="paragraph" w:customStyle="1" w:styleId="Anonymauthor">
    <w:name w:val="Anonym author"/>
    <w:basedOn w:val="CommentText"/>
    <w:rsid w:val="00A437C8"/>
    <w:pPr>
      <w:spacing w:before="120" w:after="120"/>
      <w:jc w:val="both"/>
    </w:pPr>
    <w:rPr>
      <w:rFonts w:ascii="Times New Roman" w:eastAsiaTheme="minorHAnsi" w:hAnsi="Times New Roman" w:cs="Times New Roman"/>
    </w:rPr>
  </w:style>
  <w:style w:type="paragraph" w:customStyle="1" w:styleId="P68B1DB1-Normal3">
    <w:name w:val="P68B1DB1-Normal3"/>
    <w:basedOn w:val="Normal"/>
    <w:uiPriority w:val="99"/>
    <w:rsid w:val="00A437C8"/>
    <w:pPr>
      <w:spacing w:line="256" w:lineRule="auto"/>
    </w:pPr>
    <w:rPr>
      <w:rFonts w:ascii="Arial" w:eastAsiaTheme="minorHAnsi" w:hAnsi="Arial" w:cs="Arial"/>
      <w:szCs w:val="20"/>
      <w14:ligatures w14:val="standardContextual"/>
    </w:rPr>
  </w:style>
  <w:style w:type="character" w:customStyle="1" w:styleId="viiyi">
    <w:name w:val="viiyi"/>
    <w:basedOn w:val="DefaultParagraphFont"/>
    <w:rsid w:val="00A437C8"/>
  </w:style>
  <w:style w:type="character" w:customStyle="1" w:styleId="jlqj4b">
    <w:name w:val="jlqj4b"/>
    <w:basedOn w:val="DefaultParagraphFont"/>
    <w:rsid w:val="00A437C8"/>
  </w:style>
  <w:style w:type="paragraph" w:customStyle="1" w:styleId="P68B1DB1-Normal10">
    <w:name w:val="P68B1DB1-Normal10"/>
    <w:basedOn w:val="Normal"/>
    <w:rsid w:val="00A437C8"/>
    <w:pPr>
      <w:spacing w:line="259" w:lineRule="auto"/>
    </w:pPr>
    <w:rPr>
      <w:rFonts w:ascii="Arial" w:eastAsiaTheme="minorHAnsi" w:hAnsi="Arial" w:cs="Arial"/>
      <w:i/>
      <w:szCs w:val="20"/>
      <w14:ligatures w14:val="standardContextual"/>
    </w:rPr>
  </w:style>
  <w:style w:type="paragraph" w:styleId="HTMLPreformatted">
    <w:name w:val="HTML Preformatted"/>
    <w:basedOn w:val="Normal"/>
    <w:link w:val="HTMLPreformattedChar"/>
    <w:uiPriority w:val="99"/>
    <w:unhideWhenUsed/>
    <w:rsid w:val="00A4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14:ligatures w14:val="standardContextual"/>
    </w:rPr>
  </w:style>
  <w:style w:type="character" w:customStyle="1" w:styleId="HTMLPreformattedChar">
    <w:name w:val="HTML Preformatted Char"/>
    <w:basedOn w:val="DefaultParagraphFont"/>
    <w:link w:val="HTMLPreformatted"/>
    <w:uiPriority w:val="99"/>
    <w:rsid w:val="00A437C8"/>
    <w:rPr>
      <w:rFonts w:ascii="Courier New" w:eastAsia="Times New Roman" w:hAnsi="Courier New" w:cs="Courier New"/>
      <w:sz w:val="20"/>
      <w:szCs w:val="20"/>
      <w14:ligatures w14:val="standardContextual"/>
    </w:rPr>
  </w:style>
  <w:style w:type="character" w:customStyle="1" w:styleId="y2iqfc">
    <w:name w:val="y2iqfc"/>
    <w:basedOn w:val="DefaultParagraphFont"/>
    <w:rsid w:val="00A437C8"/>
  </w:style>
  <w:style w:type="character" w:customStyle="1" w:styleId="eop">
    <w:name w:val="eop"/>
    <w:basedOn w:val="DefaultParagraphFont"/>
    <w:rsid w:val="00A437C8"/>
  </w:style>
  <w:style w:type="paragraph" w:customStyle="1" w:styleId="P68B1DB1-Normal15">
    <w:name w:val="P68B1DB1-Normal15"/>
    <w:basedOn w:val="Normal"/>
    <w:rsid w:val="00A437C8"/>
    <w:pPr>
      <w:spacing w:before="120" w:after="120" w:line="240" w:lineRule="auto"/>
      <w:jc w:val="both"/>
    </w:pPr>
    <w:rPr>
      <w:rFonts w:ascii="Times New Roman" w:eastAsiaTheme="minorHAnsi" w:hAnsi="Times New Roman" w:cs="Times New Roman"/>
      <w:sz w:val="18"/>
      <w:szCs w:val="20"/>
      <w:highlight w:val="yellow"/>
      <w14:ligatures w14:val="standardContextual"/>
    </w:rPr>
  </w:style>
  <w:style w:type="character" w:styleId="Emphasis">
    <w:name w:val="Emphasis"/>
    <w:basedOn w:val="DefaultParagraphFont"/>
    <w:uiPriority w:val="20"/>
    <w:qFormat/>
    <w:rsid w:val="00A437C8"/>
    <w:rPr>
      <w:i/>
      <w:iCs/>
    </w:rPr>
  </w:style>
  <w:style w:type="character" w:customStyle="1" w:styleId="apple-converted-space">
    <w:name w:val="apple-converted-space"/>
    <w:basedOn w:val="DefaultParagraphFont"/>
    <w:rsid w:val="00A437C8"/>
  </w:style>
  <w:style w:type="character" w:customStyle="1" w:styleId="Bodytext2">
    <w:name w:val="Body text|2"/>
    <w:basedOn w:val="DefaultParagraphFont"/>
    <w:semiHidden/>
    <w:rsid w:val="00A437C8"/>
    <w:rPr>
      <w:rFonts w:ascii="Arial" w:eastAsia="Arial" w:hAnsi="Arial" w:cs="Arial" w:hint="default"/>
      <w:b w:val="0"/>
      <w:bCs w:val="0"/>
      <w:i w:val="0"/>
      <w:iCs w:val="0"/>
      <w:smallCaps w:val="0"/>
      <w:strike w:val="0"/>
      <w:dstrike w:val="0"/>
      <w:color w:val="000000"/>
      <w:position w:val="0"/>
      <w:sz w:val="16"/>
      <w:u w:val="none"/>
      <w:effect w:val="none"/>
    </w:rPr>
  </w:style>
  <w:style w:type="character" w:customStyle="1" w:styleId="spellingerror">
    <w:name w:val="spellingerror"/>
    <w:basedOn w:val="DefaultParagraphFont"/>
    <w:rsid w:val="00A437C8"/>
  </w:style>
  <w:style w:type="character" w:customStyle="1" w:styleId="UnresolvedMention1">
    <w:name w:val="Unresolved Mention1"/>
    <w:basedOn w:val="DefaultParagraphFont"/>
    <w:uiPriority w:val="99"/>
    <w:semiHidden/>
    <w:unhideWhenUsed/>
    <w:rsid w:val="00A437C8"/>
    <w:rPr>
      <w:color w:val="605E5C"/>
      <w:shd w:val="clear" w:color="auto" w:fill="E1DFDD"/>
    </w:rPr>
  </w:style>
  <w:style w:type="paragraph" w:customStyle="1" w:styleId="P68B1DB1-Normal6">
    <w:name w:val="P68B1DB1-Normal6"/>
    <w:basedOn w:val="Normal"/>
    <w:uiPriority w:val="1"/>
    <w:rsid w:val="00A437C8"/>
    <w:pPr>
      <w:spacing w:line="259" w:lineRule="auto"/>
    </w:pPr>
    <w:rPr>
      <w:rFonts w:ascii="Times New Roman" w:eastAsia="Times New Roman" w:hAnsi="Times New Roman" w:cs="Times New Roman"/>
      <w:szCs w:val="20"/>
      <w14:ligatures w14:val="standardContextual"/>
    </w:rPr>
  </w:style>
  <w:style w:type="paragraph" w:customStyle="1" w:styleId="P68B1DB1-ListParagraph12">
    <w:name w:val="P68B1DB1-ListParagraph12"/>
    <w:basedOn w:val="ListParagraph"/>
    <w:rsid w:val="00A437C8"/>
    <w:rPr>
      <w:rFonts w:ascii="Times New Roman" w:eastAsia="Times New Roman" w:hAnsi="Times New Roman" w:cs="Times New Roman"/>
      <w:kern w:val="0"/>
      <w:szCs w:val="20"/>
    </w:rPr>
  </w:style>
  <w:style w:type="paragraph" w:customStyle="1" w:styleId="P68B1DB1-Normal2">
    <w:name w:val="P68B1DB1-Normal2"/>
    <w:basedOn w:val="Normal"/>
    <w:rsid w:val="00A437C8"/>
    <w:pPr>
      <w:spacing w:line="259" w:lineRule="auto"/>
    </w:pPr>
    <w:rPr>
      <w:rFonts w:ascii="Times New Roman" w:eastAsia="Calibri" w:hAnsi="Times New Roman" w:cs="Times New Roman"/>
      <w:sz w:val="22"/>
      <w:szCs w:val="20"/>
      <w14:ligatures w14:val="standardContextual"/>
    </w:rPr>
  </w:style>
  <w:style w:type="character" w:customStyle="1" w:styleId="ListLabel1791text">
    <w:name w:val="ListLabel 1791_text"/>
    <w:qFormat/>
    <w:rsid w:val="00A437C8"/>
    <w:rPr>
      <w:rFonts w:ascii="Times New Roman" w:hAnsi="Times New Roman"/>
      <w:sz w:val="24"/>
    </w:rPr>
  </w:style>
  <w:style w:type="table" w:styleId="TableGrid">
    <w:name w:val="Table Grid"/>
    <w:basedOn w:val="TableNormal"/>
    <w:uiPriority w:val="59"/>
    <w:rsid w:val="00A437C8"/>
    <w:pPr>
      <w:spacing w:after="0" w:line="240" w:lineRule="auto"/>
    </w:pPr>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ucationalResources">
    <w:name w:val="Educational Resources"/>
    <w:basedOn w:val="Normal"/>
    <w:rsid w:val="00A437C8"/>
    <w:pPr>
      <w:spacing w:after="0" w:line="276" w:lineRule="auto"/>
    </w:pPr>
    <w:rPr>
      <w:rFonts w:eastAsiaTheme="minorHAnsi"/>
      <w:color w:val="000000"/>
      <w:sz w:val="22"/>
      <w:szCs w:val="22"/>
      <w14:ligatures w14:val="standardContextual"/>
    </w:rPr>
  </w:style>
  <w:style w:type="paragraph" w:customStyle="1" w:styleId="EntText">
    <w:name w:val="EntText"/>
    <w:basedOn w:val="Normal"/>
    <w:rsid w:val="00A437C8"/>
    <w:pPr>
      <w:spacing w:before="120" w:after="120" w:line="360" w:lineRule="auto"/>
    </w:pPr>
    <w:rPr>
      <w:rFonts w:ascii="Times New Roman" w:eastAsiaTheme="minorHAnsi" w:hAnsi="Times New Roman" w:cs="Times New Roman"/>
      <w:szCs w:val="22"/>
      <w14:ligatures w14:val="standardContextual"/>
    </w:rPr>
  </w:style>
  <w:style w:type="paragraph" w:customStyle="1" w:styleId="nbbordered">
    <w:name w:val="nb bordered"/>
    <w:basedOn w:val="Normal"/>
    <w:link w:val="nbborderedChar"/>
    <w:rsid w:val="00A437C8"/>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 w:val="22"/>
      <w:szCs w:val="22"/>
      <w14:ligatures w14:val="standardContextual"/>
    </w:rPr>
  </w:style>
  <w:style w:type="character" w:customStyle="1" w:styleId="nbborderedChar">
    <w:name w:val="nb bordered Char"/>
    <w:basedOn w:val="TechnicalBlockChar"/>
    <w:link w:val="nbbordered"/>
    <w:rsid w:val="00A437C8"/>
    <w:rPr>
      <w:rFonts w:ascii="Times New Roman" w:eastAsiaTheme="minorHAnsi" w:hAnsi="Times New Roman" w:cs="Times New Roman"/>
      <w:b/>
      <w:sz w:val="22"/>
      <w:szCs w:val="22"/>
      <w14:ligatures w14:val="standardContextual"/>
    </w:rPr>
  </w:style>
  <w:style w:type="character" w:styleId="PlaceholderText">
    <w:name w:val="Placeholder Text"/>
    <w:basedOn w:val="DefaultParagraphFont"/>
    <w:uiPriority w:val="99"/>
    <w:semiHidden/>
    <w:rsid w:val="00A437C8"/>
    <w:rPr>
      <w:color w:val="808080"/>
    </w:rPr>
  </w:style>
  <w:style w:type="character" w:customStyle="1" w:styleId="UnresolvedMention2">
    <w:name w:val="Unresolved Mention2"/>
    <w:basedOn w:val="DefaultParagraphFont"/>
    <w:uiPriority w:val="99"/>
    <w:semiHidden/>
    <w:unhideWhenUsed/>
    <w:rsid w:val="00A437C8"/>
    <w:rPr>
      <w:color w:val="605E5C"/>
      <w:shd w:val="clear" w:color="auto" w:fill="E1DFDD"/>
    </w:rPr>
  </w:style>
  <w:style w:type="character" w:customStyle="1" w:styleId="Mention10">
    <w:name w:val="Mention10"/>
    <w:basedOn w:val="DefaultParagraphFont"/>
    <w:uiPriority w:val="99"/>
    <w:unhideWhenUsed/>
    <w:rsid w:val="00A437C8"/>
    <w:rPr>
      <w:color w:val="2B579A"/>
      <w:shd w:val="clear" w:color="auto" w:fill="E6E6E6"/>
    </w:rPr>
  </w:style>
  <w:style w:type="paragraph" w:customStyle="1" w:styleId="P68B1DB1-Normal8">
    <w:name w:val="P68B1DB1-Normal8"/>
    <w:basedOn w:val="Normal"/>
    <w:rsid w:val="00A437C8"/>
    <w:pPr>
      <w:spacing w:after="0" w:line="240" w:lineRule="auto"/>
    </w:pPr>
    <w:rPr>
      <w:rFonts w:ascii="Trebuchet MS" w:eastAsia="Trebuchet MS" w:hAnsi="Trebuchet MS" w:cs="Trebuchet MS"/>
      <w:kern w:val="2"/>
      <w:sz w:val="22"/>
      <w:szCs w:val="20"/>
      <w14:ligatures w14:val="standardContextual"/>
    </w:rPr>
  </w:style>
  <w:style w:type="paragraph" w:customStyle="1" w:styleId="P68B1DB1-Normal9">
    <w:name w:val="P68B1DB1-Normal9"/>
    <w:basedOn w:val="Normal"/>
    <w:rsid w:val="00A437C8"/>
    <w:pPr>
      <w:spacing w:after="0" w:line="240" w:lineRule="auto"/>
    </w:pPr>
    <w:rPr>
      <w:rFonts w:ascii="Trebuchet MS" w:eastAsia="Times New Roman" w:hAnsi="Trebuchet MS" w:cs="Times New Roman"/>
      <w:kern w:val="2"/>
      <w:sz w:val="22"/>
      <w:szCs w:val="20"/>
      <w14:ligatures w14:val="standardContextual"/>
    </w:rPr>
  </w:style>
  <w:style w:type="paragraph" w:customStyle="1" w:styleId="P68B1DB1-Normal7">
    <w:name w:val="P68B1DB1-Normal7"/>
    <w:basedOn w:val="Normal"/>
    <w:uiPriority w:val="1"/>
    <w:rsid w:val="00A437C8"/>
    <w:pPr>
      <w:spacing w:line="259" w:lineRule="auto"/>
    </w:pPr>
    <w:rPr>
      <w:rFonts w:ascii="Trebuchet MS" w:eastAsia="Times New Roman" w:hAnsi="Trebuchet MS" w:cs="Times New Roman"/>
      <w:b/>
      <w:bCs/>
      <w:color w:val="000000" w:themeColor="text1"/>
      <w14:ligatures w14:val="standardContextual"/>
    </w:rPr>
  </w:style>
  <w:style w:type="paragraph" w:customStyle="1" w:styleId="P68B1DB1-Normal11">
    <w:name w:val="P68B1DB1-Normal11"/>
    <w:basedOn w:val="Normal"/>
    <w:uiPriority w:val="1"/>
    <w:rsid w:val="00A437C8"/>
    <w:pPr>
      <w:spacing w:line="259" w:lineRule="auto"/>
    </w:pPr>
    <w:rPr>
      <w:rFonts w:ascii="Trebuchet MS" w:eastAsia="Calibri" w:hAnsi="Trebuchet MS" w:cs="Times New Roman"/>
      <w:color w:val="000000" w:themeColor="text1"/>
      <w:sz w:val="20"/>
      <w:szCs w:val="20"/>
      <w14:ligatures w14:val="standardContextual"/>
    </w:rPr>
  </w:style>
  <w:style w:type="character" w:customStyle="1" w:styleId="UnresolvedMention10">
    <w:name w:val="Unresolved Mention10"/>
    <w:basedOn w:val="DefaultParagraphFont"/>
    <w:uiPriority w:val="99"/>
    <w:semiHidden/>
    <w:unhideWhenUsed/>
    <w:rsid w:val="00A437C8"/>
    <w:rPr>
      <w:color w:val="605E5C"/>
      <w:shd w:val="clear" w:color="auto" w:fill="E1DFDD"/>
    </w:rPr>
  </w:style>
  <w:style w:type="character" w:customStyle="1" w:styleId="UnresolvedMention100">
    <w:name w:val="Unresolved Mention100"/>
    <w:basedOn w:val="DefaultParagraphFont"/>
    <w:uiPriority w:val="99"/>
    <w:semiHidden/>
    <w:unhideWhenUsed/>
    <w:rsid w:val="00A437C8"/>
    <w:rPr>
      <w:color w:val="605E5C"/>
      <w:shd w:val="clear" w:color="auto" w:fill="E1DFDD"/>
    </w:rPr>
  </w:style>
  <w:style w:type="character" w:customStyle="1" w:styleId="UnresolvedMention1000">
    <w:name w:val="Unresolved Mention1000"/>
    <w:basedOn w:val="DefaultParagraphFont"/>
    <w:uiPriority w:val="99"/>
    <w:semiHidden/>
    <w:unhideWhenUsed/>
    <w:rsid w:val="00A437C8"/>
    <w:rPr>
      <w:color w:val="605E5C"/>
      <w:shd w:val="clear" w:color="auto" w:fill="E1DFDD"/>
    </w:rPr>
  </w:style>
  <w:style w:type="character" w:customStyle="1" w:styleId="UnresolvedMention3">
    <w:name w:val="Unresolved Mention3"/>
    <w:basedOn w:val="DefaultParagraphFont"/>
    <w:uiPriority w:val="99"/>
    <w:semiHidden/>
    <w:unhideWhenUsed/>
    <w:rsid w:val="00A437C8"/>
    <w:rPr>
      <w:color w:val="605E5C"/>
      <w:shd w:val="clear" w:color="auto" w:fill="E1DFDD"/>
    </w:rPr>
  </w:style>
  <w:style w:type="character" w:customStyle="1" w:styleId="Mention2">
    <w:name w:val="Mention2"/>
    <w:basedOn w:val="DefaultParagraphFont"/>
    <w:uiPriority w:val="99"/>
    <w:unhideWhenUsed/>
    <w:rsid w:val="00A437C8"/>
    <w:rPr>
      <w:color w:val="2B579A"/>
      <w:shd w:val="clear" w:color="auto" w:fill="E1DFDD"/>
    </w:rPr>
  </w:style>
  <w:style w:type="character" w:customStyle="1" w:styleId="Mention100">
    <w:name w:val="Mention100"/>
    <w:basedOn w:val="DefaultParagraphFont"/>
    <w:uiPriority w:val="99"/>
    <w:unhideWhenUsed/>
    <w:rsid w:val="00A437C8"/>
    <w:rPr>
      <w:color w:val="2B579A"/>
      <w:shd w:val="clear" w:color="auto" w:fill="E6E6E6"/>
    </w:rPr>
  </w:style>
  <w:style w:type="character" w:customStyle="1" w:styleId="Mention1000">
    <w:name w:val="Mention1000"/>
    <w:basedOn w:val="DefaultParagraphFont"/>
    <w:uiPriority w:val="99"/>
    <w:unhideWhenUsed/>
    <w:rsid w:val="00A437C8"/>
    <w:rPr>
      <w:color w:val="2B579A"/>
      <w:shd w:val="clear" w:color="auto" w:fill="E6E6E6"/>
    </w:rPr>
  </w:style>
  <w:style w:type="character" w:customStyle="1" w:styleId="Mention10000">
    <w:name w:val="Mention10000"/>
    <w:basedOn w:val="DefaultParagraphFont"/>
    <w:uiPriority w:val="99"/>
    <w:unhideWhenUsed/>
    <w:rsid w:val="00A437C8"/>
    <w:rPr>
      <w:color w:val="2B579A"/>
      <w:shd w:val="clear" w:color="auto" w:fill="E6E6E6"/>
    </w:rPr>
  </w:style>
  <w:style w:type="character" w:customStyle="1" w:styleId="CommentTextChar1">
    <w:name w:val="Comment Text Char1"/>
    <w:basedOn w:val="DefaultParagraphFont"/>
    <w:uiPriority w:val="99"/>
    <w:semiHidden/>
    <w:rsid w:val="00A437C8"/>
    <w:rPr>
      <w:sz w:val="20"/>
      <w:szCs w:val="20"/>
    </w:rPr>
  </w:style>
  <w:style w:type="paragraph" w:customStyle="1" w:styleId="P68B1DB1-Normal47">
    <w:name w:val="P68B1DB1-Normal47"/>
    <w:basedOn w:val="Normal"/>
    <w:uiPriority w:val="1"/>
    <w:rsid w:val="00A437C8"/>
    <w:pPr>
      <w:spacing w:line="259" w:lineRule="auto"/>
    </w:pPr>
    <w:rPr>
      <w:sz w:val="20"/>
      <w:szCs w:val="20"/>
      <w14:ligatures w14:val="standardContextual"/>
    </w:rPr>
  </w:style>
  <w:style w:type="paragraph" w:styleId="PlainText">
    <w:name w:val="Plain Text"/>
    <w:basedOn w:val="Normal"/>
    <w:link w:val="PlainTextChar"/>
    <w:uiPriority w:val="99"/>
    <w:semiHidden/>
    <w:unhideWhenUsed/>
    <w:rsid w:val="00A437C8"/>
    <w:pPr>
      <w:spacing w:after="0" w:line="240" w:lineRule="auto"/>
    </w:pPr>
    <w:rPr>
      <w:rFonts w:ascii="Calibri" w:eastAsia="Times New Roman" w:hAnsi="Calibri" w:cs="Calibri"/>
      <w:sz w:val="22"/>
      <w:szCs w:val="22"/>
      <w14:ligatures w14:val="standardContextual"/>
    </w:rPr>
  </w:style>
  <w:style w:type="character" w:customStyle="1" w:styleId="PlainTextChar">
    <w:name w:val="Plain Text Char"/>
    <w:basedOn w:val="DefaultParagraphFont"/>
    <w:link w:val="PlainText"/>
    <w:uiPriority w:val="99"/>
    <w:semiHidden/>
    <w:rsid w:val="00A437C8"/>
    <w:rPr>
      <w:rFonts w:ascii="Calibri" w:eastAsia="Times New Roman" w:hAnsi="Calibri" w:cs="Calibri"/>
      <w:sz w:val="22"/>
      <w:szCs w:val="22"/>
      <w14:ligatures w14:val="standardContextual"/>
    </w:rPr>
  </w:style>
  <w:style w:type="character" w:customStyle="1" w:styleId="Mention100000">
    <w:name w:val="Mention100000"/>
    <w:basedOn w:val="DefaultParagraphFont"/>
    <w:uiPriority w:val="99"/>
    <w:unhideWhenUsed/>
    <w:rsid w:val="00A437C8"/>
    <w:rPr>
      <w:color w:val="2B579A"/>
      <w:shd w:val="clear" w:color="auto" w:fill="E6E6E6"/>
    </w:rPr>
  </w:style>
  <w:style w:type="character" w:customStyle="1" w:styleId="Mention1000000">
    <w:name w:val="Mention1000000"/>
    <w:basedOn w:val="DefaultParagraphFont"/>
    <w:uiPriority w:val="99"/>
    <w:unhideWhenUsed/>
    <w:rsid w:val="00A437C8"/>
    <w:rPr>
      <w:color w:val="2B579A"/>
      <w:shd w:val="clear" w:color="auto" w:fill="E6E6E6"/>
    </w:rPr>
  </w:style>
  <w:style w:type="character" w:customStyle="1" w:styleId="Mention10000000">
    <w:name w:val="Mention10000000"/>
    <w:basedOn w:val="DefaultParagraphFont"/>
    <w:uiPriority w:val="99"/>
    <w:unhideWhenUsed/>
    <w:rsid w:val="00A437C8"/>
    <w:rPr>
      <w:color w:val="2B579A"/>
      <w:shd w:val="clear" w:color="auto" w:fill="E6E6E6"/>
    </w:rPr>
  </w:style>
  <w:style w:type="character" w:customStyle="1" w:styleId="Mention100000000">
    <w:name w:val="Mention100000000"/>
    <w:basedOn w:val="DefaultParagraphFont"/>
    <w:uiPriority w:val="99"/>
    <w:unhideWhenUsed/>
    <w:rsid w:val="00A437C8"/>
    <w:rPr>
      <w:color w:val="2B579A"/>
      <w:shd w:val="clear" w:color="auto" w:fill="E6E6E6"/>
    </w:rPr>
  </w:style>
  <w:style w:type="character" w:customStyle="1" w:styleId="Mention1000000000">
    <w:name w:val="Mention1000000000"/>
    <w:basedOn w:val="DefaultParagraphFont"/>
    <w:uiPriority w:val="99"/>
    <w:unhideWhenUsed/>
    <w:rsid w:val="00A437C8"/>
    <w:rPr>
      <w:color w:val="2B579A"/>
      <w:shd w:val="clear" w:color="auto" w:fill="E6E6E6"/>
    </w:rPr>
  </w:style>
  <w:style w:type="character" w:customStyle="1" w:styleId="Mention10000000000">
    <w:name w:val="Mention10000000000"/>
    <w:basedOn w:val="DefaultParagraphFont"/>
    <w:uiPriority w:val="99"/>
    <w:unhideWhenUsed/>
    <w:rsid w:val="00A437C8"/>
    <w:rPr>
      <w:color w:val="2B579A"/>
      <w:shd w:val="clear" w:color="auto" w:fill="E6E6E6"/>
    </w:rPr>
  </w:style>
  <w:style w:type="character" w:customStyle="1" w:styleId="Mention100000000000">
    <w:name w:val="Mention100000000000"/>
    <w:basedOn w:val="DefaultParagraphFont"/>
    <w:uiPriority w:val="99"/>
    <w:unhideWhenUsed/>
    <w:rsid w:val="00A437C8"/>
    <w:rPr>
      <w:color w:val="2B579A"/>
      <w:shd w:val="clear" w:color="auto" w:fill="E6E6E6"/>
    </w:rPr>
  </w:style>
  <w:style w:type="character" w:customStyle="1" w:styleId="Mention1000000000000">
    <w:name w:val="Mention1000000000000"/>
    <w:basedOn w:val="DefaultParagraphFont"/>
    <w:uiPriority w:val="99"/>
    <w:unhideWhenUsed/>
    <w:rsid w:val="00A437C8"/>
    <w:rPr>
      <w:color w:val="2B579A"/>
      <w:shd w:val="clear" w:color="auto" w:fill="E6E6E6"/>
    </w:rPr>
  </w:style>
  <w:style w:type="character" w:customStyle="1" w:styleId="Mention10000000000000">
    <w:name w:val="Mention10000000000000"/>
    <w:basedOn w:val="DefaultParagraphFont"/>
    <w:uiPriority w:val="99"/>
    <w:unhideWhenUsed/>
    <w:rsid w:val="00A437C8"/>
    <w:rPr>
      <w:color w:val="2B579A"/>
      <w:shd w:val="clear" w:color="auto" w:fill="E6E6E6"/>
    </w:rPr>
  </w:style>
  <w:style w:type="character" w:customStyle="1" w:styleId="Mention100000000000000">
    <w:name w:val="Mention100000000000000"/>
    <w:basedOn w:val="DefaultParagraphFont"/>
    <w:uiPriority w:val="99"/>
    <w:unhideWhenUsed/>
    <w:rsid w:val="00A437C8"/>
    <w:rPr>
      <w:color w:val="2B579A"/>
      <w:shd w:val="clear" w:color="auto" w:fill="E6E6E6"/>
    </w:rPr>
  </w:style>
  <w:style w:type="character" w:customStyle="1" w:styleId="Mention1000000000000000">
    <w:name w:val="Mention1000000000000000"/>
    <w:basedOn w:val="DefaultParagraphFont"/>
    <w:uiPriority w:val="99"/>
    <w:unhideWhenUsed/>
    <w:rsid w:val="00A437C8"/>
    <w:rPr>
      <w:color w:val="2B579A"/>
      <w:shd w:val="clear" w:color="auto" w:fill="E6E6E6"/>
    </w:rPr>
  </w:style>
  <w:style w:type="character" w:customStyle="1" w:styleId="Mention10000000000000000">
    <w:name w:val="Mention10000000000000000"/>
    <w:basedOn w:val="DefaultParagraphFont"/>
    <w:uiPriority w:val="99"/>
    <w:unhideWhenUsed/>
    <w:rsid w:val="00A437C8"/>
    <w:rPr>
      <w:color w:val="2B579A"/>
      <w:shd w:val="clear" w:color="auto" w:fill="E6E6E6"/>
    </w:rPr>
  </w:style>
  <w:style w:type="character" w:customStyle="1" w:styleId="Mention100000000000000000">
    <w:name w:val="Mention100000000000000000"/>
    <w:basedOn w:val="DefaultParagraphFont"/>
    <w:uiPriority w:val="99"/>
    <w:unhideWhenUsed/>
    <w:rsid w:val="00A437C8"/>
    <w:rPr>
      <w:color w:val="2B579A"/>
      <w:shd w:val="clear" w:color="auto" w:fill="E6E6E6"/>
    </w:rPr>
  </w:style>
  <w:style w:type="character" w:customStyle="1" w:styleId="Mention1000000000000000000">
    <w:name w:val="Mention1000000000000000000"/>
    <w:basedOn w:val="DefaultParagraphFont"/>
    <w:uiPriority w:val="99"/>
    <w:unhideWhenUsed/>
    <w:rsid w:val="00A437C8"/>
    <w:rPr>
      <w:color w:val="2B579A"/>
      <w:shd w:val="clear" w:color="auto" w:fill="E6E6E6"/>
    </w:rPr>
  </w:style>
  <w:style w:type="paragraph" w:customStyle="1" w:styleId="Default">
    <w:name w:val="Default"/>
    <w:rsid w:val="00A437C8"/>
    <w:pPr>
      <w:autoSpaceDE w:val="0"/>
      <w:autoSpaceDN w:val="0"/>
      <w:adjustRightInd w:val="0"/>
      <w:spacing w:after="0" w:line="240" w:lineRule="auto"/>
    </w:pPr>
    <w:rPr>
      <w:rFonts w:ascii="Calibri" w:hAnsi="Calibri" w:cs="Calibri"/>
      <w:color w:val="000000"/>
      <w14:ligatures w14:val="standardContextual"/>
    </w:rPr>
  </w:style>
  <w:style w:type="table" w:customStyle="1" w:styleId="TableGridLight1">
    <w:name w:val="Table Grid Light1"/>
    <w:basedOn w:val="TableNormal"/>
    <w:next w:val="TableGridLight"/>
    <w:uiPriority w:val="40"/>
    <w:rsid w:val="00A437C8"/>
    <w:pPr>
      <w:spacing w:after="0" w:line="240" w:lineRule="auto"/>
    </w:pPr>
    <w:rPr>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A437C8"/>
    <w:pPr>
      <w:spacing w:after="0" w:line="240" w:lineRule="auto"/>
    </w:pPr>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A437C8"/>
    <w:pPr>
      <w:spacing w:after="0" w:line="240" w:lineRule="auto"/>
    </w:pPr>
    <w:rPr>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59"/>
    <w:rsid w:val="00A437C8"/>
    <w:pPr>
      <w:spacing w:after="0" w:line="240" w:lineRule="auto"/>
    </w:pPr>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0">
    <w:name w:val="Table Grid Light10"/>
    <w:basedOn w:val="TableNormal"/>
    <w:next w:val="TableGridLight1"/>
    <w:uiPriority w:val="40"/>
    <w:rsid w:val="00BE1A15"/>
    <w:pPr>
      <w:spacing w:after="0" w:line="240" w:lineRule="auto"/>
    </w:pPr>
    <w:rPr>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sselectedend">
    <w:name w:val="isselectedend"/>
    <w:basedOn w:val="Normal"/>
    <w:rsid w:val="00BE1A15"/>
    <w:pPr>
      <w:spacing w:before="100" w:beforeAutospacing="1" w:after="100" w:afterAutospacing="1" w:line="240" w:lineRule="auto"/>
    </w:pPr>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BE1A15"/>
    <w:rPr>
      <w:color w:val="605E5C"/>
      <w:shd w:val="clear" w:color="auto" w:fill="E1DFDD"/>
    </w:rPr>
  </w:style>
  <w:style w:type="character" w:customStyle="1" w:styleId="Mention">
    <w:name w:val="Mention"/>
    <w:basedOn w:val="DefaultParagraphFont"/>
    <w:uiPriority w:val="99"/>
    <w:unhideWhenUsed/>
    <w:rsid w:val="008D6D49"/>
    <w:rPr>
      <w:color w:val="2B579A"/>
      <w:shd w:val="clear" w:color="auto" w:fill="E1DFDD"/>
    </w:rPr>
  </w:style>
  <w:style w:type="numbering" w:customStyle="1" w:styleId="NoList3">
    <w:name w:val="No List3"/>
    <w:next w:val="NoList"/>
    <w:uiPriority w:val="99"/>
    <w:semiHidden/>
    <w:unhideWhenUsed/>
    <w:rsid w:val="00137D7A"/>
  </w:style>
  <w:style w:type="numbering" w:customStyle="1" w:styleId="NoList11">
    <w:name w:val="No List11"/>
    <w:next w:val="NoList"/>
    <w:uiPriority w:val="99"/>
    <w:semiHidden/>
    <w:unhideWhenUsed/>
    <w:rsid w:val="00137D7A"/>
  </w:style>
  <w:style w:type="numbering" w:customStyle="1" w:styleId="NoList21">
    <w:name w:val="No List21"/>
    <w:next w:val="NoList"/>
    <w:uiPriority w:val="99"/>
    <w:semiHidden/>
    <w:unhideWhenUsed/>
    <w:rsid w:val="00137D7A"/>
  </w:style>
  <w:style w:type="paragraph" w:customStyle="1" w:styleId="P68B1DB1-Normal1">
    <w:name w:val="P68B1DB1-Normal1"/>
    <w:basedOn w:val="Normal"/>
    <w:rPr>
      <w:rFonts w:ascii="Times New Roman" w:hAnsi="Times New Roman" w:cs="Times New Roman"/>
      <w:b/>
      <w:smallCaps/>
    </w:rPr>
  </w:style>
  <w:style w:type="paragraph" w:customStyle="1" w:styleId="P68B1DB1-Normal4">
    <w:name w:val="P68B1DB1-Normal4"/>
    <w:basedOn w:val="Normal"/>
    <w:rPr>
      <w:rFonts w:ascii="Times New Roman" w:hAnsi="Times New Roman" w:cs="Times New Roman"/>
    </w:rPr>
  </w:style>
  <w:style w:type="paragraph" w:customStyle="1" w:styleId="P68B1DB1-Normal5">
    <w:name w:val="P68B1DB1-Normal5"/>
    <w:basedOn w:val="Normal"/>
    <w:rPr>
      <w:rFonts w:ascii="Times New Roman" w:hAnsi="Times New Roman" w:cs="Times New Roman"/>
      <w:b/>
    </w:rPr>
  </w:style>
  <w:style w:type="paragraph" w:customStyle="1" w:styleId="P68B1DB1-Normal12">
    <w:name w:val="P68B1DB1-Normal12"/>
    <w:basedOn w:val="Normal"/>
    <w:rPr>
      <w:rFonts w:ascii="Times New Roman" w:eastAsia="NSimSun" w:hAnsi="Times New Roman" w:cs="Times New Roman"/>
      <w:kern w:val="3"/>
      <w:u w:val="single"/>
    </w:rPr>
  </w:style>
  <w:style w:type="paragraph" w:customStyle="1" w:styleId="P68B1DB1-Normal13">
    <w:name w:val="P68B1DB1-Normal13"/>
    <w:basedOn w:val="Normal"/>
    <w:rPr>
      <w:rFonts w:ascii="Times New Roman" w:hAnsi="Times New Roman" w:cs="Times New Roman"/>
      <w:b/>
      <w:sz w:val="20"/>
      <w:szCs w:val="20"/>
    </w:rPr>
  </w:style>
  <w:style w:type="paragraph" w:customStyle="1" w:styleId="P68B1DB1-Normal14">
    <w:name w:val="P68B1DB1-Normal14"/>
    <w:basedOn w:val="Normal"/>
    <w:rPr>
      <w:rFonts w:ascii="Times New Roman" w:hAnsi="Times New Roman" w:cs="Times New Roman"/>
      <w:sz w:val="20"/>
      <w:szCs w:val="20"/>
    </w:rPr>
  </w:style>
  <w:style w:type="paragraph" w:customStyle="1" w:styleId="P68B1DB1-Normal16">
    <w:name w:val="P68B1DB1-Normal16"/>
    <w:basedOn w:val="Normal"/>
    <w:rPr>
      <w:rFonts w:ascii="Times New Roman" w:eastAsia="Times New Roman" w:hAnsi="Times New Roman" w:cs="Times New Roman"/>
      <w:b/>
      <w:sz w:val="20"/>
      <w:szCs w:val="20"/>
    </w:rPr>
  </w:style>
  <w:style w:type="paragraph" w:customStyle="1" w:styleId="P68B1DB1-Normal17">
    <w:name w:val="P68B1DB1-Normal17"/>
    <w:basedOn w:val="Normal"/>
    <w:rPr>
      <w:rFonts w:ascii="Times New Roman" w:hAnsi="Times New Roman" w:cs="Times New Roman"/>
      <w:bdr w:val="none" w:sz="0" w:space="0" w:color="auto" w:frame="1"/>
    </w:rPr>
  </w:style>
  <w:style w:type="paragraph" w:customStyle="1" w:styleId="P68B1DB1-Normal18">
    <w:name w:val="P68B1DB1-Normal18"/>
    <w:basedOn w:val="Normal"/>
    <w:rPr>
      <w:rFonts w:ascii="Times New Roman" w:eastAsia="NSimSun" w:hAnsi="Times New Roman" w:cs="Times New Roman"/>
      <w:u w:val="single"/>
    </w:rPr>
  </w:style>
  <w:style w:type="paragraph" w:customStyle="1" w:styleId="P68B1DB1-Normal19">
    <w:name w:val="P68B1DB1-Normal19"/>
    <w:basedOn w:val="Normal"/>
    <w:rPr>
      <w:rFonts w:ascii="Times New Roman" w:eastAsia="Times New Roman" w:hAnsi="Times New Roman" w:cs="Times New Roman"/>
      <w:sz w:val="20"/>
      <w:szCs w:val="20"/>
    </w:rPr>
  </w:style>
  <w:style w:type="paragraph" w:customStyle="1" w:styleId="P68B1DB1-Normal20">
    <w:name w:val="P68B1DB1-Normal20"/>
    <w:basedOn w:val="Normal"/>
    <w:rPr>
      <w:rFonts w:ascii="Times New Roman" w:eastAsia="NSimSun" w:hAnsi="Times New Roman" w:cs="Times New Roman"/>
    </w:rPr>
  </w:style>
  <w:style w:type="paragraph" w:customStyle="1" w:styleId="P68B1DB1-Normal21">
    <w:name w:val="P68B1DB1-Normal21"/>
    <w:basedOn w:val="Normal"/>
    <w:rPr>
      <w:rFonts w:ascii="Times New Roman" w:eastAsia="NSimSun" w:hAnsi="Times New Roman" w:cs="Times New Roman"/>
      <w:kern w:val="3"/>
    </w:rPr>
  </w:style>
  <w:style w:type="paragraph" w:customStyle="1" w:styleId="P68B1DB1-Normal22">
    <w:name w:val="P68B1DB1-Normal22"/>
    <w:basedOn w:val="Normal"/>
    <w:rPr>
      <w:rFonts w:ascii="Times New Roman" w:eastAsia="Calibri" w:hAnsi="Times New Roman" w:cs="Times New Roman"/>
    </w:rPr>
  </w:style>
  <w:style w:type="paragraph" w:customStyle="1" w:styleId="P68B1DB1-Normal23">
    <w:name w:val="P68B1DB1-Normal23"/>
    <w:basedOn w:val="Normal"/>
    <w:rPr>
      <w:rFonts w:ascii="Times New Roman" w:hAnsi="Times New Roman" w:cs="Times New Roman"/>
      <w:sz w:val="20"/>
      <w:szCs w:val="20"/>
      <w:shd w:val="clear" w:color="auto" w:fill="C6EFCE"/>
    </w:rPr>
  </w:style>
  <w:style w:type="paragraph" w:customStyle="1" w:styleId="P68B1DB1-Normal24">
    <w:name w:val="P68B1DB1-Normal24"/>
    <w:basedOn w:val="Normal"/>
    <w:rPr>
      <w:rFonts w:ascii="Times New Roman" w:hAnsi="Times New Roman" w:cs="Times New Roman"/>
      <w:u w:val="single"/>
    </w:rPr>
  </w:style>
  <w:style w:type="paragraph" w:customStyle="1" w:styleId="P68B1DB1-Normal25">
    <w:name w:val="P68B1DB1-Normal25"/>
    <w:basedOn w:val="Normal"/>
    <w:rPr>
      <w:rFonts w:ascii="Times New Roman" w:hAnsi="Times New Roman" w:cs="Times New Roman"/>
      <w:b/>
      <w:sz w:val="20"/>
      <w:szCs w:val="20"/>
    </w:rPr>
  </w:style>
  <w:style w:type="paragraph" w:customStyle="1" w:styleId="P68B1DB1-Normal26">
    <w:name w:val="P68B1DB1-Normal26"/>
    <w:basedOn w:val="Normal"/>
    <w:rPr>
      <w:rFonts w:ascii="Times New Roman" w:hAnsi="Times New Roman" w:cs="Times New Roman"/>
      <w:sz w:val="20"/>
      <w:szCs w:val="20"/>
    </w:rPr>
  </w:style>
  <w:style w:type="paragraph" w:customStyle="1" w:styleId="P68B1DB1-Normal27">
    <w:name w:val="P68B1DB1-Normal27"/>
    <w:basedOn w:val="Normal"/>
    <w:rPr>
      <w:rFonts w:ascii="Times New Roman" w:eastAsia="Times New Roman" w:hAnsi="Times New Roman" w:cs="Times New Roman"/>
      <w:sz w:val="20"/>
      <w:szCs w:val="20"/>
    </w:rPr>
  </w:style>
  <w:style w:type="paragraph" w:customStyle="1" w:styleId="P68B1DB1-Normal28">
    <w:name w:val="P68B1DB1-Normal28"/>
    <w:basedOn w:val="Normal"/>
    <w:rPr>
      <w:rFonts w:ascii="Times New Roman" w:eastAsia="Aptos" w:hAnsi="Times New Roman" w:cs="Times New Roman"/>
      <w:sz w:val="20"/>
      <w:szCs w:val="20"/>
    </w:rPr>
  </w:style>
  <w:style w:type="paragraph" w:customStyle="1" w:styleId="P68B1DB1-ListParagraph29">
    <w:name w:val="P68B1DB1-ListParagraph29"/>
    <w:basedOn w:val="ListParagraph"/>
    <w:rPr>
      <w:rFonts w:ascii="Times New Roman" w:hAnsi="Times New Roman" w:cs="Times New Roman"/>
      <w:sz w:val="20"/>
      <w:szCs w:val="20"/>
    </w:rPr>
  </w:style>
  <w:style w:type="paragraph" w:customStyle="1" w:styleId="P68B1DB1-Normal30">
    <w:name w:val="P68B1DB1-Normal30"/>
    <w:basedOn w:val="Normal"/>
    <w:rPr>
      <w:rFonts w:ascii="Times New Roman" w:eastAsia="Aptos" w:hAnsi="Times New Roman" w:cs="Times New Roman"/>
      <w:b/>
      <w:smallCaps/>
      <w:kern w:val="2"/>
      <w:szCs w:val="22"/>
      <w14:ligatures w14:val="standardContextual"/>
    </w:rPr>
  </w:style>
  <w:style w:type="paragraph" w:customStyle="1" w:styleId="P68B1DB1-Normal31">
    <w:name w:val="P68B1DB1-Normal31"/>
    <w:basedOn w:val="Normal"/>
    <w:rPr>
      <w:rFonts w:ascii="Times New Roman" w:eastAsia="Aptos" w:hAnsi="Times New Roman" w:cs="Times New Roman"/>
      <w:kern w:val="2"/>
      <w:szCs w:val="22"/>
      <w14:ligatures w14:val="standardContextual"/>
    </w:rPr>
  </w:style>
  <w:style w:type="paragraph" w:customStyle="1" w:styleId="P68B1DB1-Normal32">
    <w:name w:val="P68B1DB1-Normal32"/>
    <w:basedOn w:val="Normal"/>
    <w:rPr>
      <w:rFonts w:ascii="Times New Roman" w:eastAsia="Aptos" w:hAnsi="Times New Roman" w:cs="Times New Roman"/>
      <w:kern w:val="2"/>
      <w14:ligatures w14:val="standardContextual"/>
    </w:rPr>
  </w:style>
  <w:style w:type="paragraph" w:customStyle="1" w:styleId="P68B1DB1-Normal33">
    <w:name w:val="P68B1DB1-Normal33"/>
    <w:basedOn w:val="Normal"/>
    <w:rPr>
      <w:rFonts w:ascii="Times New Roman" w:eastAsia="Times New Roman" w:hAnsi="Times New Roman" w:cs="Times New Roman"/>
      <w:kern w:val="2"/>
      <w14:ligatures w14:val="standardContextual"/>
    </w:rPr>
  </w:style>
  <w:style w:type="paragraph" w:customStyle="1" w:styleId="P68B1DB1-Normal34">
    <w:name w:val="P68B1DB1-Normal34"/>
    <w:basedOn w:val="Normal"/>
    <w:rPr>
      <w:rFonts w:ascii="Times New Roman" w:eastAsia="Times New Roman" w:hAnsi="Times New Roman" w:cs="Times New Roman"/>
      <w:kern w:val="3"/>
    </w:rPr>
  </w:style>
  <w:style w:type="paragraph" w:customStyle="1" w:styleId="P68B1DB1-Normal35">
    <w:name w:val="P68B1DB1-Normal35"/>
    <w:basedOn w:val="Normal"/>
    <w:rPr>
      <w:rFonts w:ascii="Times New Roman" w:eastAsia="Times New Roman" w:hAnsi="Times New Roman" w:cs="Times New Roman"/>
      <w:kern w:val="2"/>
      <w:u w:val="single"/>
      <w14:ligatures w14:val="standardContextual"/>
    </w:rPr>
  </w:style>
  <w:style w:type="paragraph" w:customStyle="1" w:styleId="P68B1DB1-Normal36">
    <w:name w:val="P68B1DB1-Normal36"/>
    <w:basedOn w:val="Normal"/>
    <w:rPr>
      <w:rFonts w:ascii="Times New Roman" w:eastAsia="Aptos" w:hAnsi="Times New Roman" w:cs="Times New Roman"/>
      <w:b/>
      <w:kern w:val="2"/>
      <w:sz w:val="20"/>
      <w:szCs w:val="20"/>
      <w14:ligatures w14:val="standardContextual"/>
    </w:rPr>
  </w:style>
  <w:style w:type="paragraph" w:customStyle="1" w:styleId="P68B1DB1-Normal37">
    <w:name w:val="P68B1DB1-Normal37"/>
    <w:basedOn w:val="Normal"/>
    <w:rPr>
      <w:rFonts w:ascii="Times New Roman" w:eastAsia="Aptos" w:hAnsi="Times New Roman" w:cs="Times New Roman"/>
      <w:kern w:val="2"/>
      <w:sz w:val="20"/>
      <w:szCs w:val="20"/>
      <w14:ligatures w14:val="standardContextual"/>
    </w:rPr>
  </w:style>
  <w:style w:type="paragraph" w:customStyle="1" w:styleId="P68B1DB1-Normal38">
    <w:name w:val="P68B1DB1-Normal38"/>
    <w:basedOn w:val="Normal"/>
    <w:rPr>
      <w:rFonts w:ascii="Times New Roman" w:hAnsi="Times New Roman" w:cs="Times New Roman"/>
      <w:kern w:val="2"/>
      <w:sz w:val="20"/>
      <w:szCs w:val="20"/>
      <w14:ligatures w14:val="standardContextual"/>
    </w:rPr>
  </w:style>
  <w:style w:type="paragraph" w:customStyle="1" w:styleId="P68B1DB1-Normal39">
    <w:name w:val="P68B1DB1-Normal39"/>
    <w:basedOn w:val="Normal"/>
    <w:rPr>
      <w:rFonts w:ascii="Times New Roman" w:eastAsia="Times New Roman" w:hAnsi="Times New Roman" w:cs="Times New Roman"/>
      <w:kern w:val="2"/>
      <w:sz w:val="20"/>
      <w:szCs w:val="20"/>
      <w14:ligatures w14:val="standardContextual"/>
    </w:rPr>
  </w:style>
  <w:style w:type="paragraph" w:customStyle="1" w:styleId="P68B1DB1-Normal40">
    <w:name w:val="P68B1DB1-Normal40"/>
    <w:basedOn w:val="Normal"/>
    <w:rPr>
      <w:sz w:val="20"/>
      <w:szCs w:val="20"/>
    </w:rPr>
  </w:style>
  <w:style w:type="paragraph" w:customStyle="1" w:styleId="P68B1DB1-Normal41">
    <w:name w:val="P68B1DB1-Normal41"/>
    <w:basedOn w:val="Normal"/>
    <w:rPr>
      <w:rFonts w:ascii="Times New Roman" w:eastAsia="Times New Roman" w:hAnsi="Times New Roman" w:cs="Times New Roman"/>
    </w:rPr>
  </w:style>
  <w:style w:type="paragraph" w:customStyle="1" w:styleId="P68B1DB1-Normal42">
    <w:name w:val="P68B1DB1-Normal42"/>
    <w:basedOn w:val="Normal"/>
    <w:rPr>
      <w:rFonts w:ascii="Times New Roman" w:eastAsia="liberation" w:hAnsi="Times New Roman" w:cs="Times New Roman"/>
      <w:kern w:val="3"/>
      <w:u w:val="single"/>
    </w:rPr>
  </w:style>
  <w:style w:type="paragraph" w:customStyle="1" w:styleId="P68B1DB1-Normal43">
    <w:name w:val="P68B1DB1-Normal43"/>
    <w:basedOn w:val="Normal"/>
    <w:rPr>
      <w:rFonts w:ascii="Times New Roman" w:eastAsia="libe" w:hAnsi="Times New Roman" w:cs="Times New Roman"/>
      <w:u w:val="single"/>
    </w:rPr>
  </w:style>
  <w:style w:type="paragraph" w:customStyle="1" w:styleId="P68B1DB1-Normal44">
    <w:name w:val="P68B1DB1-Normal44"/>
    <w:basedOn w:val="Normal"/>
    <w:rPr>
      <w:rFonts w:ascii="Times New Roman" w:eastAsia="liberation" w:hAnsi="Times New Roman" w:cs="Times New Roman"/>
      <w:u w:val="single"/>
    </w:rPr>
  </w:style>
  <w:style w:type="paragraph" w:customStyle="1" w:styleId="P68B1DB1-Normal45">
    <w:name w:val="P68B1DB1-Normal45"/>
    <w:basedOn w:val="Normal"/>
    <w:rPr>
      <w:rFonts w:ascii="Times New Roman" w:eastAsia="lib" w:hAnsi="Times New Roman" w:cs="Times New Roman"/>
      <w:u w:val="single"/>
    </w:rPr>
  </w:style>
  <w:style w:type="paragraph" w:customStyle="1" w:styleId="P68B1DB1-Normal46">
    <w:name w:val="P68B1DB1-Normal46"/>
    <w:basedOn w:val="Normal"/>
    <w:rPr>
      <w:rFonts w:ascii="Times New Roman" w:eastAsia="Calibri" w:hAnsi="Times New Roman" w:cs="Times New Roman"/>
      <w:sz w:val="20"/>
      <w:szCs w:val="20"/>
    </w:rPr>
  </w:style>
  <w:style w:type="paragraph" w:customStyle="1" w:styleId="P68B1DB1-Normal48">
    <w:name w:val="P68B1DB1-Normal48"/>
    <w:basedOn w:val="Normal"/>
    <w:rPr>
      <w:rFonts w:ascii="Times New Roman" w:hAnsi="Times New Roman" w:cs="Times New Roman"/>
      <w:i/>
    </w:rPr>
  </w:style>
  <w:style w:type="paragraph" w:customStyle="1" w:styleId="P68B1DB1-Normal49">
    <w:name w:val="P68B1DB1-Normal49"/>
    <w:basedOn w:val="Normal"/>
    <w:rPr>
      <w:rFonts w:ascii="Times New Roman" w:eastAsiaTheme="minorHAnsi" w:hAnsi="Times New Roman" w:cs="Times New Roman"/>
      <w:kern w:val="2"/>
      <w:bdr w:val="none" w:sz="0" w:space="0" w:color="auto" w:frame="1"/>
      <w14:ligatures w14:val="standardContextual"/>
    </w:rPr>
  </w:style>
  <w:style w:type="paragraph" w:customStyle="1" w:styleId="P68B1DB1-Normal50">
    <w:name w:val="P68B1DB1-Normal50"/>
    <w:basedOn w:val="Normal"/>
    <w:rPr>
      <w:rFonts w:ascii="Times New Roman" w:eastAsiaTheme="majorEastAsia" w:hAnsi="Times New Roman" w:cs="Times New Roman"/>
      <w:i/>
      <w:kern w:val="3"/>
    </w:rPr>
  </w:style>
  <w:style w:type="paragraph" w:customStyle="1" w:styleId="P68B1DB1-Normal51">
    <w:name w:val="P68B1DB1-Normal51"/>
    <w:basedOn w:val="Normal"/>
    <w:rPr>
      <w:rFonts w:ascii="Times New Roman" w:eastAsiaTheme="majorEastAsia" w:hAnsi="Times New Roman" w:cs="Times New Roman"/>
      <w:kern w:val="3"/>
    </w:rPr>
  </w:style>
  <w:style w:type="paragraph" w:customStyle="1" w:styleId="P68B1DB1-Normal52">
    <w:name w:val="P68B1DB1-Normal52"/>
    <w:basedOn w:val="Normal"/>
    <w:rPr>
      <w:rFonts w:ascii="Times New Roman" w:eastAsia="Times New Roman" w:hAnsi="Times New Roman" w:cs="Times New Roman"/>
      <w:b/>
      <w:smallCaps/>
    </w:rPr>
  </w:style>
  <w:style w:type="paragraph" w:customStyle="1" w:styleId="P68B1DB1-Normal53">
    <w:name w:val="P68B1DB1-Normal53"/>
    <w:basedOn w:val="Normal"/>
    <w:rPr>
      <w:rFonts w:ascii="Times New Roman" w:eastAsia="Times New Roman" w:hAnsi="Times New Roman" w:cs="Times New Roman"/>
      <w:kern w:val="3"/>
      <w:u w:val="single"/>
    </w:rPr>
  </w:style>
  <w:style w:type="paragraph" w:customStyle="1" w:styleId="P68B1DB1-Normal54">
    <w:name w:val="P68B1DB1-Normal54"/>
    <w:basedOn w:val="Normal"/>
    <w:rPr>
      <w:rFonts w:ascii="Times New Roman" w:eastAsia="Times New Roman" w:hAnsi="Times New Roman" w:cs="Times New Roman"/>
      <w:u w:val="single"/>
    </w:rPr>
  </w:style>
  <w:style w:type="paragraph" w:customStyle="1" w:styleId="P68B1DB1-Standard55">
    <w:name w:val="P68B1DB1-Standard55"/>
    <w:basedOn w:val="Standard"/>
    <w:rPr>
      <w:rFonts w:ascii="Times New Roman" w:hAnsi="Times New Roman" w:cs="Times New Roman"/>
      <w:u w:val="single"/>
    </w:rPr>
  </w:style>
  <w:style w:type="paragraph" w:customStyle="1" w:styleId="P68B1DB1-Standard56">
    <w:name w:val="P68B1DB1-Standard56"/>
    <w:basedOn w:val="Standard"/>
    <w:rPr>
      <w:rFonts w:ascii="Times New Roman" w:eastAsia="Times New Roman" w:hAnsi="Times New Roman" w:cs="Times New Roman"/>
      <w:u w:val="single"/>
    </w:rPr>
  </w:style>
  <w:style w:type="paragraph" w:customStyle="1" w:styleId="P68B1DB1-Standard57">
    <w:name w:val="P68B1DB1-Standard57"/>
    <w:basedOn w:val="Standard"/>
    <w:rPr>
      <w:rFonts w:ascii="Times New Roman" w:eastAsia="Times New Roman" w:hAnsi="Times New Roman" w:cs="Times New Roman"/>
    </w:rPr>
  </w:style>
  <w:style w:type="paragraph" w:customStyle="1" w:styleId="P68B1DB1-Normal58">
    <w:name w:val="P68B1DB1-Normal58"/>
    <w:basedOn w:val="Normal"/>
    <w:rPr>
      <w:rFonts w:ascii="Times New Roman" w:eastAsia="Segoe UI" w:hAnsi="Times New Roman" w:cs="Times New Roman"/>
      <w:sz w:val="20"/>
      <w:szCs w:val="20"/>
    </w:rPr>
  </w:style>
  <w:style w:type="paragraph" w:customStyle="1" w:styleId="P68B1DB1-Normal59">
    <w:name w:val="P68B1DB1-Normal59"/>
    <w:basedOn w:val="Normal"/>
    <w:rPr>
      <w:rFonts w:ascii="Times New Roman" w:eastAsia="Times New Roman" w:hAnsi="Times New Roman" w:cs="Times New Roman"/>
      <w:color w:val="000000" w:themeColor="text1"/>
      <w:sz w:val="20"/>
      <w:szCs w:val="20"/>
    </w:rPr>
  </w:style>
  <w:style w:type="paragraph" w:customStyle="1" w:styleId="P68B1DB1-Normal60">
    <w:name w:val="P68B1DB1-Normal60"/>
    <w:basedOn w:val="Normal"/>
    <w:rPr>
      <w:rFonts w:ascii="Times New Roman" w:eastAsia="Times New Roman" w:hAnsi="Times New Roman" w:cs="Times New Roman"/>
      <w:color w:val="242424"/>
      <w:sz w:val="20"/>
      <w:szCs w:val="20"/>
    </w:rPr>
  </w:style>
  <w:style w:type="paragraph" w:customStyle="1" w:styleId="P68B1DB1-ListParagraph61">
    <w:name w:val="P68B1DB1-ListParagraph61"/>
    <w:basedOn w:val="ListParagraph"/>
    <w:rPr>
      <w:rFonts w:ascii="Times New Roman" w:hAnsi="Times New Roman" w:cs="Times New Roman"/>
      <w:sz w:val="24"/>
    </w:rPr>
  </w:style>
  <w:style w:type="paragraph" w:customStyle="1" w:styleId="P68B1DB1-Standard62">
    <w:name w:val="P68B1DB1-Standard62"/>
    <w:basedOn w:val="Standard"/>
    <w:rPr>
      <w:rFonts w:ascii="Times New Roman" w:hAnsi="Times New Roman" w:cs="Times New Roman"/>
    </w:rPr>
  </w:style>
  <w:style w:type="paragraph" w:customStyle="1" w:styleId="P68B1DB1-ListParagraph63">
    <w:name w:val="P68B1DB1-ListParagraph63"/>
    <w:basedOn w:val="ListParagraph"/>
    <w:rPr>
      <w:rFonts w:ascii="Times New Roman" w:eastAsia="Times New Roman" w:hAnsi="Times New Roman" w:cs="Times New Roman"/>
      <w:sz w:val="20"/>
      <w:szCs w:val="20"/>
    </w:rPr>
  </w:style>
  <w:style w:type="paragraph" w:customStyle="1" w:styleId="P68B1DB1-Normal64">
    <w:name w:val="P68B1DB1-Normal64"/>
    <w:basedOn w:val="Normal"/>
    <w:rPr>
      <w:rFonts w:ascii="Times New Roman" w:eastAsia="Aptos" w:hAnsi="Times New Roman" w:cs="Times New Roman"/>
      <w:kern w:val="2"/>
      <w:u w:val="single"/>
      <w14:ligatures w14:val="standardContextual"/>
    </w:rPr>
  </w:style>
  <w:style w:type="paragraph" w:customStyle="1" w:styleId="P68B1DB1-Normal65">
    <w:name w:val="P68B1DB1-Normal65"/>
    <w:basedOn w:val="Normal"/>
    <w:rPr>
      <w:rFonts w:ascii="Times New Roman" w:hAnsi="Times New Roman" w:cs="Times New Roman"/>
      <w:kern w:val="2"/>
      <w14:ligatures w14:val="standardContextual"/>
    </w:rPr>
  </w:style>
  <w:style w:type="paragraph" w:customStyle="1" w:styleId="P68B1DB1-Normal66">
    <w:name w:val="P68B1DB1-Normal66"/>
    <w:basedOn w:val="Normal"/>
    <w:rPr>
      <w:kern w:val="2"/>
      <w14:ligatures w14:val="standardContextual"/>
    </w:rPr>
  </w:style>
  <w:style w:type="paragraph" w:customStyle="1" w:styleId="P68B1DB1-Normal67">
    <w:name w:val="P68B1DB1-Normal67"/>
    <w:basedOn w:val="Normal"/>
    <w:rPr>
      <w:rFonts w:ascii="Times New Roman" w:eastAsia="Aptos" w:hAnsi="Times New Roman" w:cs="Times New Roman"/>
      <w:b/>
      <w:kern w:val="2"/>
      <w14:ligatures w14:val="standardContextual"/>
    </w:rPr>
  </w:style>
  <w:style w:type="paragraph" w:customStyle="1" w:styleId="P68B1DB1-Normal68">
    <w:name w:val="P68B1DB1-Normal68"/>
    <w:basedOn w:val="Normal"/>
    <w:rPr>
      <w:rFonts w:ascii="Times New Roman" w:hAnsi="Times New Roman" w:cs="Times New Roman"/>
      <w:b/>
      <w:color w:val="000000" w:themeColor="text1"/>
    </w:rPr>
  </w:style>
  <w:style w:type="paragraph" w:customStyle="1" w:styleId="P68B1DB1-Normal69">
    <w:name w:val="P68B1DB1-Normal69"/>
    <w:basedOn w:val="Normal"/>
    <w:rPr>
      <w:rFonts w:ascii="Times New Roman" w:eastAsia="Times New Roman" w:hAnsi="Times New Roman" w:cs="Times New Roman"/>
      <w:b/>
      <w:color w:val="000000"/>
      <w:kern w:val="2"/>
      <w14:ligatures w14:val="standardContextual"/>
    </w:rPr>
  </w:style>
  <w:style w:type="paragraph" w:customStyle="1" w:styleId="P68B1DB1-Normal70">
    <w:name w:val="P68B1DB1-Normal70"/>
    <w:basedOn w:val="Normal"/>
    <w:rPr>
      <w:rFonts w:ascii="Times New Roman" w:eastAsia="Times New Roman" w:hAnsi="Times New Roman" w:cs="Times New Roman"/>
      <w:color w:val="000000"/>
      <w:kern w:val="2"/>
      <w14:ligatures w14:val="standardContextual"/>
    </w:rPr>
  </w:style>
  <w:style w:type="paragraph" w:customStyle="1" w:styleId="P68B1DB1-Normal71">
    <w:name w:val="P68B1DB1-Normal71"/>
    <w:basedOn w:val="Normal"/>
    <w:rPr>
      <w:rFonts w:ascii="Times New Roman" w:eastAsia="Times New Roman" w:hAnsi="Times New Roman" w:cs="Times New Roman"/>
      <w:i/>
    </w:rPr>
  </w:style>
  <w:style w:type="paragraph" w:customStyle="1" w:styleId="P68B1DB1-Normal72">
    <w:name w:val="P68B1DB1-Normal72"/>
    <w:basedOn w:val="Normal"/>
    <w:rPr>
      <w:rFonts w:ascii="Times New Roman" w:eastAsia="Times New Roman" w:hAnsi="Times New Roman" w:cs="Times New Roman"/>
      <w:b/>
      <w:kern w:val="2"/>
      <w:sz w:val="22"/>
      <w:szCs w:val="22"/>
      <w14:ligatures w14:val="standardContextual"/>
    </w:rPr>
  </w:style>
  <w:style w:type="paragraph" w:customStyle="1" w:styleId="P68B1DB1-Normal73">
    <w:name w:val="P68B1DB1-Normal73"/>
    <w:basedOn w:val="Normal"/>
    <w:rPr>
      <w:rFonts w:ascii="Times New Roman" w:eastAsia="Aptos" w:hAnsi="Times New Roman" w:cs="Times New Roman"/>
      <w:kern w:val="2"/>
      <w:sz w:val="22"/>
      <w:szCs w:val="22"/>
      <w14:ligatures w14:val="standardContextual"/>
    </w:rPr>
  </w:style>
  <w:style w:type="paragraph" w:customStyle="1" w:styleId="P68B1DB1-Normal74">
    <w:name w:val="P68B1DB1-Normal74"/>
    <w:basedOn w:val="Normal"/>
    <w:rPr>
      <w:rFonts w:ascii="Times New Roman" w:eastAsia="Times New Roman" w:hAnsi="Times New Roman" w:cs="Times New Roman"/>
      <w:kern w:val="2"/>
      <w:sz w:val="22"/>
      <w:szCs w:val="22"/>
      <w14:ligatures w14:val="standardContextual"/>
    </w:rPr>
  </w:style>
  <w:style w:type="paragraph" w:customStyle="1" w:styleId="P68B1DB1-Normal75">
    <w:name w:val="P68B1DB1-Normal75"/>
    <w:basedOn w:val="Normal"/>
    <w:rPr>
      <w:rFonts w:ascii="Times New Roman" w:eastAsia="Times New Roman" w:hAnsi="Times New Roman" w:cs="Times New Roman"/>
      <w:color w:val="000000"/>
      <w:kern w:val="2"/>
      <w:sz w:val="22"/>
      <w:szCs w:val="22"/>
      <w14:ligatures w14:val="standardContextual"/>
    </w:rPr>
  </w:style>
  <w:style w:type="paragraph" w:customStyle="1" w:styleId="P68B1DB1-Normal76">
    <w:name w:val="P68B1DB1-Normal76"/>
    <w:basedOn w:val="Normal"/>
    <w:rPr>
      <w:rFonts w:ascii="Times New Roman" w:hAnsi="Times New Roman" w:cs="Times New Roman"/>
      <w:kern w:val="2"/>
      <w:sz w:val="22"/>
      <w:szCs w:val="22"/>
      <w14:ligatures w14:val="standardContextual"/>
    </w:rPr>
  </w:style>
  <w:style w:type="paragraph" w:customStyle="1" w:styleId="P68B1DB1-Normal77">
    <w:name w:val="P68B1DB1-Normal77"/>
    <w:basedOn w:val="Normal"/>
    <w:rPr>
      <w:rFonts w:ascii="Aptos" w:eastAsia="Aptos" w:hAnsi="Aptos" w:cs="Times New Roman"/>
      <w:kern w:val="2"/>
      <w:sz w:val="22"/>
      <w14:ligatures w14:val="standardContextual"/>
    </w:rPr>
  </w:style>
  <w:style w:type="paragraph" w:customStyle="1" w:styleId="P68B1DB1-Normal78">
    <w:name w:val="P68B1DB1-Normal78"/>
    <w:basedOn w:val="Normal"/>
    <w:rPr>
      <w:rFonts w:ascii="Times New Roman" w:eastAsia="Aptos" w:hAnsi="Times New Roman" w:cs="Times New Roman"/>
      <w:color w:val="000000"/>
      <w:kern w:val="2"/>
      <w:sz w:val="22"/>
      <w:szCs w:val="22"/>
      <w14:ligatures w14:val="standardContextual"/>
    </w:rPr>
  </w:style>
  <w:style w:type="paragraph" w:customStyle="1" w:styleId="P68B1DB1-Normal79">
    <w:name w:val="P68B1DB1-Normal79"/>
    <w:basedOn w:val="Normal"/>
    <w:rPr>
      <w:kern w:val="2"/>
      <w:sz w:val="22"/>
      <w:szCs w:val="22"/>
      <w14:ligatures w14:val="standardContextual"/>
    </w:rPr>
  </w:style>
  <w:style w:type="paragraph" w:customStyle="1" w:styleId="P68B1DB1-Normal80">
    <w:name w:val="P68B1DB1-Normal80"/>
    <w:basedOn w:val="Normal"/>
    <w:rPr>
      <w:rFonts w:ascii="Times New Roman" w:eastAsia="Aptos" w:hAnsi="Times New Roman" w:cs="Times New Roman"/>
      <w:color w:val="000000"/>
      <w:sz w:val="22"/>
      <w:szCs w:val="22"/>
    </w:rPr>
  </w:style>
  <w:style w:type="paragraph" w:customStyle="1" w:styleId="P68B1DB1-Normal81">
    <w:name w:val="P68B1DB1-Normal81"/>
    <w:basedOn w:val="Normal"/>
    <w:rPr>
      <w:rFonts w:ascii="Times New Roman" w:eastAsia="Aptos" w:hAnsi="Times New Roman" w:cs="Times New Roman"/>
      <w:sz w:val="22"/>
      <w:szCs w:val="22"/>
    </w:rPr>
  </w:style>
  <w:style w:type="paragraph" w:customStyle="1" w:styleId="P68B1DB1-Normal82">
    <w:name w:val="P68B1DB1-Normal82"/>
    <w:basedOn w:val="Normal"/>
    <w:rPr>
      <w:rFonts w:ascii="Times New Roman" w:eastAsia="Times New Roman" w:hAnsi="Times New Roman" w:cs="Times New Roman"/>
      <w:sz w:val="22"/>
      <w:szCs w:val="22"/>
    </w:rPr>
  </w:style>
  <w:style w:type="paragraph" w:customStyle="1" w:styleId="P68B1DB1-Normal83">
    <w:name w:val="P68B1DB1-Normal83"/>
    <w:basedOn w:val="Normal"/>
    <w:rPr>
      <w:rFonts w:ascii="Times New Roman" w:eastAsia="Times New Roman" w:hAnsi="Times New Roman" w:cs="Times New Roman"/>
      <w:szCs w:val="26"/>
    </w:rPr>
  </w:style>
  <w:style w:type="paragraph" w:customStyle="1" w:styleId="P68B1DB1-Normal84">
    <w:name w:val="P68B1DB1-Normal84"/>
    <w:basedOn w:val="Normal"/>
    <w:rPr>
      <w:rFonts w:ascii="Times New Roman" w:eastAsia="Times New Roman" w:hAnsi="Times New Roman" w:cs="Times New Roman"/>
      <w:b/>
      <w:szCs w:val="26"/>
    </w:rPr>
  </w:style>
  <w:style w:type="paragraph" w:customStyle="1" w:styleId="P68B1DB1-Normal85">
    <w:name w:val="P68B1DB1-Normal85"/>
    <w:basedOn w:val="Normal"/>
    <w:rPr>
      <w:rFonts w:ascii="Times New Roman" w:eastAsia="Aptos" w:hAnsi="Times New Roman" w:cs="Times New Roman"/>
      <w:szCs w:val="22"/>
      <w14:ligatures w14:val="standardContextual"/>
    </w:rPr>
  </w:style>
  <w:style w:type="paragraph" w:customStyle="1" w:styleId="P68B1DB1-Normal86">
    <w:name w:val="P68B1DB1-Normal86"/>
    <w:basedOn w:val="Normal"/>
    <w:rPr>
      <w:rFonts w:ascii="Times New Roman" w:eastAsia="Times New Roman" w:hAnsi="Times New Roman" w:cs="Times New Roman"/>
      <w:b/>
      <w:smallCaps/>
      <w:szCs w:val="28"/>
    </w:rPr>
  </w:style>
  <w:style w:type="paragraph" w:customStyle="1" w:styleId="P68B1DB1-Normal87">
    <w:name w:val="P68B1DB1-Normal87"/>
    <w:basedOn w:val="Normal"/>
    <w:rPr>
      <w:rFonts w:ascii="Times New Roman" w:eastAsia="Times New Roman" w:hAnsi="Times New Roman" w:cs="Times New Roman"/>
      <w:b/>
      <w:smallCaps/>
      <w:szCs w:val="26"/>
    </w:rPr>
  </w:style>
  <w:style w:type="paragraph" w:customStyle="1" w:styleId="P68B1DB1-Footer88">
    <w:name w:val="P68B1DB1-Footer88"/>
    <w:basedOn w:val="Footer"/>
    <w:rPr>
      <w:rFonts w:ascii="Times New Roman" w:hAnsi="Times New Roman" w:cs="Times New Roman"/>
      <w:sz w:val="24"/>
      <w:szCs w:val="24"/>
    </w:rPr>
  </w:style>
  <w:style w:type="paragraph" w:customStyle="1" w:styleId="P68B1DB1-Footer89">
    <w:name w:val="P68B1DB1-Footer89"/>
    <w:basedOn w:val="Foote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24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header" Target="header145.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footer" Target="footer156.xml"/><Relationship Id="rId366" Type="http://schemas.openxmlformats.org/officeDocument/2006/relationships/header" Target="header178.xml"/><Relationship Id="rId170" Type="http://schemas.openxmlformats.org/officeDocument/2006/relationships/footer" Target="footer79.xml"/><Relationship Id="rId226" Type="http://schemas.openxmlformats.org/officeDocument/2006/relationships/header" Target="header108.xml"/><Relationship Id="rId107" Type="http://schemas.openxmlformats.org/officeDocument/2006/relationships/footer" Target="footer48.xml"/><Relationship Id="rId268" Type="http://schemas.openxmlformats.org/officeDocument/2006/relationships/header" Target="header129.xml"/><Relationship Id="rId289" Type="http://schemas.openxmlformats.org/officeDocument/2006/relationships/header" Target="header140.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314" Type="http://schemas.openxmlformats.org/officeDocument/2006/relationships/header" Target="header152.xml"/><Relationship Id="rId335" Type="http://schemas.openxmlformats.org/officeDocument/2006/relationships/header" Target="header162.xml"/><Relationship Id="rId356" Type="http://schemas.openxmlformats.org/officeDocument/2006/relationships/footer" Target="footer172.xml"/><Relationship Id="rId377" Type="http://schemas.openxmlformats.org/officeDocument/2006/relationships/header" Target="header183.xml"/><Relationship Id="rId398" Type="http://schemas.openxmlformats.org/officeDocument/2006/relationships/footer" Target="footer193.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402" Type="http://schemas.openxmlformats.org/officeDocument/2006/relationships/theme" Target="theme/theme1.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25" Type="http://schemas.openxmlformats.org/officeDocument/2006/relationships/footer" Target="footer157.xml"/><Relationship Id="rId346" Type="http://schemas.openxmlformats.org/officeDocument/2006/relationships/footer" Target="footer167.xml"/><Relationship Id="rId367" Type="http://schemas.openxmlformats.org/officeDocument/2006/relationships/footer" Target="footer177.xml"/><Relationship Id="rId388" Type="http://schemas.openxmlformats.org/officeDocument/2006/relationships/footer" Target="footer188.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header" Target="header163.xml"/><Relationship Id="rId357" Type="http://schemas.openxmlformats.org/officeDocument/2006/relationships/header" Target="header173.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378" Type="http://schemas.openxmlformats.org/officeDocument/2006/relationships/header" Target="header184.xml"/><Relationship Id="rId399" Type="http://schemas.openxmlformats.org/officeDocument/2006/relationships/header" Target="header19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header" Target="header148.xml"/><Relationship Id="rId326" Type="http://schemas.openxmlformats.org/officeDocument/2006/relationships/header" Target="header158.xml"/><Relationship Id="rId347" Type="http://schemas.openxmlformats.org/officeDocument/2006/relationships/header" Target="header168.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footer" Target="footer178.xml"/><Relationship Id="rId389" Type="http://schemas.openxmlformats.org/officeDocument/2006/relationships/header" Target="head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footer" Target="footer162.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358" Type="http://schemas.openxmlformats.org/officeDocument/2006/relationships/footer" Target="footer173.xml"/><Relationship Id="rId379" Type="http://schemas.openxmlformats.org/officeDocument/2006/relationships/footer" Target="footer183.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390" Type="http://schemas.openxmlformats.org/officeDocument/2006/relationships/header" Target="header190.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footer" Target="footer147.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header" Target="header179.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footer" Target="footer184.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header" Target="header154.xml"/><Relationship Id="rId338" Type="http://schemas.openxmlformats.org/officeDocument/2006/relationships/footer" Target="footer163.xml"/><Relationship Id="rId359" Type="http://schemas.openxmlformats.org/officeDocument/2006/relationships/header" Target="header174.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footer" Target="footer179.xml"/><Relationship Id="rId391" Type="http://schemas.openxmlformats.org/officeDocument/2006/relationships/footer" Target="footer189.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307" Type="http://schemas.openxmlformats.org/officeDocument/2006/relationships/footer" Target="footer148.xml"/><Relationship Id="rId328" Type="http://schemas.openxmlformats.org/officeDocument/2006/relationships/hyperlink" Target="http://www.e-consultare.gov.ro/" TargetMode="External"/><Relationship Id="rId349" Type="http://schemas.openxmlformats.org/officeDocument/2006/relationships/footer" Target="footer168.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header" Target="header175.xml"/><Relationship Id="rId381" Type="http://schemas.openxmlformats.org/officeDocument/2006/relationships/header" Target="header185.xml"/><Relationship Id="rId220" Type="http://schemas.openxmlformats.org/officeDocument/2006/relationships/header" Target="header105.xml"/><Relationship Id="rId241" Type="http://schemas.openxmlformats.org/officeDocument/2006/relationships/header" Target="header116.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footer" Target="footer153.xml"/><Relationship Id="rId339" Type="http://schemas.openxmlformats.org/officeDocument/2006/relationships/header" Target="head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header" Target="header180.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footer" Target="footer190.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header" Target="header149.xml"/><Relationship Id="rId329" Type="http://schemas.openxmlformats.org/officeDocument/2006/relationships/header" Target="head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footer" Target="footer164.xml"/><Relationship Id="rId361" Type="http://schemas.openxmlformats.org/officeDocument/2006/relationships/footer" Target="footer174.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footer" Target="footer185.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footer" Target="footer154.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header" Target="header170.xml"/><Relationship Id="rId372" Type="http://schemas.openxmlformats.org/officeDocument/2006/relationships/header" Target="header181.xml"/><Relationship Id="rId393" Type="http://schemas.openxmlformats.org/officeDocument/2006/relationships/header" Target="header191.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footer" Target="footer142.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header" Target="header155.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header" Target="header165.xml"/><Relationship Id="rId362" Type="http://schemas.openxmlformats.org/officeDocument/2006/relationships/footer" Target="footer175.xml"/><Relationship Id="rId383" Type="http://schemas.openxmlformats.org/officeDocument/2006/relationships/header" Target="header186.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footer" Target="footer159.xml"/><Relationship Id="rId352" Type="http://schemas.openxmlformats.org/officeDocument/2006/relationships/footer" Target="footer170.xml"/><Relationship Id="rId373" Type="http://schemas.openxmlformats.org/officeDocument/2006/relationships/footer" Target="footer180.xml"/><Relationship Id="rId394" Type="http://schemas.openxmlformats.org/officeDocument/2006/relationships/footer" Target="footer191.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header" Target="header143.xml"/><Relationship Id="rId300" Type="http://schemas.openxmlformats.org/officeDocument/2006/relationships/footer" Target="footer144.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header" Target="header176.xml"/><Relationship Id="rId384" Type="http://schemas.openxmlformats.org/officeDocument/2006/relationships/header" Target="header187.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header" Target="header151.xml"/><Relationship Id="rId332" Type="http://schemas.openxmlformats.org/officeDocument/2006/relationships/footer" Target="footer160.xml"/><Relationship Id="rId353" Type="http://schemas.openxmlformats.org/officeDocument/2006/relationships/header" Target="header171.xml"/><Relationship Id="rId374" Type="http://schemas.openxmlformats.org/officeDocument/2006/relationships/footer" Target="footer181.xml"/><Relationship Id="rId395" Type="http://schemas.openxmlformats.org/officeDocument/2006/relationships/header" Target="header192.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footer" Target="footer145.xml"/><Relationship Id="rId322" Type="http://schemas.openxmlformats.org/officeDocument/2006/relationships/header" Target="header156.xml"/><Relationship Id="rId343" Type="http://schemas.openxmlformats.org/officeDocument/2006/relationships/footer" Target="footer165.xml"/><Relationship Id="rId364" Type="http://schemas.openxmlformats.org/officeDocument/2006/relationships/footer" Target="footer17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footer" Target="footer186.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footer" Target="footer150.xml"/><Relationship Id="rId333" Type="http://schemas.openxmlformats.org/officeDocument/2006/relationships/header" Target="header161.xml"/><Relationship Id="rId354" Type="http://schemas.openxmlformats.org/officeDocument/2006/relationships/header" Target="header172.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header" Target="head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footer" Target="footer194.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header" Target="header146.xml"/><Relationship Id="rId323" Type="http://schemas.openxmlformats.org/officeDocument/2006/relationships/header" Target="header157.xml"/><Relationship Id="rId344" Type="http://schemas.openxmlformats.org/officeDocument/2006/relationships/footer" Target="footer16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header" Target="header177.xml"/><Relationship Id="rId386" Type="http://schemas.openxmlformats.org/officeDocument/2006/relationships/footer" Target="footer187.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footer" Target="footer151.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footer" Target="footer161.xml"/><Relationship Id="rId355" Type="http://schemas.openxmlformats.org/officeDocument/2006/relationships/footer" Target="footer171.xml"/><Relationship Id="rId376" Type="http://schemas.openxmlformats.org/officeDocument/2006/relationships/footer" Target="footer182.xml"/><Relationship Id="rId397" Type="http://schemas.openxmlformats.org/officeDocument/2006/relationships/footer" Target="footer192.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fontTable" Target="fontTable.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header" Target="header167.xml"/><Relationship Id="rId387" Type="http://schemas.openxmlformats.org/officeDocument/2006/relationships/header" Target="header188.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sa2/sites/default/files/eif_brochure_final.pdf" TargetMode="External"/><Relationship Id="rId2" Type="http://schemas.openxmlformats.org/officeDocument/2006/relationships/hyperlink" Target="https://e3p.jrc.ec.europa.eu/publications/2021-best-practice-guidelines-eu-code-conduct-data-centre-energy-efficiency" TargetMode="External"/><Relationship Id="rId1" Type="http://schemas.openxmlformats.org/officeDocument/2006/relationships/hyperlink" Target="https://ec.europa.eu/newsroom/dae/document.cfm?doc_id=75185" TargetMode="External"/><Relationship Id="rId6" Type="http://schemas.openxmlformats.org/officeDocument/2006/relationships/hyperlink" Target="https://publications.jrc.ec.europa.eu/repository/handle/JRC106281" TargetMode="External"/><Relationship Id="rId5" Type="http://schemas.openxmlformats.org/officeDocument/2006/relationships/hyperlink" Target="https://publications.jrc.ec.europa.eu/repository/handle/JRC107466" TargetMode="External"/><Relationship Id="rId4" Type="http://schemas.openxmlformats.org/officeDocument/2006/relationships/hyperlink" Target="https://ec.europa.eu/newsroom/dae/document.cfm?doc_id=75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1198b08-d09d-409c-a169-ca1eb44fa897" xsi:nil="true"/>
    <lcf76f155ced4ddcb4097134ff3c332f xmlns="69540217-dd4d-4552-b080-f316f8754f84">
      <Terms xmlns="http://schemas.microsoft.com/office/infopath/2007/PartnerControls"/>
    </lcf76f155ced4ddcb4097134ff3c332f>
    <_ip_UnifiedCompliancePolicyProperties xmlns="http://schemas.microsoft.com/sharepoint/v3" xsi:nil="true"/>
    <Comment xmlns="69540217-dd4d-4552-b080-f316f8754f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2" ma:contentTypeDescription="Create a new document." ma:contentTypeScope="" ma:versionID="f991c7892a125f526ae27b27d7e2b578">
  <xsd:schema xmlns:xsd="http://www.w3.org/2001/XMLSchema" xmlns:xs="http://www.w3.org/2001/XMLSchema" xmlns:p="http://schemas.microsoft.com/office/2006/metadata/properties" xmlns:ns1="http://schemas.microsoft.com/sharepoint/v3" xmlns:ns2="69540217-dd4d-4552-b080-f316f8754f84" xmlns:ns3="41198b08-d09d-409c-a169-ca1eb44fa897" targetNamespace="http://schemas.microsoft.com/office/2006/metadata/properties" ma:root="true" ma:fieldsID="ff56261ea41eb6d3ec830f0c39df2d81" ns1:_="" ns2:_="" ns3:_="">
    <xsd:import namespace="http://schemas.microsoft.com/sharepoint/v3"/>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Comment"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Comment" ma:index="19" nillable="true" ma:displayName="Comment" ma:format="Dropdown" ma:internalName="Comment">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f2effd8-73b0-4c61-aa55-fe88c588bc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AC718-5FA2-40FE-9791-EF6269328145}">
  <ds:schemaRefs>
    <ds:schemaRef ds:uri="http://schemas.microsoft.com/office/2006/metadata/properties"/>
    <ds:schemaRef ds:uri="http://schemas.microsoft.com/office/infopath/2007/PartnerControls"/>
    <ds:schemaRef ds:uri="http://schemas.microsoft.com/sharepoint/v3"/>
    <ds:schemaRef ds:uri="41198b08-d09d-409c-a169-ca1eb44fa897"/>
    <ds:schemaRef ds:uri="69540217-dd4d-4552-b080-f316f8754f84"/>
  </ds:schemaRefs>
</ds:datastoreItem>
</file>

<file path=customXml/itemProps2.xml><?xml version="1.0" encoding="utf-8"?>
<ds:datastoreItem xmlns:ds="http://schemas.openxmlformats.org/officeDocument/2006/customXml" ds:itemID="{DC50582B-29C7-44AF-ACF5-16EBEC3C6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F3D932-E712-4947-A5E6-501A77F4AC52}">
  <ds:schemaRefs>
    <ds:schemaRef ds:uri="http://schemas.microsoft.com/sharepoint/v3/contenttype/forms"/>
  </ds:schemaRefs>
</ds:datastoreItem>
</file>

<file path=customXml/itemProps4.xml><?xml version="1.0" encoding="utf-8"?>
<ds:datastoreItem xmlns:ds="http://schemas.openxmlformats.org/officeDocument/2006/customXml" ds:itemID="{09EDD92E-A3EC-4094-9A99-23B46AAD7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1578</TotalTime>
  <Pages>18</Pages>
  <Words>93741</Words>
  <Characters>534326</Characters>
  <Application>Microsoft Office Word</Application>
  <DocSecurity>0</DocSecurity>
  <Lines>4452</Lines>
  <Paragraphs>1253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626814</CharactersWithSpaces>
  <SharedDoc>false</SharedDoc>
  <HLinks>
    <vt:vector size="42" baseType="variant">
      <vt:variant>
        <vt:i4>3145834</vt:i4>
      </vt:variant>
      <vt:variant>
        <vt:i4>0</vt:i4>
      </vt:variant>
      <vt:variant>
        <vt:i4>0</vt:i4>
      </vt:variant>
      <vt:variant>
        <vt:i4>5</vt:i4>
      </vt:variant>
      <vt:variant>
        <vt:lpwstr>http://www.e-consultare.gov.ro/</vt:lpwstr>
      </vt:variant>
      <vt:variant>
        <vt:lpwstr/>
      </vt:variant>
      <vt:variant>
        <vt:i4>852035</vt:i4>
      </vt:variant>
      <vt:variant>
        <vt:i4>15</vt:i4>
      </vt:variant>
      <vt:variant>
        <vt:i4>0</vt:i4>
      </vt:variant>
      <vt:variant>
        <vt:i4>5</vt:i4>
      </vt:variant>
      <vt:variant>
        <vt:lpwstr>https://publications.jrc.ec.europa.eu/repository/handle/JRC106281</vt:lpwstr>
      </vt:variant>
      <vt:variant>
        <vt:lpwstr/>
      </vt:variant>
      <vt:variant>
        <vt:i4>131141</vt:i4>
      </vt:variant>
      <vt:variant>
        <vt:i4>12</vt:i4>
      </vt:variant>
      <vt:variant>
        <vt:i4>0</vt:i4>
      </vt:variant>
      <vt:variant>
        <vt:i4>5</vt:i4>
      </vt:variant>
      <vt:variant>
        <vt:lpwstr>https://publications.jrc.ec.europa.eu/repository/handle/JRC107466</vt:lpwstr>
      </vt:variant>
      <vt:variant>
        <vt:lpwstr/>
      </vt:variant>
      <vt:variant>
        <vt:i4>7340046</vt:i4>
      </vt:variant>
      <vt:variant>
        <vt:i4>9</vt:i4>
      </vt:variant>
      <vt:variant>
        <vt:i4>0</vt:i4>
      </vt:variant>
      <vt:variant>
        <vt:i4>5</vt:i4>
      </vt:variant>
      <vt:variant>
        <vt:lpwstr>https://ec.europa.eu/newsroom/dae/document.cfm?doc_id=75185</vt:lpwstr>
      </vt:variant>
      <vt:variant>
        <vt:lpwstr/>
      </vt:variant>
      <vt:variant>
        <vt:i4>7012476</vt:i4>
      </vt:variant>
      <vt:variant>
        <vt:i4>6</vt:i4>
      </vt:variant>
      <vt:variant>
        <vt:i4>0</vt:i4>
      </vt:variant>
      <vt:variant>
        <vt:i4>5</vt:i4>
      </vt:variant>
      <vt:variant>
        <vt:lpwstr>https://ec.europa.eu/isa2/sites/default/files/eif_brochure_final.pdf</vt:lpwstr>
      </vt:variant>
      <vt:variant>
        <vt:lpwstr/>
      </vt:variant>
      <vt:variant>
        <vt:i4>1835014</vt:i4>
      </vt:variant>
      <vt:variant>
        <vt:i4>3</vt:i4>
      </vt:variant>
      <vt:variant>
        <vt:i4>0</vt:i4>
      </vt:variant>
      <vt:variant>
        <vt:i4>5</vt:i4>
      </vt:variant>
      <vt:variant>
        <vt:lpwstr>https://e3p.jrc.ec.europa.eu/publications/2021-best-practice-guidelines-eu-code-conduct-data-centre-energy-efficiency</vt:lpwstr>
      </vt:variant>
      <vt:variant>
        <vt:lpwstr/>
      </vt:variant>
      <vt:variant>
        <vt:i4>7340046</vt:i4>
      </vt:variant>
      <vt:variant>
        <vt:i4>0</vt:i4>
      </vt:variant>
      <vt:variant>
        <vt:i4>0</vt:i4>
      </vt:variant>
      <vt:variant>
        <vt:i4>5</vt:i4>
      </vt:variant>
      <vt:variant>
        <vt:lpwstr>https://ec.europa.eu/newsroom/dae/document.cfm?doc_id=75185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1325</cp:revision>
  <dcterms:created xsi:type="dcterms:W3CDTF">2026-07-06T16:28:00Z</dcterms:created>
  <dcterms:modified xsi:type="dcterms:W3CDTF">2026-07-22T11:10:00Z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0x0101001904E1EBFBC69D4E9F6EFDF5C754386E</vt:lpwstr>
  </property>
  <property fmtid="{D5CDD505-2E9C-101B-9397-08002B2CF9AE}" pid="3" name="MSIP_Label_6bd9ddd1-4d20-43f6-abfa-fc3c07406f94_Enabled">
    <vt:lpwstr>true</vt:lpwstr>
  </property>
  <property fmtid="{D5CDD505-2E9C-101B-9397-08002B2CF9AE}" pid="4" name="MSIP_Label_6bd9ddd1-4d20-43f6-abfa-fc3c07406f94_SetDate">
    <vt:lpwstr>2026-07-03T14:30:48Z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d8df142e-b2dd-4612-8b2c-26b6238f02ab</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CP-036</vt:lpwstr>
  </property>
  <property fmtid="{D5CDD505-2E9C-101B-9397-08002B2CF9AE}" pid="20" name="Last edited using">
    <vt:lpwstr>LW 9.2, Build 20250828</vt:lpwstr>
  </property>
  <property fmtid="{D5CDD505-2E9C-101B-9397-08002B2CF9AE}" pid="21" name="Created using">
    <vt:lpwstr>LW 9.2, Build 20250828</vt:lpwstr>
  </property>
</Properties>
</file>